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宋体" w:hAnsi="宋体" w:cs="宋体"/>
          <w:b/>
          <w:sz w:val="36"/>
          <w:szCs w:val="36"/>
        </w:rPr>
      </w:pPr>
    </w:p>
    <w:p>
      <w:pPr>
        <w:snapToGrid w:val="0"/>
        <w:spacing w:line="288" w:lineRule="auto"/>
        <w:jc w:val="center"/>
        <w:rPr>
          <w:rFonts w:hint="eastAsia" w:ascii="宋体" w:hAnsi="宋体" w:cs="宋体"/>
          <w:b/>
          <w:sz w:val="36"/>
          <w:szCs w:val="36"/>
        </w:rPr>
      </w:pPr>
    </w:p>
    <w:p>
      <w:pPr>
        <w:snapToGrid w:val="0"/>
        <w:spacing w:line="288" w:lineRule="auto"/>
        <w:jc w:val="center"/>
        <w:rPr>
          <w:rFonts w:hint="eastAsia" w:ascii="宋体" w:hAnsi="宋体" w:cs="宋体"/>
          <w:b/>
          <w:sz w:val="36"/>
          <w:szCs w:val="36"/>
        </w:rPr>
      </w:pPr>
    </w:p>
    <w:p>
      <w:pPr>
        <w:snapToGrid w:val="0"/>
        <w:spacing w:line="288" w:lineRule="auto"/>
        <w:jc w:val="center"/>
        <w:rPr>
          <w:rFonts w:hint="eastAsia" w:ascii="宋体" w:hAnsi="宋体" w:cs="宋体"/>
          <w:b/>
          <w:sz w:val="36"/>
          <w:szCs w:val="36"/>
        </w:rPr>
      </w:pPr>
    </w:p>
    <w:p>
      <w:pPr>
        <w:snapToGrid w:val="0"/>
        <w:spacing w:line="288" w:lineRule="auto"/>
        <w:jc w:val="center"/>
        <w:rPr>
          <w:rFonts w:hint="eastAsia" w:ascii="宋体" w:hAnsi="宋体" w:eastAsia="宋体" w:cs="宋体"/>
          <w:sz w:val="36"/>
          <w:szCs w:val="36"/>
          <w:lang w:eastAsia="zh-CN"/>
        </w:rPr>
      </w:pPr>
      <w:r>
        <w:rPr>
          <w:rFonts w:hint="eastAsia" w:ascii="宋体" w:hAnsi="宋体" w:cs="宋体"/>
          <w:sz w:val="36"/>
          <w:szCs w:val="36"/>
          <w:lang w:eastAsia="zh-CN"/>
        </w:rPr>
        <w:t>新能源汽车关键零部件实训室</w:t>
      </w:r>
    </w:p>
    <w:p>
      <w:pPr>
        <w:snapToGrid w:val="0"/>
        <w:spacing w:line="288" w:lineRule="auto"/>
        <w:jc w:val="center"/>
        <w:rPr>
          <w:rFonts w:hint="eastAsia" w:ascii="宋体" w:hAnsi="宋体" w:cs="宋体"/>
          <w:sz w:val="36"/>
          <w:szCs w:val="36"/>
        </w:rPr>
      </w:pPr>
      <w:r>
        <w:rPr>
          <w:rFonts w:hint="eastAsia" w:ascii="宋体" w:hAnsi="宋体" w:cs="宋体"/>
          <w:sz w:val="36"/>
          <w:szCs w:val="36"/>
        </w:rPr>
        <w:t>招标文件</w:t>
      </w:r>
    </w:p>
    <w:p>
      <w:pPr>
        <w:snapToGrid w:val="0"/>
        <w:spacing w:line="288" w:lineRule="auto"/>
        <w:jc w:val="center"/>
        <w:rPr>
          <w:rFonts w:hint="eastAsia" w:ascii="宋体" w:hAnsi="宋体" w:cs="宋体"/>
          <w:sz w:val="36"/>
          <w:szCs w:val="36"/>
        </w:rPr>
      </w:pPr>
      <w:r>
        <w:rPr>
          <w:rFonts w:hint="eastAsia" w:ascii="宋体" w:hAnsi="宋体" w:cs="宋体"/>
          <w:sz w:val="36"/>
          <w:szCs w:val="36"/>
        </w:rPr>
        <w:t>（电子招投标）</w:t>
      </w:r>
    </w:p>
    <w:p>
      <w:pPr>
        <w:snapToGrid w:val="0"/>
        <w:spacing w:line="288" w:lineRule="auto"/>
        <w:jc w:val="center"/>
        <w:rPr>
          <w:rFonts w:hint="eastAsia" w:ascii="宋体" w:hAnsi="宋体" w:eastAsia="宋体" w:cs="宋体"/>
          <w:sz w:val="36"/>
          <w:szCs w:val="36"/>
          <w:lang w:eastAsia="zh-CN"/>
        </w:rPr>
      </w:pPr>
      <w:r>
        <w:rPr>
          <w:rFonts w:hint="eastAsia" w:ascii="宋体" w:hAnsi="宋体" w:cs="宋体"/>
          <w:sz w:val="36"/>
          <w:szCs w:val="36"/>
        </w:rPr>
        <w:t>编号:</w:t>
      </w:r>
      <w:r>
        <w:rPr>
          <w:rFonts w:hint="eastAsia" w:ascii="宋体" w:hAnsi="宋体" w:cs="宋体"/>
          <w:sz w:val="36"/>
          <w:szCs w:val="36"/>
          <w:lang w:eastAsia="zh-CN"/>
        </w:rPr>
        <w:t>HZY-HF-2025046</w:t>
      </w:r>
    </w:p>
    <w:p>
      <w:pPr>
        <w:spacing w:line="360" w:lineRule="auto"/>
        <w:jc w:val="center"/>
        <w:rPr>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pacing w:line="360" w:lineRule="auto"/>
        <w:jc w:val="center"/>
        <w:rPr>
          <w:rFonts w:hint="eastAsia" w:ascii="宋体" w:hAnsi="宋体" w:cs="宋体"/>
          <w:sz w:val="36"/>
          <w:szCs w:val="36"/>
        </w:rPr>
      </w:pPr>
    </w:p>
    <w:p>
      <w:pPr>
        <w:snapToGrid w:val="0"/>
        <w:spacing w:line="360" w:lineRule="auto"/>
        <w:jc w:val="center"/>
        <w:rPr>
          <w:rFonts w:hint="eastAsia" w:ascii="宋体" w:hAnsi="宋体" w:eastAsia="宋体" w:cs="宋体"/>
          <w:sz w:val="36"/>
          <w:szCs w:val="36"/>
          <w:lang w:eastAsia="zh-CN"/>
        </w:rPr>
      </w:pPr>
      <w:r>
        <w:rPr>
          <w:rFonts w:hint="eastAsia" w:ascii="宋体" w:hAnsi="宋体" w:cs="宋体"/>
          <w:sz w:val="36"/>
          <w:szCs w:val="36"/>
          <w:lang w:eastAsia="zh-CN"/>
        </w:rPr>
        <w:t>杭州职业技术学院</w:t>
      </w:r>
    </w:p>
    <w:p>
      <w:pPr>
        <w:pStyle w:val="79"/>
        <w:ind w:firstLine="720"/>
        <w:rPr>
          <w:rFonts w:hint="eastAsia"/>
          <w:sz w:val="36"/>
          <w:szCs w:val="36"/>
        </w:rPr>
      </w:pPr>
    </w:p>
    <w:p>
      <w:pPr>
        <w:spacing w:line="360" w:lineRule="auto"/>
        <w:jc w:val="center"/>
        <w:rPr>
          <w:rFonts w:hint="eastAsia" w:ascii="宋体" w:hAnsi="宋体" w:eastAsia="宋体" w:cs="宋体"/>
          <w:bCs/>
          <w:sz w:val="36"/>
          <w:szCs w:val="36"/>
          <w:lang w:eastAsia="zh-CN"/>
        </w:rPr>
      </w:pPr>
      <w:r>
        <w:rPr>
          <w:rFonts w:hint="eastAsia" w:ascii="宋体" w:hAnsi="宋体" w:cs="宋体"/>
          <w:bCs/>
          <w:sz w:val="36"/>
          <w:szCs w:val="36"/>
          <w:lang w:eastAsia="zh-CN"/>
        </w:rPr>
        <w:t>浙江求是招标代理有限公司</w:t>
      </w:r>
    </w:p>
    <w:p>
      <w:pPr>
        <w:pStyle w:val="79"/>
        <w:ind w:firstLine="720"/>
        <w:rPr>
          <w:rFonts w:hint="eastAsia"/>
          <w:sz w:val="36"/>
          <w:szCs w:val="36"/>
        </w:rPr>
      </w:pPr>
    </w:p>
    <w:p>
      <w:pPr>
        <w:snapToGrid w:val="0"/>
        <w:spacing w:line="360" w:lineRule="auto"/>
        <w:jc w:val="center"/>
        <w:rPr>
          <w:rFonts w:hint="eastAsia" w:ascii="宋体" w:hAnsi="宋体" w:cs="宋体"/>
          <w:bCs/>
          <w:sz w:val="36"/>
          <w:szCs w:val="36"/>
        </w:rPr>
      </w:pPr>
      <w:r>
        <w:rPr>
          <w:rFonts w:hint="eastAsia" w:ascii="宋体" w:hAnsi="宋体" w:cs="宋体"/>
          <w:bCs/>
          <w:sz w:val="36"/>
          <w:szCs w:val="36"/>
        </w:rPr>
        <w:t>二〇二</w:t>
      </w:r>
      <w:r>
        <w:rPr>
          <w:rFonts w:hint="eastAsia" w:ascii="宋体" w:hAnsi="宋体" w:cs="宋体"/>
          <w:bCs/>
          <w:sz w:val="36"/>
          <w:szCs w:val="36"/>
          <w:lang w:val="en-US" w:eastAsia="zh-CN"/>
        </w:rPr>
        <w:t>五</w:t>
      </w:r>
      <w:r>
        <w:rPr>
          <w:rFonts w:hint="eastAsia" w:ascii="宋体" w:hAnsi="宋体" w:cs="宋体"/>
          <w:bCs/>
          <w:sz w:val="36"/>
          <w:szCs w:val="36"/>
        </w:rPr>
        <w:t>年</w:t>
      </w:r>
      <w:r>
        <w:rPr>
          <w:rFonts w:hint="eastAsia" w:ascii="宋体" w:hAnsi="宋体" w:cs="宋体"/>
          <w:bCs/>
          <w:sz w:val="36"/>
          <w:szCs w:val="36"/>
          <w:lang w:val="en-US" w:eastAsia="zh-CN"/>
        </w:rPr>
        <w:t>六</w:t>
      </w:r>
      <w:r>
        <w:rPr>
          <w:rFonts w:hint="eastAsia" w:ascii="宋体" w:hAnsi="宋体" w:cs="宋体"/>
          <w:bCs/>
          <w:sz w:val="36"/>
          <w:szCs w:val="36"/>
        </w:rPr>
        <w:t>月</w:t>
      </w:r>
    </w:p>
    <w:p>
      <w:pPr>
        <w:spacing w:line="360" w:lineRule="auto"/>
        <w:jc w:val="center"/>
        <w:rPr>
          <w:rFonts w:hint="eastAsia" w:ascii="宋体" w:hAnsi="宋体" w:cs="宋体"/>
          <w:sz w:val="36"/>
          <w:szCs w:val="36"/>
        </w:rPr>
      </w:pPr>
      <w:r>
        <w:rPr>
          <w:rFonts w:hint="eastAsia" w:ascii="宋体" w:hAnsi="宋体" w:cs="宋体"/>
          <w:sz w:val="36"/>
          <w:szCs w:val="36"/>
        </w:rPr>
        <w:br w:type="page"/>
      </w:r>
      <w:bookmarkStart w:id="0" w:name="_Hlt67893495"/>
      <w:bookmarkEnd w:id="0"/>
    </w:p>
    <w:p>
      <w:pPr>
        <w:spacing w:line="360" w:lineRule="auto"/>
        <w:rPr>
          <w:rFonts w:hint="eastAsia" w:ascii="宋体" w:hAnsi="宋体" w:cs="宋体"/>
          <w:szCs w:val="21"/>
        </w:rPr>
      </w:pPr>
    </w:p>
    <w:p>
      <w:pPr>
        <w:spacing w:line="360" w:lineRule="auto"/>
        <w:jc w:val="center"/>
        <w:rPr>
          <w:rFonts w:hint="eastAsia" w:ascii="宋体" w:hAnsi="宋体" w:cs="宋体"/>
          <w:b/>
          <w:szCs w:val="21"/>
        </w:rPr>
      </w:pPr>
      <w:r>
        <w:rPr>
          <w:rFonts w:hint="eastAsia" w:ascii="宋体" w:hAnsi="宋体" w:cs="宋体"/>
          <w:b/>
          <w:szCs w:val="21"/>
        </w:rPr>
        <w:t>目  录</w:t>
      </w:r>
    </w:p>
    <w:p>
      <w:pPr>
        <w:spacing w:line="360" w:lineRule="auto"/>
        <w:rPr>
          <w:rFonts w:hint="eastAsia" w:ascii="宋体" w:hAnsi="宋体" w:cs="宋体"/>
          <w:sz w:val="36"/>
          <w:szCs w:val="36"/>
        </w:rPr>
      </w:pPr>
    </w:p>
    <w:p>
      <w:pPr>
        <w:spacing w:line="360" w:lineRule="auto"/>
        <w:rPr>
          <w:rFonts w:hint="eastAsia" w:ascii="宋体" w:hAnsi="宋体" w:cs="宋体"/>
          <w:sz w:val="36"/>
          <w:szCs w:val="36"/>
        </w:rPr>
      </w:pPr>
    </w:p>
    <w:p>
      <w:pPr>
        <w:spacing w:line="360" w:lineRule="auto"/>
        <w:rPr>
          <w:rFonts w:hint="eastAsia" w:ascii="宋体" w:hAnsi="宋体" w:cs="宋体"/>
          <w:sz w:val="36"/>
          <w:szCs w:val="36"/>
        </w:rPr>
      </w:pPr>
      <w:r>
        <w:rPr>
          <w:rFonts w:hint="eastAsia" w:ascii="宋体" w:hAnsi="宋体" w:cs="宋体"/>
          <w:sz w:val="36"/>
          <w:szCs w:val="36"/>
        </w:rPr>
        <w:t>第一部分      招标公告</w:t>
      </w:r>
    </w:p>
    <w:p>
      <w:pPr>
        <w:spacing w:line="360" w:lineRule="auto"/>
        <w:rPr>
          <w:rFonts w:hint="eastAsia" w:ascii="宋体" w:hAnsi="宋体" w:cs="宋体"/>
          <w:sz w:val="36"/>
          <w:szCs w:val="36"/>
        </w:rPr>
      </w:pPr>
      <w:r>
        <w:rPr>
          <w:rFonts w:hint="eastAsia" w:ascii="宋体" w:hAnsi="宋体" w:cs="宋体"/>
          <w:sz w:val="36"/>
          <w:szCs w:val="36"/>
        </w:rPr>
        <w:t>第二部分      投标人须知</w:t>
      </w:r>
    </w:p>
    <w:p>
      <w:pPr>
        <w:spacing w:line="360" w:lineRule="auto"/>
        <w:rPr>
          <w:rFonts w:hint="eastAsia" w:ascii="宋体" w:hAnsi="宋体" w:cs="宋体"/>
          <w:sz w:val="36"/>
          <w:szCs w:val="36"/>
        </w:rPr>
      </w:pPr>
      <w:r>
        <w:rPr>
          <w:rFonts w:hint="eastAsia" w:ascii="宋体" w:hAnsi="宋体" w:cs="宋体"/>
          <w:sz w:val="36"/>
          <w:szCs w:val="36"/>
        </w:rPr>
        <w:t>第三部分      采购需求</w:t>
      </w:r>
    </w:p>
    <w:p>
      <w:pPr>
        <w:spacing w:line="360" w:lineRule="auto"/>
        <w:rPr>
          <w:rFonts w:hint="eastAsia" w:ascii="宋体" w:hAnsi="宋体" w:cs="宋体"/>
          <w:sz w:val="36"/>
          <w:szCs w:val="36"/>
        </w:rPr>
      </w:pPr>
      <w:r>
        <w:rPr>
          <w:rFonts w:hint="eastAsia" w:ascii="宋体" w:hAnsi="宋体" w:cs="宋体"/>
          <w:sz w:val="36"/>
          <w:szCs w:val="36"/>
        </w:rPr>
        <w:t>第四部分      评标办法</w:t>
      </w:r>
    </w:p>
    <w:p>
      <w:pPr>
        <w:spacing w:line="360" w:lineRule="auto"/>
        <w:rPr>
          <w:rFonts w:hint="eastAsia" w:ascii="宋体" w:hAnsi="宋体" w:cs="宋体"/>
          <w:sz w:val="36"/>
          <w:szCs w:val="36"/>
        </w:rPr>
      </w:pPr>
      <w:r>
        <w:rPr>
          <w:rFonts w:hint="eastAsia" w:ascii="宋体" w:hAnsi="宋体" w:cs="宋体"/>
          <w:sz w:val="36"/>
          <w:szCs w:val="36"/>
        </w:rPr>
        <w:t>第五部分      拟签订的合同文本</w:t>
      </w:r>
    </w:p>
    <w:p>
      <w:pPr>
        <w:spacing w:line="360" w:lineRule="auto"/>
        <w:rPr>
          <w:rFonts w:hint="eastAsia" w:ascii="宋体" w:hAnsi="宋体" w:cs="宋体"/>
          <w:sz w:val="36"/>
          <w:szCs w:val="36"/>
        </w:rPr>
      </w:pPr>
      <w:r>
        <w:rPr>
          <w:rFonts w:hint="eastAsia" w:ascii="宋体" w:hAnsi="宋体" w:cs="宋体"/>
          <w:sz w:val="36"/>
          <w:szCs w:val="36"/>
        </w:rPr>
        <w:t>第六部分      应提交的有关格式范例</w:t>
      </w:r>
    </w:p>
    <w:p>
      <w:pPr>
        <w:spacing w:line="360" w:lineRule="auto"/>
        <w:rPr>
          <w:rFonts w:hint="eastAsia" w:ascii="宋体" w:hAnsi="宋体" w:cs="宋体"/>
          <w:szCs w:val="21"/>
        </w:rPr>
      </w:pPr>
      <w:bookmarkStart w:id="1" w:name="_Hlt91233176"/>
      <w:bookmarkEnd w:id="1"/>
      <w:bookmarkStart w:id="2" w:name="_Toc91899869"/>
    </w:p>
    <w:p>
      <w:pPr>
        <w:snapToGrid w:val="0"/>
        <w:spacing w:line="360" w:lineRule="auto"/>
        <w:jc w:val="center"/>
        <w:outlineLvl w:val="0"/>
        <w:rPr>
          <w:rFonts w:hint="eastAsia" w:ascii="宋体" w:hAnsi="宋体" w:cs="宋体"/>
          <w:b/>
          <w:szCs w:val="21"/>
        </w:rPr>
      </w:pPr>
      <w:bookmarkStart w:id="3" w:name="第一部分"/>
      <w:r>
        <w:rPr>
          <w:rFonts w:hint="eastAsia" w:ascii="宋体" w:hAnsi="宋体" w:cs="宋体"/>
          <w:b/>
          <w:szCs w:val="21"/>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Cs w:val="21"/>
        </w:rPr>
        <w:t>第一部分 招标公告</w:t>
      </w:r>
    </w:p>
    <w:p>
      <w:pPr>
        <w:pBdr>
          <w:top w:val="single" w:color="auto" w:sz="4" w:space="1"/>
          <w:left w:val="single" w:color="auto" w:sz="4" w:space="4"/>
          <w:bottom w:val="single" w:color="auto" w:sz="4" w:space="2"/>
          <w:right w:val="single" w:color="auto" w:sz="4" w:space="4"/>
        </w:pBdr>
        <w:snapToGrid w:val="0"/>
        <w:spacing w:line="276" w:lineRule="auto"/>
        <w:ind w:firstLine="422" w:firstLineChars="200"/>
        <w:rPr>
          <w:rFonts w:hint="eastAsia" w:ascii="宋体" w:hAnsi="宋体"/>
          <w:b/>
          <w:bCs/>
          <w:szCs w:val="21"/>
        </w:rPr>
      </w:pPr>
      <w:r>
        <w:rPr>
          <w:rFonts w:hint="eastAsia" w:ascii="宋体" w:hAnsi="宋体"/>
          <w:b/>
          <w:bCs/>
          <w:szCs w:val="21"/>
        </w:rPr>
        <w:t>项目概况</w:t>
      </w:r>
    </w:p>
    <w:p>
      <w:pPr>
        <w:pBdr>
          <w:top w:val="single" w:color="auto" w:sz="4" w:space="1"/>
          <w:left w:val="single" w:color="auto" w:sz="4" w:space="4"/>
          <w:bottom w:val="single" w:color="auto" w:sz="4" w:space="2"/>
          <w:right w:val="single" w:color="auto" w:sz="4" w:space="4"/>
        </w:pBdr>
        <w:snapToGrid w:val="0"/>
        <w:spacing w:line="276" w:lineRule="auto"/>
        <w:ind w:firstLine="420" w:firstLineChars="200"/>
        <w:rPr>
          <w:rFonts w:hint="eastAsia" w:ascii="宋体" w:hAnsi="宋体"/>
          <w:szCs w:val="21"/>
          <w:u w:val="single"/>
        </w:rPr>
      </w:pPr>
      <w:r>
        <w:rPr>
          <w:rFonts w:hint="eastAsia" w:ascii="宋体" w:hAnsi="宋体" w:cs="仿宋_GB2312"/>
          <w:szCs w:val="21"/>
          <w:u w:val="single"/>
          <w:lang w:eastAsia="zh-CN"/>
        </w:rPr>
        <w:t>新能源汽车关键零部件实训室</w:t>
      </w:r>
      <w:r>
        <w:rPr>
          <w:rFonts w:hint="eastAsia" w:ascii="宋体" w:hAnsi="宋体"/>
          <w:szCs w:val="21"/>
        </w:rPr>
        <w:t>招标项目的潜在投标人应在政采云平台（</w:t>
      </w:r>
      <w:r>
        <w:rPr>
          <w:rFonts w:hint="eastAsia" w:ascii="宋体" w:hAnsi="宋体"/>
          <w:szCs w:val="21"/>
        </w:rPr>
        <w:fldChar w:fldCharType="begin"/>
      </w:r>
      <w:r>
        <w:rPr>
          <w:rFonts w:hint="eastAsia" w:ascii="宋体" w:hAnsi="宋体"/>
          <w:szCs w:val="21"/>
        </w:rPr>
        <w:instrText xml:space="preserve"> HYPERLINK "https://www.zcygov.cn/）获取（下载）招标文件，并于202%20年%20月%20日%20点%20分00秒" </w:instrText>
      </w:r>
      <w:r>
        <w:rPr>
          <w:rFonts w:hint="eastAsia" w:ascii="宋体" w:hAnsi="宋体"/>
          <w:szCs w:val="21"/>
        </w:rPr>
        <w:fldChar w:fldCharType="separate"/>
      </w:r>
      <w:r>
        <w:rPr>
          <w:rFonts w:hint="eastAsia" w:ascii="宋体" w:hAnsi="宋体"/>
          <w:szCs w:val="21"/>
        </w:rPr>
        <w:t>https://www.zcygov.cn/）获取（下载）招标文件，并于</w:t>
      </w:r>
      <w:r>
        <w:rPr>
          <w:rFonts w:hint="eastAsia" w:ascii="宋体" w:hAnsi="宋体"/>
          <w:szCs w:val="21"/>
          <w:lang w:eastAsia="zh-CN"/>
        </w:rPr>
        <w:t>2025年7月9日13点30分00秒</w:t>
      </w:r>
      <w:r>
        <w:rPr>
          <w:rFonts w:hint="eastAsia" w:ascii="宋体" w:hAnsi="宋体"/>
          <w:szCs w:val="21"/>
        </w:rPr>
        <w:fldChar w:fldCharType="end"/>
      </w:r>
      <w:r>
        <w:rPr>
          <w:rFonts w:hint="eastAsia" w:ascii="宋体" w:hAnsi="宋体"/>
          <w:szCs w:val="21"/>
        </w:rPr>
        <w:t>（北</w:t>
      </w:r>
      <w:r>
        <w:rPr>
          <w:rFonts w:hint="eastAsia" w:ascii="宋体" w:hAnsi="宋体"/>
          <w:bCs/>
          <w:szCs w:val="21"/>
        </w:rPr>
        <w:t>京时间）前</w:t>
      </w:r>
      <w:r>
        <w:rPr>
          <w:rFonts w:hint="eastAsia" w:ascii="宋体" w:hAnsi="宋体"/>
          <w:szCs w:val="21"/>
        </w:rPr>
        <w:t>递交（上传）投标文件。</w:t>
      </w:r>
    </w:p>
    <w:p>
      <w:pPr>
        <w:snapToGrid w:val="0"/>
        <w:spacing w:line="288" w:lineRule="auto"/>
        <w:rPr>
          <w:rFonts w:hint="eastAsia" w:ascii="宋体" w:hAnsi="宋体" w:cs="宋体"/>
          <w:b/>
          <w:szCs w:val="21"/>
        </w:rPr>
      </w:pPr>
      <w:r>
        <w:rPr>
          <w:rFonts w:hint="eastAsia" w:ascii="宋体" w:hAnsi="宋体" w:cs="宋体"/>
          <w:b/>
          <w:szCs w:val="21"/>
        </w:rPr>
        <w:t xml:space="preserve">一、项目基本情况                                            </w:t>
      </w:r>
    </w:p>
    <w:p>
      <w:pPr>
        <w:keepNext w:val="0"/>
        <w:keepLines w:val="0"/>
        <w:pageBreakBefore w:val="0"/>
        <w:widowControl w:val="0"/>
        <w:kinsoku/>
        <w:wordWrap/>
        <w:overflowPunct/>
        <w:topLinePunct w:val="0"/>
        <w:autoSpaceDE/>
        <w:autoSpaceDN/>
        <w:bidi w:val="0"/>
        <w:adjustRightInd w:val="0"/>
        <w:snapToGrid w:val="0"/>
        <w:spacing w:line="288" w:lineRule="auto"/>
        <w:ind w:firstLine="482"/>
        <w:textAlignment w:val="auto"/>
        <w:rPr>
          <w:rFonts w:hint="eastAsia" w:ascii="宋体" w:hAnsi="宋体" w:eastAsia="宋体" w:cs="宋体"/>
          <w:szCs w:val="21"/>
          <w:highlight w:val="none"/>
          <w:lang w:eastAsia="zh-CN"/>
        </w:rPr>
      </w:pPr>
      <w:r>
        <w:rPr>
          <w:rFonts w:hint="eastAsia" w:ascii="宋体" w:hAnsi="宋体" w:cs="宋体"/>
          <w:b/>
          <w:szCs w:val="21"/>
          <w:highlight w:val="none"/>
        </w:rPr>
        <w:t>项目编号：</w:t>
      </w:r>
      <w:r>
        <w:rPr>
          <w:rFonts w:hint="eastAsia" w:ascii="宋体" w:hAnsi="宋体" w:cs="宋体"/>
          <w:szCs w:val="21"/>
          <w:highlight w:val="none"/>
          <w:lang w:eastAsia="zh-CN"/>
        </w:rPr>
        <w:t>HZY-HF-2025046</w:t>
      </w:r>
    </w:p>
    <w:p>
      <w:pPr>
        <w:keepNext w:val="0"/>
        <w:keepLines w:val="0"/>
        <w:pageBreakBefore w:val="0"/>
        <w:widowControl w:val="0"/>
        <w:kinsoku/>
        <w:wordWrap/>
        <w:overflowPunct/>
        <w:topLinePunct w:val="0"/>
        <w:autoSpaceDE/>
        <w:autoSpaceDN/>
        <w:bidi w:val="0"/>
        <w:adjustRightInd w:val="0"/>
        <w:snapToGrid w:val="0"/>
        <w:spacing w:line="288" w:lineRule="auto"/>
        <w:ind w:firstLine="482"/>
        <w:textAlignment w:val="auto"/>
        <w:rPr>
          <w:rFonts w:hint="eastAsia" w:ascii="宋体" w:hAnsi="宋体" w:eastAsia="宋体" w:cs="宋体"/>
          <w:szCs w:val="21"/>
          <w:highlight w:val="none"/>
          <w:lang w:eastAsia="zh-CN"/>
        </w:rPr>
      </w:pPr>
      <w:r>
        <w:rPr>
          <w:rFonts w:hint="eastAsia" w:ascii="宋体" w:hAnsi="宋体" w:cs="宋体"/>
          <w:b/>
          <w:szCs w:val="21"/>
          <w:highlight w:val="none"/>
        </w:rPr>
        <w:t>项目名称：</w:t>
      </w:r>
      <w:r>
        <w:rPr>
          <w:rFonts w:hint="eastAsia" w:ascii="宋体" w:hAnsi="宋体" w:cs="宋体"/>
          <w:szCs w:val="21"/>
          <w:highlight w:val="none"/>
          <w:lang w:eastAsia="zh-CN"/>
        </w:rPr>
        <w:t>新能源汽车关键零部件实训室</w:t>
      </w:r>
    </w:p>
    <w:p>
      <w:pPr>
        <w:keepNext w:val="0"/>
        <w:keepLines w:val="0"/>
        <w:pageBreakBefore w:val="0"/>
        <w:widowControl w:val="0"/>
        <w:kinsoku/>
        <w:wordWrap/>
        <w:overflowPunct/>
        <w:topLinePunct w:val="0"/>
        <w:autoSpaceDE/>
        <w:autoSpaceDN/>
        <w:bidi w:val="0"/>
        <w:adjustRightInd w:val="0"/>
        <w:snapToGrid w:val="0"/>
        <w:spacing w:line="288" w:lineRule="auto"/>
        <w:ind w:firstLine="482"/>
        <w:textAlignment w:val="auto"/>
        <w:rPr>
          <w:rFonts w:hint="default" w:ascii="宋体" w:hAnsi="宋体" w:eastAsia="宋体" w:cs="宋体"/>
          <w:szCs w:val="21"/>
          <w:highlight w:val="none"/>
          <w:lang w:val="en-US" w:eastAsia="zh-CN"/>
        </w:rPr>
      </w:pPr>
      <w:r>
        <w:rPr>
          <w:rFonts w:hint="eastAsia" w:ascii="宋体" w:hAnsi="宋体" w:cs="宋体"/>
          <w:b/>
          <w:szCs w:val="21"/>
          <w:highlight w:val="none"/>
        </w:rPr>
        <w:t>预算金额（元）：</w:t>
      </w:r>
      <w:r>
        <w:rPr>
          <w:rFonts w:hint="eastAsia" w:ascii="宋体" w:hAnsi="宋体" w:cs="宋体"/>
          <w:szCs w:val="21"/>
          <w:highlight w:val="none"/>
          <w:lang w:val="en-US" w:eastAsia="zh-CN"/>
        </w:rPr>
        <w:t>2200000元</w:t>
      </w:r>
    </w:p>
    <w:p>
      <w:pPr>
        <w:snapToGrid w:val="0"/>
        <w:spacing w:line="288" w:lineRule="auto"/>
        <w:ind w:firstLine="480"/>
        <w:rPr>
          <w:rFonts w:hint="eastAsia" w:ascii="宋体" w:hAnsi="宋体" w:cs="宋体"/>
          <w:szCs w:val="21"/>
        </w:rPr>
      </w:pPr>
      <w:r>
        <w:rPr>
          <w:rFonts w:hint="eastAsia" w:ascii="宋体" w:hAnsi="宋体" w:cs="宋体"/>
          <w:b/>
          <w:szCs w:val="21"/>
          <w:highlight w:val="none"/>
        </w:rPr>
        <w:t>最高限价（元）：</w:t>
      </w:r>
      <w:r>
        <w:rPr>
          <w:rFonts w:hint="eastAsia" w:ascii="宋体" w:hAnsi="宋体" w:cs="宋体"/>
          <w:szCs w:val="21"/>
          <w:highlight w:val="none"/>
          <w:lang w:val="en-US" w:eastAsia="zh-CN"/>
        </w:rPr>
        <w:t>22000</w:t>
      </w:r>
      <w:r>
        <w:rPr>
          <w:rFonts w:hint="eastAsia" w:ascii="宋体" w:hAnsi="宋体" w:cs="宋体"/>
          <w:szCs w:val="21"/>
          <w:lang w:val="en-US" w:eastAsia="zh-CN"/>
        </w:rPr>
        <w:t>00元</w:t>
      </w:r>
    </w:p>
    <w:p>
      <w:pPr>
        <w:pStyle w:val="6"/>
        <w:spacing w:line="288" w:lineRule="auto"/>
        <w:ind w:firstLine="480"/>
        <w:rPr>
          <w:rFonts w:hint="eastAsia" w:hAnsi="宋体" w:cs="宋体"/>
          <w:bCs/>
          <w:snapToGrid/>
          <w:color w:val="auto"/>
          <w:kern w:val="2"/>
          <w:sz w:val="21"/>
          <w:szCs w:val="21"/>
          <w:highlight w:val="none"/>
        </w:rPr>
      </w:pPr>
      <w:r>
        <w:rPr>
          <w:rFonts w:hint="eastAsia" w:hAnsi="宋体" w:cs="宋体"/>
          <w:b/>
          <w:color w:val="auto"/>
          <w:sz w:val="21"/>
          <w:szCs w:val="21"/>
        </w:rPr>
        <w:t>采购需求：</w:t>
      </w:r>
      <w:r>
        <w:rPr>
          <w:rFonts w:hint="eastAsia" w:hAnsi="宋体" w:cs="宋体"/>
          <w:bCs/>
          <w:snapToGrid/>
          <w:color w:val="auto"/>
          <w:kern w:val="2"/>
          <w:sz w:val="21"/>
          <w:szCs w:val="21"/>
          <w:lang w:eastAsia="zh-CN"/>
        </w:rPr>
        <w:t>新能源汽车关键零部件实训室</w:t>
      </w:r>
      <w:r>
        <w:rPr>
          <w:rFonts w:hint="eastAsia" w:hAnsi="宋体" w:cs="宋体"/>
          <w:bCs/>
          <w:snapToGrid/>
          <w:color w:val="auto"/>
          <w:kern w:val="2"/>
          <w:sz w:val="21"/>
          <w:szCs w:val="21"/>
        </w:rPr>
        <w:t>主要内容：</w:t>
      </w:r>
      <w:r>
        <w:rPr>
          <w:rFonts w:hint="eastAsia" w:hAnsi="宋体" w:cs="宋体"/>
          <w:bCs/>
          <w:snapToGrid/>
          <w:color w:val="auto"/>
          <w:kern w:val="2"/>
          <w:sz w:val="21"/>
          <w:szCs w:val="21"/>
          <w:lang w:val="en-US" w:eastAsia="zh-CN"/>
        </w:rPr>
        <w:t>采购新能源汽车关键零部件实训室设备一批</w:t>
      </w:r>
      <w:r>
        <w:rPr>
          <w:rFonts w:hint="eastAsia" w:hAnsi="宋体" w:cs="宋体"/>
          <w:bCs/>
          <w:snapToGrid/>
          <w:color w:val="auto"/>
          <w:kern w:val="2"/>
          <w:sz w:val="21"/>
          <w:szCs w:val="21"/>
        </w:rPr>
        <w:t>。</w:t>
      </w:r>
      <w:r>
        <w:rPr>
          <w:rFonts w:hint="eastAsia" w:hAnsi="宋体"/>
          <w:snapToGrid/>
          <w:color w:val="auto"/>
          <w:kern w:val="2"/>
          <w:sz w:val="21"/>
          <w:szCs w:val="21"/>
        </w:rPr>
        <w:t>具体以招标文件第</w:t>
      </w:r>
      <w:r>
        <w:rPr>
          <w:rFonts w:hint="eastAsia" w:hAnsi="宋体"/>
          <w:snapToGrid/>
          <w:color w:val="auto"/>
          <w:kern w:val="2"/>
          <w:sz w:val="21"/>
          <w:szCs w:val="21"/>
          <w:highlight w:val="none"/>
        </w:rPr>
        <w:t>三部分采购需求为准，供应商可点击本公告下方“浏览采购文件”查看采购需求。</w:t>
      </w:r>
    </w:p>
    <w:p>
      <w:pPr>
        <w:snapToGrid w:val="0"/>
        <w:spacing w:line="288"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采购计划文号：</w:t>
      </w:r>
      <w:r>
        <w:rPr>
          <w:rFonts w:hint="eastAsia" w:ascii="宋体" w:hAnsi="宋体" w:cs="宋体"/>
          <w:b w:val="0"/>
          <w:bCs/>
          <w:color w:val="auto"/>
          <w:szCs w:val="21"/>
          <w:highlight w:val="none"/>
        </w:rPr>
        <w:fldChar w:fldCharType="begin"/>
      </w:r>
      <w:r>
        <w:rPr>
          <w:rFonts w:hint="eastAsia" w:ascii="宋体" w:hAnsi="宋体" w:cs="宋体"/>
          <w:b w:val="0"/>
          <w:bCs/>
          <w:color w:val="auto"/>
          <w:szCs w:val="21"/>
          <w:highlight w:val="none"/>
        </w:rPr>
        <w:instrText xml:space="preserve"> HYPERLINK "https://pay.zcygov.cn/purchaseplan_front/" \l "/plan/list/view?_app_=zcy.purchase-plan&amp;id=1000000000015994762" \t "https://pay.zcygov.cn/purchaseplan_front/" \l "/procurement-plan/plan/_blank" </w:instrText>
      </w:r>
      <w:r>
        <w:rPr>
          <w:rFonts w:hint="eastAsia" w:ascii="宋体" w:hAnsi="宋体" w:cs="宋体"/>
          <w:b w:val="0"/>
          <w:bCs/>
          <w:color w:val="auto"/>
          <w:szCs w:val="21"/>
          <w:highlight w:val="none"/>
        </w:rPr>
        <w:fldChar w:fldCharType="separate"/>
      </w:r>
      <w:r>
        <w:rPr>
          <w:rFonts w:hint="eastAsia" w:ascii="宋体" w:hAnsi="宋体" w:cs="宋体"/>
          <w:b w:val="0"/>
          <w:bCs/>
          <w:color w:val="auto"/>
          <w:szCs w:val="21"/>
          <w:highlight w:val="none"/>
        </w:rPr>
        <w:t>[2025]5917号</w:t>
      </w:r>
      <w:r>
        <w:rPr>
          <w:rFonts w:hint="eastAsia" w:ascii="宋体" w:hAnsi="宋体" w:cs="宋体"/>
          <w:b w:val="0"/>
          <w:bCs/>
          <w:color w:val="auto"/>
          <w:szCs w:val="21"/>
          <w:highlight w:val="none"/>
        </w:rPr>
        <w:fldChar w:fldCharType="end"/>
      </w:r>
    </w:p>
    <w:p>
      <w:pPr>
        <w:snapToGrid w:val="0"/>
        <w:spacing w:line="288" w:lineRule="auto"/>
        <w:ind w:firstLine="480"/>
        <w:rPr>
          <w:rFonts w:hint="eastAsia" w:ascii="宋体" w:hAnsi="宋体" w:cs="宋体"/>
          <w:b/>
          <w:color w:val="auto"/>
          <w:szCs w:val="21"/>
          <w:highlight w:val="none"/>
        </w:rPr>
      </w:pPr>
      <w:r>
        <w:rPr>
          <w:rFonts w:hint="eastAsia" w:ascii="宋体" w:hAnsi="宋体" w:cs="宋体"/>
          <w:b/>
          <w:color w:val="auto"/>
          <w:szCs w:val="21"/>
          <w:highlight w:val="none"/>
        </w:rPr>
        <w:t>合同履约期限：2025年</w:t>
      </w:r>
      <w:r>
        <w:rPr>
          <w:rFonts w:hint="eastAsia" w:ascii="宋体" w:hAnsi="宋体" w:cs="宋体"/>
          <w:b/>
          <w:color w:val="auto"/>
          <w:szCs w:val="21"/>
          <w:highlight w:val="none"/>
          <w:lang w:val="en-US" w:eastAsia="zh-CN"/>
        </w:rPr>
        <w:t>9</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日前交货并安装调试完毕。</w:t>
      </w:r>
    </w:p>
    <w:p>
      <w:pPr>
        <w:snapToGrid w:val="0"/>
        <w:spacing w:line="288" w:lineRule="auto"/>
        <w:ind w:firstLine="480"/>
        <w:rPr>
          <w:rFonts w:hint="eastAsia" w:ascii="宋体" w:hAnsi="宋体" w:cs="宋体"/>
          <w:color w:val="auto"/>
          <w:kern w:val="0"/>
          <w:szCs w:val="21"/>
          <w:highlight w:val="none"/>
        </w:rPr>
      </w:pPr>
      <w:r>
        <w:rPr>
          <w:rFonts w:hint="eastAsia" w:ascii="宋体" w:hAnsi="宋体" w:cs="宋体"/>
          <w:b/>
          <w:color w:val="auto"/>
          <w:szCs w:val="21"/>
          <w:highlight w:val="none"/>
        </w:rPr>
        <w:t>本项目接受联合体投标：</w:t>
      </w:r>
      <w:sdt>
        <w:sdtPr>
          <w:rPr>
            <w:rFonts w:hint="eastAsia" w:ascii="宋体" w:hAnsi="宋体" w:cs="宋体"/>
            <w:color w:val="auto"/>
            <w:kern w:val="0"/>
            <w:szCs w:val="21"/>
            <w:highlight w:val="none"/>
          </w:rPr>
          <w:id w:val="203545383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b/>
          <w:color w:val="auto"/>
          <w:szCs w:val="21"/>
          <w:highlight w:val="none"/>
        </w:rPr>
        <w:t>是；</w:t>
      </w:r>
      <w:sdt>
        <w:sdtPr>
          <w:rPr>
            <w:rFonts w:hint="eastAsia" w:ascii="宋体" w:hAnsi="宋体" w:cs="宋体"/>
            <w:color w:val="auto"/>
            <w:kern w:val="0"/>
            <w:szCs w:val="21"/>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sdtContent>
      </w:sdt>
      <w:r>
        <w:rPr>
          <w:rFonts w:hint="eastAsia" w:ascii="宋体" w:hAnsi="宋体" w:cs="宋体"/>
          <w:b/>
          <w:color w:val="auto"/>
          <w:szCs w:val="21"/>
          <w:highlight w:val="none"/>
        </w:rPr>
        <w:t>否</w:t>
      </w:r>
      <w:r>
        <w:rPr>
          <w:rFonts w:hint="eastAsia" w:ascii="宋体" w:hAnsi="宋体" w:cs="宋体"/>
          <w:color w:val="auto"/>
          <w:kern w:val="0"/>
          <w:szCs w:val="21"/>
          <w:highlight w:val="none"/>
        </w:rPr>
        <w:t>。</w:t>
      </w:r>
    </w:p>
    <w:p>
      <w:pPr>
        <w:snapToGrid w:val="0"/>
        <w:spacing w:line="288" w:lineRule="auto"/>
        <w:rPr>
          <w:rFonts w:hint="eastAsia" w:ascii="宋体" w:hAnsi="宋体" w:cs="宋体"/>
          <w:b/>
          <w:color w:val="auto"/>
          <w:szCs w:val="21"/>
          <w:highlight w:val="none"/>
        </w:rPr>
      </w:pPr>
      <w:r>
        <w:rPr>
          <w:rFonts w:hint="eastAsia" w:ascii="宋体" w:hAnsi="宋体" w:cs="宋体"/>
          <w:b/>
          <w:color w:val="auto"/>
          <w:szCs w:val="21"/>
          <w:highlight w:val="none"/>
        </w:rPr>
        <w:t>二、</w:t>
      </w:r>
      <w:bookmarkStart w:id="11" w:name="_Hlk101132948"/>
      <w:r>
        <w:rPr>
          <w:rFonts w:hint="eastAsia" w:ascii="宋体" w:hAnsi="宋体" w:cs="宋体"/>
          <w:b/>
          <w:color w:val="auto"/>
          <w:szCs w:val="21"/>
          <w:highlight w:val="none"/>
        </w:rPr>
        <w:t>申请人的资格要求</w:t>
      </w:r>
      <w:bookmarkEnd w:id="11"/>
      <w:r>
        <w:rPr>
          <w:rFonts w:hint="eastAsia" w:ascii="宋体" w:hAnsi="宋体" w:cs="宋体"/>
          <w:b/>
          <w:color w:val="auto"/>
          <w:szCs w:val="21"/>
          <w:highlight w:val="none"/>
        </w:rPr>
        <w:t>：</w:t>
      </w:r>
    </w:p>
    <w:p>
      <w:pPr>
        <w:snapToGrid w:val="0"/>
        <w:spacing w:line="288"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288" w:lineRule="auto"/>
        <w:ind w:firstLine="480"/>
        <w:rPr>
          <w:rFonts w:hint="eastAsia" w:ascii="宋体" w:hAnsi="宋体" w:cs="宋体"/>
          <w:snapToGrid w:val="0"/>
          <w:color w:val="auto"/>
          <w:kern w:val="28"/>
          <w:szCs w:val="21"/>
          <w:highlight w:val="none"/>
        </w:rPr>
      </w:pP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w:t>
      </w:r>
    </w:p>
    <w:p>
      <w:pPr>
        <w:snapToGrid w:val="0"/>
        <w:spacing w:line="288" w:lineRule="auto"/>
        <w:ind w:firstLine="420" w:firstLineChars="200"/>
        <w:rPr>
          <w:rFonts w:hint="eastAsia"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w:t>
      </w:r>
    </w:p>
    <w:p>
      <w:pPr>
        <w:snapToGrid w:val="0"/>
        <w:spacing w:line="288"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eastAsia="宋体" w:cs="Segoe UI Symbol"/>
              <w:color w:val="auto"/>
              <w:kern w:val="0"/>
              <w:sz w:val="21"/>
              <w:szCs w:val="21"/>
              <w:highlight w:val="none"/>
              <w:lang w:val="en-US" w:eastAsia="zh-CN" w:bidi="ar-SA"/>
            </w:rPr>
            <w:t>☐</w:t>
          </w:r>
        </w:sdtContent>
      </w:sdt>
      <w:r>
        <w:rPr>
          <w:rFonts w:hint="eastAsia" w:ascii="宋体" w:hAnsi="宋体" w:cs="宋体"/>
          <w:color w:val="auto"/>
          <w:szCs w:val="21"/>
          <w:highlight w:val="none"/>
        </w:rPr>
        <w:t>无</w:t>
      </w:r>
      <w:r>
        <w:rPr>
          <w:rFonts w:hint="eastAsia" w:ascii="宋体" w:hAnsi="宋体" w:cs="宋体"/>
          <w:snapToGrid w:val="0"/>
          <w:color w:val="auto"/>
          <w:kern w:val="28"/>
          <w:szCs w:val="21"/>
          <w:highlight w:val="none"/>
        </w:rPr>
        <w:t>（注：不得限制大中型企业与小微企业组成联合体参与投标）</w:t>
      </w:r>
      <w:r>
        <w:rPr>
          <w:rFonts w:hint="eastAsia" w:ascii="宋体" w:hAnsi="宋体" w:cs="宋体"/>
          <w:color w:val="auto"/>
          <w:szCs w:val="21"/>
          <w:highlight w:val="none"/>
        </w:rPr>
        <w:t>；</w:t>
      </w:r>
    </w:p>
    <w:p>
      <w:pPr>
        <w:snapToGrid w:val="0"/>
        <w:spacing w:line="288"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宋体" w:cs="Segoe UI Symbol"/>
              <w:color w:val="auto"/>
              <w:kern w:val="0"/>
              <w:sz w:val="21"/>
              <w:szCs w:val="21"/>
              <w:highlight w:val="none"/>
              <w:lang w:val="en-US" w:eastAsia="zh-CN" w:bidi="ar-SA"/>
            </w:rPr>
            <w:t>þ</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pPr>
        <w:snapToGrid w:val="0"/>
        <w:spacing w:line="288" w:lineRule="auto"/>
        <w:ind w:firstLine="785" w:firstLineChars="374"/>
        <w:rPr>
          <w:rFonts w:hint="eastAsia" w:ascii="宋体" w:hAnsi="宋体" w:cs="宋体"/>
          <w:color w:val="auto"/>
          <w:szCs w:val="21"/>
          <w:highlight w:val="none"/>
          <w:u w:val="single"/>
        </w:rPr>
      </w:pPr>
      <w:sdt>
        <w:sdtPr>
          <w:rPr>
            <w:rFonts w:hint="eastAsia" w:ascii="宋体" w:hAnsi="宋体" w:cs="宋体"/>
            <w:color w:val="auto"/>
            <w:kern w:val="0"/>
            <w:szCs w:val="21"/>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宋体" w:cs="Segoe UI Symbol"/>
              <w:color w:val="auto"/>
              <w:kern w:val="0"/>
              <w:sz w:val="21"/>
              <w:szCs w:val="21"/>
              <w:highlight w:val="none"/>
              <w:lang w:val="en-US" w:eastAsia="zh-CN" w:bidi="ar-SA"/>
            </w:rPr>
            <w:t>þ</w:t>
          </w:r>
        </w:sdtContent>
      </w:sdt>
      <w:r>
        <w:rPr>
          <w:rFonts w:hint="eastAsia" w:ascii="宋体" w:hAnsi="宋体" w:cs="宋体"/>
          <w:color w:val="auto"/>
          <w:szCs w:val="21"/>
          <w:highlight w:val="none"/>
        </w:rPr>
        <w:t>货物全部由符合政策要求的中小企业制造，提供中小企业声明函；</w:t>
      </w:r>
    </w:p>
    <w:p>
      <w:pPr>
        <w:snapToGrid w:val="0"/>
        <w:spacing w:line="288"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313491756"/>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eastAsia="宋体" w:cs="Segoe UI Symbol"/>
              <w:color w:val="auto"/>
              <w:kern w:val="0"/>
              <w:sz w:val="21"/>
              <w:szCs w:val="21"/>
              <w:highlight w:val="none"/>
              <w:lang w:val="en-US" w:eastAsia="zh-CN" w:bidi="ar-SA"/>
            </w:rPr>
            <w:t>☐</w:t>
          </w:r>
        </w:sdtContent>
      </w:sdt>
      <w:r>
        <w:rPr>
          <w:rFonts w:hint="eastAsia" w:ascii="宋体" w:hAnsi="宋体" w:cs="宋体"/>
          <w:color w:val="auto"/>
          <w:szCs w:val="21"/>
          <w:highlight w:val="none"/>
        </w:rPr>
        <w:t>货物全部由符合政策要求的小微企业制造，提供中小企业声明函；</w:t>
      </w:r>
    </w:p>
    <w:p>
      <w:pPr>
        <w:snapToGrid w:val="0"/>
        <w:spacing w:line="288" w:lineRule="auto"/>
        <w:ind w:firstLine="420" w:firstLineChars="200"/>
        <w:rPr>
          <w:rFonts w:hint="eastAsia" w:ascii="宋体" w:hAnsi="宋体" w:cs="宋体"/>
          <w:szCs w:val="21"/>
        </w:rPr>
      </w:pPr>
      <w:sdt>
        <w:sdtPr>
          <w:rPr>
            <w:rFonts w:hint="eastAsia" w:ascii="宋体" w:hAnsi="宋体" w:cs="宋体"/>
            <w:color w:val="auto"/>
            <w:kern w:val="0"/>
            <w:szCs w:val="21"/>
            <w:highlight w:val="none"/>
          </w:rPr>
          <w:id w:val="64856729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Segoe UI Symbol" w:hAnsi="Segoe UI Symbol" w:cs="Segoe UI Symbol"/>
              <w:color w:val="auto"/>
              <w:kern w:val="0"/>
              <w:szCs w:val="21"/>
              <w:highlight w:val="none"/>
            </w:rPr>
            <w:t>☐</w:t>
          </w:r>
          <w:bookmarkStart w:id="12" w:name="_Hlk101132524"/>
        </w:sdtContent>
      </w:sdt>
      <w:r>
        <w:rPr>
          <w:rFonts w:hint="eastAsia" w:ascii="宋体" w:hAnsi="宋体" w:cs="宋体"/>
          <w:color w:val="auto"/>
          <w:szCs w:val="21"/>
          <w:highlight w:val="none"/>
        </w:rPr>
        <w:t>要求以联合体形式参加，提供联合协议和中小企业声明函，联合协议中中小企业合同金额应当达到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%，其中小微企业合同金额应当达到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pacing w:val="8"/>
          <w:kern w:val="0"/>
          <w:szCs w:val="21"/>
          <w:highlight w:val="none"/>
        </w:rPr>
        <w:t>如果供应商本身提供所有标的均由</w:t>
      </w:r>
      <w:r>
        <w:rPr>
          <w:rFonts w:hint="eastAsia" w:ascii="宋体" w:hAnsi="宋体" w:cs="宋体"/>
          <w:spacing w:val="8"/>
          <w:kern w:val="0"/>
          <w:szCs w:val="21"/>
        </w:rPr>
        <w:t>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bookmarkEnd w:id="12"/>
    <w:p>
      <w:pPr>
        <w:snapToGrid w:val="0"/>
        <w:spacing w:line="288" w:lineRule="auto"/>
        <w:ind w:firstLine="420" w:firstLineChars="200"/>
        <w:rPr>
          <w:rFonts w:hint="eastAsia"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pPr>
        <w:snapToGrid w:val="0"/>
        <w:spacing w:line="288" w:lineRule="auto"/>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.本项目的特定资格要求：</w:t>
      </w:r>
    </w:p>
    <w:p>
      <w:pPr>
        <w:snapToGrid w:val="0"/>
        <w:spacing w:line="288" w:lineRule="auto"/>
        <w:ind w:firstLine="420" w:firstLineChars="200"/>
        <w:rPr>
          <w:rFonts w:hint="eastAsia" w:ascii="宋体" w:hAnsi="宋体" w:cs="宋体"/>
          <w:szCs w:val="21"/>
        </w:rPr>
      </w:pPr>
      <w:sdt>
        <w:sdtPr>
          <w:rPr>
            <w:rFonts w:hint="eastAsia" w:ascii="宋体" w:hAnsi="宋体" w:cs="宋体"/>
            <w:kern w:val="0"/>
            <w:szCs w:val="21"/>
          </w:rPr>
          <w:id w:val="14746646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宋体" w:cs="Segoe UI Symbol"/>
              <w:kern w:val="0"/>
              <w:sz w:val="21"/>
              <w:szCs w:val="21"/>
              <w:lang w:val="en-US" w:eastAsia="zh-CN" w:bidi="ar-SA"/>
            </w:rPr>
            <w:t>þ</w:t>
          </w:r>
        </w:sdtContent>
      </w:sdt>
      <w:r>
        <w:rPr>
          <w:rFonts w:hint="eastAsia" w:ascii="宋体" w:hAnsi="宋体" w:cs="宋体"/>
          <w:kern w:val="0"/>
          <w:szCs w:val="21"/>
        </w:rPr>
        <w:t>无。</w:t>
      </w:r>
    </w:p>
    <w:p>
      <w:pPr>
        <w:snapToGrid w:val="0"/>
        <w:spacing w:line="288" w:lineRule="auto"/>
        <w:ind w:firstLine="420" w:firstLineChars="200"/>
        <w:rPr>
          <w:rFonts w:hint="eastAsia" w:ascii="宋体" w:hAnsi="宋体" w:cs="宋体"/>
          <w:szCs w:val="21"/>
        </w:rPr>
      </w:pPr>
      <w:sdt>
        <w:sdtPr>
          <w:rPr>
            <w:rFonts w:hint="eastAsia" w:ascii="宋体" w:hAnsi="宋体" w:cs="宋体"/>
            <w:kern w:val="0"/>
            <w:szCs w:val="21"/>
          </w:rPr>
          <w:id w:val="4702667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有特定资格要求：</w:t>
      </w:r>
      <w:r>
        <w:rPr>
          <w:rFonts w:hint="eastAsia" w:ascii="宋体" w:hAnsi="宋体" w:cs="宋体"/>
          <w:szCs w:val="21"/>
          <w:u w:val="single"/>
        </w:rPr>
        <w:t xml:space="preserve">        </w:t>
      </w:r>
      <w:r>
        <w:rPr>
          <w:rFonts w:hint="eastAsia" w:ascii="宋体" w:hAnsi="宋体" w:cs="宋体"/>
          <w:szCs w:val="21"/>
        </w:rPr>
        <w:t>，该特定条件的法律法规依据：</w:t>
      </w:r>
      <w:r>
        <w:rPr>
          <w:rFonts w:hint="eastAsia" w:ascii="宋体" w:hAnsi="宋体" w:cs="宋体"/>
          <w:szCs w:val="21"/>
          <w:u w:val="single"/>
        </w:rPr>
        <w:t xml:space="preserve">        </w:t>
      </w:r>
      <w:r>
        <w:rPr>
          <w:rFonts w:hint="eastAsia" w:ascii="宋体" w:hAnsi="宋体" w:cs="宋体"/>
          <w:szCs w:val="21"/>
        </w:rPr>
        <w:t>。</w:t>
      </w:r>
    </w:p>
    <w:p>
      <w:pPr>
        <w:snapToGrid w:val="0"/>
        <w:spacing w:line="288"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napToGrid w:val="0"/>
        <w:spacing w:line="288" w:lineRule="auto"/>
        <w:rPr>
          <w:rFonts w:hint="eastAsia" w:ascii="宋体" w:hAnsi="宋体" w:cs="宋体"/>
          <w:b/>
          <w:szCs w:val="21"/>
        </w:rPr>
      </w:pPr>
      <w:r>
        <w:rPr>
          <w:rFonts w:hint="eastAsia" w:ascii="宋体" w:hAnsi="宋体" w:cs="宋体"/>
          <w:b/>
          <w:szCs w:val="21"/>
        </w:rPr>
        <w:t xml:space="preserve">三、获取招标文件 </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cs="宋体"/>
          <w:szCs w:val="21"/>
          <w:u w:val="single"/>
          <w:lang w:eastAsia="zh-CN"/>
        </w:rPr>
        <w:t>2025年7月9日</w:t>
      </w:r>
      <w:r>
        <w:rPr>
          <w:rFonts w:hint="eastAsia" w:ascii="宋体" w:hAnsi="宋体" w:cs="宋体"/>
          <w:szCs w:val="21"/>
        </w:rPr>
        <w:t>，每天上午00:00至12:00 ，下午12:00至23:59（北京时间，线上获取法定节假日均可，线下获取文件法定节假日除外）</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供应商登录政采云平台https://www.zcygov.cn/在线申请获取采购文件（进入“项目采购”应用，在获取采购文件菜单中选择项目，申请获取采购文件）。</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0</w:t>
      </w:r>
    </w:p>
    <w:p>
      <w:pPr>
        <w:snapToGrid w:val="0"/>
        <w:spacing w:line="288" w:lineRule="auto"/>
        <w:rPr>
          <w:rFonts w:hint="eastAsia" w:ascii="宋体" w:hAnsi="宋体" w:cs="宋体"/>
          <w:b/>
          <w:szCs w:val="21"/>
        </w:rPr>
      </w:pPr>
      <w:r>
        <w:rPr>
          <w:rFonts w:hint="eastAsia" w:ascii="宋体" w:hAnsi="宋体" w:cs="宋体"/>
          <w:b/>
          <w:szCs w:val="21"/>
        </w:rPr>
        <w:t>四、提交投标文件截止时间、开标时间和地点</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 xml:space="preserve"> </w:t>
      </w:r>
      <w:r>
        <w:rPr>
          <w:rFonts w:hint="eastAsia" w:ascii="宋体" w:hAnsi="宋体" w:cs="宋体"/>
          <w:szCs w:val="21"/>
          <w:u w:val="single"/>
          <w:lang w:eastAsia="zh-CN"/>
        </w:rPr>
        <w:t>2025年7月9日13点30分00秒</w:t>
      </w:r>
      <w:r>
        <w:rPr>
          <w:rFonts w:hint="eastAsia" w:ascii="宋体" w:hAnsi="宋体" w:cs="宋体"/>
          <w:szCs w:val="21"/>
        </w:rPr>
        <w:t>（北京时间）</w:t>
      </w:r>
    </w:p>
    <w:p>
      <w:pPr>
        <w:snapToGrid w:val="0"/>
        <w:spacing w:line="288"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pPr>
        <w:snapToGrid w:val="0"/>
        <w:spacing w:line="288" w:lineRule="auto"/>
        <w:ind w:firstLine="422" w:firstLineChars="200"/>
        <w:rPr>
          <w:rFonts w:hint="eastAsia" w:ascii="宋体" w:hAnsi="宋体" w:eastAsia="宋体" w:cs="宋体"/>
          <w:bCs/>
          <w:szCs w:val="21"/>
          <w:u w:val="single"/>
          <w:lang w:eastAsia="zh-CN"/>
        </w:rPr>
      </w:pPr>
      <w:r>
        <w:rPr>
          <w:rFonts w:hint="eastAsia" w:ascii="宋体" w:hAnsi="宋体" w:cs="宋体"/>
          <w:b/>
          <w:szCs w:val="21"/>
        </w:rPr>
        <w:t>开标时间：</w:t>
      </w:r>
      <w:r>
        <w:rPr>
          <w:rFonts w:hint="eastAsia" w:ascii="宋体" w:hAnsi="宋体" w:cs="宋体"/>
          <w:szCs w:val="21"/>
          <w:u w:val="single"/>
          <w:lang w:eastAsia="zh-CN"/>
        </w:rPr>
        <w:t>2025年7月9日13点30分00秒</w:t>
      </w:r>
    </w:p>
    <w:p>
      <w:pPr>
        <w:snapToGrid w:val="0"/>
        <w:spacing w:line="288" w:lineRule="auto"/>
        <w:ind w:firstLine="422" w:firstLineChars="200"/>
        <w:rPr>
          <w:rFonts w:hint="eastAsia"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pPr>
        <w:snapToGrid w:val="0"/>
        <w:spacing w:line="288" w:lineRule="auto"/>
        <w:rPr>
          <w:rFonts w:hint="eastAsia" w:ascii="宋体" w:hAnsi="宋体" w:cs="宋体"/>
          <w:szCs w:val="21"/>
        </w:rPr>
      </w:pPr>
      <w:r>
        <w:rPr>
          <w:rFonts w:hint="eastAsia" w:ascii="宋体" w:hAnsi="宋体" w:cs="宋体"/>
          <w:b/>
          <w:szCs w:val="21"/>
        </w:rPr>
        <w:t>五、公告期限</w:t>
      </w:r>
    </w:p>
    <w:p>
      <w:pPr>
        <w:snapToGrid w:val="0"/>
        <w:spacing w:line="288"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snapToGrid w:val="0"/>
        <w:spacing w:line="288" w:lineRule="auto"/>
        <w:rPr>
          <w:rFonts w:hint="eastAsia" w:ascii="宋体" w:hAnsi="宋体" w:cs="宋体"/>
          <w:b/>
          <w:szCs w:val="21"/>
        </w:rPr>
      </w:pPr>
      <w:r>
        <w:rPr>
          <w:rFonts w:hint="eastAsia" w:ascii="宋体" w:hAnsi="宋体" w:cs="宋体"/>
          <w:b/>
          <w:szCs w:val="21"/>
        </w:rPr>
        <w:t>六、其他补充事宜</w:t>
      </w:r>
    </w:p>
    <w:p>
      <w:pPr>
        <w:snapToGrid w:val="0"/>
        <w:spacing w:line="288"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Cs w:val="21"/>
        </w:rPr>
        <w:t>。</w:t>
      </w:r>
    </w:p>
    <w:p>
      <w:pPr>
        <w:snapToGrid w:val="0"/>
        <w:spacing w:line="288" w:lineRule="auto"/>
        <w:ind w:firstLine="420" w:firstLineChars="200"/>
        <w:rPr>
          <w:rFonts w:hint="eastAsia"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288"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288" w:lineRule="auto"/>
        <w:ind w:firstLine="420" w:firstLineChars="200"/>
        <w:rPr>
          <w:rFonts w:hint="eastAsia"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napToGrid w:val="0"/>
        <w:spacing w:line="288" w:lineRule="auto"/>
        <w:rPr>
          <w:rFonts w:hint="eastAsia" w:ascii="宋体" w:hAnsi="宋体" w:cs="宋体"/>
          <w:b/>
          <w:szCs w:val="21"/>
        </w:rPr>
      </w:pPr>
      <w:r>
        <w:rPr>
          <w:rFonts w:hint="eastAsia" w:ascii="宋体" w:hAnsi="宋体" w:cs="宋体"/>
          <w:b/>
          <w:szCs w:val="21"/>
        </w:rPr>
        <w:t>七、对本次采购提出询问、质疑、投诉，请按以下方式联系</w:t>
      </w:r>
    </w:p>
    <w:p>
      <w:pPr>
        <w:snapToGrid w:val="0"/>
        <w:spacing w:line="288"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1.采购人信息</w:t>
      </w:r>
    </w:p>
    <w:p>
      <w:pPr>
        <w:snapToGrid w:val="0"/>
        <w:spacing w:line="288" w:lineRule="auto"/>
        <w:ind w:firstLine="424" w:firstLineChars="202"/>
        <w:rPr>
          <w:rFonts w:hint="eastAsia" w:ascii="宋体" w:hAnsi="宋体" w:eastAsia="宋体" w:cs="宋体"/>
          <w:color w:val="auto"/>
          <w:szCs w:val="21"/>
          <w:lang w:eastAsia="zh-CN"/>
        </w:rPr>
      </w:pPr>
      <w:r>
        <w:rPr>
          <w:rFonts w:hint="eastAsia" w:ascii="宋体" w:hAnsi="宋体" w:eastAsia="宋体" w:cs="宋体"/>
          <w:color w:val="auto"/>
          <w:szCs w:val="21"/>
        </w:rPr>
        <w:t>名    称：</w:t>
      </w:r>
      <w:r>
        <w:rPr>
          <w:rFonts w:hint="eastAsia" w:ascii="宋体" w:hAnsi="宋体" w:eastAsia="宋体" w:cs="宋体"/>
          <w:color w:val="auto"/>
          <w:szCs w:val="21"/>
          <w:lang w:eastAsia="zh-CN"/>
        </w:rPr>
        <w:t>杭州职业技术学院</w:t>
      </w:r>
    </w:p>
    <w:p>
      <w:pPr>
        <w:snapToGrid w:val="0"/>
        <w:spacing w:line="288"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地    址：杭州下沙高教园区学源街68号</w:t>
      </w:r>
    </w:p>
    <w:p>
      <w:pPr>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rPr>
        <w:t xml:space="preserve">传    </w:t>
      </w:r>
      <w:r>
        <w:rPr>
          <w:rFonts w:hint="eastAsia" w:ascii="宋体" w:hAnsi="宋体" w:eastAsia="宋体" w:cs="宋体"/>
          <w:color w:val="auto"/>
          <w:szCs w:val="21"/>
          <w:highlight w:val="none"/>
        </w:rPr>
        <w:t>真： /</w:t>
      </w:r>
    </w:p>
    <w:p>
      <w:pPr>
        <w:snapToGrid w:val="0"/>
        <w:spacing w:line="288" w:lineRule="auto"/>
        <w:ind w:firstLine="424" w:firstLineChars="20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color w:val="auto"/>
          <w:highlight w:val="none"/>
          <w:lang w:val="en-US" w:eastAsia="zh-CN"/>
        </w:rPr>
        <w:t>张老师</w:t>
      </w:r>
    </w:p>
    <w:p>
      <w:pPr>
        <w:snapToGrid w:val="0"/>
        <w:spacing w:line="288" w:lineRule="auto"/>
        <w:ind w:firstLine="424" w:firstLineChars="202"/>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项目联系方式（询问）：</w:t>
      </w:r>
      <w:r>
        <w:rPr>
          <w:rFonts w:hint="eastAsia" w:ascii="宋体" w:hAnsi="宋体" w:cs="宋体"/>
          <w:color w:val="auto"/>
          <w:szCs w:val="21"/>
          <w:highlight w:val="none"/>
          <w:lang w:val="en-US" w:eastAsia="zh-CN"/>
        </w:rPr>
        <w:t>0571-56700230</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Times New Roman"/>
          <w:color w:val="auto"/>
          <w:sz w:val="21"/>
          <w:szCs w:val="21"/>
          <w:highlight w:val="none"/>
        </w:rPr>
        <w:t>邹老师</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Times New Roman"/>
          <w:color w:val="auto"/>
          <w:sz w:val="21"/>
          <w:szCs w:val="21"/>
          <w:highlight w:val="none"/>
        </w:rPr>
        <w:t>0571-56700017</w:t>
      </w:r>
    </w:p>
    <w:p>
      <w:pPr>
        <w:snapToGrid w:val="0"/>
        <w:spacing w:line="288" w:lineRule="auto"/>
      </w:pPr>
    </w:p>
    <w:p>
      <w:pPr>
        <w:snapToGrid w:val="0"/>
        <w:spacing w:line="288" w:lineRule="auto"/>
        <w:ind w:firstLine="420" w:firstLineChars="200"/>
        <w:rPr>
          <w:rFonts w:hint="eastAsia" w:ascii="宋体" w:hAnsi="宋体" w:cs="宋体"/>
          <w:szCs w:val="21"/>
        </w:rPr>
      </w:pPr>
      <w:r>
        <w:rPr>
          <w:rFonts w:hint="eastAsia" w:ascii="宋体" w:hAnsi="宋体" w:cs="宋体"/>
          <w:szCs w:val="21"/>
        </w:rPr>
        <w:t xml:space="preserve">2.采购代理机构信息 </w:t>
      </w:r>
    </w:p>
    <w:p>
      <w:pPr>
        <w:snapToGrid w:val="0"/>
        <w:spacing w:line="288" w:lineRule="auto"/>
        <w:ind w:firstLine="480"/>
        <w:rPr>
          <w:rFonts w:hint="eastAsia" w:ascii="宋体" w:hAnsi="宋体" w:cs="宋体"/>
          <w:szCs w:val="21"/>
          <w:lang w:eastAsia="zh-CN"/>
        </w:rPr>
      </w:pPr>
      <w:r>
        <w:rPr>
          <w:rFonts w:hint="eastAsia" w:ascii="宋体" w:hAnsi="宋体" w:cs="宋体"/>
          <w:szCs w:val="21"/>
        </w:rPr>
        <w:t>名    称：</w:t>
      </w:r>
      <w:r>
        <w:rPr>
          <w:rFonts w:hint="eastAsia" w:ascii="宋体" w:hAnsi="宋体" w:cs="宋体"/>
          <w:szCs w:val="21"/>
          <w:lang w:eastAsia="zh-CN"/>
        </w:rPr>
        <w:t>浙江求是招标代理有限公司</w:t>
      </w:r>
    </w:p>
    <w:p>
      <w:pPr>
        <w:snapToGrid w:val="0"/>
        <w:spacing w:line="288" w:lineRule="auto"/>
        <w:ind w:firstLine="480"/>
        <w:rPr>
          <w:rFonts w:hint="eastAsia" w:ascii="宋体" w:hAnsi="宋体" w:cs="宋体"/>
          <w:szCs w:val="21"/>
        </w:rPr>
      </w:pPr>
      <w:r>
        <w:rPr>
          <w:rFonts w:hint="eastAsia" w:ascii="宋体" w:hAnsi="宋体" w:cs="宋体"/>
          <w:szCs w:val="21"/>
        </w:rPr>
        <w:t>地    址：杭州市西湖区玉古路173号中田大厦21楼</w:t>
      </w:r>
    </w:p>
    <w:p>
      <w:pPr>
        <w:snapToGrid w:val="0"/>
        <w:spacing w:line="288" w:lineRule="auto"/>
        <w:ind w:firstLine="480"/>
        <w:rPr>
          <w:rFonts w:hint="eastAsia" w:ascii="宋体" w:hAnsi="宋体" w:cs="宋体"/>
          <w:szCs w:val="21"/>
        </w:rPr>
      </w:pPr>
      <w:r>
        <w:rPr>
          <w:rFonts w:hint="eastAsia" w:ascii="宋体" w:hAnsi="宋体" w:cs="宋体"/>
          <w:szCs w:val="21"/>
        </w:rPr>
        <w:t>传    真：/</w:t>
      </w:r>
    </w:p>
    <w:p>
      <w:pPr>
        <w:snapToGrid w:val="0"/>
        <w:spacing w:line="288" w:lineRule="auto"/>
        <w:ind w:firstLine="480"/>
        <w:rPr>
          <w:rFonts w:hint="eastAsia" w:ascii="宋体" w:hAnsi="宋体" w:cs="宋体"/>
          <w:szCs w:val="21"/>
          <w:lang w:val="en-US" w:eastAsia="zh-CN"/>
        </w:rPr>
      </w:pPr>
      <w:r>
        <w:rPr>
          <w:rFonts w:hint="eastAsia" w:ascii="宋体" w:hAnsi="宋体" w:cs="宋体"/>
          <w:szCs w:val="21"/>
        </w:rPr>
        <w:t>项目联系人（询问）：</w:t>
      </w:r>
      <w:r>
        <w:rPr>
          <w:rFonts w:hint="eastAsia" w:ascii="宋体" w:hAnsi="宋体" w:cs="宋体"/>
          <w:szCs w:val="21"/>
          <w:lang w:val="en-US" w:eastAsia="zh-CN"/>
        </w:rPr>
        <w:t>蒋晗、王鑫涛</w:t>
      </w:r>
    </w:p>
    <w:p>
      <w:pPr>
        <w:snapToGrid w:val="0"/>
        <w:spacing w:line="288" w:lineRule="auto"/>
        <w:ind w:firstLine="480"/>
        <w:rPr>
          <w:rFonts w:hint="eastAsia" w:ascii="宋体" w:hAnsi="宋体" w:cs="宋体"/>
          <w:szCs w:val="21"/>
        </w:rPr>
      </w:pPr>
      <w:r>
        <w:rPr>
          <w:rFonts w:hint="eastAsia" w:ascii="宋体" w:hAnsi="宋体" w:cs="宋体"/>
          <w:szCs w:val="21"/>
        </w:rPr>
        <w:t>项目联系方式（询问）：0571-87666117</w:t>
      </w:r>
    </w:p>
    <w:p>
      <w:pPr>
        <w:snapToGrid w:val="0"/>
        <w:spacing w:line="288" w:lineRule="auto"/>
        <w:ind w:firstLine="480"/>
        <w:rPr>
          <w:rFonts w:hint="eastAsia" w:ascii="宋体" w:hAnsi="宋体" w:cs="宋体"/>
          <w:szCs w:val="21"/>
        </w:rPr>
      </w:pPr>
      <w:r>
        <w:rPr>
          <w:rFonts w:hint="eastAsia" w:ascii="宋体" w:hAnsi="宋体" w:cs="宋体"/>
          <w:szCs w:val="21"/>
        </w:rPr>
        <w:t>质疑联系人：周安琪</w:t>
      </w:r>
    </w:p>
    <w:p>
      <w:pPr>
        <w:snapToGrid w:val="0"/>
        <w:spacing w:line="288" w:lineRule="auto"/>
        <w:ind w:firstLine="480"/>
        <w:rPr>
          <w:rFonts w:hint="eastAsia" w:ascii="宋体" w:hAnsi="宋体" w:cs="宋体"/>
          <w:szCs w:val="21"/>
        </w:rPr>
      </w:pPr>
      <w:r>
        <w:rPr>
          <w:rFonts w:hint="eastAsia" w:ascii="宋体" w:hAnsi="宋体" w:cs="宋体"/>
          <w:szCs w:val="21"/>
        </w:rPr>
        <w:t>质疑联系方式：0571-81110356</w:t>
      </w:r>
    </w:p>
    <w:p>
      <w:pPr>
        <w:snapToGrid w:val="0"/>
        <w:spacing w:line="288" w:lineRule="auto"/>
        <w:rPr>
          <w:rFonts w:hint="eastAsia" w:ascii="宋体" w:hAnsi="宋体" w:cs="宋体"/>
          <w:szCs w:val="21"/>
        </w:rPr>
      </w:pPr>
    </w:p>
    <w:p>
      <w:pPr>
        <w:snapToGrid w:val="0"/>
        <w:spacing w:line="288" w:lineRule="auto"/>
        <w:ind w:firstLine="420" w:firstLineChars="200"/>
        <w:rPr>
          <w:rFonts w:hint="eastAsia" w:ascii="宋体" w:hAnsi="宋体" w:cs="宋体"/>
          <w:szCs w:val="21"/>
        </w:rPr>
      </w:pPr>
      <w:r>
        <w:rPr>
          <w:rFonts w:hint="eastAsia" w:ascii="宋体" w:hAnsi="宋体" w:cs="宋体"/>
          <w:szCs w:val="21"/>
        </w:rPr>
        <w:t>3.同级政府采购监督管理部门</w:t>
      </w:r>
    </w:p>
    <w:p>
      <w:pPr>
        <w:snapToGrid w:val="0"/>
        <w:spacing w:line="288" w:lineRule="auto"/>
        <w:ind w:firstLine="420"/>
        <w:rPr>
          <w:rFonts w:hint="eastAsia" w:ascii="宋体" w:hAnsi="宋体" w:eastAsia="宋体" w:cs="宋体"/>
          <w:szCs w:val="21"/>
        </w:rPr>
      </w:pPr>
      <w:r>
        <w:rPr>
          <w:rFonts w:hint="eastAsia" w:ascii="宋体" w:hAnsi="宋体" w:eastAsia="宋体" w:cs="宋体"/>
          <w:szCs w:val="21"/>
        </w:rPr>
        <w:t>名    称：杭州市财政局政府采购监管处 /浙江省政府采购行政裁决服务中心（杭州）</w:t>
      </w:r>
    </w:p>
    <w:p>
      <w:pPr>
        <w:snapToGrid w:val="0"/>
        <w:spacing w:line="288" w:lineRule="auto"/>
        <w:ind w:firstLine="420"/>
        <w:rPr>
          <w:rFonts w:hint="eastAsia" w:ascii="宋体" w:hAnsi="宋体" w:eastAsia="宋体" w:cs="宋体"/>
          <w:szCs w:val="21"/>
        </w:rPr>
      </w:pPr>
      <w:r>
        <w:rPr>
          <w:rFonts w:hint="eastAsia" w:ascii="宋体" w:hAnsi="宋体" w:eastAsia="宋体" w:cs="宋体"/>
          <w:szCs w:val="21"/>
        </w:rPr>
        <w:t>地    址：杭州市上城区清泰街549号城建综合大楼11楼（快递仅限ems或顺丰）</w:t>
      </w:r>
    </w:p>
    <w:p>
      <w:pPr>
        <w:snapToGrid w:val="0"/>
        <w:spacing w:line="288" w:lineRule="auto"/>
        <w:ind w:firstLine="420"/>
        <w:rPr>
          <w:rFonts w:hint="eastAsia" w:ascii="宋体" w:hAnsi="宋体" w:cs="宋体"/>
          <w:szCs w:val="21"/>
        </w:rPr>
      </w:pPr>
      <w:r>
        <w:rPr>
          <w:rFonts w:hint="eastAsia" w:ascii="宋体" w:hAnsi="宋体" w:eastAsia="宋体" w:cs="宋体"/>
          <w:szCs w:val="21"/>
        </w:rPr>
        <w:t xml:space="preserve">传    </w:t>
      </w:r>
      <w:r>
        <w:rPr>
          <w:rFonts w:hint="eastAsia" w:ascii="宋体" w:hAnsi="宋体" w:cs="宋体"/>
          <w:szCs w:val="21"/>
        </w:rPr>
        <w:t>真： /</w:t>
      </w:r>
    </w:p>
    <w:p>
      <w:pPr>
        <w:snapToGrid w:val="0"/>
        <w:spacing w:line="288" w:lineRule="auto"/>
        <w:ind w:firstLine="420"/>
        <w:rPr>
          <w:rFonts w:hint="eastAsia" w:ascii="宋体" w:hAnsi="宋体" w:cs="宋体"/>
          <w:szCs w:val="21"/>
        </w:rPr>
      </w:pPr>
      <w:r>
        <w:rPr>
          <w:rFonts w:hint="eastAsia" w:ascii="宋体" w:hAnsi="宋体" w:cs="宋体"/>
          <w:szCs w:val="21"/>
        </w:rPr>
        <w:t>联系人 ：朱女士、王女士</w:t>
      </w:r>
    </w:p>
    <w:p>
      <w:pPr>
        <w:snapToGrid w:val="0"/>
        <w:spacing w:line="288" w:lineRule="auto"/>
        <w:ind w:firstLine="420"/>
        <w:rPr>
          <w:rFonts w:hint="eastAsia" w:ascii="宋体" w:hAnsi="宋体" w:cs="宋体"/>
          <w:szCs w:val="21"/>
        </w:rPr>
      </w:pPr>
      <w:r>
        <w:rPr>
          <w:rFonts w:hint="eastAsia" w:ascii="宋体" w:hAnsi="宋体" w:cs="宋体"/>
          <w:szCs w:val="21"/>
        </w:rPr>
        <w:t>监督投诉电话：0571-87227671,0571-87800218</w:t>
      </w:r>
    </w:p>
    <w:p>
      <w:pPr>
        <w:snapToGrid w:val="0"/>
        <w:spacing w:line="288" w:lineRule="auto"/>
        <w:ind w:firstLine="420"/>
        <w:rPr>
          <w:rFonts w:hint="eastAsia" w:ascii="宋体" w:hAnsi="宋体" w:cs="宋体"/>
          <w:szCs w:val="21"/>
        </w:rPr>
      </w:pPr>
      <w:r>
        <w:rPr>
          <w:rFonts w:hint="eastAsia" w:ascii="宋体" w:hAnsi="宋体" w:cs="宋体"/>
          <w:szCs w:val="21"/>
        </w:rPr>
        <w:t>政策咨询电话：陈先生、厉先生，0571-89580460、89580456 政府采购监管部门工作人员</w:t>
      </w:r>
    </w:p>
    <w:p>
      <w:pPr>
        <w:snapToGrid w:val="0"/>
        <w:spacing w:line="288" w:lineRule="auto"/>
        <w:ind w:firstLine="480"/>
        <w:rPr>
          <w:rFonts w:hint="eastAsia" w:ascii="宋体" w:hAnsi="宋体" w:cs="宋体"/>
          <w:szCs w:val="21"/>
        </w:rPr>
      </w:pPr>
    </w:p>
    <w:p>
      <w:pPr>
        <w:snapToGrid w:val="0"/>
        <w:spacing w:line="288"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pPr>
        <w:snapToGrid w:val="0"/>
        <w:spacing w:line="288" w:lineRule="auto"/>
        <w:ind w:firstLine="420" w:firstLineChars="200"/>
        <w:rPr>
          <w:rFonts w:hint="eastAsia" w:ascii="宋体" w:hAnsi="宋体" w:cs="宋体"/>
          <w:szCs w:val="21"/>
        </w:rPr>
      </w:pPr>
      <w:r>
        <w:rPr>
          <w:rFonts w:hint="eastAsia" w:ascii="宋体" w:hAnsi="宋体" w:cs="宋体"/>
          <w:szCs w:val="21"/>
        </w:rPr>
        <w:t>CA问题联系电话（人工）：汇信CA 400-888-4636；天谷CA 400-087-8198。</w:t>
      </w:r>
    </w:p>
    <w:p>
      <w:pPr>
        <w:pStyle w:val="32"/>
        <w:spacing w:line="360" w:lineRule="auto"/>
        <w:rPr>
          <w:rFonts w:hint="eastAsia" w:hAnsi="宋体" w:cs="宋体"/>
          <w:b/>
        </w:rPr>
      </w:pPr>
    </w:p>
    <w:p>
      <w:pPr>
        <w:keepNext w:val="0"/>
        <w:keepLines w:val="0"/>
        <w:pageBreakBefore w:val="0"/>
        <w:widowControl w:val="0"/>
        <w:tabs>
          <w:tab w:val="left" w:pos="432"/>
        </w:tabs>
        <w:kinsoku/>
        <w:wordWrap/>
        <w:overflowPunct/>
        <w:topLinePunct w:val="0"/>
        <w:autoSpaceDE/>
        <w:autoSpaceDN/>
        <w:bidi w:val="0"/>
        <w:adjustRightInd/>
        <w:snapToGrid/>
        <w:ind w:left="431" w:hanging="431"/>
        <w:textAlignment w:val="auto"/>
        <w:outlineLvl w:val="9"/>
        <w:rPr>
          <w:rFonts w:hint="eastAsia" w:ascii="宋体"/>
          <w:snapToGrid w:val="0"/>
          <w:sz w:val="21"/>
          <w:szCs w:val="21"/>
        </w:rPr>
      </w:pPr>
      <w:r>
        <w:rPr>
          <w:sz w:val="21"/>
          <w:szCs w:val="21"/>
        </w:rPr>
        <w:br w:type="page"/>
      </w:r>
    </w:p>
    <w:p>
      <w:pPr>
        <w:snapToGrid w:val="0"/>
        <w:spacing w:line="360" w:lineRule="auto"/>
        <w:jc w:val="center"/>
        <w:outlineLvl w:val="0"/>
        <w:rPr>
          <w:rFonts w:hint="eastAsia" w:ascii="宋体" w:hAnsi="宋体" w:cs="宋体"/>
          <w:b/>
          <w:szCs w:val="21"/>
        </w:rPr>
      </w:pPr>
      <w:r>
        <w:rPr>
          <w:rFonts w:hint="eastAsia" w:ascii="宋体" w:hAnsi="宋体" w:cs="宋体"/>
          <w:b/>
          <w:szCs w:val="21"/>
        </w:rPr>
        <w:t>第二部分</w:t>
      </w:r>
      <w:bookmarkEnd w:id="8"/>
      <w:r>
        <w:rPr>
          <w:rFonts w:hint="eastAsia" w:ascii="宋体" w:hAnsi="宋体" w:cs="宋体"/>
          <w:b/>
          <w:szCs w:val="21"/>
        </w:rPr>
        <w:t xml:space="preserve"> 投标人须知</w:t>
      </w:r>
      <w:bookmarkEnd w:id="9"/>
    </w:p>
    <w:p>
      <w:pPr>
        <w:snapToGrid w:val="0"/>
        <w:spacing w:line="360" w:lineRule="auto"/>
        <w:jc w:val="center"/>
        <w:outlineLvl w:val="1"/>
        <w:rPr>
          <w:rFonts w:hint="eastAsia" w:ascii="宋体" w:hAnsi="宋体" w:cs="宋体"/>
          <w:b/>
          <w:szCs w:val="21"/>
        </w:rPr>
      </w:pPr>
      <w:r>
        <w:rPr>
          <w:rFonts w:hint="eastAsia" w:ascii="宋体" w:hAnsi="宋体" w:cs="宋体"/>
          <w:b/>
          <w:szCs w:val="21"/>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7"/>
        <w:gridCol w:w="2080"/>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序号</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事项</w:t>
            </w:r>
          </w:p>
        </w:tc>
        <w:tc>
          <w:tcPr>
            <w:tcW w:w="6309"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1</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项目属性与核心产品</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货</w:t>
            </w:r>
            <w:r>
              <w:rPr>
                <w:rFonts w:hint="eastAsia" w:ascii="宋体" w:hAnsi="宋体" w:cs="宋体"/>
                <w:color w:val="auto"/>
                <w:szCs w:val="21"/>
                <w:highlight w:val="none"/>
              </w:rPr>
              <w:t>物类，</w:t>
            </w:r>
            <w:r>
              <w:rPr>
                <w:rFonts w:hint="eastAsia" w:ascii="宋体" w:hAnsi="宋体" w:cs="宋体"/>
                <w:color w:val="auto"/>
                <w:kern w:val="0"/>
                <w:szCs w:val="21"/>
                <w:highlight w:val="none"/>
              </w:rPr>
              <w:t>核心产品为：</w:t>
            </w:r>
            <w:r>
              <w:rPr>
                <w:rFonts w:hint="eastAsia" w:ascii="宋体" w:hAnsi="宋体" w:eastAsia="宋体" w:cs="宋体"/>
                <w:b w:val="0"/>
                <w:bCs w:val="0"/>
                <w:color w:val="auto"/>
                <w:szCs w:val="21"/>
                <w:highlight w:val="none"/>
                <w:u w:val="single"/>
                <w:lang w:val="en-US" w:eastAsia="zh-CN"/>
              </w:rPr>
              <w:t>新能源汽车动力电池PACK装调实训平台</w:t>
            </w:r>
            <w:r>
              <w:rPr>
                <w:rFonts w:hint="eastAsia" w:ascii="宋体" w:hAnsi="宋体" w:cs="宋体"/>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2</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309" w:type="dxa"/>
            <w:vAlign w:val="center"/>
          </w:tcPr>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混合动力汽车驱动系统实训平台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电动汽车整车CAN控制实训台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混合动力整车CAN控制实训台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CAN分析仪</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新能源汽车动力电池PACK装调实训平台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纯电动汽车空调和暖风实训台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混合动力汽车空调和暖风实训台</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rPr>
              <w:t>压缩机检测仪</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，属</w:t>
            </w:r>
            <w:r>
              <w:rPr>
                <w:rFonts w:hint="eastAsia" w:ascii="宋体" w:hAnsi="宋体" w:cs="宋体"/>
                <w:kern w:val="0"/>
                <w:szCs w:val="21"/>
              </w:rPr>
              <w:t>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冷媒回收加注机</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工业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全自动泊车系统实验系统</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rPr>
              <w:t>激光雷达实验系统</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带紧急制动辅助的自适应巡航实验系统</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主动车道辅助实验系统</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汽车仿真实训课程：新能源汽车DC/DC升压变换</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keepNext w:val="0"/>
              <w:keepLines w:val="0"/>
              <w:numPr>
                <w:ilvl w:val="0"/>
                <w:numId w:val="1"/>
              </w:numPr>
              <w:suppressLineNumbers w:val="0"/>
              <w:snapToGrid w:val="0"/>
              <w:spacing w:before="0" w:beforeAutospacing="0" w:after="0" w:afterAutospacing="0" w:line="324" w:lineRule="auto"/>
              <w:ind w:left="0" w:right="0"/>
              <w:rPr>
                <w:rFonts w:hint="eastAsia" w:ascii="宋体" w:hAnsi="宋体" w:eastAsia="宋体" w:cs="宋体"/>
                <w:b w:val="0"/>
                <w:bCs w:val="0"/>
                <w:kern w:val="0"/>
                <w:sz w:val="21"/>
                <w:szCs w:val="21"/>
                <w:lang w:val="en-US"/>
              </w:rPr>
            </w:pPr>
            <w:r>
              <w:rPr>
                <w:rFonts w:hint="eastAsia" w:ascii="宋体" w:hAnsi="宋体" w:cs="宋体"/>
                <w:kern w:val="0"/>
                <w:szCs w:val="21"/>
              </w:rPr>
              <w:t>标的：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汽车仿真实训课程：新能源汽车DC/DC降压变换</w:t>
            </w:r>
            <w:r>
              <w:rPr>
                <w:rFonts w:hint="eastAsia" w:ascii="宋体" w:hAnsi="宋体" w:cs="宋体"/>
                <w:kern w:val="0"/>
                <w:szCs w:val="21"/>
                <w:u w:val="single"/>
              </w:rPr>
              <w:t xml:space="preserve"> </w:t>
            </w:r>
            <w:r>
              <w:rPr>
                <w:rFonts w:hint="eastAsia" w:ascii="宋体" w:hAnsi="宋体" w:cs="宋体"/>
                <w:kern w:val="0"/>
                <w:szCs w:val="21"/>
              </w:rPr>
              <w:t>，属于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软件和信息技术服务业</w:t>
            </w:r>
            <w:r>
              <w:rPr>
                <w:rFonts w:hint="eastAsia" w:ascii="宋体" w:hAnsi="宋体" w:cs="宋体"/>
                <w:kern w:val="0"/>
                <w:szCs w:val="21"/>
                <w:u w:val="single"/>
              </w:rPr>
              <w:t xml:space="preserve"> </w:t>
            </w:r>
            <w:r>
              <w:rPr>
                <w:rFonts w:hint="eastAsia" w:ascii="宋体" w:hAnsi="宋体" w:cs="宋体"/>
                <w:kern w:val="0"/>
                <w:szCs w:val="21"/>
              </w:rPr>
              <w:t>行业；</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本项目属性为：货物</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根据《关于印发中小企业划型标准规定的通知》（工信部联企业〔2011〕300号）第四条规定：</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rPr>
              <w:t>工业</w:t>
            </w:r>
            <w:r>
              <w:rPr>
                <w:rFonts w:hint="eastAsia" w:ascii="宋体" w:hAnsi="宋体" w:eastAsia="宋体" w:cs="宋体"/>
                <w:b w:val="0"/>
                <w:bCs w:val="0"/>
                <w:kern w:val="0"/>
                <w:sz w:val="21"/>
                <w:szCs w:val="21"/>
                <w:lang w:val="en-US" w:eastAsia="zh-CN"/>
              </w:rPr>
              <w:t>：</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rPr>
              <w:t>软件和信息技术服务业</w:t>
            </w:r>
            <w:r>
              <w:rPr>
                <w:rFonts w:hint="eastAsia" w:ascii="宋体" w:hAnsi="宋体" w:eastAsia="宋体" w:cs="宋体"/>
                <w:b w:val="0"/>
                <w:bCs w:val="0"/>
                <w:kern w:val="0"/>
                <w:sz w:val="21"/>
                <w:szCs w:val="21"/>
                <w:lang w:val="en-US" w:eastAsia="zh-CN"/>
              </w:rPr>
              <w:t>：</w:t>
            </w:r>
          </w:p>
          <w:p>
            <w:pPr>
              <w:pStyle w:val="4"/>
              <w:suppressLineNumbers w:val="0"/>
              <w:adjustRightInd w:val="0"/>
              <w:snapToGrid w:val="0"/>
              <w:spacing w:before="0" w:beforeAutospacing="0" w:after="0" w:afterAutospacing="0" w:line="324" w:lineRule="auto"/>
              <w:ind w:left="0" w:right="0" w:firstLine="0"/>
              <w:rPr>
                <w:rFonts w:hint="eastAsia" w:ascii="宋体" w:hAnsi="宋体" w:eastAsia="宋体" w:cs="宋体"/>
                <w:sz w:val="21"/>
                <w:szCs w:val="21"/>
                <w:lang w:val="en-US"/>
              </w:rPr>
            </w:pPr>
            <w:r>
              <w:rPr>
                <w:rFonts w:hint="eastAsia" w:ascii="宋体" w:hAnsi="宋体" w:eastAsia="宋体" w:cs="宋体"/>
                <w:b w:val="0"/>
                <w:bCs w:val="0"/>
                <w:kern w:val="0"/>
                <w:sz w:val="21"/>
                <w:szCs w:val="21"/>
                <w:lang w:val="en-US"/>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3</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highlight w:val="none"/>
              </w:rPr>
            </w:pPr>
            <w:r>
              <w:rPr>
                <w:rFonts w:hint="eastAsia" w:ascii="宋体" w:hAnsi="宋体" w:cs="宋体"/>
                <w:b/>
                <w:szCs w:val="21"/>
                <w:highlight w:val="none"/>
              </w:rPr>
              <w:t>是否允许采购进口产品</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highlight w:val="none"/>
              </w:rPr>
            </w:pPr>
            <w:sdt>
              <w:sdtPr>
                <w:rPr>
                  <w:rFonts w:hint="eastAsia" w:ascii="宋体" w:hAnsi="宋体" w:cs="宋体"/>
                  <w:kern w:val="0"/>
                  <w:szCs w:val="21"/>
                  <w:highlight w:val="none"/>
                </w:rPr>
                <w:id w:val="672303543"/>
                <w14:checkbox>
                  <w14:checked w14:val="1"/>
                  <w14:checkedState w14:val="00FE" w14:font="Wingdings"/>
                  <w14:uncheckedState w14:val="2610" w14:font="MS Gothic"/>
                </w14:checkbox>
              </w:sdtPr>
              <w:sdtEndPr>
                <w:rPr>
                  <w:rFonts w:hint="eastAsia" w:ascii="宋体" w:hAnsi="宋体" w:cs="宋体"/>
                  <w:kern w:val="0"/>
                  <w:szCs w:val="21"/>
                  <w:highlight w:val="none"/>
                </w:rPr>
              </w:sdtEndPr>
              <w:sdtContent>
                <w:r>
                  <w:rPr>
                    <w:rFonts w:hint="eastAsia" w:ascii="宋体" w:hAnsi="宋体" w:cs="宋体"/>
                    <w:kern w:val="0"/>
                    <w:szCs w:val="21"/>
                    <w:highlight w:val="none"/>
                  </w:rPr>
                  <w:sym w:font="Wingdings" w:char="F0FE"/>
                </w:r>
              </w:sdtContent>
            </w:sdt>
            <w:r>
              <w:rPr>
                <w:rFonts w:hint="eastAsia" w:ascii="宋体" w:hAnsi="宋体" w:cs="宋体"/>
                <w:kern w:val="0"/>
                <w:szCs w:val="21"/>
                <w:highlight w:val="none"/>
              </w:rPr>
              <w:t>本项目不允许采购进口产品。</w:t>
            </w:r>
          </w:p>
          <w:p>
            <w:pPr>
              <w:keepNext w:val="0"/>
              <w:keepLines w:val="0"/>
              <w:suppressLineNumbers w:val="0"/>
              <w:snapToGrid w:val="0"/>
              <w:spacing w:before="0" w:beforeAutospacing="0" w:after="0" w:afterAutospacing="0" w:line="324" w:lineRule="auto"/>
              <w:ind w:left="0" w:right="0"/>
              <w:rPr>
                <w:rFonts w:hint="eastAsia" w:ascii="宋体" w:hAnsi="宋体" w:cs="宋体"/>
                <w:szCs w:val="21"/>
                <w:highlight w:val="none"/>
              </w:rPr>
            </w:pPr>
            <w:sdt>
              <w:sdtPr>
                <w:rPr>
                  <w:rFonts w:hint="eastAsia" w:ascii="宋体" w:hAnsi="宋体" w:cs="宋体"/>
                  <w:kern w:val="0"/>
                  <w:szCs w:val="21"/>
                  <w:highlight w:val="none"/>
                </w:rPr>
                <w:id w:val="172905932"/>
                <w14:checkbox>
                  <w14:checked w14:val="0"/>
                  <w14:checkedState w14:val="00FE" w14:font="Wingdings"/>
                  <w14:uncheckedState w14:val="2610" w14:font="MS Gothic"/>
                </w14:checkbox>
              </w:sdtPr>
              <w:sdtEndPr>
                <w:rPr>
                  <w:rFonts w:hint="eastAsia" w:ascii="宋体" w:hAnsi="宋体" w:cs="宋体"/>
                  <w:kern w:val="0"/>
                  <w:szCs w:val="21"/>
                  <w:highlight w:val="none"/>
                </w:rPr>
              </w:sdtEndPr>
              <w:sdtContent>
                <w:r>
                  <w:rPr>
                    <w:rFonts w:hint="default" w:ascii="Segoe UI Symbol" w:hAnsi="Segoe UI Symbol" w:cs="Segoe UI Symbol"/>
                    <w:kern w:val="0"/>
                    <w:szCs w:val="21"/>
                    <w:highlight w:val="none"/>
                  </w:rPr>
                  <w:t>☐</w:t>
                </w:r>
              </w:sdtContent>
            </w:sdt>
            <w:r>
              <w:rPr>
                <w:rFonts w:hint="eastAsia" w:ascii="宋体" w:hAnsi="宋体" w:cs="宋体"/>
                <w:kern w:val="0"/>
                <w:szCs w:val="21"/>
                <w:highlight w:val="none"/>
              </w:rPr>
              <w:t>可以就</w:t>
            </w:r>
            <w:r>
              <w:rPr>
                <w:rFonts w:hint="eastAsia" w:ascii="宋体" w:hAnsi="宋体" w:cs="宋体"/>
                <w:szCs w:val="21"/>
                <w:highlight w:val="none"/>
                <w:u w:val="single"/>
              </w:rPr>
              <w:t xml:space="preserve">    </w:t>
            </w:r>
            <w:r>
              <w:rPr>
                <w:rFonts w:hint="eastAsia" w:ascii="宋体" w:hAnsi="宋体" w:cs="宋体"/>
                <w:kern w:val="0"/>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4</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分包</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color w:val="auto"/>
                <w:szCs w:val="21"/>
                <w:highlight w:val="none"/>
              </w:rPr>
            </w:pPr>
            <w:sdt>
              <w:sdtPr>
                <w:rPr>
                  <w:rFonts w:hint="eastAsia" w:ascii="宋体" w:hAnsi="宋体" w:cs="宋体"/>
                  <w:color w:val="auto"/>
                  <w:kern w:val="0"/>
                  <w:szCs w:val="21"/>
                  <w:highlight w:val="none"/>
                </w:rPr>
                <w:id w:val="-93604595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default" w:ascii="Wingdings" w:hAnsi="Wingdings" w:eastAsia="宋体" w:cs="Segoe UI Symbol"/>
                    <w:color w:val="auto"/>
                    <w:kern w:val="0"/>
                    <w:sz w:val="21"/>
                    <w:szCs w:val="21"/>
                    <w:highlight w:val="none"/>
                    <w:lang w:val="en-US" w:eastAsia="zh-CN" w:bidi="ar-SA"/>
                  </w:rPr>
                  <w:t>þ</w:t>
                </w:r>
              </w:sdtContent>
            </w:sdt>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设备运输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工作分包。</w:t>
            </w:r>
          </w:p>
          <w:p>
            <w:pPr>
              <w:keepNext w:val="0"/>
              <w:keepLines w:val="0"/>
              <w:suppressLineNumbers w:val="0"/>
              <w:snapToGrid w:val="0"/>
              <w:spacing w:before="0" w:beforeAutospacing="0" w:after="0" w:afterAutospacing="0" w:line="324" w:lineRule="auto"/>
              <w:ind w:left="0" w:right="0"/>
              <w:rPr>
                <w:rFonts w:hint="eastAsia" w:ascii="宋体" w:hAnsi="宋体" w:cs="宋体"/>
                <w:color w:val="auto"/>
                <w:szCs w:val="21"/>
                <w:highlight w:val="none"/>
              </w:rPr>
            </w:pPr>
            <w:sdt>
              <w:sdtPr>
                <w:rPr>
                  <w:rFonts w:hint="eastAsia" w:ascii="宋体" w:hAnsi="宋体" w:cs="宋体"/>
                  <w:color w:val="auto"/>
                  <w:kern w:val="0"/>
                  <w:szCs w:val="21"/>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default" w:ascii="MS Gothic" w:hAnsi="MS Gothic" w:eastAsia="宋体" w:cs="Segoe UI Symbol"/>
                    <w:color w:val="auto"/>
                    <w:kern w:val="0"/>
                    <w:sz w:val="21"/>
                    <w:szCs w:val="21"/>
                    <w:highlight w:val="none"/>
                    <w:lang w:val="en-US" w:eastAsia="zh-CN" w:bidi="ar-SA"/>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5</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开标前答疑会或现场考察</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szCs w:val="21"/>
              </w:rPr>
            </w:pPr>
            <w:sdt>
              <w:sdtPr>
                <w:rPr>
                  <w:rFonts w:hint="eastAsia" w:ascii="宋体" w:hAnsi="宋体"/>
                  <w:szCs w:val="21"/>
                </w:rPr>
                <w:id w:val="681833070"/>
                <w14:checkbox>
                  <w14:checked w14:val="1"/>
                  <w14:checkedState w14:val="00FE" w14:font="Wingdings"/>
                  <w14:uncheckedState w14:val="2610" w14:font="MS Gothic"/>
                </w14:checkbox>
              </w:sdtPr>
              <w:sdtEndPr>
                <w:rPr>
                  <w:rFonts w:hint="eastAsia" w:ascii="宋体" w:hAnsi="宋体"/>
                  <w:szCs w:val="21"/>
                </w:rPr>
              </w:sdtEndPr>
              <w:sdtContent>
                <w:r>
                  <w:rPr>
                    <w:rFonts w:hint="default" w:ascii="Wingdings" w:hAnsi="Wingdings" w:eastAsia="宋体" w:cs="Segoe UI Symbol"/>
                    <w:kern w:val="2"/>
                    <w:sz w:val="21"/>
                    <w:szCs w:val="21"/>
                    <w:lang w:val="en-US" w:eastAsia="zh-CN" w:bidi="ar-SA"/>
                  </w:rPr>
                  <w:t>þ</w:t>
                </w:r>
              </w:sdtContent>
            </w:sdt>
            <w:r>
              <w:rPr>
                <w:rFonts w:hint="eastAsia" w:ascii="宋体" w:hAnsi="宋体"/>
                <w:szCs w:val="21"/>
              </w:rPr>
              <w:t>A不组织。</w:t>
            </w:r>
          </w:p>
          <w:p>
            <w:pPr>
              <w:keepNext w:val="0"/>
              <w:keepLines w:val="0"/>
              <w:suppressLineNumbers w:val="0"/>
              <w:snapToGrid w:val="0"/>
              <w:spacing w:before="0" w:beforeAutospacing="0" w:after="0" w:afterAutospacing="0" w:line="324" w:lineRule="auto"/>
              <w:ind w:left="0" w:right="0"/>
              <w:rPr>
                <w:rFonts w:hint="eastAsia" w:ascii="宋体" w:hAnsi="宋体"/>
                <w:szCs w:val="21"/>
              </w:rPr>
            </w:pPr>
            <w:sdt>
              <w:sdtPr>
                <w:rPr>
                  <w:rFonts w:hint="eastAsia" w:ascii="宋体" w:hAnsi="宋体"/>
                  <w:szCs w:val="21"/>
                </w:rPr>
                <w:id w:val="238790731"/>
                <w14:checkbox>
                  <w14:checked w14:val="0"/>
                  <w14:checkedState w14:val="00FE" w14:font="Wingdings"/>
                  <w14:uncheckedState w14:val="2610" w14:font="MS Gothic"/>
                </w14:checkbox>
              </w:sdtPr>
              <w:sdtEndPr>
                <w:rPr>
                  <w:rFonts w:hint="eastAsia" w:ascii="宋体" w:hAnsi="宋体"/>
                  <w:szCs w:val="21"/>
                </w:rPr>
              </w:sdtEndPr>
              <w:sdtContent>
                <w:r>
                  <w:rPr>
                    <w:rFonts w:hint="default" w:ascii="Segoe UI Symbol" w:hAnsi="Segoe UI Symbol" w:cs="Segoe UI Symbol"/>
                    <w:szCs w:val="21"/>
                  </w:rPr>
                  <w:t>☐</w:t>
                </w:r>
              </w:sdtContent>
            </w:sdt>
            <w:r>
              <w:rPr>
                <w:rFonts w:hint="eastAsia" w:ascii="宋体" w:hAnsi="宋体"/>
                <w:szCs w:val="21"/>
              </w:rPr>
              <w:t>B组织，时间：      ,地点：      ，联系人：      ，联系方式：      。</w:t>
            </w:r>
          </w:p>
          <w:p>
            <w:pPr>
              <w:pStyle w:val="79"/>
              <w:keepNext w:val="0"/>
              <w:keepLines w:val="0"/>
              <w:widowControl/>
              <w:suppressLineNumbers w:val="0"/>
              <w:snapToGrid w:val="0"/>
              <w:spacing w:before="0" w:beforeAutospacing="0" w:after="0" w:afterAutospacing="0" w:line="324" w:lineRule="auto"/>
              <w:ind w:left="0" w:right="0" w:firstLine="0" w:firstLineChars="0"/>
              <w:rPr>
                <w:rFonts w:hint="eastAsia" w:ascii="宋体" w:hAnsi="宋体" w:eastAsia="宋体" w:cs="Times New Roman"/>
                <w:kern w:val="2"/>
                <w:sz w:val="21"/>
              </w:rPr>
            </w:pPr>
            <w:r>
              <w:rPr>
                <w:rFonts w:hint="default" w:ascii="Segoe UI Symbol" w:hAnsi="Segoe UI Symbol" w:eastAsia="宋体" w:cs="Segoe UI Symbol"/>
                <w:kern w:val="2"/>
                <w:sz w:val="21"/>
              </w:rPr>
              <w:t>☐</w:t>
            </w:r>
            <w:r>
              <w:rPr>
                <w:rFonts w:hint="eastAsia" w:ascii="宋体" w:hAnsi="宋体" w:eastAsia="宋体" w:cs="Times New Roman"/>
                <w:kern w:val="2"/>
                <w:sz w:val="21"/>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6</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样品提供</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sdt>
              <w:sdtPr>
                <w:rPr>
                  <w:rFonts w:hint="eastAsia" w:ascii="宋体" w:hAnsi="宋体" w:cs="宋体"/>
                  <w:kern w:val="0"/>
                  <w:szCs w:val="21"/>
                </w:rPr>
                <w:id w:val="352762657"/>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default" w:ascii="Wingdings" w:hAnsi="Wingdings" w:eastAsia="宋体" w:cs="Segoe UI Symbol"/>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不要求提供。</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default" w:ascii="Segoe UI Symbol" w:hAnsi="Segoe UI Symbol" w:cs="Segoe UI Symbol"/>
                    <w:kern w:val="0"/>
                    <w:szCs w:val="21"/>
                  </w:rPr>
                  <w:t>☐</w:t>
                </w:r>
              </w:sdtContent>
            </w:sdt>
            <w:r>
              <w:rPr>
                <w:rFonts w:hint="eastAsia" w:ascii="宋体" w:hAnsi="宋体" w:cs="宋体"/>
                <w:kern w:val="0"/>
                <w:szCs w:val="21"/>
              </w:rPr>
              <w:t>B要求提供，</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default" w:ascii="Segoe UI Symbol" w:hAnsi="Segoe UI Symbol" w:cs="Segoe UI Symbol"/>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default" w:ascii="Segoe UI Symbol" w:hAnsi="Segoe UI Symbol" w:cs="Segoe UI Symbol"/>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suppressLineNumbers w:val="0"/>
              <w:snapToGrid w:val="0"/>
              <w:spacing w:before="0" w:beforeAutospacing="0" w:after="0" w:afterAutospacing="0" w:line="324" w:lineRule="auto"/>
              <w:ind w:left="0" w:right="0"/>
              <w:rPr>
                <w:rFonts w:hint="eastAsia" w:ascii="宋体" w:hAnsi="宋体"/>
                <w:szCs w:val="21"/>
              </w:rPr>
            </w:pPr>
            <w:r>
              <w:rPr>
                <w:rFonts w:hint="eastAsia" w:ascii="宋体" w:hAnsi="宋体" w:cs="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7</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方案讲解演示</w:t>
            </w:r>
          </w:p>
        </w:tc>
        <w:tc>
          <w:tcPr>
            <w:tcW w:w="6309" w:type="dxa"/>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演示要求：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投标人需提供</w:t>
            </w:r>
            <w:r>
              <w:rPr>
                <w:rFonts w:hint="eastAsia" w:ascii="宋体" w:hAnsi="宋体" w:cs="Times New Roman"/>
                <w:color w:val="auto"/>
                <w:sz w:val="21"/>
                <w:szCs w:val="21"/>
                <w:lang w:val="en-US" w:eastAsia="zh-CN"/>
              </w:rPr>
              <w:t>以下</w:t>
            </w:r>
            <w:r>
              <w:rPr>
                <w:rFonts w:hint="eastAsia" w:ascii="宋体" w:hAnsi="宋体" w:cs="Times New Roman"/>
                <w:color w:val="auto"/>
                <w:sz w:val="21"/>
                <w:szCs w:val="21"/>
              </w:rPr>
              <w:t>真实的</w:t>
            </w:r>
            <w:r>
              <w:rPr>
                <w:rFonts w:hint="eastAsia" w:ascii="宋体" w:hAnsi="宋体" w:cs="Times New Roman"/>
                <w:color w:val="auto"/>
                <w:sz w:val="21"/>
                <w:szCs w:val="21"/>
                <w:lang w:val="en-US" w:eastAsia="zh-CN"/>
              </w:rPr>
              <w:t>投标</w:t>
            </w:r>
            <w:r>
              <w:rPr>
                <w:rFonts w:hint="eastAsia" w:ascii="宋体" w:hAnsi="宋体" w:cs="Times New Roman"/>
                <w:color w:val="auto"/>
                <w:sz w:val="21"/>
                <w:szCs w:val="21"/>
              </w:rPr>
              <w:t>产品录屏讲解操作视频，投标人将演示的过程录制成视频，视频内须提供人员解说，内容应为真实操作过程的原始记录。</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Times New Roman"/>
                <w:color w:val="auto"/>
                <w:sz w:val="21"/>
                <w:szCs w:val="21"/>
              </w:rPr>
            </w:pPr>
            <w:r>
              <w:rPr>
                <w:rFonts w:hint="eastAsia" w:ascii="宋体" w:hAnsi="宋体" w:eastAsia="宋体" w:cs="宋体"/>
                <w:b/>
                <w:color w:val="000000"/>
                <w:sz w:val="21"/>
                <w:szCs w:val="21"/>
                <w:lang w:val="en-US" w:eastAsia="zh-CN"/>
              </w:rPr>
              <w:t>1、演示内容：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Times New Roman"/>
                <w:b/>
                <w:bCs/>
                <w:color w:val="auto"/>
                <w:sz w:val="21"/>
                <w:szCs w:val="21"/>
              </w:rPr>
            </w:pPr>
            <w:r>
              <w:rPr>
                <w:rFonts w:hint="eastAsia" w:ascii="宋体" w:hAnsi="宋体" w:cs="Times New Roman"/>
                <w:b/>
                <w:bCs/>
                <w:color w:val="auto"/>
                <w:sz w:val="21"/>
                <w:szCs w:val="21"/>
                <w:lang w:val="en-US" w:eastAsia="zh-CN"/>
              </w:rPr>
              <w:t>电动汽车整车CAN控制实训台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eastAsia="zh-CN"/>
              </w:rPr>
            </w:pPr>
            <w:r>
              <w:rPr>
                <w:rFonts w:hint="eastAsia" w:ascii="宋体" w:hAnsi="宋体" w:cs="Times New Roman"/>
                <w:b/>
                <w:bCs/>
                <w:color w:val="auto"/>
                <w:sz w:val="21"/>
                <w:szCs w:val="21"/>
                <w:lang w:val="en-US" w:eastAsia="zh-CN"/>
              </w:rPr>
              <w:t>演示项1（软件首页）</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软件首页：展示仿真软件名称以及对应设备实物样貌，软件首页左侧菜单栏可以查看实验项目名称，首页具备最小化、缩放、关闭界面等功能按键。</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Times New Roman"/>
                <w:color w:val="auto"/>
                <w:sz w:val="21"/>
                <w:szCs w:val="21"/>
                <w:lang w:val="en-US" w:eastAsia="zh-CN"/>
              </w:rPr>
            </w:pPr>
            <w:r>
              <w:rPr>
                <w:rFonts w:hint="eastAsia" w:ascii="宋体" w:hAnsi="宋体" w:cs="Times New Roman"/>
                <w:b/>
                <w:bCs/>
                <w:color w:val="auto"/>
                <w:sz w:val="21"/>
                <w:szCs w:val="21"/>
                <w:lang w:val="en-US" w:eastAsia="zh-CN"/>
              </w:rPr>
              <w:t>演示项2（软件首页）</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实验项目内容：包括电工电路连接与检测、电子电路连接与检测、集成电路连接与检测三大标题模块，标题模块下的子菜单包含汽车大灯基本电路连接与检测、汽车大灯并联电路连接与检测、汽车大灯串联电路连接与检测等实验模块，总实验项目不少于11个。</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演示项3（实验模块）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实验界面：显示对应实验具体名称，并有步骤文字提示框，方便了解实验下一步操作且提示的线束或零部件会有闪烁提示；跳过线路连接：点击跳过线路连接按键可以一键跳过实验的连接过程从而查看实验结果，可长按鼠标右键旋转实验箱各角度进行观察，也可以滚动鼠标滚轮缩放实验箱。</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演示项4（实验模块）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测量诊断模块：包含电位测量、电流测量、故障诊断三大模块，点击电位测量模块可以实验万用表进行测量，万用表调节至合适档位并测量端口后显示对应数值。</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0" w:firstLineChars="200"/>
              <w:textAlignment w:val="auto"/>
              <w:rPr>
                <w:rFonts w:hint="eastAsia" w:ascii="宋体" w:hAnsi="宋体" w:cs="Times New Roman"/>
                <w:color w:val="auto"/>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新能源汽车动力电池PACK装调实训平台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演示项5</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电池设备台架：台架电池包可进行拆卸、安装，电池包组装完成后可以配合设备台架设置故障及诊断等功能，故障情况可在上位机检测软件中显示具体情况。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演示项6</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BMS管理系统：需包括主从机结构、继电器、预充继电器、预充电阻、航空插头、保险带座、接头、维修开关、烟雾报警系统、绝缘检测、上位机检测软件等。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演示项7</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BMS设故模块：要求配备不少于4层PCB电路板，车规级防水接插件链接，设置不少于68路故障，配备双端检测功能不少于136个，配备CAN报文检测平台，数据发送解析软件，绝缘护具，绝缘工具等。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演示项8（仿真软件）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部件提示：工具箱内的工具以及零件箱内的零部件可通过鼠标移动进行该部件的名称高亮显示，点击提示位置按键，操作部位处会显示所需零件名称，可在零件箱内快速找到所需安装的零件。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演示项9（仿真软件）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对充电端口与预充电阻的线路进行连接：预充电阻的左侧线路连接至预充继电器的右侧接线口：预充电阻的右侧线路连接至总正继电器的右侧接线口；充电端口左侧线路连接至总负继电器接线口；充电端口中间线路连接至充电继电器右侧接线口：充电端口右侧线路连接至放电继电器右侧接线口。</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演示项10（动力蓄电池装调智能供应站管理系统——（2）实训中心）：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保护以下参数三级阀值：总压过高、总压过低、单体过高、单体过低、放电过温、放电低温、充电高温、充电低温、压差过大、温差过大、放电电流、充电电流、SOC过低、绝缘过低，同时显示保护参数是否正常。</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演示项11（动力蓄电池装调智能供应站管理系统——（2）实训中心）：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电池调试在电池调试模块中可对电池电压、电池温度进行数值调试。可对24节电池中单个电池电压进行数值设置，也可同时对多个电池电压进行数值设置，设置的范围为0-5V。当设置的电压超出正常值时，可用仪器在设备上进行检测，检查出问题后可在系统进行恢复。可对8个电池温度采集点进行单个温度设置，也可同时对多个电池温度采集点进行数值设置。当设置的温度超出正常工作值时，可用仪器在设备上进行检测，检查出问题时可在系统进行恢复正常。</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lang w:val="en-US" w:eastAsia="zh-CN"/>
              </w:rPr>
              <w:t>演示项12（动力蓄电池装调智能供应站管理系统——（3）调试中心）：</w:t>
            </w:r>
            <w:r>
              <w:rPr>
                <w:rFonts w:hint="eastAsia" w:ascii="宋体" w:hAnsi="宋体" w:cs="宋体"/>
                <w:b w:val="0"/>
                <w:bCs/>
                <w:color w:val="auto"/>
                <w:sz w:val="21"/>
                <w:szCs w:val="21"/>
                <w:highlight w:val="none"/>
                <w:shd w:val="clear" w:color="auto" w:fill="FFFFFF"/>
                <w:lang w:val="en-US" w:eastAsia="zh-CN"/>
              </w:rPr>
              <w:t>点击调试按钮可进入调试界面，调试数据信息呈列表形式显示，包含：总压过高、单体过高、放电高温、充电高温、压差过大、放电过流、soc过低、总压过低、单体过低、放电低温、充电低温、温差过大、充电过流、绝缘过低等数据，每条数据分三个告警等级，可进行编辑修改；同时显示当前SOC、电池容量及最大电流。</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FF0000"/>
                <w:sz w:val="21"/>
                <w:szCs w:val="21"/>
                <w:highlight w:val="none"/>
                <w:shd w:val="clear" w:color="auto" w:fill="FFFFFF"/>
              </w:rPr>
            </w:pPr>
          </w:p>
          <w:p>
            <w:pPr>
              <w:pStyle w:val="24"/>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firstLine="422" w:firstLineChars="200"/>
              <w:textAlignment w:val="auto"/>
              <w:rPr>
                <w:rFonts w:hint="default" w:ascii="宋体" w:hAnsi="宋体"/>
                <w:b/>
                <w:bCs/>
                <w:color w:val="auto"/>
                <w:sz w:val="21"/>
                <w:szCs w:val="21"/>
              </w:rPr>
            </w:pPr>
            <w:r>
              <w:rPr>
                <w:rFonts w:hint="eastAsia" w:hAnsi="宋体" w:cs="仿宋_GB2312"/>
                <w:b/>
                <w:bCs/>
                <w:snapToGrid/>
                <w:color w:val="auto"/>
                <w:sz w:val="21"/>
                <w:lang w:val="en-US" w:eastAsia="zh-CN"/>
              </w:rPr>
              <w:t>2、</w:t>
            </w:r>
            <w:r>
              <w:rPr>
                <w:rFonts w:hint="default" w:ascii="宋体" w:hAnsi="宋体"/>
                <w:b/>
                <w:bCs/>
                <w:color w:val="auto"/>
                <w:sz w:val="21"/>
                <w:szCs w:val="21"/>
              </w:rPr>
              <w:t>演示U盘：</w:t>
            </w:r>
          </w:p>
          <w:p>
            <w:pPr>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firstLine="420" w:firstLineChars="200"/>
              <w:textAlignment w:val="auto"/>
              <w:rPr>
                <w:rFonts w:hint="default"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w:t>
            </w:r>
            <w:r>
              <w:rPr>
                <w:rFonts w:hint="default" w:ascii="宋体" w:hAnsi="宋体" w:cs="Times New Roman"/>
                <w:color w:val="auto"/>
                <w:sz w:val="21"/>
                <w:szCs w:val="21"/>
              </w:rPr>
              <w:t>根据“电子交易/不见面开评标”原则，投标人需将以上演示及讲解过程录制视频，演示时长不超过1</w:t>
            </w:r>
            <w:r>
              <w:rPr>
                <w:rFonts w:hint="eastAsia" w:ascii="宋体" w:hAnsi="宋体" w:cs="Times New Roman"/>
                <w:color w:val="auto"/>
                <w:sz w:val="21"/>
                <w:szCs w:val="21"/>
                <w:lang w:val="en-US" w:eastAsia="zh-CN"/>
              </w:rPr>
              <w:t>5</w:t>
            </w:r>
            <w:r>
              <w:rPr>
                <w:rFonts w:hint="default" w:ascii="宋体" w:hAnsi="宋体" w:cs="Times New Roman"/>
                <w:color w:val="auto"/>
                <w:sz w:val="21"/>
                <w:szCs w:val="21"/>
              </w:rPr>
              <w:t>分钟以.mp4格式存储于U盘。投标人须自行核验U盘中的视频能正常播放，保证视频无需转码即可直接用主流播放器打开播放。</w:t>
            </w:r>
          </w:p>
          <w:p>
            <w:pPr>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firstLine="420" w:firstLineChars="200"/>
              <w:textAlignment w:val="auto"/>
              <w:rPr>
                <w:rFonts w:hint="default"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eastAsia="zh-CN"/>
              </w:rPr>
              <w:t>）</w:t>
            </w:r>
            <w:r>
              <w:rPr>
                <w:rFonts w:hint="default" w:ascii="宋体" w:hAnsi="宋体" w:cs="Times New Roman"/>
                <w:color w:val="auto"/>
                <w:sz w:val="21"/>
                <w:szCs w:val="21"/>
              </w:rPr>
              <w:t>演示U盘以邮寄形式在</w:t>
            </w:r>
            <w:r>
              <w:rPr>
                <w:rFonts w:hint="eastAsia" w:ascii="宋体" w:hAnsi="宋体" w:cs="Times New Roman"/>
                <w:color w:val="auto"/>
                <w:sz w:val="21"/>
                <w:szCs w:val="21"/>
              </w:rPr>
              <w:t>提交投标文件截止时间</w:t>
            </w:r>
            <w:r>
              <w:rPr>
                <w:rFonts w:hint="default" w:ascii="宋体" w:hAnsi="宋体" w:cs="Times New Roman"/>
                <w:color w:val="auto"/>
                <w:sz w:val="21"/>
                <w:szCs w:val="21"/>
              </w:rPr>
              <w:t>前递交，演示U盘应当密封包装并在包装上标注演示U盘、项目名称、投标人名称并加盖公章</w:t>
            </w:r>
            <w:r>
              <w:rPr>
                <w:rFonts w:hint="eastAsia" w:ascii="Times New Roman" w:hAnsi="宋体" w:cs="Times New Roman"/>
                <w:b/>
                <w:bCs/>
                <w:color w:val="auto"/>
                <w:sz w:val="21"/>
              </w:rPr>
              <w:t>（投标人也可提供演示备份文件，一同放于</w:t>
            </w:r>
            <w:r>
              <w:rPr>
                <w:rFonts w:hint="default" w:ascii="Times New Roman" w:hAnsi="宋体" w:cs="Times New Roman"/>
                <w:b/>
                <w:bCs/>
                <w:color w:val="auto"/>
                <w:sz w:val="21"/>
              </w:rPr>
              <w:t>密封包装</w:t>
            </w:r>
            <w:r>
              <w:rPr>
                <w:rFonts w:hint="eastAsia" w:ascii="Times New Roman" w:hAnsi="宋体" w:cs="Times New Roman"/>
                <w:b/>
                <w:bCs/>
                <w:color w:val="auto"/>
                <w:sz w:val="21"/>
              </w:rPr>
              <w:t>内，并且</w:t>
            </w:r>
            <w:r>
              <w:rPr>
                <w:rFonts w:hint="default" w:ascii="Times New Roman" w:hAnsi="宋体" w:cs="Times New Roman"/>
                <w:b/>
                <w:bCs/>
                <w:color w:val="auto"/>
                <w:sz w:val="21"/>
              </w:rPr>
              <w:t>标注</w:t>
            </w:r>
            <w:r>
              <w:rPr>
                <w:rFonts w:hint="eastAsia" w:ascii="Times New Roman" w:hAnsi="宋体" w:cs="Times New Roman"/>
                <w:b/>
                <w:bCs/>
                <w:color w:val="auto"/>
                <w:sz w:val="21"/>
              </w:rPr>
              <w:t>“演示备份”。如原演示视频在打开过程中无法读取或者无法正常播放，可启用“演示备份”文件）</w:t>
            </w:r>
            <w:r>
              <w:rPr>
                <w:rFonts w:hint="default" w:ascii="Times New Roman" w:hAnsi="宋体" w:cs="Times New Roman"/>
                <w:color w:val="auto"/>
                <w:sz w:val="21"/>
              </w:rPr>
              <w:t>。</w:t>
            </w:r>
            <w:r>
              <w:rPr>
                <w:rFonts w:hint="default" w:ascii="宋体" w:hAnsi="宋体" w:cs="Times New Roman"/>
                <w:color w:val="auto"/>
                <w:sz w:val="21"/>
                <w:szCs w:val="21"/>
              </w:rPr>
              <w:t>（邮寄地址：杭州市西湖区玉古路173号中田大厦21楼H室，浙江求是招标代理有限公司（</w:t>
            </w:r>
            <w:r>
              <w:rPr>
                <w:rFonts w:hint="eastAsia" w:ascii="宋体" w:hAnsi="宋体" w:cs="Times New Roman"/>
                <w:color w:val="auto"/>
                <w:sz w:val="21"/>
                <w:szCs w:val="21"/>
                <w:lang w:val="en-US" w:eastAsia="zh-CN"/>
              </w:rPr>
              <w:t>蒋晗</w:t>
            </w:r>
            <w:r>
              <w:rPr>
                <w:rFonts w:hint="default" w:ascii="宋体" w:hAnsi="宋体" w:cs="Times New Roman"/>
                <w:color w:val="auto"/>
                <w:sz w:val="21"/>
                <w:szCs w:val="21"/>
              </w:rPr>
              <w:t>）收，电话：0571-87666117，寄出后将（快递单号、项目名称、公司名称、联系方式等相关信息）发至：zb05@qszb.net，以便查收）。</w:t>
            </w:r>
          </w:p>
          <w:p>
            <w:pPr>
              <w:keepNext w:val="0"/>
              <w:keepLines w:val="0"/>
              <w:pageBreakBefore w:val="0"/>
              <w:widowControl w:val="0"/>
              <w:suppressLineNumbers w:val="0"/>
              <w:kinsoku/>
              <w:wordWrap/>
              <w:overflowPunct/>
              <w:topLinePunct w:val="0"/>
              <w:bidi w:val="0"/>
              <w:adjustRightInd w:val="0"/>
              <w:spacing w:before="0" w:beforeAutospacing="0" w:after="0" w:afterAutospacing="0" w:line="288" w:lineRule="auto"/>
              <w:ind w:left="0" w:right="0" w:firstLine="420" w:firstLineChars="200"/>
              <w:textAlignment w:val="auto"/>
              <w:rPr>
                <w:rFonts w:hint="default"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eastAsia="zh-CN"/>
              </w:rPr>
              <w:t>）</w:t>
            </w:r>
            <w:r>
              <w:rPr>
                <w:rFonts w:hint="default" w:ascii="宋体" w:hAnsi="宋体" w:cs="Times New Roman"/>
                <w:color w:val="auto"/>
                <w:sz w:val="21"/>
                <w:szCs w:val="21"/>
              </w:rPr>
              <w:t>未按</w:t>
            </w:r>
            <w:r>
              <w:rPr>
                <w:rFonts w:hint="eastAsia" w:ascii="宋体" w:hAnsi="宋体" w:cs="Times New Roman"/>
                <w:color w:val="auto"/>
                <w:sz w:val="21"/>
                <w:szCs w:val="21"/>
              </w:rPr>
              <w:t>招标</w:t>
            </w:r>
            <w:r>
              <w:rPr>
                <w:rFonts w:hint="default" w:ascii="宋体" w:hAnsi="宋体" w:cs="Times New Roman"/>
                <w:color w:val="auto"/>
                <w:sz w:val="21"/>
                <w:szCs w:val="21"/>
              </w:rPr>
              <w:t>文件要求提供演示U盘造成评审专家无法正常评审的风险由投标人自行承担。</w:t>
            </w:r>
            <w:r>
              <w:rPr>
                <w:rFonts w:hint="eastAsia" w:ascii="宋体" w:hAnsi="宋体" w:cs="Times New Roman"/>
                <w:color w:val="auto"/>
                <w:sz w:val="21"/>
                <w:szCs w:val="21"/>
              </w:rPr>
              <w:t>因投标人自身原因导致无法演示或者演示效果不理想的，责任自负。</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firstLine="422" w:firstLineChars="200"/>
              <w:textAlignment w:val="auto"/>
              <w:rPr>
                <w:rFonts w:hint="eastAsia" w:ascii="宋体" w:hAnsi="宋体"/>
                <w:szCs w:val="21"/>
              </w:rPr>
            </w:pPr>
            <w:r>
              <w:rPr>
                <w:rFonts w:hint="eastAsia" w:ascii="宋体" w:hAnsi="宋体" w:cs="Times New Roman"/>
                <w:b/>
                <w:bCs/>
                <w:color w:val="auto"/>
                <w:sz w:val="21"/>
                <w:szCs w:val="21"/>
                <w:lang w:eastAsia="zh-CN"/>
              </w:rPr>
              <w:t>▲（</w:t>
            </w:r>
            <w:r>
              <w:rPr>
                <w:rFonts w:hint="eastAsia" w:ascii="宋体" w:hAnsi="宋体" w:cs="Times New Roman"/>
                <w:b/>
                <w:bCs/>
                <w:color w:val="auto"/>
                <w:sz w:val="21"/>
                <w:szCs w:val="21"/>
                <w:lang w:val="en-US" w:eastAsia="zh-CN"/>
              </w:rPr>
              <w:t>4</w:t>
            </w:r>
            <w:r>
              <w:rPr>
                <w:rFonts w:hint="eastAsia" w:ascii="宋体" w:hAnsi="宋体" w:cs="Times New Roman"/>
                <w:b/>
                <w:bCs/>
                <w:color w:val="auto"/>
                <w:sz w:val="21"/>
                <w:szCs w:val="21"/>
                <w:lang w:eastAsia="zh-CN"/>
              </w:rPr>
              <w:t>）</w:t>
            </w:r>
            <w:r>
              <w:rPr>
                <w:rFonts w:hint="default" w:ascii="宋体" w:hAnsi="宋体" w:cs="Times New Roman"/>
                <w:b/>
                <w:bCs/>
                <w:color w:val="auto"/>
                <w:sz w:val="21"/>
                <w:szCs w:val="21"/>
              </w:rPr>
              <w:t>未提供演示的或提供</w:t>
            </w:r>
            <w:r>
              <w:rPr>
                <w:rFonts w:hint="eastAsia" w:ascii="宋体" w:hAnsi="宋体" w:cs="Times New Roman"/>
                <w:b/>
                <w:bCs/>
                <w:color w:val="auto"/>
                <w:sz w:val="21"/>
                <w:szCs w:val="21"/>
                <w:lang w:val="en-US" w:eastAsia="zh-CN"/>
              </w:rPr>
              <w:t>PPT</w:t>
            </w:r>
            <w:r>
              <w:rPr>
                <w:rFonts w:hint="eastAsia" w:ascii="宋体" w:hAnsi="宋体" w:cs="Times New Roman"/>
                <w:b/>
                <w:bCs/>
                <w:color w:val="auto"/>
                <w:sz w:val="21"/>
                <w:szCs w:val="21"/>
                <w:lang w:eastAsia="zh-CN"/>
              </w:rPr>
              <w:t>、</w:t>
            </w:r>
            <w:r>
              <w:rPr>
                <w:rFonts w:hint="eastAsia" w:ascii="宋体" w:hAnsi="宋体" w:cs="Times New Roman"/>
                <w:b/>
                <w:bCs/>
                <w:color w:val="auto"/>
                <w:sz w:val="21"/>
                <w:szCs w:val="21"/>
                <w:lang w:val="en-US" w:eastAsia="zh-CN"/>
              </w:rPr>
              <w:t>Word</w:t>
            </w:r>
            <w:r>
              <w:rPr>
                <w:rFonts w:hint="default" w:ascii="宋体" w:hAnsi="宋体" w:cs="Times New Roman"/>
                <w:b/>
                <w:bCs/>
                <w:color w:val="auto"/>
                <w:sz w:val="21"/>
                <w:szCs w:val="21"/>
              </w:rPr>
              <w:t>等其他形式演示的，</w:t>
            </w:r>
            <w:r>
              <w:rPr>
                <w:rFonts w:hint="eastAsia" w:ascii="宋体" w:hAnsi="宋体" w:cs="Times New Roman"/>
                <w:b/>
                <w:bCs/>
                <w:color w:val="auto"/>
                <w:sz w:val="21"/>
                <w:szCs w:val="21"/>
                <w:lang w:val="en-US" w:eastAsia="zh-CN"/>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Merge w:val="restart"/>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8</w:t>
            </w:r>
          </w:p>
        </w:tc>
        <w:tc>
          <w:tcPr>
            <w:tcW w:w="2080" w:type="dxa"/>
            <w:vMerge w:val="restart"/>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投标人应当提供的资格、资信证明文件</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（1）资格证明文件：见招标文件第二部分11.1。</w:t>
            </w:r>
          </w:p>
          <w:p>
            <w:pPr>
              <w:keepNext w:val="0"/>
              <w:keepLines w:val="0"/>
              <w:suppressLineNumbers w:val="0"/>
              <w:snapToGrid w:val="0"/>
              <w:spacing w:before="0" w:beforeAutospacing="0" w:after="0" w:afterAutospacing="0" w:line="324" w:lineRule="auto"/>
              <w:ind w:left="0" w:right="0"/>
              <w:rPr>
                <w:rFonts w:hint="eastAsia"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Merge w:val="continue"/>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szCs w:val="21"/>
              </w:rPr>
            </w:pPr>
          </w:p>
        </w:tc>
        <w:tc>
          <w:tcPr>
            <w:tcW w:w="2080" w:type="dxa"/>
            <w:vMerge w:val="continue"/>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9</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节能产品、环境标志产品</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szCs w:val="21"/>
              </w:rPr>
            </w:pPr>
            <w:r>
              <w:rPr>
                <w:rFonts w:hint="eastAsia" w:ascii="宋体" w:hAnsi="宋体"/>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keepNext w:val="0"/>
              <w:keepLines w:val="0"/>
              <w:suppressLineNumbers w:val="0"/>
              <w:snapToGrid w:val="0"/>
              <w:spacing w:before="0" w:beforeAutospacing="0" w:after="0" w:afterAutospacing="0" w:line="324" w:lineRule="auto"/>
              <w:ind w:left="0" w:right="0"/>
              <w:rPr>
                <w:rFonts w:hint="eastAsia" w:ascii="宋体" w:hAnsi="宋体"/>
                <w:szCs w:val="21"/>
              </w:rPr>
            </w:pPr>
            <w:sdt>
              <w:sdtPr>
                <w:rPr>
                  <w:rFonts w:hint="eastAsia" w:ascii="宋体" w:hAnsi="宋体"/>
                  <w:szCs w:val="21"/>
                </w:rPr>
                <w:id w:val="147461840"/>
                <w14:checkbox>
                  <w14:checked w14:val="0"/>
                  <w14:checkedState w14:val="00FE" w14:font="Wingdings"/>
                  <w14:uncheckedState w14:val="2610" w14:font="MS Gothic"/>
                </w14:checkbox>
              </w:sdtPr>
              <w:sdtEndPr>
                <w:rPr>
                  <w:rFonts w:hint="eastAsia" w:ascii="宋体" w:hAnsi="宋体"/>
                  <w:szCs w:val="21"/>
                </w:rPr>
              </w:sdtEndPr>
              <w:sdtContent>
                <w:r>
                  <w:rPr>
                    <w:rFonts w:hint="default" w:ascii="Segoe UI Symbol" w:hAnsi="Segoe UI Symbol" w:cs="Segoe UI Symbol"/>
                    <w:szCs w:val="21"/>
                  </w:rPr>
                  <w:t>☐</w:t>
                </w:r>
              </w:sdtContent>
            </w:sdt>
            <w:r>
              <w:rPr>
                <w:rFonts w:hint="eastAsia" w:ascii="宋体" w:hAnsi="宋体"/>
                <w:szCs w:val="21"/>
              </w:rPr>
              <w:t xml:space="preserve">强制采购节能采购。产品：    </w:t>
            </w:r>
          </w:p>
          <w:p>
            <w:pPr>
              <w:keepNext w:val="0"/>
              <w:keepLines w:val="0"/>
              <w:suppressLineNumbers w:val="0"/>
              <w:snapToGrid w:val="0"/>
              <w:spacing w:before="0" w:beforeAutospacing="0" w:after="0" w:afterAutospacing="0" w:line="324" w:lineRule="auto"/>
              <w:ind w:left="0" w:right="0"/>
              <w:rPr>
                <w:rFonts w:hint="eastAsia" w:ascii="宋体" w:hAnsi="宋体"/>
                <w:szCs w:val="21"/>
              </w:rPr>
            </w:pPr>
            <w:r>
              <w:rPr>
                <w:rFonts w:hint="eastAsia" w:ascii="宋体" w:hAnsi="宋体"/>
                <w:szCs w:val="21"/>
              </w:rPr>
              <w:t xml:space="preserve">□优先采购节能产品。产品：   </w:t>
            </w:r>
          </w:p>
          <w:p>
            <w:pPr>
              <w:keepNext w:val="0"/>
              <w:keepLines w:val="0"/>
              <w:suppressLineNumbers w:val="0"/>
              <w:snapToGrid w:val="0"/>
              <w:spacing w:before="0" w:beforeAutospacing="0" w:after="0" w:afterAutospacing="0" w:line="324" w:lineRule="auto"/>
              <w:ind w:left="0" w:right="0"/>
              <w:rPr>
                <w:rFonts w:hint="eastAsia" w:ascii="宋体" w:hAnsi="宋体"/>
                <w:szCs w:val="21"/>
              </w:rPr>
            </w:pPr>
            <w:r>
              <w:rPr>
                <w:rFonts w:hint="eastAsia" w:ascii="宋体" w:hAnsi="宋体"/>
                <w:szCs w:val="21"/>
              </w:rPr>
              <w:t xml:space="preserve">□优先采购环保产品。产品：    </w:t>
            </w:r>
          </w:p>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rPr>
            </w:pPr>
            <w:r>
              <w:rPr>
                <w:rFonts w:hint="eastAsia" w:ascii="宋体" w:hAnsi="宋体"/>
                <w:szCs w:val="21"/>
                <w:lang w:eastAsia="zh-CN"/>
              </w:rPr>
              <w:t>☑</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10</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报价要求</w:t>
            </w:r>
          </w:p>
        </w:tc>
        <w:tc>
          <w:tcPr>
            <w:tcW w:w="6309" w:type="dxa"/>
            <w:vAlign w:val="center"/>
          </w:tcPr>
          <w:p>
            <w:pPr>
              <w:keepNext w:val="0"/>
              <w:keepLines w:val="0"/>
              <w:suppressLineNumbers w:val="0"/>
              <w:snapToGrid w:val="0"/>
              <w:spacing w:before="0" w:beforeAutospacing="0" w:after="0" w:afterAutospacing="0" w:line="324" w:lineRule="auto"/>
              <w:ind w:left="0" w:right="0"/>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keepNext w:val="0"/>
              <w:keepLines w:val="0"/>
              <w:suppressLineNumbers w:val="0"/>
              <w:snapToGrid w:val="0"/>
              <w:spacing w:before="0" w:beforeAutospacing="0" w:after="0" w:afterAutospacing="0" w:line="324" w:lineRule="auto"/>
              <w:ind w:left="0" w:right="0"/>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pPr>
              <w:keepNext w:val="0"/>
              <w:keepLines w:val="0"/>
              <w:suppressLineNumbers w:val="0"/>
              <w:snapToGrid w:val="0"/>
              <w:spacing w:before="0" w:beforeAutospacing="0" w:after="0" w:afterAutospacing="0" w:line="324" w:lineRule="auto"/>
              <w:ind w:left="0" w:right="0"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keepNext w:val="0"/>
              <w:keepLines w:val="0"/>
              <w:suppressLineNumbers w:val="0"/>
              <w:snapToGrid w:val="0"/>
              <w:spacing w:before="0" w:beforeAutospacing="0" w:after="0" w:afterAutospacing="0" w:line="324" w:lineRule="auto"/>
              <w:ind w:left="0" w:right="0"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keepNext w:val="0"/>
              <w:keepLines w:val="0"/>
              <w:suppressLineNumbers w:val="0"/>
              <w:snapToGrid w:val="0"/>
              <w:spacing w:before="0" w:beforeAutospacing="0" w:after="0" w:afterAutospacing="0" w:line="324" w:lineRule="auto"/>
              <w:ind w:left="0" w:right="0" w:firstLine="211" w:firstLineChars="100"/>
              <w:rPr>
                <w:rFonts w:hint="eastAsia"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keepNext w:val="0"/>
              <w:keepLines w:val="0"/>
              <w:suppressLineNumbers w:val="0"/>
              <w:snapToGrid w:val="0"/>
              <w:spacing w:before="0" w:beforeAutospacing="0" w:after="0" w:afterAutospacing="0" w:line="324" w:lineRule="auto"/>
              <w:ind w:left="0" w:right="0" w:firstLine="211" w:firstLineChars="100"/>
              <w:rPr>
                <w:rFonts w:hint="eastAsia"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11</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中小企业信用融资</w:t>
            </w:r>
          </w:p>
        </w:tc>
        <w:tc>
          <w:tcPr>
            <w:tcW w:w="6309" w:type="dxa"/>
            <w:vAlign w:val="center"/>
          </w:tcPr>
          <w:p>
            <w:pPr>
              <w:keepNext w:val="0"/>
              <w:keepLines w:val="0"/>
              <w:suppressLineNumbers w:val="0"/>
              <w:snapToGrid w:val="0"/>
              <w:spacing w:before="0" w:beforeAutospacing="0" w:after="0" w:afterAutospacing="0" w:line="324" w:lineRule="auto"/>
              <w:ind w:left="0" w:right="0" w:firstLine="420" w:firstLineChars="2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12</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宋体"/>
                <w:b/>
                <w:szCs w:val="21"/>
              </w:rPr>
              <w:t xml:space="preserve">备份投标文件送达地点和签收人员 </w:t>
            </w:r>
          </w:p>
        </w:tc>
        <w:tc>
          <w:tcPr>
            <w:tcW w:w="6309" w:type="dxa"/>
            <w:vAlign w:val="center"/>
          </w:tcPr>
          <w:p>
            <w:pPr>
              <w:pStyle w:val="32"/>
              <w:keepNext w:val="0"/>
              <w:keepLines w:val="0"/>
              <w:suppressLineNumbers w:val="0"/>
              <w:snapToGrid w:val="0"/>
              <w:spacing w:before="0" w:beforeAutospacing="0" w:after="0" w:afterAutospacing="0" w:line="324" w:lineRule="auto"/>
              <w:ind w:left="0" w:right="0"/>
              <w:rPr>
                <w:rFonts w:hint="eastAsia" w:hAnsi="宋体" w:cs="宋体"/>
                <w:kern w:val="28"/>
              </w:rPr>
            </w:pPr>
            <w:r>
              <w:rPr>
                <w:rFonts w:hint="eastAsia" w:hAnsi="宋体" w:cs="宋体"/>
                <w:kern w:val="28"/>
              </w:rPr>
              <w:t>备份投标文件送达地点：</w:t>
            </w:r>
            <w:r>
              <w:rPr>
                <w:rFonts w:hint="eastAsia" w:hAnsi="宋体" w:cs="宋体"/>
                <w:u w:val="single"/>
              </w:rPr>
              <w:t xml:space="preserve"> 浙江省杭州市西湖区中田大厦21楼求是招标H室 </w:t>
            </w:r>
            <w:r>
              <w:rPr>
                <w:rFonts w:hint="eastAsia" w:hAnsi="宋体" w:cs="宋体"/>
                <w:kern w:val="28"/>
              </w:rPr>
              <w:t>；备份投标文件签收人员联系电话：</w:t>
            </w:r>
            <w:r>
              <w:rPr>
                <w:rFonts w:hint="eastAsia" w:hAnsi="宋体" w:cs="宋体"/>
                <w:u w:val="single"/>
              </w:rPr>
              <w:t xml:space="preserve"> </w:t>
            </w:r>
            <w:r>
              <w:rPr>
                <w:rFonts w:hint="eastAsia" w:hAnsi="宋体" w:cs="宋体"/>
                <w:u w:val="single"/>
                <w:lang w:val="en-US" w:eastAsia="zh-CN"/>
              </w:rPr>
              <w:t>蒋晗，0571-87666117</w:t>
            </w:r>
            <w:r>
              <w:rPr>
                <w:rFonts w:hint="eastAsia" w:hAnsi="宋体" w:cs="宋体"/>
                <w:u w:val="single"/>
              </w:rPr>
              <w:t xml:space="preserve"> </w:t>
            </w:r>
            <w:r>
              <w:rPr>
                <w:rFonts w:hint="eastAsia" w:hAnsi="宋体" w:cs="宋体"/>
              </w:rPr>
              <w:t>。</w:t>
            </w:r>
            <w:r>
              <w:rPr>
                <w:rFonts w:hint="eastAsia" w:hAnsi="宋体" w:cs="宋体"/>
                <w:b/>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Merge w:val="restart"/>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bCs/>
                <w:szCs w:val="21"/>
              </w:rPr>
            </w:pPr>
            <w:r>
              <w:rPr>
                <w:rFonts w:hint="eastAsia" w:ascii="宋体" w:hAnsi="宋体" w:cs="宋体"/>
                <w:b/>
                <w:bCs/>
                <w:szCs w:val="21"/>
              </w:rPr>
              <w:t>13</w:t>
            </w:r>
          </w:p>
        </w:tc>
        <w:tc>
          <w:tcPr>
            <w:tcW w:w="2080" w:type="dxa"/>
            <w:vMerge w:val="restart"/>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r>
              <w:rPr>
                <w:rFonts w:hint="eastAsia" w:ascii="宋体" w:hAnsi="宋体" w:cs="仿宋_GB2312"/>
                <w:b/>
                <w:szCs w:val="21"/>
              </w:rPr>
              <w:t>特别说明</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vMerge w:val="continue"/>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szCs w:val="21"/>
              </w:rPr>
            </w:pPr>
          </w:p>
        </w:tc>
        <w:tc>
          <w:tcPr>
            <w:tcW w:w="2080" w:type="dxa"/>
            <w:vMerge w:val="continue"/>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b/>
                <w:szCs w:val="21"/>
              </w:rPr>
            </w:pP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snapToGrid w:val="0"/>
                <w:kern w:val="28"/>
                <w:szCs w:val="21"/>
              </w:rPr>
            </w:pPr>
            <w:sdt>
              <w:sdtPr>
                <w:rPr>
                  <w:rFonts w:hint="eastAsia" w:ascii="宋体" w:hAnsi="宋体" w:cs="Arial"/>
                  <w:kern w:val="0"/>
                  <w:szCs w:val="21"/>
                </w:rPr>
                <w:id w:val="194891717"/>
                <w14:checkbox>
                  <w14:checked w14:val="0"/>
                  <w14:checkedState w14:val="00FE" w14:font="Wingdings"/>
                  <w14:uncheckedState w14:val="2610" w14:font="MS Gothic"/>
                </w14:checkbox>
              </w:sdtPr>
              <w:sdtEndPr>
                <w:rPr>
                  <w:rFonts w:hint="eastAsia" w:ascii="宋体" w:hAnsi="宋体" w:cs="Arial"/>
                  <w:kern w:val="0"/>
                  <w:szCs w:val="21"/>
                </w:rPr>
              </w:sdtEndPr>
              <w:sdtContent>
                <w:r>
                  <w:rPr>
                    <w:rFonts w:hint="default" w:ascii="Segoe UI Symbol" w:hAnsi="Segoe UI Symbol" w:cs="Segoe UI Symbol"/>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pPr>
              <w:keepNext w:val="0"/>
              <w:keepLines w:val="0"/>
              <w:suppressLineNumbers w:val="0"/>
              <w:snapToGrid w:val="0"/>
              <w:spacing w:before="0" w:beforeAutospacing="0" w:after="0" w:afterAutospacing="0" w:line="324" w:lineRule="auto"/>
              <w:ind w:left="0" w:right="0"/>
              <w:rPr>
                <w:rFonts w:hint="eastAsia" w:ascii="宋体" w:hAnsi="宋体" w:cs="宋体"/>
                <w:snapToGrid w:val="0"/>
                <w:kern w:val="28"/>
                <w:szCs w:val="21"/>
              </w:rPr>
            </w:pPr>
            <w:sdt>
              <w:sdtPr>
                <w:rPr>
                  <w:rFonts w:hint="eastAsia" w:ascii="宋体" w:hAnsi="宋体" w:cs="Arial"/>
                  <w:kern w:val="0"/>
                  <w:szCs w:val="21"/>
                </w:rPr>
                <w:id w:val="1052570136"/>
                <w14:checkbox>
                  <w14:checked w14:val="1"/>
                  <w14:checkedState w14:val="00FE" w14:font="Wingdings"/>
                  <w14:uncheckedState w14:val="2610" w14:font="MS Gothic"/>
                </w14:checkbox>
              </w:sdtPr>
              <w:sdtEndPr>
                <w:rPr>
                  <w:rFonts w:hint="eastAsia" w:ascii="宋体" w:hAnsi="宋体" w:cs="Arial"/>
                  <w:kern w:val="0"/>
                  <w:szCs w:val="21"/>
                </w:rPr>
              </w:sdtEndPr>
              <w:sdtContent>
                <w:r>
                  <w:rPr>
                    <w:rFonts w:hint="eastAsia" w:ascii="宋体" w:hAnsi="宋体" w:cs="Arial"/>
                    <w:kern w:val="0"/>
                    <w:szCs w:val="21"/>
                  </w:rPr>
                  <w:sym w:font="Wingdings" w:char="F0FE"/>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szCs w:val="21"/>
              </w:rPr>
            </w:pPr>
            <w:bookmarkStart w:id="13" w:name="第三部分"/>
            <w:bookmarkStart w:id="14" w:name="_Toc164416483"/>
            <w:r>
              <w:rPr>
                <w:rFonts w:hint="eastAsia" w:ascii="宋体" w:hAnsi="宋体" w:cs="宋体"/>
                <w:szCs w:val="21"/>
              </w:rPr>
              <w:t>14</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仿宋_GB2312"/>
                <w:b/>
                <w:szCs w:val="21"/>
                <w:highlight w:val="none"/>
              </w:rPr>
            </w:pPr>
            <w:r>
              <w:rPr>
                <w:rFonts w:hint="eastAsia" w:ascii="宋体" w:hAnsi="宋体" w:cs="仿宋_GB2312"/>
                <w:b/>
                <w:szCs w:val="21"/>
                <w:highlight w:val="none"/>
                <w:lang w:val="en-US" w:eastAsia="zh-CN"/>
              </w:rPr>
              <w:t>中标</w:t>
            </w:r>
            <w:r>
              <w:rPr>
                <w:rFonts w:hint="eastAsia" w:ascii="宋体" w:hAnsi="宋体" w:cs="仿宋_GB2312"/>
                <w:b/>
                <w:szCs w:val="21"/>
                <w:highlight w:val="none"/>
                <w:lang w:val="en"/>
              </w:rPr>
              <w:t>候选人数量</w:t>
            </w:r>
          </w:p>
        </w:tc>
        <w:tc>
          <w:tcPr>
            <w:tcW w:w="6309" w:type="dxa"/>
            <w:vAlign w:val="center"/>
          </w:tcPr>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highlight w:val="none"/>
                <w:lang w:val="en"/>
              </w:rPr>
            </w:pPr>
            <w:r>
              <w:rPr>
                <w:rFonts w:hint="eastAsia" w:ascii="宋体" w:hAnsi="宋体" w:cs="宋体"/>
                <w:kern w:val="0"/>
                <w:szCs w:val="21"/>
                <w:highlight w:val="none"/>
                <w:lang w:val="en"/>
              </w:rPr>
              <w:t>本项目推荐的</w:t>
            </w:r>
            <w:r>
              <w:rPr>
                <w:rFonts w:hint="eastAsia" w:ascii="宋体" w:hAnsi="宋体" w:cs="宋体"/>
                <w:kern w:val="0"/>
                <w:szCs w:val="21"/>
                <w:highlight w:val="none"/>
                <w:lang w:val="en-US" w:eastAsia="zh-CN"/>
              </w:rPr>
              <w:t>中标</w:t>
            </w:r>
            <w:r>
              <w:rPr>
                <w:rFonts w:hint="eastAsia" w:ascii="宋体" w:hAnsi="宋体" w:cs="宋体"/>
                <w:kern w:val="0"/>
                <w:szCs w:val="21"/>
                <w:highlight w:val="none"/>
                <w:lang w:val="en"/>
              </w:rPr>
              <w:t>候选人数量：</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1名</w:t>
            </w:r>
            <w:r>
              <w:rPr>
                <w:rFonts w:hint="eastAsia" w:ascii="宋体" w:hAnsi="宋体" w:cs="宋体"/>
                <w:kern w:val="0"/>
                <w:szCs w:val="21"/>
                <w:highlight w:val="none"/>
                <w:u w:val="single"/>
              </w:rPr>
              <w:t xml:space="preserve">  </w:t>
            </w:r>
            <w:r>
              <w:rPr>
                <w:rFonts w:hint="eastAsia" w:ascii="宋体" w:hAnsi="宋体" w:cs="宋体"/>
                <w:kern w:val="0"/>
                <w:szCs w:val="21"/>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737" w:type="dxa"/>
          </w:tcPr>
          <w:p>
            <w:pPr>
              <w:keepNext w:val="0"/>
              <w:keepLines w:val="0"/>
              <w:suppressLineNumbers w:val="0"/>
              <w:snapToGrid w:val="0"/>
              <w:spacing w:before="0" w:beforeAutospacing="0" w:after="0" w:afterAutospacing="0" w:line="324" w:lineRule="auto"/>
              <w:ind w:left="0" w:right="0"/>
              <w:jc w:val="center"/>
              <w:rPr>
                <w:rFonts w:hint="eastAsia" w:ascii="宋体" w:hAnsi="宋体" w:cs="宋体"/>
                <w:szCs w:val="21"/>
              </w:rPr>
            </w:pPr>
            <w:r>
              <w:rPr>
                <w:rFonts w:hint="eastAsia" w:ascii="宋体" w:hAnsi="宋体" w:cs="宋体"/>
                <w:szCs w:val="21"/>
              </w:rPr>
              <w:t>15</w:t>
            </w:r>
          </w:p>
        </w:tc>
        <w:tc>
          <w:tcPr>
            <w:tcW w:w="2080" w:type="dxa"/>
            <w:vAlign w:val="center"/>
          </w:tcPr>
          <w:p>
            <w:pPr>
              <w:keepNext w:val="0"/>
              <w:keepLines w:val="0"/>
              <w:suppressLineNumbers w:val="0"/>
              <w:snapToGrid w:val="0"/>
              <w:spacing w:before="0" w:beforeAutospacing="0" w:after="0" w:afterAutospacing="0" w:line="324" w:lineRule="auto"/>
              <w:ind w:left="0" w:right="0"/>
              <w:jc w:val="center"/>
              <w:rPr>
                <w:rFonts w:hint="eastAsia" w:ascii="宋体" w:hAnsi="宋体" w:cs="仿宋_GB2312"/>
                <w:b/>
                <w:szCs w:val="21"/>
              </w:rPr>
            </w:pPr>
            <w:r>
              <w:rPr>
                <w:rFonts w:hint="eastAsia" w:ascii="宋体" w:hAnsi="宋体" w:cs="仿宋_GB2312"/>
                <w:b/>
                <w:szCs w:val="21"/>
                <w:lang w:val="en"/>
              </w:rPr>
              <w:t>代理费用收取方式及标准</w:t>
            </w:r>
          </w:p>
        </w:tc>
        <w:tc>
          <w:tcPr>
            <w:tcW w:w="6309"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szCs w:val="21"/>
              </w:rPr>
            </w:pPr>
            <w:r>
              <w:rPr>
                <w:rFonts w:hint="eastAsia" w:ascii="宋体" w:hAnsi="宋体"/>
                <w:szCs w:val="21"/>
              </w:rPr>
              <w:t>1.不论投标结果如何，投标人均应自行承担所有与投标有关的全部费用；</w:t>
            </w:r>
          </w:p>
          <w:p>
            <w:pPr>
              <w:keepNext w:val="0"/>
              <w:keepLines w:val="0"/>
              <w:suppressLineNumbers w:val="0"/>
              <w:snapToGrid w:val="0"/>
              <w:spacing w:before="0" w:beforeAutospacing="0" w:after="0" w:afterAutospacing="0" w:line="360" w:lineRule="auto"/>
              <w:ind w:left="0" w:right="0"/>
              <w:rPr>
                <w:rFonts w:hint="eastAsia" w:ascii="宋体" w:hAnsi="宋体"/>
                <w:szCs w:val="21"/>
              </w:rPr>
            </w:pPr>
            <w:r>
              <w:rPr>
                <w:rFonts w:hint="eastAsia" w:ascii="宋体" w:hAnsi="宋体"/>
                <w:szCs w:val="21"/>
              </w:rPr>
              <w:t>2.中标人在中标通知书发出之日起七个工作日内，向采购代理机构交纳代理服务费；</w:t>
            </w:r>
          </w:p>
          <w:p>
            <w:pPr>
              <w:keepNext w:val="0"/>
              <w:keepLines w:val="0"/>
              <w:suppressLineNumbers w:val="0"/>
              <w:snapToGrid w:val="0"/>
              <w:spacing w:before="0" w:beforeAutospacing="0" w:after="0" w:afterAutospacing="0" w:line="360" w:lineRule="auto"/>
              <w:ind w:left="0" w:right="0"/>
              <w:rPr>
                <w:rFonts w:hint="eastAsia" w:ascii="宋体" w:hAnsi="宋体"/>
                <w:szCs w:val="21"/>
              </w:rPr>
            </w:pPr>
            <w:r>
              <w:rPr>
                <w:rFonts w:hint="eastAsia" w:ascii="宋体" w:hAnsi="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suppressLineNumbers w:val="0"/>
              <w:snapToGrid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default" w:ascii="宋体" w:hAnsi="宋体"/>
                <w:szCs w:val="21"/>
              </w:rPr>
              <w:t>.</w:t>
            </w:r>
            <w:r>
              <w:rPr>
                <w:rFonts w:hint="eastAsia" w:ascii="宋体" w:hAnsi="宋体"/>
                <w:szCs w:val="21"/>
              </w:rPr>
              <w:t xml:space="preserve"> 收费标准（差额累进）：</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中标金额（万元）</w:t>
                  </w:r>
                </w:p>
              </w:tc>
              <w:tc>
                <w:tcPr>
                  <w:tcW w:w="3070"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szCs w:val="21"/>
                    </w:rPr>
                  </w:pPr>
                  <w:r>
                    <w:rPr>
                      <w:rFonts w:hint="eastAsia" w:ascii="宋体" w:hAnsi="宋体"/>
                      <w:color w:val="auto"/>
                      <w:szCs w:val="21"/>
                    </w:rPr>
                    <w:t>100以下</w:t>
                  </w:r>
                </w:p>
              </w:tc>
              <w:tc>
                <w:tcPr>
                  <w:tcW w:w="3070"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szCs w:val="21"/>
                    </w:rPr>
                  </w:pPr>
                  <w:r>
                    <w:rPr>
                      <w:rFonts w:hint="eastAsia" w:ascii="宋体" w:hAnsi="宋体"/>
                      <w:color w:val="auto"/>
                      <w:szCs w:val="21"/>
                    </w:rPr>
                    <w:t>1.</w:t>
                  </w:r>
                  <w:r>
                    <w:rPr>
                      <w:rFonts w:hint="default" w:ascii="宋体" w:hAnsi="宋体"/>
                      <w:color w:val="auto"/>
                      <w:szCs w:val="21"/>
                    </w:rPr>
                    <w:t>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szCs w:val="21"/>
                    </w:rPr>
                  </w:pPr>
                  <w:r>
                    <w:rPr>
                      <w:rFonts w:hint="eastAsia" w:ascii="宋体" w:hAnsi="宋体"/>
                      <w:color w:val="auto"/>
                      <w:szCs w:val="21"/>
                    </w:rPr>
                    <w:t>100-500</w:t>
                  </w:r>
                </w:p>
              </w:tc>
              <w:tc>
                <w:tcPr>
                  <w:tcW w:w="3070" w:type="dxa"/>
                  <w:tcMar>
                    <w:top w:w="0" w:type="dxa"/>
                    <w:left w:w="108" w:type="dxa"/>
                    <w:bottom w:w="0" w:type="dxa"/>
                    <w:right w:w="108" w:type="dxa"/>
                  </w:tcMar>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szCs w:val="21"/>
                    </w:rPr>
                  </w:pPr>
                  <w:r>
                    <w:rPr>
                      <w:rFonts w:hint="default" w:ascii="宋体" w:hAnsi="宋体"/>
                      <w:color w:val="auto"/>
                      <w:szCs w:val="21"/>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szCs w:val="21"/>
                    </w:rPr>
                  </w:pPr>
                  <w:r>
                    <w:rPr>
                      <w:rFonts w:hint="eastAsia" w:ascii="宋体" w:hAnsi="宋体"/>
                      <w:color w:val="auto"/>
                      <w:szCs w:val="21"/>
                    </w:rPr>
                    <w:t>不足3</w:t>
                  </w:r>
                  <w:r>
                    <w:rPr>
                      <w:rFonts w:hint="default" w:ascii="宋体" w:hAnsi="宋体"/>
                      <w:color w:val="auto"/>
                      <w:szCs w:val="21"/>
                    </w:rPr>
                    <w:t>000</w:t>
                  </w:r>
                  <w:r>
                    <w:rPr>
                      <w:rFonts w:hint="eastAsia" w:ascii="宋体" w:hAnsi="宋体"/>
                      <w:color w:val="auto"/>
                      <w:szCs w:val="21"/>
                    </w:rPr>
                    <w:t>元按3</w:t>
                  </w:r>
                  <w:r>
                    <w:rPr>
                      <w:rFonts w:hint="default" w:ascii="宋体" w:hAnsi="宋体"/>
                      <w:color w:val="auto"/>
                      <w:szCs w:val="21"/>
                    </w:rPr>
                    <w:t>000</w:t>
                  </w:r>
                  <w:r>
                    <w:rPr>
                      <w:rFonts w:hint="eastAsia" w:ascii="宋体" w:hAnsi="宋体"/>
                      <w:color w:val="auto"/>
                      <w:szCs w:val="21"/>
                    </w:rPr>
                    <w:t>元收取</w:t>
                  </w:r>
                </w:p>
              </w:tc>
            </w:tr>
          </w:tbl>
          <w:p>
            <w:pPr>
              <w:keepNext w:val="0"/>
              <w:keepLines w:val="0"/>
              <w:suppressLineNumbers w:val="0"/>
              <w:snapToGrid w:val="0"/>
              <w:spacing w:before="0" w:beforeAutospacing="0" w:after="0" w:afterAutospacing="0" w:line="324" w:lineRule="auto"/>
              <w:ind w:left="0" w:right="0"/>
              <w:rPr>
                <w:rFonts w:hint="eastAsia" w:ascii="宋体" w:hAnsi="宋体" w:cs="宋体"/>
                <w:kern w:val="0"/>
                <w:szCs w:val="21"/>
                <w:lang w:val="en"/>
              </w:rPr>
            </w:pPr>
          </w:p>
        </w:tc>
      </w:tr>
      <w:bookmarkEnd w:id="10"/>
    </w:tbl>
    <w:p>
      <w:pPr>
        <w:pStyle w:val="79"/>
        <w:ind w:firstLine="0" w:firstLineChars="0"/>
        <w:rPr>
          <w:rFonts w:hint="eastAsia"/>
        </w:rPr>
      </w:pPr>
      <w:r>
        <w:rPr>
          <w:rFonts w:hint="eastAsia"/>
        </w:rPr>
        <w:br w:type="page"/>
      </w:r>
    </w:p>
    <w:p>
      <w:pPr>
        <w:snapToGrid w:val="0"/>
        <w:spacing w:line="360" w:lineRule="auto"/>
        <w:jc w:val="center"/>
        <w:outlineLvl w:val="1"/>
        <w:rPr>
          <w:rFonts w:hint="eastAsia" w:ascii="宋体" w:hAnsi="宋体" w:cs="宋体"/>
          <w:b/>
          <w:szCs w:val="21"/>
        </w:rPr>
      </w:pPr>
      <w:r>
        <w:rPr>
          <w:rFonts w:hint="eastAsia" w:ascii="宋体" w:hAnsi="宋体" w:cs="宋体"/>
          <w:b/>
          <w:szCs w:val="21"/>
        </w:rPr>
        <w:t>一、总则</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1.适用范围</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2.定义</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2.1“采购人”系指招标公告中载明的本项目的采购人。</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2.2“采购代理机构”系指招标公告中载明的本项目的采购代理机构。</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2.3“投标人”系指响应招标、参加投标竞争的法人、其他组织或者自然人。</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2.4“负责人”系指法人企业的法定负责人，或其他组织为法律、行政法规规定代表单位行使职权的主要负责人，或自然人本人。</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宋体" w:cs="宋体"/>
              <w:kern w:val="0"/>
              <w:sz w:val="21"/>
              <w:szCs w:val="21"/>
              <w:lang w:val="en-US" w:eastAsia="zh-CN" w:bidi="ar-SA"/>
            </w:rPr>
            <w:t>þ</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 系指不适用本项目的要求。</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3.采购项目需要落实的政府采购政策</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3.2 支持绿色发展</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3.2.2 纳入政府采购管理的修缮、装修类项目采购建材的，鼓励采购单位将绿色建材性能、指标等作为实质性条件纳入采购文件和合同，具体性能指标要求参考相关绿色建材政府采购需求标准。</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3.3支持中小企业发展</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符合中小企业划分标准的个体工商户，在政府采购活动中视同中小企业。</w:t>
      </w:r>
    </w:p>
    <w:p>
      <w:pPr>
        <w:widowControl/>
        <w:snapToGrid w:val="0"/>
        <w:spacing w:line="288" w:lineRule="auto"/>
        <w:ind w:firstLine="420" w:firstLineChars="200"/>
        <w:jc w:val="left"/>
        <w:rPr>
          <w:rFonts w:hint="eastAsia"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Cs w:val="21"/>
        </w:rPr>
        <w:t>联合协议或者分包意向协议约定小微企业的合同份额占到合同总金额30%以上的</w:t>
      </w:r>
      <w:bookmarkEnd w:id="16"/>
      <w:r>
        <w:rPr>
          <w:rFonts w:hint="eastAsia" w:ascii="宋体" w:hAnsi="宋体" w:cs="宋体"/>
          <w:szCs w:val="21"/>
        </w:rPr>
        <w:t>，对联合体或者大中型企业的报价给予4%的扣除，用扣除后的价格参加评审。组成联合体或者接受分包的小微企业与联合体内其他企业、分包企业之间存在直接控股、管理关系的，不享受价格扣除优惠政策。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3.3.6</w:t>
      </w:r>
      <w:r>
        <w:rPr>
          <w:rFonts w:hint="eastAsia" w:ascii="宋体" w:hAnsi="宋体" w:cs="宋体"/>
          <w:szCs w:val="21"/>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Cs w:val="21"/>
        </w:rPr>
        <w:t>。</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3.4.1 首台套、“制造精品”、“专精特新”等创新产品按规定享受政府采购支持政策。</w:t>
      </w:r>
    </w:p>
    <w:p>
      <w:pPr>
        <w:snapToGrid w:val="0"/>
        <w:spacing w:line="288" w:lineRule="auto"/>
        <w:ind w:firstLine="420" w:firstLineChars="200"/>
        <w:jc w:val="left"/>
        <w:rPr>
          <w:rFonts w:hint="eastAsia" w:ascii="宋体" w:hAnsi="宋体"/>
          <w:szCs w:val="21"/>
        </w:rPr>
      </w:pPr>
      <w:r>
        <w:rPr>
          <w:rFonts w:hint="eastAsia" w:ascii="宋体" w:hAnsi="宋体" w:cs="仿宋"/>
          <w:szCs w:val="21"/>
        </w:rPr>
        <w:t>3.4.2 采购人应当贯彻落实知识产权保护相关法律法规，应当采购使用正版软件。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3.5平等对待内外资企业和符合条件的破产重整企业</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平等对待内外资企业和符合条件的破产重整企业，切实保障企业公平竞争，平等维护企业的合法利益。</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4.询问、质疑、投诉、补偿救济</w:t>
      </w:r>
    </w:p>
    <w:p>
      <w:pPr>
        <w:snapToGrid w:val="0"/>
        <w:spacing w:line="288" w:lineRule="auto"/>
        <w:ind w:firstLine="420" w:firstLineChars="200"/>
        <w:jc w:val="left"/>
        <w:rPr>
          <w:rFonts w:hint="eastAsia" w:ascii="宋体" w:hAnsi="宋体"/>
          <w:szCs w:val="21"/>
          <w:lang w:val="zh-CN"/>
        </w:rPr>
      </w:pPr>
      <w:r>
        <w:rPr>
          <w:rFonts w:hint="eastAsia" w:ascii="宋体" w:hAnsi="宋体"/>
          <w:szCs w:val="21"/>
          <w:lang w:val="zh-CN"/>
        </w:rPr>
        <w:t>4.1在线询问、质疑、投诉</w:t>
      </w:r>
    </w:p>
    <w:p>
      <w:pPr>
        <w:snapToGrid w:val="0"/>
        <w:spacing w:line="288" w:lineRule="auto"/>
        <w:ind w:firstLine="420" w:firstLineChars="200"/>
        <w:jc w:val="left"/>
        <w:rPr>
          <w:rFonts w:hint="eastAsia" w:ascii="宋体" w:hAnsi="宋体"/>
          <w:szCs w:val="21"/>
          <w:lang w:val="zh-CN"/>
        </w:rPr>
      </w:pPr>
      <w:r>
        <w:rPr>
          <w:rFonts w:hint="eastAsia" w:ascii="宋体" w:hAnsi="宋体"/>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4.2供应商询问</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4.3供应商质疑</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lang w:val="zh-CN"/>
        </w:rPr>
        <w:t>4.3</w:t>
      </w:r>
      <w:r>
        <w:rPr>
          <w:rFonts w:hint="eastAsia" w:ascii="宋体" w:hAnsi="宋体" w:cs="宋体"/>
          <w:szCs w:val="21"/>
        </w:rPr>
        <w:t>.1提出质疑的供应商应当是参与所质疑项目采购活动的供应商。潜在供应商已依法获取其可质疑的招标文件的，可以对该文件提出质疑。</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lang w:val="zh-CN"/>
        </w:rPr>
        <w:t>4.3</w:t>
      </w:r>
      <w:r>
        <w:rPr>
          <w:rFonts w:hint="eastAsia" w:ascii="宋体" w:hAnsi="宋体" w:cs="宋体"/>
          <w:szCs w:val="21"/>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4.3.2.1对招标文件提出质疑的，质疑期限为供应商获得招标文件之日或者招标文件公告期限届满之日起计算。</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4.3.2.2对采购过程提出质疑的，质疑期限为各采购程序环节结束之日起计算。4.3.2.3对采购结果提出质疑的，质疑期限自采购结果公告期限届满之日起计算。</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4.3.3</w:t>
      </w:r>
      <w:r>
        <w:rPr>
          <w:rFonts w:hint="eastAsia" w:ascii="宋体" w:hAnsi="宋体" w:cs="宋体"/>
          <w:szCs w:val="21"/>
        </w:rPr>
        <w:t>供应商提出质疑应当提交质疑函和必要的证明材料。质疑函应当包括下列内容：</w:t>
      </w:r>
    </w:p>
    <w:p>
      <w:pPr>
        <w:pStyle w:val="32"/>
        <w:snapToGrid w:val="0"/>
        <w:spacing w:line="288" w:lineRule="auto"/>
        <w:ind w:firstLine="840" w:firstLineChars="400"/>
        <w:jc w:val="left"/>
        <w:rPr>
          <w:rFonts w:hint="eastAsia" w:ascii="宋体" w:hAnsi="宋体" w:eastAsia="宋体" w:cs="宋体"/>
          <w:kern w:val="0"/>
          <w:lang w:val="zh-CN"/>
        </w:rPr>
      </w:pPr>
      <w:r>
        <w:rPr>
          <w:rFonts w:hint="eastAsia" w:ascii="宋体" w:hAnsi="宋体" w:eastAsia="宋体" w:cs="宋体"/>
          <w:kern w:val="0"/>
          <w:lang w:val="zh-CN"/>
        </w:rPr>
        <w:t>4.3.3.1供应商的姓名或者名称、地址、邮编、联系人及联系电话；</w:t>
      </w:r>
    </w:p>
    <w:p>
      <w:pPr>
        <w:pStyle w:val="32"/>
        <w:snapToGrid w:val="0"/>
        <w:spacing w:line="288" w:lineRule="auto"/>
        <w:ind w:firstLine="840" w:firstLineChars="400"/>
        <w:jc w:val="left"/>
        <w:rPr>
          <w:rFonts w:hint="eastAsia" w:ascii="宋体" w:hAnsi="宋体" w:eastAsia="宋体" w:cs="宋体"/>
          <w:kern w:val="0"/>
          <w:lang w:val="zh-CN"/>
        </w:rPr>
      </w:pPr>
      <w:r>
        <w:rPr>
          <w:rFonts w:hint="eastAsia" w:ascii="宋体" w:hAnsi="宋体" w:eastAsia="宋体" w:cs="宋体"/>
          <w:kern w:val="0"/>
          <w:lang w:val="zh-CN"/>
        </w:rPr>
        <w:t>4.3.3.2质疑项目的名称、编号；</w:t>
      </w:r>
    </w:p>
    <w:p>
      <w:pPr>
        <w:pStyle w:val="32"/>
        <w:snapToGrid w:val="0"/>
        <w:spacing w:line="288" w:lineRule="auto"/>
        <w:ind w:firstLine="840" w:firstLineChars="400"/>
        <w:jc w:val="left"/>
        <w:rPr>
          <w:rFonts w:hint="eastAsia" w:ascii="宋体" w:hAnsi="宋体" w:eastAsia="宋体" w:cs="宋体"/>
          <w:kern w:val="0"/>
          <w:lang w:val="zh-CN"/>
        </w:rPr>
      </w:pPr>
      <w:r>
        <w:rPr>
          <w:rFonts w:hint="eastAsia" w:ascii="宋体" w:hAnsi="宋体" w:eastAsia="宋体" w:cs="宋体"/>
          <w:kern w:val="0"/>
          <w:lang w:val="zh-CN"/>
        </w:rPr>
        <w:t>4.3.3.3具体、明确的质疑事项和与质疑事项相关的请求；</w:t>
      </w:r>
    </w:p>
    <w:p>
      <w:pPr>
        <w:pStyle w:val="32"/>
        <w:snapToGrid w:val="0"/>
        <w:spacing w:line="288" w:lineRule="auto"/>
        <w:ind w:firstLine="840" w:firstLineChars="400"/>
        <w:jc w:val="left"/>
        <w:rPr>
          <w:rFonts w:hint="eastAsia" w:ascii="宋体" w:hAnsi="宋体" w:eastAsia="宋体" w:cs="宋体"/>
          <w:kern w:val="0"/>
          <w:lang w:val="zh-CN"/>
        </w:rPr>
      </w:pPr>
      <w:r>
        <w:rPr>
          <w:rFonts w:hint="eastAsia" w:ascii="宋体" w:hAnsi="宋体" w:eastAsia="宋体" w:cs="宋体"/>
          <w:kern w:val="0"/>
          <w:lang w:val="zh-CN"/>
        </w:rPr>
        <w:t>4.3.3.4事实依据；</w:t>
      </w:r>
    </w:p>
    <w:p>
      <w:pPr>
        <w:pStyle w:val="32"/>
        <w:snapToGrid w:val="0"/>
        <w:spacing w:line="288" w:lineRule="auto"/>
        <w:ind w:firstLine="840" w:firstLineChars="400"/>
        <w:jc w:val="left"/>
        <w:rPr>
          <w:rFonts w:hint="eastAsia" w:ascii="宋体" w:hAnsi="宋体" w:eastAsia="宋体" w:cs="宋体"/>
          <w:kern w:val="0"/>
          <w:lang w:val="zh-CN"/>
        </w:rPr>
      </w:pPr>
      <w:r>
        <w:rPr>
          <w:rFonts w:hint="eastAsia" w:ascii="宋体" w:hAnsi="宋体" w:eastAsia="宋体" w:cs="宋体"/>
          <w:kern w:val="0"/>
          <w:lang w:val="zh-CN"/>
        </w:rPr>
        <w:t>4.3.3.5必要的法律依据；</w:t>
      </w:r>
    </w:p>
    <w:p>
      <w:pPr>
        <w:pStyle w:val="32"/>
        <w:snapToGrid w:val="0"/>
        <w:spacing w:line="288" w:lineRule="auto"/>
        <w:ind w:firstLine="840" w:firstLineChars="400"/>
        <w:jc w:val="left"/>
        <w:rPr>
          <w:rFonts w:hint="eastAsia" w:hAnsi="宋体" w:cs="宋体"/>
          <w:kern w:val="0"/>
          <w:lang w:val="zh-CN"/>
        </w:rPr>
      </w:pPr>
      <w:r>
        <w:rPr>
          <w:rFonts w:hint="eastAsia" w:hAnsi="宋体" w:cs="宋体"/>
          <w:kern w:val="0"/>
          <w:lang w:val="zh-CN"/>
        </w:rPr>
        <w:t>4.3.3.6提出质疑的日期。</w:t>
      </w:r>
    </w:p>
    <w:p>
      <w:pPr>
        <w:snapToGrid w:val="0"/>
        <w:spacing w:line="288" w:lineRule="auto"/>
        <w:ind w:firstLine="420" w:firstLineChars="200"/>
        <w:jc w:val="left"/>
        <w:rPr>
          <w:rFonts w:hint="eastAsia" w:ascii="宋体" w:hAnsi="宋体"/>
          <w:szCs w:val="21"/>
        </w:rPr>
      </w:pPr>
      <w:r>
        <w:rPr>
          <w:rFonts w:hint="eastAsia" w:ascii="宋体" w:hAnsi="宋体"/>
          <w:szCs w:val="21"/>
        </w:rPr>
        <w:t>供应商提交的质疑函需一式三份。供应商为自然人的，应当由本人签字；供应商为法人或者其他组织的，应当由法定代表人、主要负责人，或者其授权代表签字或者盖章，并加盖公章。</w:t>
      </w:r>
    </w:p>
    <w:p>
      <w:pPr>
        <w:snapToGrid w:val="0"/>
        <w:spacing w:line="288" w:lineRule="auto"/>
        <w:ind w:firstLine="420" w:firstLineChars="200"/>
        <w:jc w:val="left"/>
        <w:rPr>
          <w:rFonts w:hint="eastAsia" w:ascii="宋体" w:hAnsi="宋体"/>
          <w:szCs w:val="21"/>
        </w:rPr>
      </w:pPr>
      <w:r>
        <w:rPr>
          <w:rFonts w:hint="eastAsia" w:ascii="宋体" w:hAnsi="宋体"/>
          <w:szCs w:val="21"/>
        </w:rPr>
        <w:t>质疑函范本及制作说明详见附件2。</w:t>
      </w:r>
    </w:p>
    <w:p>
      <w:pPr>
        <w:snapToGrid w:val="0"/>
        <w:spacing w:line="288" w:lineRule="auto"/>
        <w:ind w:firstLine="420" w:firstLineChars="200"/>
        <w:jc w:val="left"/>
        <w:rPr>
          <w:rFonts w:hint="eastAsia" w:ascii="宋体" w:hAnsi="宋体"/>
          <w:szCs w:val="21"/>
        </w:rPr>
      </w:pPr>
      <w:r>
        <w:rPr>
          <w:rFonts w:hint="eastAsia" w:ascii="宋体" w:hAnsi="宋体"/>
          <w:szCs w:val="21"/>
        </w:rPr>
        <w:t>4.3.4对同一采购程序环节的质疑，供应商须在法定质疑期内一次性提出。</w:t>
      </w:r>
    </w:p>
    <w:p>
      <w:pPr>
        <w:snapToGrid w:val="0"/>
        <w:spacing w:line="288" w:lineRule="auto"/>
        <w:ind w:firstLine="420" w:firstLineChars="200"/>
        <w:jc w:val="left"/>
        <w:rPr>
          <w:rFonts w:hint="eastAsia" w:ascii="宋体" w:hAnsi="宋体"/>
          <w:szCs w:val="21"/>
        </w:rPr>
      </w:pPr>
      <w:r>
        <w:rPr>
          <w:rFonts w:hint="eastAsia" w:ascii="宋体" w:hAnsi="宋体"/>
          <w:szCs w:val="21"/>
          <w:lang w:val="zh-CN"/>
        </w:rPr>
        <w:t>4.3</w:t>
      </w:r>
      <w:r>
        <w:rPr>
          <w:rFonts w:hint="eastAsia" w:ascii="宋体" w:hAnsi="宋体"/>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snapToGrid w:val="0"/>
        <w:spacing w:line="288" w:lineRule="auto"/>
        <w:ind w:firstLine="420" w:firstLineChars="200"/>
        <w:jc w:val="left"/>
        <w:rPr>
          <w:rFonts w:hint="eastAsia" w:ascii="宋体" w:hAnsi="宋体"/>
          <w:szCs w:val="21"/>
        </w:rPr>
      </w:pPr>
      <w:r>
        <w:rPr>
          <w:rFonts w:hint="eastAsia" w:ascii="宋体" w:hAnsi="宋体"/>
          <w:szCs w:val="21"/>
          <w:lang w:val="zh-CN"/>
        </w:rPr>
        <w:t>4.3</w:t>
      </w:r>
      <w:r>
        <w:rPr>
          <w:rFonts w:hint="eastAsia" w:ascii="宋体" w:hAnsi="宋体"/>
          <w:szCs w:val="21"/>
        </w:rPr>
        <w:t>.6询问或者质疑事项可能影响采购结果的，采购人应当暂停签订合同，已经签订合同的，应当中止履行合同。</w:t>
      </w:r>
    </w:p>
    <w:p>
      <w:pPr>
        <w:snapToGrid w:val="0"/>
        <w:spacing w:line="288" w:lineRule="auto"/>
        <w:ind w:firstLine="420" w:firstLineChars="200"/>
        <w:jc w:val="left"/>
        <w:rPr>
          <w:rFonts w:hint="eastAsia" w:ascii="宋体" w:hAnsi="宋体"/>
          <w:szCs w:val="21"/>
          <w:lang w:val="zh-CN"/>
        </w:rPr>
      </w:pPr>
      <w:r>
        <w:rPr>
          <w:rFonts w:hint="eastAsia" w:ascii="宋体" w:hAnsi="宋体"/>
          <w:szCs w:val="21"/>
          <w:lang w:val="zh-CN"/>
        </w:rPr>
        <w:t>4.4供应商投诉</w:t>
      </w:r>
    </w:p>
    <w:p>
      <w:pPr>
        <w:snapToGrid w:val="0"/>
        <w:spacing w:line="288" w:lineRule="auto"/>
        <w:ind w:firstLine="420" w:firstLineChars="200"/>
        <w:jc w:val="left"/>
        <w:rPr>
          <w:rFonts w:hint="eastAsia" w:ascii="宋体" w:hAnsi="宋体"/>
          <w:szCs w:val="21"/>
        </w:rPr>
      </w:pPr>
      <w:r>
        <w:rPr>
          <w:rFonts w:hint="eastAsia" w:ascii="宋体" w:hAnsi="宋体"/>
          <w:szCs w:val="21"/>
        </w:rPr>
        <w:t>4.4.1质疑供应商对采购人、采购代理机构的答复不满意或者采购人、采购代理机构未在规定的时间内作出答复的，可以在答复期满后十五个工作日内向同级政府采购监督管理部门提出投诉。</w:t>
      </w:r>
    </w:p>
    <w:p>
      <w:pPr>
        <w:snapToGrid w:val="0"/>
        <w:spacing w:line="288" w:lineRule="auto"/>
        <w:ind w:firstLine="420" w:firstLineChars="200"/>
        <w:jc w:val="left"/>
        <w:rPr>
          <w:rFonts w:hint="eastAsia" w:ascii="宋体" w:hAnsi="宋体"/>
          <w:szCs w:val="21"/>
        </w:rPr>
      </w:pPr>
      <w:r>
        <w:rPr>
          <w:rFonts w:hint="eastAsia" w:ascii="宋体" w:hAnsi="宋体"/>
          <w:szCs w:val="21"/>
        </w:rPr>
        <w:t>4.4.</w:t>
      </w:r>
      <w:r>
        <w:rPr>
          <w:rFonts w:hint="eastAsia" w:ascii="宋体" w:hAnsi="宋体"/>
          <w:szCs w:val="21"/>
          <w:lang w:val="zh-CN"/>
        </w:rPr>
        <w:t>2</w:t>
      </w:r>
      <w:r>
        <w:rPr>
          <w:rFonts w:hint="eastAsia" w:ascii="宋体" w:hAnsi="宋体"/>
          <w:szCs w:val="21"/>
        </w:rPr>
        <w:t>供应商投诉的事项不得超出已质疑事项的范围，基于质疑答复内容提出的投诉事项除外。</w:t>
      </w:r>
    </w:p>
    <w:p>
      <w:pPr>
        <w:snapToGrid w:val="0"/>
        <w:spacing w:line="288" w:lineRule="auto"/>
        <w:ind w:firstLine="420" w:firstLineChars="200"/>
        <w:jc w:val="left"/>
        <w:rPr>
          <w:rFonts w:hint="eastAsia" w:ascii="宋体" w:hAnsi="宋体"/>
          <w:szCs w:val="21"/>
        </w:rPr>
      </w:pPr>
      <w:r>
        <w:rPr>
          <w:rFonts w:hint="eastAsia" w:ascii="宋体" w:hAnsi="宋体"/>
          <w:szCs w:val="21"/>
        </w:rPr>
        <w:t>4.4.3供应商投诉应当有明确的请求和必要的证明材料。</w:t>
      </w:r>
    </w:p>
    <w:p>
      <w:pPr>
        <w:snapToGrid w:val="0"/>
        <w:spacing w:line="288" w:lineRule="auto"/>
        <w:ind w:firstLine="420" w:firstLineChars="200"/>
        <w:jc w:val="left"/>
        <w:rPr>
          <w:rFonts w:hint="eastAsia" w:ascii="宋体" w:hAnsi="宋体"/>
          <w:szCs w:val="21"/>
        </w:rPr>
      </w:pPr>
      <w:r>
        <w:rPr>
          <w:rFonts w:hint="eastAsia" w:ascii="宋体" w:hAnsi="宋体"/>
          <w:szCs w:val="21"/>
        </w:rPr>
        <w:t>4.4.4 以联合体形式参加政府采购活动的，其投诉应当由组成联合体的所有供应商共同提出。</w:t>
      </w:r>
    </w:p>
    <w:p>
      <w:pPr>
        <w:snapToGrid w:val="0"/>
        <w:spacing w:line="288" w:lineRule="auto"/>
        <w:ind w:firstLine="420" w:firstLineChars="200"/>
        <w:jc w:val="left"/>
        <w:rPr>
          <w:rFonts w:hint="eastAsia" w:ascii="宋体" w:hAnsi="宋体"/>
          <w:szCs w:val="21"/>
        </w:rPr>
      </w:pPr>
      <w:r>
        <w:rPr>
          <w:rFonts w:hint="eastAsia" w:ascii="宋体" w:hAnsi="宋体"/>
          <w:szCs w:val="21"/>
        </w:rPr>
        <w:t>4.4.5根据政府采购行政裁决省市区三级联动试点工作安排，杭州市本级及各区、县（市）政府采购项目投诉材料可寄送至浙江省政府采购行政裁决服务中心（杭州），地址：</w:t>
      </w:r>
      <w:r>
        <w:rPr>
          <w:rFonts w:hint="eastAsia" w:ascii="宋体" w:hAnsi="宋体" w:cs="宋体"/>
          <w:szCs w:val="21"/>
        </w:rPr>
        <w:t>杭州市上城区清泰街549号城建综合大楼11楼（快递仅限ems或顺丰），</w:t>
      </w:r>
      <w:r>
        <w:rPr>
          <w:rFonts w:hint="eastAsia" w:ascii="宋体" w:hAnsi="宋体"/>
          <w:szCs w:val="21"/>
        </w:rPr>
        <w:t>收件人：朱女士</w:t>
      </w:r>
      <w:r>
        <w:rPr>
          <w:rFonts w:hint="eastAsia" w:ascii="宋体" w:hAnsi="宋体" w:cs="宋体"/>
          <w:szCs w:val="21"/>
        </w:rPr>
        <w:t>、王女士</w:t>
      </w:r>
      <w:r>
        <w:rPr>
          <w:rFonts w:hint="eastAsia" w:ascii="宋体" w:hAnsi="宋体"/>
          <w:szCs w:val="21"/>
        </w:rPr>
        <w:t>，电话：0571-</w:t>
      </w:r>
      <w:r>
        <w:rPr>
          <w:rFonts w:hint="eastAsia" w:ascii="宋体" w:hAnsi="宋体" w:cs="宋体"/>
          <w:szCs w:val="21"/>
        </w:rPr>
        <w:t>87227671,0571-87800218</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4.5 补偿救济</w:t>
      </w:r>
    </w:p>
    <w:p>
      <w:pPr>
        <w:snapToGrid w:val="0"/>
        <w:spacing w:line="288" w:lineRule="auto"/>
        <w:ind w:firstLine="420" w:firstLineChars="200"/>
        <w:jc w:val="left"/>
        <w:rPr>
          <w:rFonts w:hint="eastAsia" w:ascii="宋体" w:hAnsi="宋体"/>
          <w:szCs w:val="21"/>
        </w:rPr>
      </w:pPr>
      <w:r>
        <w:rPr>
          <w:rFonts w:hint="eastAsia" w:ascii="宋体" w:hAnsi="宋体" w:cs="仿宋"/>
          <w:szCs w:val="21"/>
        </w:rPr>
        <w:t>采购人因政策变化、规划调整而不履行政府采购合同的，供应商可依据《杭州市涉企补偿救济实施办法（试行）》向采购人提起补偿申请。</w:t>
      </w:r>
    </w:p>
    <w:p>
      <w:pPr>
        <w:pStyle w:val="889"/>
        <w:shd w:val="clear" w:color="auto" w:fill="FFFFFF"/>
        <w:adjustRightInd w:val="0"/>
        <w:snapToGrid w:val="0"/>
        <w:spacing w:before="0" w:beforeAutospacing="0" w:after="0" w:afterAutospacing="0" w:line="288" w:lineRule="auto"/>
        <w:ind w:firstLine="200"/>
        <w:rPr>
          <w:rFonts w:hint="eastAsia"/>
          <w:sz w:val="21"/>
          <w:szCs w:val="21"/>
        </w:rPr>
      </w:pPr>
      <w:r>
        <w:rPr>
          <w:rFonts w:hint="eastAsia"/>
          <w:sz w:val="21"/>
          <w:szCs w:val="21"/>
        </w:rPr>
        <w:t>投诉书范本及制作说明详见附件3。</w:t>
      </w:r>
    </w:p>
    <w:p>
      <w:pPr>
        <w:pStyle w:val="79"/>
        <w:rPr>
          <w:rFonts w:hint="eastAsia" w:ascii="宋体" w:hAnsi="宋体" w:cs="宋体"/>
        </w:rPr>
      </w:pPr>
      <w:r>
        <w:rPr>
          <w:rFonts w:hint="eastAsia"/>
        </w:rPr>
        <w:br w:type="page"/>
      </w:r>
    </w:p>
    <w:p>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二、招标文件的构成、澄清、修改</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5．招标文件的构成</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5.1招标文件包括下列文件及附件：</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5.1.1招标公告；</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5.1.2投标人须知；</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5.1.3采购需求；</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5.1.4评标办法；</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5.1.5拟签订的合同文本；</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5.1.6应提交的有关格式范例。</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5.2与本项目有关的澄清或者修改的内容为招标文件的组成部分。</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6.招标文件的澄清、修改</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6.1已获取招标文件的潜在投标人，若有问题需要澄清，应于投标截止时间前，以书面形式向采购代理机构提出。</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9"/>
        <w:rPr>
          <w:rFonts w:hint="eastAsia"/>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三、投标</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7.招标文件的获取</w:t>
      </w:r>
    </w:p>
    <w:p>
      <w:pPr>
        <w:snapToGrid w:val="0"/>
        <w:spacing w:line="288" w:lineRule="auto"/>
        <w:ind w:firstLine="420" w:firstLineChars="200"/>
        <w:jc w:val="left"/>
        <w:rPr>
          <w:rFonts w:hint="eastAsia"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8.开标前答疑会或现场考察</w:t>
      </w:r>
    </w:p>
    <w:p>
      <w:pPr>
        <w:snapToGrid w:val="0"/>
        <w:spacing w:line="288" w:lineRule="auto"/>
        <w:ind w:firstLine="420" w:firstLineChars="200"/>
        <w:jc w:val="left"/>
        <w:rPr>
          <w:rFonts w:hint="eastAsia" w:ascii="宋体" w:hAnsi="宋体" w:cs="宋体"/>
          <w:szCs w:val="21"/>
        </w:rPr>
      </w:pPr>
      <w:r>
        <w:rPr>
          <w:rFonts w:hint="eastAsia" w:ascii="宋体" w:hAnsi="宋体" w:cs="仿宋"/>
          <w:snapToGrid w:val="0"/>
          <w:szCs w:val="21"/>
        </w:rPr>
        <w:t>采购人组织潜在投标人现场考察或者召开开标前答疑会的，潜在投标人按第二部分投标人须知</w:t>
      </w:r>
      <w:r>
        <w:rPr>
          <w:rFonts w:hint="eastAsia" w:ascii="宋体" w:hAnsi="宋体" w:cs="宋体"/>
          <w:szCs w:val="21"/>
        </w:rPr>
        <w:t>前附表的规定参加现场考察或者开标前答疑会。</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9.投标保证金</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本项目不需缴纳投标保证金。</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10.投标文件的语言</w:t>
      </w:r>
    </w:p>
    <w:p>
      <w:pPr>
        <w:snapToGrid w:val="0"/>
        <w:spacing w:line="288" w:lineRule="auto"/>
        <w:ind w:firstLine="420" w:firstLineChars="200"/>
        <w:jc w:val="left"/>
        <w:rPr>
          <w:rFonts w:hint="eastAsia" w:ascii="宋体" w:hAnsi="宋体" w:cs="宋体"/>
          <w:szCs w:val="21"/>
          <w:lang w:val="zh-CN"/>
        </w:rPr>
      </w:pPr>
      <w:r>
        <w:rPr>
          <w:rFonts w:hint="eastAsia" w:ascii="宋体" w:hAnsi="宋体" w:cs="宋体"/>
          <w:szCs w:val="21"/>
        </w:rPr>
        <w:t>投标文件及投标人与采购有关的来往通知、函件和文件均应使用中文。</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11.投标文件的组成</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11.1资格文件：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11.1.1符合参加政府采购活动应当具备的一般条件的承诺函；</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w:t>
      </w:r>
      <w:r>
        <w:rPr>
          <w:rFonts w:ascii="宋体" w:hAnsi="宋体" w:cs="宋体"/>
          <w:szCs w:val="21"/>
        </w:rPr>
        <w:t>1.1.2</w:t>
      </w:r>
      <w:bookmarkStart w:id="17" w:name="_Hlk101259339"/>
      <w:r>
        <w:rPr>
          <w:rFonts w:hint="eastAsia" w:ascii="宋体" w:hAnsi="宋体" w:cs="宋体"/>
          <w:snapToGrid w:val="0"/>
          <w:kern w:val="28"/>
          <w:szCs w:val="21"/>
        </w:rPr>
        <w:t>联合协议</w:t>
      </w:r>
      <w:bookmarkEnd w:id="17"/>
      <w:r>
        <w:rPr>
          <w:rFonts w:hint="eastAsia" w:ascii="宋体" w:hAnsi="宋体" w:cs="宋体"/>
          <w:snapToGrid w:val="0"/>
          <w:kern w:val="28"/>
          <w:szCs w:val="21"/>
        </w:rPr>
        <w:t>（如果有)；</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11.1.</w:t>
      </w:r>
      <w:r>
        <w:rPr>
          <w:rFonts w:ascii="宋体" w:hAnsi="宋体" w:cs="仿宋"/>
          <w:szCs w:val="21"/>
        </w:rPr>
        <w:t>4</w:t>
      </w:r>
      <w:r>
        <w:rPr>
          <w:rFonts w:hint="eastAsia" w:ascii="宋体" w:hAnsi="宋体" w:cs="仿宋"/>
          <w:szCs w:val="21"/>
        </w:rPr>
        <w:t>本项目的特定资格要求（如果有)。</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11.2商务技术文件：</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 xml:space="preserve">11.2.1投标函； </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11.2.2授权委托书或法定代表人（单位负责人、自然人本人）身份证明；</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3</w:t>
      </w:r>
      <w:r>
        <w:rPr>
          <w:rFonts w:hint="eastAsia" w:ascii="宋体" w:hAnsi="宋体" w:cs="仿宋"/>
          <w:szCs w:val="21"/>
        </w:rPr>
        <w:t>分包意向协议（如果有)；</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4</w:t>
      </w:r>
      <w:r>
        <w:rPr>
          <w:rFonts w:hint="eastAsia" w:ascii="宋体" w:hAnsi="宋体" w:cs="仿宋"/>
          <w:szCs w:val="21"/>
        </w:rPr>
        <w:t>符合性审查资料；</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5</w:t>
      </w:r>
      <w:r>
        <w:rPr>
          <w:rFonts w:hint="eastAsia" w:ascii="宋体" w:hAnsi="宋体" w:cs="仿宋"/>
          <w:szCs w:val="21"/>
        </w:rPr>
        <w:t>评标标准相应的商务技术资料；</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6</w:t>
      </w:r>
      <w:r>
        <w:rPr>
          <w:rFonts w:hint="eastAsia" w:ascii="宋体" w:hAnsi="宋体" w:cs="仿宋"/>
          <w:szCs w:val="21"/>
        </w:rPr>
        <w:t>投标标的清单；</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7</w:t>
      </w:r>
      <w:r>
        <w:rPr>
          <w:rFonts w:hint="eastAsia" w:ascii="宋体" w:hAnsi="宋体" w:cs="仿宋"/>
          <w:szCs w:val="21"/>
        </w:rPr>
        <w:t>商务技术偏离表；</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11.2.</w:t>
      </w:r>
      <w:r>
        <w:rPr>
          <w:rFonts w:ascii="宋体" w:hAnsi="宋体" w:cs="仿宋"/>
          <w:szCs w:val="21"/>
        </w:rPr>
        <w:t>8</w:t>
      </w:r>
      <w:r>
        <w:rPr>
          <w:rFonts w:hint="eastAsia" w:ascii="宋体" w:hAnsi="宋体" w:cs="仿宋"/>
          <w:szCs w:val="21"/>
        </w:rPr>
        <w:t>政府采购供应商廉洁自律承诺书；</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11.3报价文件：</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11.3.1开标一览表（报价表）；</w:t>
      </w:r>
    </w:p>
    <w:p>
      <w:pPr>
        <w:snapToGrid w:val="0"/>
        <w:spacing w:line="288" w:lineRule="auto"/>
        <w:ind w:firstLine="420" w:firstLineChars="200"/>
        <w:jc w:val="left"/>
        <w:rPr>
          <w:rFonts w:hint="eastAsia" w:ascii="宋体" w:hAnsi="宋体" w:cs="仿宋"/>
          <w:szCs w:val="21"/>
        </w:rPr>
      </w:pPr>
      <w:r>
        <w:rPr>
          <w:rFonts w:hint="eastAsia" w:ascii="宋体" w:hAnsi="宋体" w:cs="仿宋"/>
          <w:szCs w:val="21"/>
        </w:rPr>
        <w:t>11.3.2中小企业声明函。（如果有）</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投标文件含有采购人不能接受的附加条件的，投标无效；</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投标人提供虚假材料投标的，投标无效。</w:t>
      </w:r>
    </w:p>
    <w:p>
      <w:pPr>
        <w:snapToGrid w:val="0"/>
        <w:spacing w:line="288" w:lineRule="auto"/>
        <w:ind w:firstLine="420" w:firstLineChars="200"/>
        <w:jc w:val="left"/>
        <w:rPr>
          <w:rFonts w:hint="eastAsia" w:ascii="宋体" w:hAnsi="宋体"/>
          <w:szCs w:val="21"/>
        </w:rPr>
      </w:pPr>
      <w:r>
        <w:rPr>
          <w:rFonts w:hint="eastAsia" w:ascii="宋体" w:hAnsi="宋体" w:cs="仿宋"/>
          <w:szCs w:val="21"/>
        </w:rPr>
        <w:t>投标人应对投标文件中材料的真实性、合法性负责。投标人可事先在公开官网查询、核对相</w:t>
      </w:r>
      <w:r>
        <w:rPr>
          <w:rFonts w:hint="eastAsia" w:ascii="宋体" w:hAnsi="宋体"/>
          <w:szCs w:val="21"/>
          <w:shd w:val="clear" w:color="auto" w:fill="FFFFFF"/>
        </w:rPr>
        <w:t>关证书和报告内容，确保投标（响应）文件资料准确无误。</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12.投标文件的编制</w:t>
      </w:r>
    </w:p>
    <w:p>
      <w:pPr>
        <w:snapToGrid w:val="0"/>
        <w:spacing w:line="288" w:lineRule="auto"/>
        <w:ind w:firstLine="420" w:firstLineChars="200"/>
        <w:jc w:val="left"/>
        <w:rPr>
          <w:rFonts w:hint="eastAsia" w:ascii="宋体" w:hAnsi="宋体" w:cs="宋体"/>
          <w:b/>
          <w:szCs w:val="21"/>
        </w:rPr>
      </w:pPr>
      <w:r>
        <w:rPr>
          <w:rFonts w:hint="eastAsia" w:ascii="宋体" w:hAnsi="宋体" w:cs="仿宋"/>
          <w:szCs w:val="21"/>
        </w:rPr>
        <w:t>12</w:t>
      </w:r>
      <w:r>
        <w:rPr>
          <w:rFonts w:hint="eastAsia" w:ascii="宋体" w:hAnsi="宋体" w:cs="宋体"/>
          <w:kern w:val="0"/>
          <w:szCs w:val="21"/>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napToGrid w:val="0"/>
        <w:spacing w:line="288" w:lineRule="auto"/>
        <w:ind w:firstLine="420" w:firstLineChars="200"/>
        <w:jc w:val="left"/>
        <w:rPr>
          <w:rFonts w:hint="eastAsia" w:ascii="宋体" w:hAnsi="宋体" w:cs="宋体"/>
          <w:kern w:val="0"/>
          <w:szCs w:val="21"/>
          <w:lang w:val="zh-CN"/>
        </w:rPr>
      </w:pPr>
      <w:r>
        <w:rPr>
          <w:rFonts w:hint="eastAsia" w:ascii="宋体" w:hAnsi="宋体" w:cs="仿宋"/>
          <w:szCs w:val="21"/>
        </w:rPr>
        <w:t>12</w:t>
      </w:r>
      <w:r>
        <w:rPr>
          <w:rFonts w:hint="eastAsia" w:ascii="宋体" w:hAnsi="宋体" w:cs="宋体"/>
          <w:kern w:val="0"/>
          <w:szCs w:val="21"/>
          <w:lang w:val="zh-CN"/>
        </w:rPr>
        <w:t>.3使用“政采云电子交易客户端”需要提前申领CA数字证书，申领流程请自行前往“浙江政府采购网-下载专区-电子交易客户端-CA驱动和申领流程”进行查阅。</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13.投标文件的签署、盖章</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13.1投标文件按照招标文件第六部分格式要求进行签署、盖章。</w:t>
      </w:r>
      <w:r>
        <w:rPr>
          <w:rFonts w:hint="eastAsia" w:ascii="宋体" w:hAnsi="宋体" w:cs="宋体"/>
          <w:b/>
          <w:szCs w:val="21"/>
        </w:rPr>
        <w:t>▲投标人的投标文件未按照招标文件要求签署、盖章的，其投标无效</w:t>
      </w:r>
      <w:r>
        <w:rPr>
          <w:rFonts w:hint="eastAsia" w:ascii="宋体" w:hAnsi="宋体" w:cs="宋体"/>
          <w:szCs w:val="21"/>
        </w:rPr>
        <w:t>。</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13.2为确保网上操作合法、有效和安全，投标人应当在投标截止时间前完成在“政府采购云平台”的身份认证，确保在电子投标过程中能够对相关数据电文进行加密和使用电子签名。</w:t>
      </w:r>
    </w:p>
    <w:p>
      <w:pPr>
        <w:snapToGrid w:val="0"/>
        <w:spacing w:line="288" w:lineRule="auto"/>
        <w:ind w:firstLine="420" w:firstLineChars="200"/>
        <w:jc w:val="left"/>
        <w:rPr>
          <w:rFonts w:hint="eastAsia" w:ascii="宋体" w:hAnsi="宋体" w:cs="宋体"/>
          <w:szCs w:val="21"/>
        </w:rPr>
      </w:pPr>
      <w:r>
        <w:rPr>
          <w:rFonts w:hint="eastAsia" w:ascii="宋体" w:hAnsi="宋体" w:cs="仿宋"/>
          <w:szCs w:val="21"/>
        </w:rPr>
        <w:t>13</w:t>
      </w:r>
      <w:r>
        <w:rPr>
          <w:rFonts w:hint="eastAsia" w:ascii="宋体" w:hAnsi="宋体" w:cs="宋体"/>
          <w:szCs w:val="21"/>
        </w:rPr>
        <w:t>.3招标文件对投标文件签署、盖章的要求适用于电子签名。</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14.投标文件的提交、补充、修改、撤回</w:t>
      </w:r>
    </w:p>
    <w:p>
      <w:pPr>
        <w:snapToGrid w:val="0"/>
        <w:spacing w:line="288" w:lineRule="auto"/>
        <w:ind w:firstLine="420" w:firstLineChars="200"/>
        <w:jc w:val="left"/>
        <w:rPr>
          <w:rFonts w:hint="eastAsia" w:ascii="宋体" w:hAnsi="宋体" w:cs="宋体"/>
          <w:szCs w:val="21"/>
        </w:rPr>
      </w:pPr>
      <w:r>
        <w:rPr>
          <w:rFonts w:hint="eastAsia" w:ascii="宋体" w:hAnsi="宋体" w:cs="仿宋"/>
          <w:szCs w:val="21"/>
        </w:rPr>
        <w:t>14</w:t>
      </w:r>
      <w:r>
        <w:rPr>
          <w:rFonts w:hint="eastAsia" w:ascii="宋体" w:hAnsi="宋体" w:cs="宋体"/>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14.2电子交易平台收到投标文件，将妥善保存并即时向供应商发出确认回执通知。在投标截止时间前，除供应商补充、修改或者撤回投标文件外，任何单位和个人不得解密或提取投标文件。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14.3采购人、采购代理机构可以视情况延长投标文件提交的截止时间。在上述情况下，采购代理机构与投标人以前在投标截止期方面的全部权利、责任和义务，将适用于延长至新的投标截止期。</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15.备份投标文件</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15.1投标人在电子交易平台传输递交投标文件后，还可以在投标截止时间前直接提交或者以邮政快递方式递交备份投标文件1份，</w:t>
      </w:r>
      <w:r>
        <w:rPr>
          <w:rFonts w:hint="eastAsia" w:ascii="宋体" w:hAnsi="宋体" w:cs="宋体"/>
          <w:b/>
          <w:szCs w:val="21"/>
        </w:rPr>
        <w:t>但采购人、采购代理机构不强制或变相强制投标人提交备份投标文件。</w:t>
      </w:r>
    </w:p>
    <w:p>
      <w:pPr>
        <w:snapToGrid w:val="0"/>
        <w:spacing w:line="288" w:lineRule="auto"/>
        <w:ind w:firstLine="420" w:firstLineChars="200"/>
        <w:jc w:val="left"/>
        <w:rPr>
          <w:rFonts w:hint="eastAsia" w:ascii="宋体" w:hAnsi="宋体" w:cs="宋体"/>
          <w:b/>
          <w:szCs w:val="21"/>
        </w:rPr>
      </w:pPr>
      <w:r>
        <w:rPr>
          <w:rFonts w:hint="eastAsia" w:ascii="宋体" w:hAnsi="宋体" w:cs="仿宋"/>
          <w:szCs w:val="21"/>
        </w:rPr>
        <w:t>15</w:t>
      </w:r>
      <w:r>
        <w:rPr>
          <w:rFonts w:hint="eastAsia" w:ascii="宋体" w:hAnsi="宋体" w:cs="宋体"/>
          <w:szCs w:val="21"/>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zCs w:val="21"/>
        </w:rPr>
        <w:t>不符合上述制作、存储、密封规定的备份投标文件将被视为无效或者被拒绝接收。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15.3直接提交备份投标文件的，投标人应于投标截止时间前在招标公告中载明的开标地点将备份投标文件提交给采购代理机构，采购代理机构将拒绝接受逾期送达的备份投标文件。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15.5投标人仅提交备份投标文件，未在电子交易平台传输递交投标文件的，投标无效。</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16.投标文件的无效处理</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有招标文件第四部分</w:t>
      </w:r>
      <w:r>
        <w:rPr>
          <w:rFonts w:ascii="宋体" w:hAnsi="宋体" w:cs="宋体"/>
          <w:b/>
          <w:szCs w:val="21"/>
        </w:rPr>
        <w:t>4.2规定</w:t>
      </w:r>
      <w:r>
        <w:rPr>
          <w:rFonts w:hint="eastAsia" w:ascii="宋体" w:hAnsi="宋体" w:cs="宋体"/>
          <w:b/>
          <w:szCs w:val="21"/>
        </w:rPr>
        <w:t>的情形之一的，投标无效：</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17.投标有效期</w:t>
      </w:r>
    </w:p>
    <w:p>
      <w:pPr>
        <w:snapToGrid w:val="0"/>
        <w:spacing w:line="288" w:lineRule="auto"/>
        <w:ind w:firstLine="420" w:firstLineChars="200"/>
        <w:jc w:val="left"/>
        <w:rPr>
          <w:rFonts w:hint="eastAsia" w:ascii="宋体" w:hAnsi="宋体" w:cs="宋体"/>
          <w:b/>
          <w:szCs w:val="21"/>
        </w:rPr>
      </w:pPr>
      <w:r>
        <w:rPr>
          <w:rFonts w:hint="eastAsia" w:ascii="宋体" w:hAnsi="宋体" w:cs="仿宋"/>
          <w:szCs w:val="21"/>
        </w:rPr>
        <w:t>17</w:t>
      </w:r>
      <w:r>
        <w:rPr>
          <w:rFonts w:hint="eastAsia" w:ascii="宋体" w:hAnsi="宋体" w:cs="宋体"/>
          <w:szCs w:val="21"/>
        </w:rPr>
        <w:t>.1投标有效期为从提交投标文件的截止之日起90天。▲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snapToGrid w:val="0"/>
        <w:spacing w:line="288" w:lineRule="auto"/>
        <w:ind w:firstLine="420" w:firstLineChars="200"/>
        <w:jc w:val="left"/>
        <w:rPr>
          <w:rFonts w:hint="eastAsia" w:ascii="宋体" w:hAnsi="宋体" w:cs="宋体"/>
          <w:szCs w:val="21"/>
        </w:rPr>
      </w:pPr>
      <w:r>
        <w:rPr>
          <w:rFonts w:hint="eastAsia" w:ascii="宋体" w:hAnsi="宋体" w:cs="仿宋"/>
          <w:szCs w:val="21"/>
        </w:rPr>
        <w:t>17</w:t>
      </w:r>
      <w:r>
        <w:rPr>
          <w:rFonts w:hint="eastAsia" w:ascii="宋体" w:hAnsi="宋体" w:cs="宋体"/>
          <w:szCs w:val="21"/>
        </w:rPr>
        <w:t>.2投标文件合格投递后，自投标截止日期起，在投标有效期内有效。</w:t>
      </w:r>
    </w:p>
    <w:p>
      <w:pPr>
        <w:snapToGrid w:val="0"/>
        <w:spacing w:line="288" w:lineRule="auto"/>
        <w:ind w:firstLine="420" w:firstLineChars="200"/>
        <w:jc w:val="left"/>
        <w:rPr>
          <w:rFonts w:hint="eastAsia" w:ascii="宋体" w:hAnsi="宋体" w:cs="宋体"/>
          <w:szCs w:val="21"/>
        </w:rPr>
      </w:pPr>
      <w:r>
        <w:rPr>
          <w:rFonts w:hint="eastAsia" w:ascii="宋体" w:hAnsi="宋体" w:cs="仿宋"/>
          <w:szCs w:val="21"/>
        </w:rPr>
        <w:t>17</w:t>
      </w:r>
      <w:r>
        <w:rPr>
          <w:rFonts w:hint="eastAsia" w:ascii="宋体" w:hAnsi="宋体" w:cs="宋体"/>
          <w:szCs w:val="21"/>
        </w:rPr>
        <w:t>.3在原定投标有效期满之前，如果出现特殊情况，采购代理机构可以以书面形式通知投标人延长投标有效期。投标人同意延长的，不得要求或被允许修改其投标文件，投标人拒绝延长的，其投标无效。</w:t>
      </w:r>
    </w:p>
    <w:p>
      <w:pPr>
        <w:pStyle w:val="79"/>
        <w:rPr>
          <w:rFonts w:hint="eastAsia"/>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四、开标、资格审查与信用信息查询</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18.开标</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18.1采购代理机构按照招标文件规定的时间通过电子交易平台组织开标，所有投标人均应当准时在线参加。投标人不足3家的，不得开标。</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18.2开标时，电子交易平台按开标时间自动提取所有投标文件。采购代理机构依托电子交易平台发起开始解密指令，投标人按照平台提示和招标文件的规定在半小时内完成在线解密。</w:t>
      </w:r>
    </w:p>
    <w:p>
      <w:pPr>
        <w:snapToGrid w:val="0"/>
        <w:spacing w:line="288" w:lineRule="auto"/>
        <w:ind w:firstLine="422" w:firstLineChars="200"/>
        <w:jc w:val="left"/>
        <w:rPr>
          <w:rFonts w:hint="eastAsia" w:ascii="宋体" w:hAnsi="宋体" w:cs="宋体"/>
          <w:szCs w:val="21"/>
        </w:rPr>
      </w:pPr>
      <w:r>
        <w:rPr>
          <w:rFonts w:hint="eastAsia" w:ascii="宋体" w:hAnsi="宋体" w:cs="宋体"/>
          <w:b/>
          <w:bCs/>
          <w:szCs w:val="21"/>
        </w:rPr>
        <w:t>18.3投标文件未按时解密，投标人提供了备份投标文件的，以备份投标文件作为依据，否则视为投标文件撤回。投标文件已按时解密的，备份投标文件自动失效。</w:t>
      </w:r>
    </w:p>
    <w:p>
      <w:pPr>
        <w:pStyle w:val="557"/>
        <w:spacing w:before="0" w:line="360" w:lineRule="auto"/>
        <w:ind w:left="0" w:firstLine="422" w:firstLineChars="200"/>
        <w:contextualSpacing/>
        <w:rPr>
          <w:rFonts w:hint="eastAsia" w:ascii="宋体" w:hAnsi="宋体" w:cs="宋体"/>
          <w:b/>
          <w:sz w:val="21"/>
          <w:szCs w:val="21"/>
        </w:rPr>
      </w:pPr>
      <w:r>
        <w:rPr>
          <w:rFonts w:hint="eastAsia" w:ascii="宋体" w:hAnsi="宋体" w:cs="宋体"/>
          <w:b/>
          <w:sz w:val="21"/>
          <w:szCs w:val="21"/>
        </w:rPr>
        <w:t>19.资格审查</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19.2</w:t>
      </w:r>
      <w:r>
        <w:rPr>
          <w:rFonts w:hint="eastAsia" w:ascii="宋体" w:hAnsi="宋体" w:cs="仿宋"/>
          <w:szCs w:val="21"/>
        </w:rPr>
        <w:t>投标人</w:t>
      </w:r>
      <w:r>
        <w:rPr>
          <w:rFonts w:hint="eastAsia" w:ascii="宋体" w:hAnsi="宋体" w:cs="宋体"/>
          <w:kern w:val="0"/>
          <w:szCs w:val="21"/>
        </w:rPr>
        <w:t>未按照招标文件要求提供与</w:t>
      </w:r>
      <w:r>
        <w:rPr>
          <w:rFonts w:hint="eastAsia" w:ascii="宋体" w:hAnsi="宋体" w:cs="宋体"/>
          <w:szCs w:val="21"/>
        </w:rPr>
        <w:t>资格条件相应的</w:t>
      </w:r>
      <w:r>
        <w:rPr>
          <w:rFonts w:hint="eastAsia" w:ascii="宋体" w:hAnsi="宋体" w:cs="宋体"/>
          <w:kern w:val="0"/>
          <w:szCs w:val="21"/>
        </w:rPr>
        <w:t>有效资格证明材料的，视为</w:t>
      </w:r>
      <w:r>
        <w:rPr>
          <w:rFonts w:hint="eastAsia" w:ascii="宋体" w:hAnsi="宋体" w:cs="宋体"/>
          <w:szCs w:val="21"/>
        </w:rPr>
        <w:t>投标人不具备招标文件中规定的资格要求，其投标无效。</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19.</w:t>
      </w:r>
      <w:r>
        <w:rPr>
          <w:rFonts w:hint="eastAsia" w:ascii="宋体" w:hAnsi="宋体" w:cs="宋体"/>
          <w:szCs w:val="21"/>
        </w:rPr>
        <w:t>3对未通过资格审查的投标人，采购人或采购代理机构告知其未通过的原因。</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19.</w:t>
      </w:r>
      <w:r>
        <w:rPr>
          <w:rFonts w:hint="eastAsia" w:ascii="宋体" w:hAnsi="宋体" w:cs="宋体"/>
          <w:szCs w:val="21"/>
        </w:rPr>
        <w:t>4合格投标人不足3家的，不再评标。</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20.信用信息查询</w:t>
      </w:r>
    </w:p>
    <w:p>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20.1信用信息查询渠道及截止时间：采购代理机构将在资格审查时通过“信用中国”网站(www.creditchina.gov.cn)、中国政府采购网(www.ccgp.gov.cn)渠道查询投标人的信用记录。</w:t>
      </w:r>
    </w:p>
    <w:p>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20.2信用信息查询记录和证据留存的具体方式：现场查询的投标人的信用记录、查询结果经确认后将与采购文件一起存档。</w:t>
      </w:r>
    </w:p>
    <w:p>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20.3</w:t>
      </w:r>
      <w:r>
        <w:rPr>
          <w:rFonts w:hint="eastAsia" w:ascii="宋体" w:hAnsi="宋体" w:cs="仿宋"/>
          <w:szCs w:val="21"/>
        </w:rPr>
        <w:t>信用</w:t>
      </w:r>
      <w:r>
        <w:rPr>
          <w:rFonts w:hint="eastAsia" w:ascii="宋体" w:hAnsi="宋体" w:cs="宋体"/>
          <w:kern w:val="0"/>
          <w:szCs w:val="21"/>
        </w:rPr>
        <w:t>信息的使用规则：经查询列入失信被执行人名单、重大税收违法案件当事人名单、政府采购严重违法失信行为记录名单的投标人将被拒绝参与政府采购活动。</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20.4</w:t>
      </w:r>
      <w:r>
        <w:rPr>
          <w:rFonts w:hint="eastAsia" w:ascii="宋体" w:hAnsi="宋体" w:cs="仿宋"/>
          <w:szCs w:val="21"/>
        </w:rPr>
        <w:t>联合体</w:t>
      </w:r>
      <w:r>
        <w:rPr>
          <w:rFonts w:hint="eastAsia" w:ascii="宋体" w:hAnsi="宋体" w:cs="宋体"/>
          <w:kern w:val="0"/>
          <w:szCs w:val="21"/>
        </w:rPr>
        <w:t>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Cs w:val="21"/>
        </w:rPr>
        <w:t>。</w:t>
      </w:r>
    </w:p>
    <w:p>
      <w:pPr>
        <w:pStyle w:val="131"/>
        <w:spacing w:before="0"/>
        <w:ind w:firstLine="0" w:firstLineChars="0"/>
        <w:rPr>
          <w:rFonts w:hint="eastAsia" w:ascii="宋体" w:hAnsi="宋体" w:cs="宋体"/>
          <w:kern w:val="0"/>
          <w:sz w:val="21"/>
          <w:szCs w:val="21"/>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pPr>
        <w:snapToGrid w:val="0"/>
        <w:spacing w:line="288" w:lineRule="auto"/>
        <w:ind w:firstLine="422" w:firstLineChars="200"/>
        <w:jc w:val="left"/>
        <w:rPr>
          <w:rFonts w:hint="eastAsia" w:ascii="宋体" w:hAnsi="宋体" w:cs="宋体"/>
          <w:b/>
          <w:szCs w:val="21"/>
        </w:rPr>
      </w:pPr>
      <w:bookmarkStart w:id="18" w:name="_Toc91899903"/>
      <w:r>
        <w:rPr>
          <w:rFonts w:hint="eastAsia" w:ascii="宋体" w:hAnsi="宋体" w:cs="宋体"/>
          <w:b/>
          <w:szCs w:val="21"/>
        </w:rPr>
        <w:t>21.评标委员会将根据招标文件和有关规定，履行评标工作职责，并按照评标方法及评分标准，全</w:t>
      </w:r>
      <w:r>
        <w:rPr>
          <w:rFonts w:hint="eastAsia" w:ascii="宋体" w:hAnsi="宋体" w:cs="宋体"/>
          <w:szCs w:val="21"/>
        </w:rPr>
        <w:t>面衡量各投标人对招标文件的响应情况。对实质上响应招标文件的投标人，按照评审因素的量化指标排出推荐中标的</w:t>
      </w:r>
      <w:r>
        <w:rPr>
          <w:rFonts w:hint="eastAsia" w:ascii="宋体" w:hAnsi="宋体" w:cs="宋体"/>
          <w:b/>
          <w:szCs w:val="21"/>
        </w:rPr>
        <w:t>投标人</w:t>
      </w:r>
      <w:r>
        <w:rPr>
          <w:rFonts w:hint="eastAsia" w:ascii="宋体" w:hAnsi="宋体" w:cs="宋体"/>
          <w:szCs w:val="21"/>
        </w:rPr>
        <w:t>的先后顺序，并按顺序提出授标建议。</w:t>
      </w:r>
      <w:r>
        <w:rPr>
          <w:rFonts w:hint="eastAsia" w:ascii="宋体" w:hAnsi="宋体" w:cs="宋体"/>
          <w:b/>
          <w:szCs w:val="21"/>
        </w:rPr>
        <w:t>详见招标文件第四部分评标办法。</w:t>
      </w:r>
    </w:p>
    <w:p>
      <w:pPr>
        <w:spacing w:line="360" w:lineRule="auto"/>
        <w:rPr>
          <w:rFonts w:hint="eastAsia" w:ascii="宋体" w:hAnsi="宋体" w:cs="宋体"/>
          <w:b/>
          <w:szCs w:val="21"/>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六、定 标</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22.确定中标供应商</w:t>
      </w:r>
    </w:p>
    <w:p>
      <w:pPr>
        <w:snapToGrid w:val="0"/>
        <w:spacing w:line="288" w:lineRule="auto"/>
        <w:ind w:firstLine="420" w:firstLineChars="200"/>
        <w:jc w:val="left"/>
        <w:rPr>
          <w:rFonts w:hint="eastAsia" w:ascii="宋体" w:hAnsi="宋体" w:cs="宋体"/>
          <w:b/>
          <w:szCs w:val="21"/>
        </w:rPr>
      </w:pPr>
      <w:r>
        <w:rPr>
          <w:rFonts w:hint="eastAsia" w:ascii="宋体" w:hAnsi="宋体" w:cs="宋体"/>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snapToGrid w:val="0"/>
        <w:spacing w:line="288" w:lineRule="auto"/>
        <w:ind w:firstLine="422" w:firstLineChars="200"/>
        <w:jc w:val="left"/>
        <w:rPr>
          <w:rFonts w:hint="eastAsia" w:ascii="宋体" w:hAnsi="宋体" w:cs="宋体"/>
          <w:b/>
          <w:szCs w:val="21"/>
        </w:rPr>
      </w:pPr>
      <w:r>
        <w:rPr>
          <w:rFonts w:hint="eastAsia" w:ascii="宋体" w:hAnsi="宋体" w:cs="宋体"/>
          <w:b/>
          <w:szCs w:val="21"/>
        </w:rPr>
        <w:t>23.中标通知与中标结果公告</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23.3公告期限为1个工作日。</w:t>
      </w:r>
    </w:p>
    <w:p>
      <w:pPr>
        <w:snapToGrid w:val="0"/>
        <w:spacing w:line="288" w:lineRule="auto"/>
        <w:ind w:firstLine="422" w:firstLineChars="200"/>
        <w:jc w:val="left"/>
        <w:rPr>
          <w:rFonts w:hint="eastAsia" w:ascii="宋体" w:hAnsi="宋体" w:cs="宋体"/>
          <w:bCs/>
          <w:szCs w:val="21"/>
        </w:rPr>
      </w:pPr>
      <w:r>
        <w:rPr>
          <w:rFonts w:hint="eastAsia" w:ascii="宋体" w:hAnsi="宋体" w:cs="宋体"/>
          <w:b/>
          <w:szCs w:val="21"/>
        </w:rPr>
        <w:t>23.4</w:t>
      </w:r>
      <w:r>
        <w:rPr>
          <w:rFonts w:hint="eastAsia" w:ascii="宋体" w:hAnsi="宋体" w:cs="宋体"/>
          <w:bCs/>
          <w:szCs w:val="21"/>
        </w:rPr>
        <w:t>由于中标、成交供应商原因导致重新采购的，应当承担支付代理费和专家评审费等费用在内的赔偿责任。</w:t>
      </w:r>
    </w:p>
    <w:p>
      <w:pPr>
        <w:pStyle w:val="131"/>
        <w:snapToGrid w:val="0"/>
        <w:spacing w:before="0"/>
        <w:ind w:firstLine="420"/>
        <w:rPr>
          <w:sz w:val="21"/>
          <w:szCs w:val="21"/>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七、合同授予</w:t>
      </w:r>
    </w:p>
    <w:p>
      <w:pPr>
        <w:snapToGrid w:val="0"/>
        <w:spacing w:line="288" w:lineRule="auto"/>
        <w:ind w:firstLine="422" w:firstLineChars="200"/>
        <w:jc w:val="left"/>
        <w:rPr>
          <w:rFonts w:cs="宋体"/>
          <w:b/>
          <w:szCs w:val="21"/>
        </w:rPr>
      </w:pPr>
      <w:r>
        <w:rPr>
          <w:rFonts w:hint="eastAsia" w:ascii="宋体" w:hAnsi="宋体" w:cs="宋体"/>
          <w:b/>
          <w:szCs w:val="21"/>
        </w:rPr>
        <w:t>24</w:t>
      </w:r>
      <w:r>
        <w:rPr>
          <w:rFonts w:hint="eastAsia" w:cs="宋体"/>
          <w:b/>
          <w:szCs w:val="21"/>
        </w:rPr>
        <w:t>.</w:t>
      </w:r>
      <w:r>
        <w:rPr>
          <w:rFonts w:hint="eastAsia" w:cs="宋体"/>
          <w:szCs w:val="21"/>
        </w:rPr>
        <w:t>合同主要</w:t>
      </w:r>
      <w:r>
        <w:rPr>
          <w:rFonts w:hint="eastAsia" w:ascii="宋体" w:hAnsi="宋体" w:cs="宋体"/>
          <w:szCs w:val="21"/>
        </w:rPr>
        <w:t>条款</w:t>
      </w:r>
      <w:r>
        <w:rPr>
          <w:rFonts w:hint="eastAsia" w:cs="宋体"/>
          <w:szCs w:val="21"/>
        </w:rPr>
        <w:t>详见第五部分拟签订的合同文本。</w:t>
      </w:r>
    </w:p>
    <w:p>
      <w:pPr>
        <w:snapToGrid w:val="0"/>
        <w:spacing w:line="288" w:lineRule="auto"/>
        <w:ind w:firstLine="422" w:firstLineChars="200"/>
        <w:jc w:val="left"/>
        <w:rPr>
          <w:rFonts w:cs="宋体"/>
          <w:b/>
          <w:szCs w:val="21"/>
        </w:rPr>
      </w:pPr>
      <w:r>
        <w:rPr>
          <w:rFonts w:hint="eastAsia" w:cs="宋体"/>
          <w:b/>
          <w:szCs w:val="21"/>
        </w:rPr>
        <w:t>25.合同的签订</w:t>
      </w:r>
    </w:p>
    <w:p>
      <w:pPr>
        <w:snapToGrid w:val="0"/>
        <w:spacing w:line="288" w:lineRule="auto"/>
        <w:ind w:firstLine="420" w:firstLineChars="20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lang w:val="zh-CN"/>
        </w:rPr>
        <w:t>25.2中标人按规定的日期、时间、地点，由法定代表人或其授权代表与采购人代表签订合同。如中标人为</w:t>
      </w:r>
      <w:r>
        <w:rPr>
          <w:rFonts w:hint="eastAsia" w:ascii="宋体" w:hAnsi="宋体" w:cs="宋体"/>
          <w:szCs w:val="21"/>
        </w:rPr>
        <w:t>联合体</w:t>
      </w:r>
      <w:r>
        <w:rPr>
          <w:rFonts w:hint="eastAsia" w:ascii="宋体" w:hAnsi="宋体" w:cs="宋体"/>
          <w:kern w:val="0"/>
          <w:szCs w:val="21"/>
          <w:lang w:val="zh-CN"/>
        </w:rPr>
        <w:t>的，由联合体成员各方法定代表人或其授权代表与采购人代表签订合同。</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25.3如签订合同并生效后，供应商无故拒绝或延期，除按照合同条款处理外，列入不良行为记录一次，并给予通报。</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25.4中标供应商拒绝与采购人签订合同的，采购人可以按照评审报告推荐的中标或者成交候选人名单排序，确定下一候选人为中标供应商，也可以重新开展政府采购活动。</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25.5采购合同由采购人与中标供应商根据招标文件、投标文件等内容通过政府采购电子交易平台在线签订，自动备案。</w:t>
      </w:r>
    </w:p>
    <w:p>
      <w:pPr>
        <w:snapToGrid w:val="0"/>
        <w:spacing w:line="288" w:lineRule="auto"/>
        <w:ind w:firstLine="422" w:firstLineChars="200"/>
        <w:jc w:val="left"/>
        <w:rPr>
          <w:rFonts w:cs="宋体"/>
          <w:b/>
          <w:szCs w:val="21"/>
        </w:rPr>
      </w:pPr>
      <w:r>
        <w:rPr>
          <w:rFonts w:hint="eastAsia" w:cs="宋体"/>
          <w:b/>
          <w:szCs w:val="21"/>
        </w:rPr>
        <w:t>26.</w:t>
      </w:r>
      <w:r>
        <w:rPr>
          <w:rFonts w:hint="eastAsia" w:ascii="宋体" w:hAnsi="宋体" w:cs="宋体"/>
          <w:b/>
          <w:szCs w:val="21"/>
        </w:rPr>
        <w:t>履约</w:t>
      </w:r>
      <w:r>
        <w:rPr>
          <w:rFonts w:hint="eastAsia" w:cs="宋体"/>
          <w:b/>
          <w:szCs w:val="21"/>
        </w:rPr>
        <w:t>保证金</w:t>
      </w:r>
    </w:p>
    <w:p>
      <w:pPr>
        <w:snapToGrid w:val="0"/>
        <w:spacing w:line="288" w:lineRule="auto"/>
        <w:ind w:firstLine="420" w:firstLineChars="200"/>
        <w:jc w:val="left"/>
        <w:rPr>
          <w:rFonts w:hint="eastAsia" w:ascii="宋体" w:hAnsi="宋体" w:cs="宋体"/>
          <w:szCs w:val="21"/>
        </w:rPr>
      </w:pPr>
      <w:r>
        <w:rPr>
          <w:rFonts w:hint="eastAsia" w:ascii="宋体" w:hAnsi="宋体" w:cs="宋体"/>
          <w:kern w:val="0"/>
          <w:szCs w:val="21"/>
        </w:rPr>
        <w:t>拟签订的合同</w:t>
      </w:r>
      <w:r>
        <w:rPr>
          <w:rFonts w:hint="eastAsia" w:ascii="宋体" w:hAnsi="宋体" w:cs="宋体"/>
          <w:szCs w:val="21"/>
        </w:rPr>
        <w:t>文本</w:t>
      </w:r>
      <w:r>
        <w:rPr>
          <w:rFonts w:hint="eastAsia" w:ascii="宋体" w:hAnsi="宋体" w:cs="宋体"/>
          <w:kern w:val="0"/>
          <w:szCs w:val="21"/>
        </w:rPr>
        <w:t>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pPr>
        <w:snapToGrid w:val="0"/>
        <w:spacing w:line="288" w:lineRule="auto"/>
        <w:ind w:firstLine="420" w:firstLineChars="200"/>
        <w:jc w:val="left"/>
        <w:rPr>
          <w:rFonts w:hint="eastAsia" w:ascii="宋体" w:hAnsi="宋体" w:cs="宋体"/>
          <w:b/>
          <w:bCs/>
          <w:snapToGrid w:val="0"/>
          <w:kern w:val="28"/>
          <w:szCs w:val="21"/>
        </w:rPr>
      </w:pPr>
      <w:r>
        <w:rPr>
          <w:rFonts w:hint="eastAsia" w:ascii="宋体" w:hAnsi="宋体" w:cs="宋体"/>
          <w:snapToGrid w:val="0"/>
          <w:kern w:val="28"/>
          <w:szCs w:val="21"/>
        </w:rPr>
        <w:t>供应商可</w:t>
      </w:r>
      <w:r>
        <w:rPr>
          <w:rFonts w:hint="eastAsia" w:ascii="宋体" w:hAnsi="宋体" w:cs="宋体"/>
          <w:szCs w:val="21"/>
        </w:rPr>
        <w:t>登录</w:t>
      </w:r>
      <w:r>
        <w:rPr>
          <w:rFonts w:hint="eastAsia" w:ascii="宋体" w:hAnsi="宋体" w:cs="宋体"/>
          <w:snapToGrid w:val="0"/>
          <w:kern w:val="28"/>
          <w:szCs w:val="21"/>
        </w:rPr>
        <w:t>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snapToGrid w:val="0"/>
        <w:spacing w:line="288" w:lineRule="auto"/>
        <w:ind w:firstLine="422" w:firstLineChars="200"/>
        <w:jc w:val="left"/>
        <w:rPr>
          <w:szCs w:val="21"/>
        </w:rPr>
      </w:pPr>
      <w:r>
        <w:rPr>
          <w:rFonts w:ascii="宋体" w:hAnsi="宋体"/>
          <w:b/>
          <w:bCs/>
          <w:szCs w:val="21"/>
        </w:rPr>
        <w:t>27.</w:t>
      </w:r>
      <w:r>
        <w:rPr>
          <w:rFonts w:ascii="宋体" w:hAnsi="宋体" w:cs="宋体"/>
          <w:b/>
          <w:szCs w:val="21"/>
        </w:rPr>
        <w:t>预付款</w:t>
      </w:r>
    </w:p>
    <w:p>
      <w:pPr>
        <w:snapToGrid w:val="0"/>
        <w:spacing w:line="288" w:lineRule="auto"/>
        <w:ind w:firstLine="420" w:firstLineChars="200"/>
        <w:jc w:val="left"/>
        <w:rPr>
          <w:szCs w:val="21"/>
        </w:rPr>
      </w:pPr>
      <w:r>
        <w:rPr>
          <w:rFonts w:hint="eastAsia" w:ascii="宋体" w:hAnsi="宋体"/>
          <w:szCs w:val="21"/>
        </w:rPr>
        <w:t>采购单位</w:t>
      </w:r>
      <w:r>
        <w:rPr>
          <w:rFonts w:hint="eastAsia" w:ascii="宋体" w:hAnsi="宋体" w:cs="宋体"/>
          <w:szCs w:val="21"/>
        </w:rPr>
        <w:t>应当</w:t>
      </w:r>
      <w:r>
        <w:rPr>
          <w:rFonts w:hint="eastAsia" w:ascii="宋体" w:hAnsi="宋体"/>
          <w:szCs w:val="21"/>
        </w:rPr>
        <w:t>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提交银行、保险公司等金融机构出具的预付款保函或其他担保措施。政府采购预付款应在合同生效以及具备实施条件后5个工作日内支付。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采云金融专线95763</w:t>
      </w:r>
      <w:r>
        <w:rPr>
          <w:rFonts w:ascii="宋体" w:hAnsi="宋体"/>
          <w:szCs w:val="21"/>
        </w:rPr>
        <w:t>。</w:t>
      </w:r>
    </w:p>
    <w:p>
      <w:pPr>
        <w:pStyle w:val="79"/>
        <w:rPr>
          <w:rFonts w:hint="eastAsia"/>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八、电子交易活动的中止</w:t>
      </w:r>
    </w:p>
    <w:p>
      <w:pPr>
        <w:snapToGrid w:val="0"/>
        <w:spacing w:line="288" w:lineRule="auto"/>
        <w:ind w:firstLine="420" w:firstLineChars="200"/>
        <w:jc w:val="left"/>
        <w:rPr>
          <w:rFonts w:hint="eastAsia" w:ascii="宋体" w:hAnsi="宋体"/>
          <w:szCs w:val="21"/>
        </w:rPr>
      </w:pPr>
      <w:r>
        <w:rPr>
          <w:rFonts w:ascii="宋体" w:hAnsi="宋体"/>
          <w:szCs w:val="21"/>
        </w:rPr>
        <w:t>28</w:t>
      </w:r>
      <w:r>
        <w:rPr>
          <w:rFonts w:hint="eastAsia" w:ascii="宋体" w:hAnsi="宋体"/>
          <w:szCs w:val="21"/>
        </w:rPr>
        <w:t>. 电子交易活动的中止。采购过程中出现以下情形，导致电子交易平台无法正常运行，或者无法保证电子交易的公平、公正和安全时，采购代理机构可中止电子交易活动：</w:t>
      </w:r>
    </w:p>
    <w:p>
      <w:pPr>
        <w:snapToGrid w:val="0"/>
        <w:spacing w:line="288" w:lineRule="auto"/>
        <w:ind w:firstLine="420" w:firstLineChars="200"/>
        <w:jc w:val="left"/>
        <w:rPr>
          <w:rFonts w:hint="eastAsia" w:ascii="宋体" w:hAnsi="宋体"/>
          <w:szCs w:val="21"/>
        </w:rPr>
      </w:pPr>
      <w:r>
        <w:rPr>
          <w:rFonts w:hint="eastAsia" w:ascii="宋体" w:hAnsi="宋体"/>
          <w:szCs w:val="21"/>
        </w:rPr>
        <w:t xml:space="preserve">28.1电子交易平台发生故障而无法登录访问的； </w:t>
      </w:r>
    </w:p>
    <w:p>
      <w:pPr>
        <w:snapToGrid w:val="0"/>
        <w:spacing w:line="288" w:lineRule="auto"/>
        <w:ind w:firstLine="420" w:firstLineChars="200"/>
        <w:jc w:val="left"/>
        <w:rPr>
          <w:rFonts w:hint="eastAsia" w:ascii="宋体" w:hAnsi="宋体"/>
          <w:szCs w:val="21"/>
        </w:rPr>
      </w:pPr>
      <w:r>
        <w:rPr>
          <w:rFonts w:hint="eastAsia" w:ascii="宋体" w:hAnsi="宋体"/>
          <w:szCs w:val="21"/>
        </w:rPr>
        <w:t>28.2电子交易平台应用或数据库出现错误，不能进行正常操作的；</w:t>
      </w:r>
    </w:p>
    <w:p>
      <w:pPr>
        <w:snapToGrid w:val="0"/>
        <w:spacing w:line="288" w:lineRule="auto"/>
        <w:ind w:firstLine="420" w:firstLineChars="200"/>
        <w:jc w:val="left"/>
        <w:rPr>
          <w:rFonts w:hint="eastAsia" w:ascii="宋体" w:hAnsi="宋体"/>
          <w:szCs w:val="21"/>
        </w:rPr>
      </w:pPr>
      <w:r>
        <w:rPr>
          <w:rFonts w:hint="eastAsia" w:ascii="宋体" w:hAnsi="宋体"/>
          <w:szCs w:val="21"/>
        </w:rPr>
        <w:t>28.3电子交易平台发现严重安全漏洞，有潜在泄密危险的；</w:t>
      </w:r>
    </w:p>
    <w:p>
      <w:pPr>
        <w:snapToGrid w:val="0"/>
        <w:spacing w:line="288" w:lineRule="auto"/>
        <w:ind w:firstLine="420" w:firstLineChars="200"/>
        <w:jc w:val="left"/>
        <w:rPr>
          <w:rFonts w:hint="eastAsia" w:ascii="宋体" w:hAnsi="宋体"/>
          <w:szCs w:val="21"/>
        </w:rPr>
      </w:pPr>
      <w:r>
        <w:rPr>
          <w:rFonts w:hint="eastAsia" w:ascii="宋体" w:hAnsi="宋体"/>
          <w:szCs w:val="21"/>
        </w:rPr>
        <w:t xml:space="preserve">28.4病毒发作导致不能进行正常操作的； </w:t>
      </w:r>
    </w:p>
    <w:p>
      <w:pPr>
        <w:snapToGrid w:val="0"/>
        <w:spacing w:line="288" w:lineRule="auto"/>
        <w:ind w:firstLine="420" w:firstLineChars="200"/>
        <w:jc w:val="left"/>
        <w:rPr>
          <w:rFonts w:hint="eastAsia" w:ascii="宋体" w:hAnsi="宋体"/>
          <w:szCs w:val="21"/>
        </w:rPr>
      </w:pPr>
      <w:r>
        <w:rPr>
          <w:rFonts w:hint="eastAsia" w:ascii="宋体" w:hAnsi="宋体"/>
          <w:szCs w:val="21"/>
        </w:rPr>
        <w:t>28.5其他无法保证电子交易的公平、公正和安全的情况。</w:t>
      </w:r>
    </w:p>
    <w:p>
      <w:pPr>
        <w:snapToGrid w:val="0"/>
        <w:spacing w:line="288" w:lineRule="auto"/>
        <w:ind w:firstLine="420" w:firstLineChars="200"/>
        <w:jc w:val="left"/>
        <w:rPr>
          <w:rFonts w:hint="eastAsia" w:ascii="宋体" w:hAnsi="宋体"/>
          <w:szCs w:val="21"/>
        </w:rPr>
      </w:pPr>
      <w:r>
        <w:rPr>
          <w:rFonts w:hint="eastAsia" w:ascii="宋体" w:hAnsi="宋体"/>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pStyle w:val="79"/>
        <w:rPr>
          <w:rFonts w:hint="eastAsia"/>
        </w:rPr>
      </w:pPr>
    </w:p>
    <w:p>
      <w:pPr>
        <w:snapToGrid w:val="0"/>
        <w:spacing w:line="360" w:lineRule="auto"/>
        <w:jc w:val="center"/>
        <w:outlineLvl w:val="1"/>
        <w:rPr>
          <w:rFonts w:hint="eastAsia" w:ascii="宋体" w:hAnsi="宋体" w:cs="宋体"/>
          <w:b/>
          <w:szCs w:val="21"/>
        </w:rPr>
      </w:pPr>
      <w:r>
        <w:rPr>
          <w:rFonts w:hint="eastAsia" w:ascii="宋体" w:hAnsi="宋体" w:cs="宋体"/>
          <w:b/>
          <w:szCs w:val="21"/>
        </w:rPr>
        <w:t>九、验收</w:t>
      </w:r>
    </w:p>
    <w:p>
      <w:pPr>
        <w:snapToGrid w:val="0"/>
        <w:spacing w:line="288" w:lineRule="auto"/>
        <w:ind w:firstLine="422" w:firstLineChars="200"/>
        <w:jc w:val="left"/>
        <w:rPr>
          <w:rFonts w:cs="宋体"/>
          <w:b/>
          <w:szCs w:val="21"/>
        </w:rPr>
      </w:pPr>
      <w:r>
        <w:rPr>
          <w:rFonts w:hint="eastAsia" w:cs="宋体"/>
          <w:b/>
          <w:szCs w:val="21"/>
        </w:rPr>
        <w:t>30.</w:t>
      </w:r>
      <w:r>
        <w:rPr>
          <w:rFonts w:hint="eastAsia" w:ascii="宋体" w:hAnsi="宋体" w:cs="宋体"/>
          <w:b/>
          <w:szCs w:val="21"/>
        </w:rPr>
        <w:t>验收</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30.2采购人可以邀请参加本项目的其他投标人或者第三方机构参与验收。参与验收的投标人或者第三方机构的意见作为验收书的参考资料一并存档。</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5236290"/>
      <w:bookmarkEnd w:id="20"/>
      <w:bookmarkStart w:id="21" w:name="_Hlt68072998"/>
      <w:bookmarkEnd w:id="21"/>
      <w:bookmarkStart w:id="22" w:name="_Hlt74714665"/>
      <w:bookmarkEnd w:id="22"/>
      <w:bookmarkStart w:id="23" w:name="_Hlt74707468"/>
      <w:bookmarkEnd w:id="23"/>
      <w:bookmarkStart w:id="24" w:name="_Hlt68072990"/>
      <w:bookmarkEnd w:id="24"/>
      <w:bookmarkStart w:id="25" w:name="_Hlt75236011"/>
      <w:bookmarkEnd w:id="25"/>
      <w:bookmarkStart w:id="26" w:name="_Hlt74730295"/>
      <w:bookmarkEnd w:id="26"/>
      <w:bookmarkStart w:id="27" w:name="_Hlt68057669"/>
      <w:bookmarkEnd w:id="27"/>
      <w:bookmarkStart w:id="28" w:name="_Hlt68403820"/>
      <w:bookmarkEnd w:id="28"/>
      <w:bookmarkStart w:id="29" w:name="_Hlt68073093"/>
      <w:bookmarkEnd w:id="29"/>
      <w:bookmarkStart w:id="30" w:name="_Hlt75236101"/>
      <w:bookmarkEnd w:id="30"/>
    </w:p>
    <w:p>
      <w:pPr>
        <w:snapToGrid w:val="0"/>
        <w:spacing w:line="288" w:lineRule="auto"/>
        <w:ind w:firstLine="420" w:firstLineChars="200"/>
        <w:jc w:val="left"/>
        <w:rPr>
          <w:rFonts w:hint="eastAsia" w:ascii="宋体" w:hAnsi="宋体" w:cs="宋体"/>
          <w:szCs w:val="21"/>
        </w:rPr>
      </w:pPr>
      <w:r>
        <w:rPr>
          <w:rFonts w:hint="eastAsia" w:ascii="宋体" w:hAnsi="宋体" w:cs="宋体"/>
          <w:szCs w:val="21"/>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cs="宋体"/>
          <w:szCs w:val="21"/>
        </w:rPr>
        <w:br w:type="page"/>
      </w:r>
    </w:p>
    <w:bookmarkEnd w:id="13"/>
    <w:bookmarkEnd w:id="14"/>
    <w:p>
      <w:pPr>
        <w:keepNext w:val="0"/>
        <w:keepLines w:val="0"/>
        <w:pageBreakBefore w:val="0"/>
        <w:widowControl w:val="0"/>
        <w:kinsoku/>
        <w:wordWrap/>
        <w:overflowPunct/>
        <w:topLinePunct w:val="0"/>
        <w:autoSpaceDE/>
        <w:autoSpaceDN/>
        <w:bidi w:val="0"/>
        <w:adjustRightInd w:val="0"/>
        <w:spacing w:line="360" w:lineRule="auto"/>
        <w:ind w:left="0"/>
        <w:jc w:val="center"/>
        <w:textAlignment w:val="auto"/>
        <w:outlineLvl w:val="0"/>
        <w:rPr>
          <w:rFonts w:hint="eastAsia" w:ascii="宋体" w:hAnsi="宋体" w:eastAsia="宋体" w:cs="宋体"/>
          <w:b/>
          <w:szCs w:val="21"/>
        </w:rPr>
      </w:pPr>
      <w:bookmarkStart w:id="31" w:name="第四部分"/>
      <w:r>
        <w:rPr>
          <w:rFonts w:hint="eastAsia" w:ascii="宋体" w:hAnsi="宋体" w:eastAsia="宋体" w:cs="宋体"/>
          <w:b/>
          <w:szCs w:val="21"/>
        </w:rPr>
        <w:t>第三部分   采购需求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Times New Roman"/>
          <w:b/>
          <w:sz w:val="21"/>
          <w:szCs w:val="21"/>
          <w:highlight w:val="yellow"/>
        </w:rPr>
      </w:pPr>
      <w:r>
        <w:rPr>
          <w:rFonts w:hint="eastAsia" w:ascii="宋体" w:hAnsi="宋体" w:eastAsia="宋体" w:cs="Times New Roman"/>
          <w:b/>
          <w:sz w:val="21"/>
          <w:szCs w:val="21"/>
          <w:lang w:val="en-US" w:eastAsia="zh-CN"/>
        </w:rPr>
        <w:t>一</w:t>
      </w:r>
      <w:r>
        <w:rPr>
          <w:rFonts w:ascii="宋体" w:hAnsi="宋体" w:eastAsia="宋体" w:cs="Times New Roman"/>
          <w:b/>
          <w:sz w:val="21"/>
          <w:szCs w:val="21"/>
        </w:rPr>
        <w:t>、</w:t>
      </w:r>
      <w:r>
        <w:rPr>
          <w:rFonts w:hint="eastAsia" w:ascii="宋体" w:hAnsi="宋体" w:eastAsia="宋体" w:cs="Times New Roman"/>
          <w:b/>
          <w:sz w:val="21"/>
          <w:szCs w:val="21"/>
        </w:rPr>
        <w:t>采购资金的支付方式、时间、条件：</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6"/>
        <w:gridCol w:w="7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Times New Roman"/>
                <w:b/>
                <w:spacing w:val="-6"/>
                <w:sz w:val="21"/>
                <w:szCs w:val="21"/>
                <w:highlight w:val="none"/>
              </w:rPr>
            </w:pPr>
            <w:bookmarkStart w:id="32" w:name="_Hlk45005608"/>
            <w:r>
              <w:rPr>
                <w:rFonts w:hint="eastAsia" w:ascii="宋体" w:hAnsi="宋体"/>
                <w:b/>
                <w:spacing w:val="-6"/>
                <w:szCs w:val="21"/>
                <w:highlight w:val="none"/>
              </w:rPr>
              <w:t>▲履约保证金</w:t>
            </w:r>
          </w:p>
        </w:tc>
        <w:tc>
          <w:tcPr>
            <w:tcW w:w="7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88" w:lineRule="auto"/>
              <w:ind w:left="0" w:right="0" w:firstLine="396" w:firstLineChars="200"/>
              <w:rPr>
                <w:rFonts w:hint="eastAsia" w:ascii="宋体" w:hAnsi="宋体" w:cs="宋体"/>
                <w:spacing w:val="-6"/>
                <w:kern w:val="0"/>
                <w:szCs w:val="21"/>
                <w:highlight w:val="none"/>
              </w:rPr>
            </w:pPr>
            <w:r>
              <w:rPr>
                <w:rFonts w:hint="eastAsia" w:ascii="宋体" w:hAnsi="宋体" w:cs="宋体"/>
                <w:spacing w:val="-6"/>
                <w:kern w:val="0"/>
                <w:szCs w:val="21"/>
                <w:highlight w:val="none"/>
              </w:rPr>
              <w:t>1.合同签订后一周内，中标人向采购人提交合同总价</w:t>
            </w:r>
            <w:r>
              <w:rPr>
                <w:rFonts w:hint="default" w:ascii="宋体" w:hAnsi="宋体" w:cs="宋体"/>
                <w:spacing w:val="-6"/>
                <w:kern w:val="0"/>
                <w:szCs w:val="21"/>
                <w:highlight w:val="none"/>
              </w:rPr>
              <w:t>1</w:t>
            </w:r>
            <w:r>
              <w:rPr>
                <w:rFonts w:hint="eastAsia" w:ascii="宋体" w:hAnsi="宋体" w:cs="宋体"/>
                <w:spacing w:val="-6"/>
                <w:kern w:val="0"/>
                <w:szCs w:val="21"/>
                <w:highlight w:val="none"/>
              </w:rPr>
              <w:t>%的履约保证金，履约保证金在合同履约期间无违约情形的，项目验收结束后，于一周内退还（不计息）；</w:t>
            </w:r>
          </w:p>
          <w:p>
            <w:pPr>
              <w:keepNext w:val="0"/>
              <w:keepLines w:val="0"/>
              <w:suppressLineNumbers w:val="0"/>
              <w:snapToGrid w:val="0"/>
              <w:spacing w:before="0" w:beforeAutospacing="0" w:after="0" w:afterAutospacing="0" w:line="288" w:lineRule="auto"/>
              <w:ind w:left="0" w:right="0" w:firstLine="396" w:firstLineChars="200"/>
              <w:rPr>
                <w:rFonts w:hint="eastAsia" w:ascii="宋体" w:hAnsi="宋体" w:eastAsia="宋体" w:cs="宋体"/>
                <w:spacing w:val="-6"/>
                <w:kern w:val="0"/>
                <w:sz w:val="21"/>
                <w:szCs w:val="21"/>
                <w:highlight w:val="none"/>
              </w:rPr>
            </w:pPr>
            <w:r>
              <w:rPr>
                <w:rFonts w:hint="eastAsia" w:ascii="宋体" w:hAnsi="宋体" w:cs="宋体"/>
                <w:spacing w:val="-6"/>
                <w:kern w:val="0"/>
                <w:szCs w:val="21"/>
                <w:highlight w:val="none"/>
              </w:rPr>
              <w:t>2.提交方式：支票、汇票、本票或银行出具的保函等非现金形式。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spacing w:val="-6"/>
                <w:sz w:val="21"/>
                <w:szCs w:val="21"/>
                <w:highlight w:val="none"/>
              </w:rPr>
            </w:pPr>
            <w:r>
              <w:rPr>
                <w:rFonts w:hint="eastAsia" w:ascii="宋体" w:hAnsi="宋体" w:eastAsia="宋体" w:cs="Times New Roman"/>
                <w:b/>
                <w:spacing w:val="-6"/>
                <w:sz w:val="21"/>
                <w:szCs w:val="21"/>
                <w:highlight w:val="none"/>
              </w:rPr>
              <w:t>▲付款方式</w:t>
            </w:r>
          </w:p>
        </w:tc>
        <w:tc>
          <w:tcPr>
            <w:tcW w:w="7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合同生效以及具备实施条件后5个工作日内，且中标人已向采购人提交银行出具的（等额）预付款保函的，采购人向中标人支付合同总价的40%；</w:t>
            </w:r>
          </w:p>
          <w:p>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项目履约完成，经采购人验收合格后，收到发票后5个工作日内，采购人向中标人支付合同总价的60%。</w:t>
            </w:r>
          </w:p>
          <w:p>
            <w:pPr>
              <w:keepNext w:val="0"/>
              <w:keepLines w:val="0"/>
              <w:suppressLineNumbers w:val="0"/>
              <w:autoSpaceDE w:val="0"/>
              <w:autoSpaceDN w:val="0"/>
              <w:adjustRightInd w:val="0"/>
              <w:snapToGrid w:val="0"/>
              <w:spacing w:before="0" w:beforeAutospacing="0" w:after="0" w:afterAutospacing="0" w:line="288" w:lineRule="auto"/>
              <w:ind w:left="0" w:right="0" w:firstLine="396" w:firstLineChars="200"/>
              <w:jc w:val="left"/>
              <w:rPr>
                <w:rFonts w:hint="eastAsia" w:ascii="宋体" w:hAnsi="宋体" w:eastAsia="宋体" w:cs="宋体"/>
                <w:spacing w:val="-6"/>
                <w:kern w:val="0"/>
                <w:sz w:val="21"/>
                <w:szCs w:val="21"/>
                <w:highlight w:val="yellow"/>
              </w:rPr>
            </w:pPr>
            <w:r>
              <w:rPr>
                <w:rFonts w:hint="eastAsia" w:ascii="宋体" w:hAnsi="宋体" w:eastAsia="宋体" w:cs="宋体"/>
                <w:spacing w:val="-6"/>
                <w:kern w:val="0"/>
                <w:sz w:val="21"/>
                <w:szCs w:val="21"/>
              </w:rPr>
              <w:t>逾期支付货款的，自逾期之日起，向中标人每日偿付未付价款0.05%的违约金，最高限额为本合同总价的20%。</w:t>
            </w:r>
          </w:p>
        </w:tc>
      </w:tr>
      <w:bookmarkEnd w:id="32"/>
    </w:tbl>
    <w:p>
      <w:pPr>
        <w:adjustRightInd w:val="0"/>
        <w:snapToGrid w:val="0"/>
        <w:spacing w:line="288" w:lineRule="auto"/>
        <w:ind w:left="238" w:hanging="238" w:hangingChars="113"/>
        <w:rPr>
          <w:rFonts w:hint="eastAsia" w:ascii="宋体" w:hAnsi="宋体" w:eastAsia="宋体" w:cs="Times New Roman"/>
          <w:b/>
          <w:sz w:val="21"/>
          <w:szCs w:val="21"/>
        </w:rPr>
      </w:pPr>
    </w:p>
    <w:p>
      <w:pPr>
        <w:adjustRightInd w:val="0"/>
        <w:snapToGrid w:val="0"/>
        <w:spacing w:line="288" w:lineRule="auto"/>
        <w:ind w:left="238" w:hanging="238" w:hangingChars="113"/>
        <w:outlineLvl w:val="1"/>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二</w:t>
      </w:r>
      <w:r>
        <w:rPr>
          <w:rFonts w:ascii="宋体" w:hAnsi="宋体" w:eastAsia="宋体" w:cs="Times New Roman"/>
          <w:b/>
          <w:sz w:val="21"/>
          <w:szCs w:val="21"/>
        </w:rPr>
        <w:t>、</w:t>
      </w:r>
      <w:r>
        <w:rPr>
          <w:rFonts w:hint="eastAsia" w:ascii="宋体" w:hAnsi="宋体" w:eastAsia="宋体" w:cs="Times New Roman"/>
          <w:b/>
          <w:sz w:val="21"/>
          <w:szCs w:val="21"/>
        </w:rPr>
        <w:t>服务</w:t>
      </w:r>
      <w:r>
        <w:rPr>
          <w:rFonts w:ascii="宋体" w:hAnsi="宋体" w:eastAsia="宋体" w:cs="Times New Roman"/>
          <w:b/>
          <w:sz w:val="21"/>
          <w:szCs w:val="21"/>
        </w:rPr>
        <w:t>要求</w:t>
      </w:r>
      <w:r>
        <w:rPr>
          <w:rFonts w:hint="eastAsia" w:ascii="宋体" w:hAnsi="宋体" w:eastAsia="宋体" w:cs="Times New Roman"/>
          <w:b/>
          <w:spacing w:val="-6"/>
          <w:sz w:val="21"/>
          <w:szCs w:val="21"/>
        </w:rPr>
        <w:t>（技术要求里另有注明的以技术要求为准）</w:t>
      </w:r>
      <w:r>
        <w:rPr>
          <w:rFonts w:ascii="宋体" w:hAnsi="宋体" w:eastAsia="宋体" w:cs="Times New Roman"/>
          <w:b/>
          <w:sz w:val="21"/>
          <w:szCs w:val="21"/>
        </w:rPr>
        <w:t>：</w:t>
      </w:r>
    </w:p>
    <w:tbl>
      <w:tblPr>
        <w:tblStyle w:val="6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65"/>
        <w:gridCol w:w="7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▲交付时间</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供应商于</w:t>
            </w:r>
            <w:r>
              <w:rPr>
                <w:rFonts w:hint="eastAsia" w:ascii="宋体" w:hAnsi="宋体" w:eastAsia="宋体" w:cs="宋体"/>
                <w:color w:val="auto"/>
                <w:sz w:val="21"/>
                <w:szCs w:val="21"/>
                <w:highlight w:val="none"/>
              </w:rPr>
              <w:t>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日前交货并安装调试完毕。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交付地点</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质保期</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60</w:t>
            </w:r>
            <w:r>
              <w:rPr>
                <w:rFonts w:hint="eastAsia" w:ascii="宋体" w:hAnsi="宋体" w:eastAsia="宋体" w:cs="宋体"/>
                <w:sz w:val="21"/>
                <w:szCs w:val="21"/>
                <w:highlight w:val="none"/>
              </w:rPr>
              <w:t>个月，项目验收合格后开始计算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服务标准、期限、效率</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rPr>
              <w:t>.在质保期内，供应商应对货物出现的质量及安全问题负责处理解决并承担一切费用。</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质保期内出现无法排除的故障，供应商需无条件更换同型号产品。</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质保期满后，供应商继续为采购人服务，仅收取零配件成本费。</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4.</w:t>
            </w:r>
            <w:r>
              <w:rPr>
                <w:rFonts w:hint="eastAsia" w:ascii="宋体" w:hAnsi="宋体" w:eastAsia="宋体" w:cs="宋体"/>
                <w:sz w:val="21"/>
                <w:szCs w:val="21"/>
              </w:rPr>
              <w:t>质保期内因质量问题故障，供应商免费更换。达不到技术要求，</w:t>
            </w:r>
            <w:r>
              <w:rPr>
                <w:rFonts w:hint="eastAsia" w:ascii="宋体" w:hAnsi="宋体" w:cs="宋体"/>
                <w:sz w:val="21"/>
                <w:szCs w:val="21"/>
                <w:lang w:val="en-US" w:eastAsia="zh-CN"/>
              </w:rPr>
              <w:t>采购人</w:t>
            </w:r>
            <w:r>
              <w:rPr>
                <w:rFonts w:hint="eastAsia" w:ascii="宋体" w:hAnsi="宋体" w:eastAsia="宋体" w:cs="宋体"/>
                <w:sz w:val="21"/>
                <w:szCs w:val="21"/>
              </w:rPr>
              <w:t>可选更换、贬值、退货处理，相关费用供应商承担。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因人为因素出现的故障不在免费保修范围内。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none"/>
                <w:u w:val="none"/>
              </w:rPr>
            </w:pPr>
            <w:r>
              <w:rPr>
                <w:rFonts w:hint="eastAsia" w:ascii="宋体" w:hAnsi="宋体" w:cs="宋体"/>
                <w:sz w:val="21"/>
                <w:szCs w:val="21"/>
                <w:lang w:val="en-US" w:eastAsia="zh-CN"/>
              </w:rPr>
              <w:t>6</w:t>
            </w:r>
            <w:r>
              <w:rPr>
                <w:rFonts w:hint="eastAsia" w:ascii="宋体" w:hAnsi="宋体" w:eastAsia="宋体" w:cs="宋体"/>
                <w:sz w:val="21"/>
                <w:szCs w:val="21"/>
              </w:rPr>
              <w:t>.供应商</w:t>
            </w:r>
            <w:r>
              <w:rPr>
                <w:rFonts w:hint="eastAsia" w:ascii="宋体" w:hAnsi="宋体" w:cs="宋体"/>
                <w:sz w:val="21"/>
                <w:szCs w:val="21"/>
                <w:lang w:val="en-US" w:eastAsia="zh-CN"/>
              </w:rPr>
              <w:t>应提供</w:t>
            </w:r>
            <w:r>
              <w:rPr>
                <w:rFonts w:hint="eastAsia" w:ascii="宋体" w:hAnsi="宋体" w:eastAsia="宋体" w:cs="宋体"/>
                <w:sz w:val="21"/>
                <w:szCs w:val="21"/>
                <w:highlight w:val="none"/>
                <w:u w:val="single"/>
              </w:rPr>
              <w:t xml:space="preserve">7×24 </w:t>
            </w:r>
            <w:r>
              <w:rPr>
                <w:rFonts w:hint="eastAsia" w:ascii="宋体" w:hAnsi="宋体" w:eastAsia="宋体" w:cs="宋体"/>
                <w:sz w:val="21"/>
                <w:szCs w:val="21"/>
                <w:highlight w:val="none"/>
                <w:u w:val="none"/>
              </w:rPr>
              <w:t>小时热线技术支持，质保期内免费上门维修。</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highlight w:val="yellow"/>
                <w:u w:val="single"/>
              </w:rPr>
            </w:pPr>
            <w:r>
              <w:rPr>
                <w:rFonts w:hint="eastAsia" w:ascii="宋体" w:hAnsi="宋体" w:cs="宋体"/>
                <w:sz w:val="21"/>
                <w:szCs w:val="21"/>
                <w:highlight w:val="none"/>
                <w:u w:val="none"/>
                <w:lang w:val="en-US" w:eastAsia="zh-CN"/>
              </w:rPr>
              <w:t>7.</w:t>
            </w:r>
            <w:r>
              <w:rPr>
                <w:rFonts w:hint="eastAsia" w:ascii="宋体" w:hAnsi="宋体" w:eastAsia="宋体" w:cs="宋体"/>
                <w:sz w:val="21"/>
                <w:szCs w:val="21"/>
                <w:highlight w:val="none"/>
                <w:u w:val="none"/>
              </w:rPr>
              <w:t>接到售后呼叫，</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1 </w:t>
            </w:r>
            <w:r>
              <w:rPr>
                <w:rFonts w:hint="eastAsia" w:ascii="宋体" w:hAnsi="宋体" w:eastAsia="宋体" w:cs="宋体"/>
                <w:sz w:val="21"/>
                <w:szCs w:val="21"/>
                <w:highlight w:val="none"/>
                <w:u w:val="none"/>
              </w:rPr>
              <w:t>小时内响应，</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24 </w:t>
            </w:r>
            <w:r>
              <w:rPr>
                <w:rFonts w:hint="eastAsia" w:ascii="宋体" w:hAnsi="宋体" w:eastAsia="宋体" w:cs="宋体"/>
                <w:sz w:val="21"/>
                <w:szCs w:val="21"/>
                <w:highlight w:val="none"/>
                <w:u w:val="none"/>
              </w:rPr>
              <w:t>小时内到现场，一般问题</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u w:val="none"/>
              </w:rPr>
              <w:t>小时、重大问题</w:t>
            </w:r>
            <w:r>
              <w:rPr>
                <w:rFonts w:hint="eastAsia" w:ascii="宋体" w:hAnsi="宋体" w:eastAsia="宋体" w:cs="宋体"/>
                <w:sz w:val="21"/>
                <w:szCs w:val="21"/>
                <w:highlight w:val="none"/>
                <w:u w:val="single"/>
              </w:rPr>
              <w:t xml:space="preserve"> 48 </w:t>
            </w:r>
            <w:r>
              <w:rPr>
                <w:rFonts w:hint="eastAsia" w:ascii="宋体" w:hAnsi="宋体" w:eastAsia="宋体" w:cs="宋体"/>
                <w:sz w:val="21"/>
                <w:szCs w:val="21"/>
                <w:highlight w:val="none"/>
                <w:u w:val="none"/>
              </w:rPr>
              <w:t>小时解决，否则无偿提供备用设备。</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.供应商应提供详细的售后服务方案、售后服务承诺、售后服务保障措施。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其他技术、服务要求</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Times New Roman"/>
                <w:spacing w:val="-6"/>
                <w:sz w:val="21"/>
                <w:szCs w:val="21"/>
              </w:rPr>
            </w:pPr>
            <w:r>
              <w:rPr>
                <w:rFonts w:hint="eastAsia" w:ascii="宋体" w:hAnsi="宋体" w:eastAsia="宋体" w:cs="宋体"/>
                <w:sz w:val="21"/>
                <w:szCs w:val="21"/>
              </w:rPr>
              <w:t>▲1</w:t>
            </w:r>
            <w:r>
              <w:rPr>
                <w:rFonts w:hint="default" w:ascii="宋体" w:hAnsi="宋体" w:eastAsia="宋体" w:cs="宋体"/>
                <w:sz w:val="21"/>
                <w:szCs w:val="21"/>
              </w:rPr>
              <w:t>.</w:t>
            </w:r>
            <w:r>
              <w:rPr>
                <w:rFonts w:hint="eastAsia" w:ascii="宋体" w:hAnsi="宋体" w:eastAsia="宋体" w:cs="宋体"/>
                <w:sz w:val="21"/>
                <w:szCs w:val="21"/>
              </w:rPr>
              <w:t>供应商应按招标文件规定向采购人提供全新的原装合格产品，产品应符合国家法律法规规定。</w:t>
            </w:r>
            <w:r>
              <w:rPr>
                <w:rFonts w:hint="eastAsia" w:ascii="宋体" w:hAnsi="宋体" w:eastAsia="宋体" w:cs="Times New Roman"/>
                <w:spacing w:val="-6"/>
                <w:sz w:val="21"/>
                <w:szCs w:val="21"/>
              </w:rPr>
              <w:t>供应商应保证所提供的货物或其中任何一部分均不会侵犯第三方的知识产权。</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2.供应商应提供有关的全套技术文件。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.安装调试：</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.1安装地点：采购人指定地点；</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.2安装完成时间：接到采购人通知后在规定时间内完成安装和调试，如在规定的时间内由于供应商的原因不能完成安装和调试，供应商应承担由此给采购人造成的损失；</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.3如供应商委托国内代理（或其他机构）负责安装或配合安装应在签约时指明，但供应商仍要对合同货物及其安装质量负全部责任；</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.4安装标准：符合我国国家有关技术规范要求和技术标准，所有的软件和硬件必须保证同时安装到位；</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.5供应商免费提供合同货物的安装服务；</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.6供应商在投标文件中应提供安装调试计划和安装调试方案。</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4.技术支持：</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供应商应及时免费提供合同货物软件的升级，免费提供合同货物新功能和应用的资料。</w:t>
            </w:r>
          </w:p>
          <w:p>
            <w:pPr>
              <w:keepNext w:val="0"/>
              <w:keepLines w:val="0"/>
              <w:suppressLineNumbers w:val="0"/>
              <w:adjustRightInd w:val="0"/>
              <w:snapToGrid w:val="0"/>
              <w:spacing w:before="0" w:beforeAutospacing="0" w:after="0" w:afterAutospacing="0" w:line="288" w:lineRule="auto"/>
              <w:ind w:left="0" w:right="0"/>
              <w:rPr>
                <w:rFonts w:hint="eastAsia"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rPr>
              <w:t>未经</w:t>
            </w:r>
            <w:r>
              <w:rPr>
                <w:rFonts w:hint="eastAsia" w:ascii="宋体" w:hAnsi="宋体" w:cs="宋体"/>
                <w:sz w:val="21"/>
                <w:szCs w:val="21"/>
                <w:lang w:val="en-US" w:eastAsia="zh-CN"/>
              </w:rPr>
              <w:t>采购人</w:t>
            </w:r>
            <w:r>
              <w:rPr>
                <w:rFonts w:hint="eastAsia" w:ascii="宋体" w:hAnsi="宋体" w:eastAsia="宋体" w:cs="宋体"/>
                <w:sz w:val="21"/>
                <w:szCs w:val="21"/>
              </w:rPr>
              <w:t>同意，</w:t>
            </w:r>
            <w:r>
              <w:rPr>
                <w:rFonts w:hint="eastAsia" w:ascii="宋体" w:hAnsi="宋体" w:cs="宋体"/>
                <w:sz w:val="21"/>
                <w:szCs w:val="21"/>
                <w:lang w:val="en-US" w:eastAsia="zh-CN"/>
              </w:rPr>
              <w:t>供应商</w:t>
            </w:r>
            <w:r>
              <w:rPr>
                <w:rFonts w:hint="eastAsia" w:ascii="宋体" w:hAnsi="宋体" w:eastAsia="宋体" w:cs="宋体"/>
                <w:sz w:val="21"/>
                <w:szCs w:val="21"/>
              </w:rPr>
              <w:t>不得向无关方泄露合同相关资料</w:t>
            </w:r>
            <w:r>
              <w:rPr>
                <w:rFonts w:hint="eastAsia" w:ascii="宋体" w:hAnsi="宋体" w:cs="宋体"/>
                <w:sz w:val="21"/>
                <w:szCs w:val="21"/>
                <w:lang w:eastAsia="zh-CN"/>
              </w:rPr>
              <w:t>。</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双方因不可抗力不能履约，及时通知并寄证明，可延长履约期。不可抗力事件延续 120 天以上，双方协商是否继续履约。</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cs="宋体"/>
                <w:sz w:val="21"/>
                <w:szCs w:val="21"/>
                <w:lang w:val="en-US" w:eastAsia="zh-CN"/>
              </w:rPr>
              <w:t>7.采购人</w:t>
            </w:r>
            <w:r>
              <w:rPr>
                <w:rFonts w:hint="eastAsia" w:ascii="宋体" w:hAnsi="宋体" w:eastAsia="宋体" w:cs="宋体"/>
                <w:sz w:val="21"/>
                <w:szCs w:val="21"/>
              </w:rPr>
              <w:t>通知</w:t>
            </w:r>
            <w:r>
              <w:rPr>
                <w:rFonts w:hint="eastAsia" w:ascii="宋体" w:hAnsi="宋体" w:cs="宋体"/>
                <w:sz w:val="21"/>
                <w:szCs w:val="21"/>
                <w:lang w:val="en-US" w:eastAsia="zh-CN"/>
              </w:rPr>
              <w:t>供应商</w:t>
            </w:r>
            <w:r>
              <w:rPr>
                <w:rFonts w:hint="eastAsia" w:ascii="宋体" w:hAnsi="宋体" w:eastAsia="宋体" w:cs="宋体"/>
                <w:sz w:val="21"/>
                <w:szCs w:val="21"/>
              </w:rPr>
              <w:t>更换不合格产品，</w:t>
            </w:r>
            <w:r>
              <w:rPr>
                <w:rFonts w:hint="eastAsia" w:ascii="宋体" w:hAnsi="宋体" w:cs="宋体"/>
                <w:sz w:val="21"/>
                <w:szCs w:val="21"/>
                <w:lang w:val="en-US" w:eastAsia="zh-CN"/>
              </w:rPr>
              <w:t>供应商</w:t>
            </w:r>
            <w:r>
              <w:rPr>
                <w:rFonts w:hint="eastAsia" w:ascii="宋体" w:hAnsi="宋体" w:eastAsia="宋体" w:cs="宋体"/>
                <w:sz w:val="21"/>
                <w:szCs w:val="21"/>
              </w:rPr>
              <w:t>需一周内完成。</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.供应商应提供质保期满后主要零部件报价单、质保期满后维护费、软件升级及其相关服务内容；提供产品相关配件、附件、备品备件及耗材的准备和保障措施、消耗水平和成本方案。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培训</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1.供应商应对采购人的操作人员、维修人员免费进行培训；</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2.培训实现方式、时间、地点、人数应在投标文件中详细说明；</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3.供应商应提供相应的培训计划、培训范围，实施方案。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z w:val="21"/>
                <w:szCs w:val="21"/>
              </w:rPr>
            </w:pPr>
            <w:r>
              <w:rPr>
                <w:rFonts w:hint="eastAsia" w:ascii="宋体" w:hAnsi="宋体" w:eastAsia="宋体" w:cs="宋体"/>
                <w:b/>
                <w:bCs/>
                <w:sz w:val="21"/>
                <w:szCs w:val="21"/>
              </w:rPr>
              <w:t>验收标准</w:t>
            </w:r>
          </w:p>
        </w:tc>
        <w:tc>
          <w:tcPr>
            <w:tcW w:w="403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1.验收由采购人负责实施；</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2.验收依据：</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2.1合同、招标文件、投标文件；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2.2供应商提供的技术规格、经采购人认可的合同货物的有效检验文件；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2.3供应商投标文件中提供的经采购人认可的合同货物的验收标准（符合中国有关的国家、地方、行业标准）和检测办法及相应检测手段。</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4.验收合格的条件：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4.1所供货物符合产品标准和合同的要求；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4.2在进行测试和验收过程中发现的问题已被解决并得到采购人的认可；</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4.3合同中规定的所有货物和材料均已交付；</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4.4所供货物已通过使用单位组织的验收；</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rPr>
            </w:pPr>
            <w:r>
              <w:rPr>
                <w:rFonts w:hint="eastAsia" w:ascii="宋体" w:hAnsi="宋体" w:eastAsia="宋体" w:cs="宋体"/>
                <w:sz w:val="21"/>
                <w:szCs w:val="21"/>
              </w:rPr>
              <w:t>4.5所有相关的技术文件及资料均已提交并得到接受。</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 w:val="21"/>
                <w:szCs w:val="21"/>
                <w:lang w:eastAsia="zh-CN"/>
              </w:rPr>
            </w:pPr>
            <w:r>
              <w:rPr>
                <w:rFonts w:hint="eastAsia" w:ascii="宋体" w:hAnsi="宋体" w:cs="宋体"/>
                <w:sz w:val="21"/>
                <w:szCs w:val="21"/>
                <w:lang w:val="en-US" w:eastAsia="zh-CN"/>
              </w:rPr>
              <w:t>5.</w:t>
            </w:r>
            <w:r>
              <w:rPr>
                <w:rFonts w:hint="eastAsia" w:ascii="宋体" w:hAnsi="宋体" w:eastAsia="宋体" w:cs="宋体"/>
                <w:sz w:val="21"/>
                <w:szCs w:val="21"/>
              </w:rPr>
              <w:t>验收不符标准，</w:t>
            </w:r>
            <w:r>
              <w:rPr>
                <w:rFonts w:hint="eastAsia" w:ascii="宋体" w:hAnsi="宋体" w:eastAsia="宋体" w:cs="宋体"/>
                <w:sz w:val="21"/>
                <w:szCs w:val="21"/>
                <w:lang w:val="en-US" w:eastAsia="zh-CN"/>
              </w:rPr>
              <w:t>供应商</w:t>
            </w:r>
            <w:r>
              <w:rPr>
                <w:rFonts w:hint="eastAsia" w:ascii="宋体" w:hAnsi="宋体" w:eastAsia="宋体" w:cs="宋体"/>
                <w:sz w:val="21"/>
                <w:szCs w:val="21"/>
              </w:rPr>
              <w:t>一周内运离，费用自理，否则</w:t>
            </w:r>
            <w:r>
              <w:rPr>
                <w:rFonts w:hint="eastAsia" w:ascii="宋体" w:hAnsi="宋体" w:cs="宋体"/>
                <w:sz w:val="21"/>
                <w:szCs w:val="21"/>
                <w:lang w:val="en-US" w:eastAsia="zh-CN"/>
              </w:rPr>
              <w:t>采购人</w:t>
            </w:r>
            <w:r>
              <w:rPr>
                <w:rFonts w:hint="eastAsia" w:ascii="宋体" w:hAnsi="宋体" w:eastAsia="宋体" w:cs="宋体"/>
                <w:sz w:val="21"/>
                <w:szCs w:val="21"/>
              </w:rPr>
              <w:t>自行处理，</w:t>
            </w:r>
            <w:r>
              <w:rPr>
                <w:rFonts w:hint="eastAsia" w:ascii="宋体" w:hAnsi="宋体" w:eastAsia="宋体" w:cs="宋体"/>
                <w:sz w:val="21"/>
                <w:szCs w:val="21"/>
                <w:lang w:val="en-US" w:eastAsia="zh-CN"/>
              </w:rPr>
              <w:t>供应商</w:t>
            </w:r>
            <w:r>
              <w:rPr>
                <w:rFonts w:hint="eastAsia" w:ascii="宋体" w:hAnsi="宋体" w:eastAsia="宋体" w:cs="宋体"/>
                <w:sz w:val="21"/>
                <w:szCs w:val="21"/>
              </w:rPr>
              <w:t>付合同总价 20% 违约金</w:t>
            </w:r>
            <w:r>
              <w:rPr>
                <w:rFonts w:hint="eastAsia" w:ascii="宋体" w:hAnsi="宋体" w:cs="宋体"/>
                <w:sz w:val="21"/>
                <w:szCs w:val="21"/>
                <w:lang w:eastAsia="zh-CN"/>
              </w:rPr>
              <w:t>。</w:t>
            </w:r>
          </w:p>
        </w:tc>
      </w:tr>
    </w:tbl>
    <w:p>
      <w:pPr>
        <w:adjustRightInd w:val="0"/>
        <w:snapToGrid w:val="0"/>
        <w:spacing w:line="288" w:lineRule="auto"/>
        <w:ind w:left="238" w:hanging="238" w:hangingChars="113"/>
        <w:rPr>
          <w:rFonts w:hint="eastAsia" w:ascii="宋体" w:hAnsi="宋体" w:eastAsia="宋体" w:cs="Times New Roman"/>
          <w:b/>
          <w:sz w:val="21"/>
          <w:szCs w:val="21"/>
        </w:rPr>
      </w:pPr>
    </w:p>
    <w:p>
      <w:pPr>
        <w:adjustRightInd w:val="0"/>
        <w:snapToGrid w:val="0"/>
        <w:spacing w:line="288" w:lineRule="auto"/>
        <w:ind w:left="238" w:hanging="238" w:hangingChars="113"/>
        <w:outlineLvl w:val="1"/>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三</w:t>
      </w:r>
      <w:r>
        <w:rPr>
          <w:rFonts w:ascii="宋体" w:hAnsi="宋体" w:eastAsia="宋体" w:cs="Times New Roman"/>
          <w:b/>
          <w:sz w:val="21"/>
          <w:szCs w:val="21"/>
        </w:rPr>
        <w:t>、技术要求</w:t>
      </w:r>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（一）需执行的国家相关标准、行业标准、地方标准或者其他标准、规范：</w:t>
      </w:r>
      <w:bookmarkStart w:id="33" w:name="_Hlk94018176"/>
      <w:r>
        <w:rPr>
          <w:rFonts w:hint="eastAsia" w:ascii="宋体" w:hAnsi="宋体" w:eastAsia="宋体" w:cs="宋体"/>
          <w:sz w:val="21"/>
          <w:szCs w:val="21"/>
        </w:rPr>
        <w:t>如技术要求中未注明需执行的国家相关标准、行业标准、地方标准或者其他标准、规范的，执行最新标准、规范。</w:t>
      </w:r>
      <w:bookmarkEnd w:id="33"/>
    </w:p>
    <w:p>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（二）需实现的功能或者目标：</w:t>
      </w:r>
    </w:p>
    <w:p>
      <w:pPr>
        <w:adjustRightInd w:val="0"/>
        <w:snapToGrid w:val="0"/>
        <w:spacing w:line="288"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该批设备实旨在全面提升学生的理论认知与实践操作能力，推动新能源汽车专业教学发展，为新能源汽车动力系统的研发、生产与维修培养专业人才。</w:t>
      </w:r>
    </w:p>
    <w:p>
      <w:pPr>
        <w:adjustRightInd w:val="0"/>
        <w:snapToGrid w:val="0"/>
        <w:spacing w:line="288"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该批设备可模拟实际工作场景，进行故障设置与排除训练，提高学生解决实际问题的能力。同时，也为教师开展科研项目、技术创新提供了实验条件，促进产学研深度融合，推动新能源汽车技术的发展与应用。</w:t>
      </w:r>
    </w:p>
    <w:p>
      <w:pPr>
        <w:adjustRightInd w:val="0"/>
        <w:snapToGrid w:val="0"/>
        <w:spacing w:line="288" w:lineRule="auto"/>
        <w:rPr>
          <w:rFonts w:hint="eastAsia" w:ascii="宋体" w:hAnsi="宋体" w:eastAsia="宋体" w:cs="Times New Roman"/>
          <w:b/>
          <w:bCs/>
          <w:spacing w:val="-4"/>
          <w:sz w:val="21"/>
          <w:szCs w:val="21"/>
        </w:rPr>
      </w:pPr>
      <w:r>
        <w:rPr>
          <w:rFonts w:hint="eastAsia" w:ascii="宋体" w:hAnsi="宋体" w:eastAsia="宋体" w:cs="Times New Roman"/>
          <w:b/>
          <w:bCs/>
          <w:spacing w:val="-4"/>
          <w:sz w:val="21"/>
          <w:szCs w:val="21"/>
        </w:rPr>
        <w:t>（三）需满足的质量、安全、技术规格、物理特性等要求：</w:t>
      </w:r>
    </w:p>
    <w:tbl>
      <w:tblPr>
        <w:tblStyle w:val="6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730"/>
        <w:gridCol w:w="558"/>
        <w:gridCol w:w="558"/>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bCs/>
                <w:szCs w:val="21"/>
              </w:rPr>
            </w:pPr>
            <w:r>
              <w:rPr>
                <w:rFonts w:hint="eastAsia" w:ascii="宋体" w:hAnsi="宋体" w:eastAsia="宋体" w:cs="宋体"/>
                <w:b/>
                <w:bCs/>
                <w:szCs w:val="21"/>
              </w:rPr>
              <w:t>序号</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名称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数量</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单位</w:t>
            </w:r>
          </w:p>
        </w:tc>
        <w:tc>
          <w:tcPr>
            <w:tcW w:w="3232"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bCs/>
                <w:szCs w:val="21"/>
                <w:highlight w:val="yellow"/>
              </w:rPr>
            </w:pPr>
            <w:r>
              <w:rPr>
                <w:rFonts w:hint="eastAsia" w:ascii="宋体" w:hAnsi="宋体" w:eastAsia="宋体" w:cs="宋体"/>
                <w:b/>
                <w:bCs/>
                <w:szCs w:val="21"/>
                <w:highlight w:val="none"/>
              </w:rPr>
              <w:t>（功能或者目标）、质量、安全、技术规格、物理特性等要求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混合动力汽车驱动系统实训平台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产品参数如下：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1、混合动力汽车动力系统实训平台包含：设备框架、原车部件、检测面板、故障设置装置。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2、设备框架：钣金制作为承载主体，框架内固定原车部件、检测面板、故障设置装置。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（1）材质：国标钢板；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（2）工艺：钣金标准制作，激光切割、数控折弯、保护焊接、高温喷塑、安装部件为原车部件定制处理保证原车部件完整性，无损安装。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3、原车部件：即混合动力汽车部件能够正常工作通过电气线路连接实现部件运行混合动力汽车的结构展示、信息显示、数据采集、动态实训等教学功能。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（1）包含部件：驱动电机、电机控制器、充配电总成、低压蓄电池、一键启动按钮、油门踏板、制动踏板、组合仪表、传动轴、制动盘、轴头、散热器实物部件。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（2）工作电压：DC12V；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（3）高压部件工作电压：DC500V。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检测面板：面板内嵌式安装，采用高密度铝塑板，具有耐磨、耐高温、耐剐、抗渗透、容易清洁、防潮、不褪色等特点。面板喷绘电路原理图，并安装检测端子可使用示波器、万用表等工具对混合动力汽车动力系统电压波形进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各主要部件安装在平台上，含发动机、电机总成，变速箱总成，半轴羊角总成，驱动车轮，刹车系统，网关控制模块,油门踏板，刹车踏板，启动开关，仪表，档位传感器，ABS刹车系统，散热水箱、电子风扇、水管一套，高压动力线盒低压控制线均为原车件，长度增加，高压动力线为橙色，外加保护波纹管，连接处加警示标识，上电状况下严禁插拔任何高压动力线；全车CAN通讯通过网关连为一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6、变速箱采用二级减速机构，起到减速曾扭的目的，内部没有档位变速机构，所有速度和前进倒退切换都由电机提供。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7、实训台采用独立水冷方式，安装电子水泵，水箱，散热风扇，回水壶，通过汽车及水管连接，形成冷却系统给电机总成散热。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8、油门踏板、刹车踏板采集驾驶需求传送给电控总成，传感器采用6线制，内部分为两组传感器互成角度，输出两组电信号，主控通过这两组电信号计算出当前的传感器的位置，并准确控制电机驱动。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9、档位传感上采集驾驶需求，分别为D/R/N/P,当采集到信号到通过CAN网络传送给主网上。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10、实训台面板上有原厂的电路图及安装有检测端子、可以通过查看面板上的电路图，然后直接在面板上检测各控制单元管脚的电信号，如电阻、电压、电流等。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11、实训台可以实现原车的所有工况，可利用工况对电机驱动系统的各个元件的工作原理精心解析，了解在不同工况下的原件工作、如何工作以及各个工况切换、工作原件之间如何切换的原理。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12、配备智能化故障设置和考核系统。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13、设备技术参数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（1）电源：DC12V：主要用于操作面板，与汽车保持相同的电压。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（2）故障设置类型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①开路故障：16个开路故障设置点。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（3）设备使用环境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①环境温度：-10℃～60℃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②环境湿度：小于90%HR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（4）台架外形尺寸（mm）：不小于1600*1200*1800（长*宽*高）。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网关控制模块1件，档位控制器1件，组合仪表，启动按钮，刹车踏板总成1件，电子油门踏板1件，永磁同步电机1件，变速箱1件，传动轴2件，制动盘2件，安全保护罩两件，冷却系统1套，液压制动系统1套，电动真空助力系统1套，急停开关1个，橙色高压动力线1套，低压控制线1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15、混合动力整车结构虚拟仿真课程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一、功能描述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（1）结构展示：以爆炸的方式展示动力系统及组件的结构。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（2）原理演示：模拟混合动力系统及组件的工作原理。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（3）展示特效：模拟混合动力系统运行时的机械运动特效、电路传递特效、液体特效。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（4）零部件名称显示：结构爆炸后的零件可显示或隐藏零件对应名称。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（5）辅助功能：控制场景任意移动旋转，具有锁屏和关闭声音功能。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（6）旋转限制：上旋转幅度90°，下旋转幅度90°，左右旋转幅度360°。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二、教学项目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提供和本次采购设备匹配的混合动力车型为混合动力整车结构原理仿真教学，包括内容有双离合变速器总成、发动机总成、电驱系统、电池系统、电控系统五大系统的28个结构展示、21个原理演示。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28个结构展示包含混合动力汽车动力系统结构、发动机总成结构、发动机结构、发动机冷却系统结构、双离合变速器总成结构、双离合器结构、变速箱总成结构、差速器结构、半轴结构、电驱系统结构、电机定子结构、电机转子结构、电机旋转变压器结构、电机减速器结构、驱动电机控制器结构、电驱冷却系统结构、电池系统结构、动力电池包结构、维修开关结构、高压配电箱结构、漏电传感器结构、分布式电池管理系统结构、驱动电机控制器与DC总成结构、充电系统结构、电控系统结构、档位控制器结构、油门踏板结构、制动踏板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个原理演示包含混合动力汽车动力系统原理、发动机总成原理、发动机冷却系统原理、双离合变速器总成原理、双离合器原理、变速箱总成原理、电驱系统原理、电机减速器原理、驱动电机控制器原理、电驱冷却系统原理、电池系统原理、动力电池包总成原理、维修开关原理、高压配电箱原理、分布式电池管理系统原理、驱动电机控制器与DC总成原理、充电系统原理、电控系统原理、档位控制器原理、油门踏板原理、制动踏板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三、教学考核区</w:t>
            </w:r>
            <w:r>
              <w:rPr>
                <w:rFonts w:hint="eastAsia" w:ascii="宋体" w:hAnsi="宋体" w:cs="宋体"/>
                <w:b/>
                <w:bCs/>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核平台针对新能源汽车动力电池的装调测试专业等多课程研发，平台分为模拟练习、错题重做、模拟考试、考核测评四大功能，任意进入其中一项功能，涵盖了初级、中级、高级三部分的题目内容，题目内容分成单选题、多选题、判断题、填空题、解答题等内容，根据自己课程需要自定义题目导入，支持一键导入功能，单题目编辑，分类导入等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四、平台功能介绍</w:t>
            </w:r>
            <w:r>
              <w:rPr>
                <w:rFonts w:hint="eastAsia" w:ascii="宋体" w:hAnsi="宋体" w:cs="宋体"/>
                <w:b/>
                <w:bCs/>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模拟考试：可在题库编辑中，导入单选题、多选题、判断题、填空题等，设置难度等级及科目储存在题库中，模式考试前可选择对应试题，试题难度以及科目的选择，设置题目数量，题目分值以及考试时间设置，模拟考试结束后具有评分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（2）考试记录：可以记录模拟考试成绩，考核测评成绩，可选择试卷进行重做，查看试卷做题情况、标注错题的正确答案。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（3）错题重做：统计模拟考试，考核测评中的错题记录，将题目类型进行归类，可以单击题目类型进行进行错题练习，实现有针对性的练习。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（4）我要练习：可在题库编辑中，导入单选题、多选题、判断题、填空题，进行练习，具有做题进度记录功能。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（5）考核测评：针对期中、期末、考试的应用具有评分功能，可在题库编辑中导入考核题目、设置考试时间、设置科目及难度，开始考试前选择科目及难度进行考试。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（6）题库编辑：进入题库编辑中需要输入密码即可进入，题库编辑具有搜索，添加题目，添加科目、修改题目、删除题目、设置考核时间、批量导入题目等功能。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五、平台技术参数：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（1）正版授权，免费升级。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（2）平台具有四大特色功能：模拟练习、错题重做、模拟考试、考核测评。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（3）平台中包含新能源汽车技术专业等多课程训练、测试、考试、考核题目。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（4）平台分成训练、测试、考试、考核四大功能，任意进入其中一项功能，涵盖了初级、中级、高级三部分的题目内容，题目内容分为判断题、单选题、多选题、填空题等多种题目类型。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（5）平台中自带课程题目，可根据课程内容的要求录入新的测试题目，可进行批量导入题目，单题目修改等出多功能。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（6）可以通过本平台使用训练、测试功能对需学内容或所学内容进行课前预习与课后复习，平台会以得分的形式展现出成绩，答错的题目会出现正确答案，可以回顾错题，以便日后熟练掌握，提升成绩。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（7）通过本平台使用考试测评功能对学生进行测试，在线查看考试情况及成绩。本平台也可以作为考证的理论考核平台。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（8）平台使用具有题目保护性，为防止学生查看考核题目的正确答案，平台题库编辑功能需要输入密码才可以进入编辑界面。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（9）考核测评功能具有独立性，考核测评功能只针对于考核使用，具有独立的批量导入格式，例如一套试卷的导入，不参杂任何其他题目。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六、系统功能模块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（一）任务选择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1．项目选择：选择对应实训任务，进行任务实训。选择数量不受限制，可之选一个任务，也可多选任务。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2．故障设置：选择任务后，可对任务进行故障设置。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（二）实训任务：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1．车轮挡块：可对四个轮胎车轮挡块进行放置与收回。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2．车辆控制：可对车辆进行一键启动、电子驻车、换挡、加速、制动、转方向及鸣笛功能。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（三）任务功能：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1.车窗检查：检查内容包括驾驶员车窗与乘客车窗。可分别操作对应的4门车窗及后排车窗锁的功能。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2.后视镜检查：模拟实车，检查内容包括对左右后视镜进行上下左右调节；可折叠操作；可加热操作。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3.雨刮检查：模拟实车，检查内容包括1X、OFF、INT、LOW、HIGH、喷水等档位操作</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灯光检查：检查内容包括灯光开关（开启或关闭Auto档，示宽灯，大灯，前雾灯，后雾灯）、灯光组合开关（远光灯，近光灯，远近交替变换，左转向，右转向等）、阅读灯开关（阅读灯总开关，迎宾灯，车内灯光开关，副驾驶阅读灯）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5.遥控器检查：检查内容包含车门落锁、车门解锁、行李箱开关等功能。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6.动力蓄电池检查：动力蓄电池外观检查、动力蓄电池安装检查 、动力蓄电池高低压线束插头安装及外观检查、冷却管路检查、动力蓄电池铭牌信息检查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7.电驱动总成系统检查：电驱动总成系统外观、驱动电机安装支架及螺栓紧固情况检查、线束插头连接检查；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8.制动系统检查：制动片厚度的检查、制动系统螺栓紧固情况检查。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9.轮胎检查：轮胎压力检查、轮胎花纹深度检查。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10.油液检查：冷却液液位及冰点值检查、制动液液位及含水量检查。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11.仪器仪表等设备检查：包括车辆三件套、翼子板布、格栅布等防护产品放置；万用表、解码器、示波器、绝缘测试仪等仪器仪表检查；安全防护套装检查，如：安全帽、护目镜、绝缘鞋、绝缘手套等。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12.灭火器：可对场地水基灭火器、干粉灭火器进行检查。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13.检查内容可通过填写表格的形式提交。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14.线束插头及零部件检查：可实现对部分高低压插头外观及连接情况检查。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15.发动机检查：可对发动机各个零器件进行检查检查。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16.操作菜单与视角菜单可隐藏与展开；为展示操作直观性，操作菜单里的功能操作菜单可根据需求在桌面进行随意拖拽放置。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（四）系统白板功能：满足教师教学使用和学生在排故时的草稿记录需求。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1．画笔：包括硬笔和荧光笔两种使用需求，可对两种型号的笔进行粗细及颜色调节。尺寸不低于7种型号，颜色不低于8种颜色。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2．橡皮擦：可以书写内容进行擦除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3．形状：可选择箭头、方形、三角形等不低于5种形状选择。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4．清屏：可对屏幕书写内容一键清楚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5．撤销：撤销上一步操作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6．恢复：恢复上一步动作时状态内容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7．页码：可多页码书写，且可进行页码的自由切换。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（五）系统功能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1.模式选择：可以使用“教学模式、训练模式、考核模式”三种模式。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2.系统支持为手动设置故障点和自动组卷两种模式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3.自动组卷模式：系统根据已有故障点随机抽取并生成相对应的故障现象。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4.排故所需仪表仪器等工具：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4.1.万用表：可调节关闭、交流电压、直流电压、电阻、电容等档位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4.2.解码器：读取和清楚故障代码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5.故障点修复：为体现模拟排故的真实性，可对所有的故障点进行修复，并有提示已修复的数量。系统评分时会对多选的修复点进行扣分制。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6.电路图：使用统一电路图，可切换侧栏、显示文档大纲、显示缩略图、文档搜索、调节页面大小比例。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7.工具台：摆放绝缘鞋、安全帽、护目镜、绝缘手套、电流钳表、等点位测试仪、示波器、解码器等工具。可进行放大并旋转360度检查及修复功能。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8.选手报告单：项目内容包括：故障现象描述、通过分析得出故障可能原因、故障检修过程、故障点和故障类型确认、故障机理分析。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（六）排故功能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1.设备检查：可对故障诊断排除中所需的数字绝缘测试仪、绝缘垫绝缘性、数字万用表工具进行使用前的检查。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2.基本检查：可对车辆进行诊断前的基本检查，可完成低压蓄电池、冷却液液位、制动液液位、线束插头检查和数据记录。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3.整车工况：基于数据引擎驱动实现整车在不同工况下的动态数据。</w:t>
            </w:r>
            <w:r>
              <w:rPr>
                <w:rFonts w:hint="eastAsia" w:ascii="宋体" w:hAnsi="宋体" w:eastAsia="宋体" w:cs="宋体"/>
                <w:b/>
                <w:bCs/>
                <w:i w:val="0"/>
                <w:iCs w:val="0"/>
                <w:color w:val="auto"/>
                <w:kern w:val="0"/>
                <w:sz w:val="21"/>
                <w:szCs w:val="21"/>
                <w:u w:val="none"/>
                <w:lang w:val="en-US" w:eastAsia="zh-CN" w:bidi="ar"/>
              </w:rPr>
              <w:t>（验收时提供该功能的具有CMA标识的第三方检测机构出具的检测测试报告，报告中需明确写明对该项功能的检验检测）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4.整车运行数据引擎：基于数据引擎驱动，实现新能源汽车在不同工况下的数据动态显示、包含各器件的电压、电阻、数据流、故障码、故障现象数据。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5.车辆控制：模拟车辆的启动开关、制动踏板、加速踏板，可通过图标点击操作完成车辆的启动、加速、减速的车辆操作流程。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6.整车操作：可实现器件接插件的拔插检测等整车操作。</w:t>
            </w:r>
            <w:r>
              <w:rPr>
                <w:rFonts w:hint="eastAsia" w:ascii="宋体" w:hAnsi="宋体" w:eastAsia="宋体" w:cs="宋体"/>
                <w:b/>
                <w:bCs/>
                <w:i w:val="0"/>
                <w:iCs w:val="0"/>
                <w:color w:val="auto"/>
                <w:kern w:val="0"/>
                <w:sz w:val="21"/>
                <w:szCs w:val="21"/>
                <w:u w:val="none"/>
                <w:lang w:val="en-US" w:eastAsia="zh-CN" w:bidi="ar"/>
              </w:rPr>
              <w:t>（验收时提供该功能的具有CMA标识的第三方检测机构出具的检测测试报告，报告中需明确写明对该项功能的检验检测）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7.线束适配器：提供故障诊断检测线适配线仪器。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8.排故操作：老师可通过故障现象及故障码进行故障范围锁定，并进行对相应的器件、线路测量，最终找到故障点，进行故障修复并记录。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16、配套虚拟仿真实训教学中心平台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w:t>
            </w:r>
            <w:r>
              <w:rPr>
                <w:rFonts w:hint="eastAsia" w:ascii="宋体" w:hAnsi="宋体" w:eastAsia="宋体" w:cs="宋体"/>
                <w:b/>
                <w:bCs/>
                <w:i w:val="0"/>
                <w:iCs w:val="0"/>
                <w:color w:val="auto"/>
                <w:kern w:val="0"/>
                <w:sz w:val="21"/>
                <w:szCs w:val="21"/>
                <w:u w:val="none"/>
                <w:lang w:val="en-US" w:eastAsia="zh-CN" w:bidi="ar"/>
              </w:rPr>
              <w:t>产品首页</w:t>
            </w:r>
            <w:r>
              <w:rPr>
                <w:rFonts w:hint="eastAsia" w:ascii="宋体" w:hAnsi="宋体" w:cs="宋体"/>
                <w:b/>
                <w:bCs/>
                <w:i w:val="0"/>
                <w:iCs w:val="0"/>
                <w:color w:val="auto"/>
                <w:kern w:val="0"/>
                <w:sz w:val="21"/>
                <w:szCs w:val="21"/>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1.1.产品首页：产品首页显示已添加的软件产品、软件产品的任务看板、任务动态、成绩分布、任务评价、问题点等功能操作。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1.2.已添加的产品可实现产品激活、产品运行、置顶、删除等功能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1.3.产品激活/运行：可输入激活码进行产品激活，产品激活后可点击运行后系统会自动校验产品文件，若未下载或需要产品更新，系统会自动进行产品更新。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1.4.任务看板可对该产品下属的班级及班级的实训任务进行选择，选择后显示该任务的任务状态、任务时长、任务类型、创建时间、完成率、参与人数、未开始人数、最高分、平均分、合格率等。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1.5.可对查询的任务进行任务发布、任务结束、任务删除等功能操作。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w:t>
            </w:r>
            <w:r>
              <w:rPr>
                <w:rFonts w:hint="eastAsia" w:ascii="宋体" w:hAnsi="宋体" w:eastAsia="宋体" w:cs="宋体"/>
                <w:b/>
                <w:bCs/>
                <w:i w:val="0"/>
                <w:iCs w:val="0"/>
                <w:color w:val="auto"/>
                <w:kern w:val="0"/>
                <w:sz w:val="21"/>
                <w:szCs w:val="21"/>
                <w:u w:val="none"/>
                <w:lang w:val="en-US" w:eastAsia="zh-CN" w:bidi="ar"/>
              </w:rPr>
              <w:t>用户管理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2.1.多点登录：可以使用账户密码在安卓、鸿蒙、ISO、windows系统上进行登录。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2.2.重置密码：为减轻老师管理的工作量，学生在忘记密码的情况下，可以通过预设手机号码，申请验证码来重置和更新密码。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2.3.用户角色：平台具有教师角色、学生角色。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2.4.权限管理：根据不同角色，授予不同使用权限和功能。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2.5.教师用户：有创建班级、发布实训任务、查询实训成绩等功能。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2.6.学生用户：有加入班级、提交实训成绩、查询实训成绩等功能。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2.7.班级管理：教师在软件中可创建或编辑班级信息。进行日常的班级维护。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2.8.班级邀请码：老师可以通过平台组建虚拟班级，让学生可以加入一个或多个虚拟班级来进行不同的实训内容，也可以通过虚拟班级进行对抗训练等等教学模式来提升学生实训学习的兴趣。</w:t>
            </w:r>
            <w:r>
              <w:rPr>
                <w:rFonts w:hint="eastAsia" w:ascii="宋体" w:hAnsi="宋体" w:eastAsia="宋体" w:cs="宋体"/>
                <w:b/>
                <w:bCs/>
                <w:i w:val="0"/>
                <w:iCs w:val="0"/>
                <w:color w:val="auto"/>
                <w:kern w:val="0"/>
                <w:sz w:val="21"/>
                <w:szCs w:val="21"/>
                <w:u w:val="none"/>
                <w:lang w:val="en-US" w:eastAsia="zh-CN" w:bidi="ar"/>
              </w:rPr>
              <w:t>（验收时提供该功能的具有CMA标识的第三方检测机构出具的检测测试报告，报告中需明确写明对该项功能的检验检测）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实训管理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3.1.任务管理：教师可根据课程要求，在软件中完成实训任务的创建和编辑，然后进行任务发布，系统可显示任务的状态数据。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3.2.任务看板：展示一个任务的参与学生情况、班级成绩分布。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3.3.任务创建：可以创建实训任务。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3.4.任务编辑：可以对创建好的任务进行重新编辑，编辑后可以再次提及。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3.5.任务发布：可以将创建好的任务进行发布给学生。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3.6.任务结束：可以将以发布的任务进行结束。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3.7.任务成绩：可以查看班级实训任务成绩汇总，老师可下载做学生的平时分，也可通过数据接口传输至学校的管理平台。</w:t>
            </w:r>
            <w:r>
              <w:rPr>
                <w:rFonts w:hint="eastAsia" w:ascii="宋体" w:hAnsi="宋体" w:eastAsia="宋体" w:cs="宋体"/>
                <w:b/>
                <w:bCs/>
                <w:i w:val="0"/>
                <w:iCs w:val="0"/>
                <w:color w:val="auto"/>
                <w:kern w:val="0"/>
                <w:sz w:val="21"/>
                <w:szCs w:val="21"/>
                <w:u w:val="none"/>
                <w:lang w:val="en-US" w:eastAsia="zh-CN" w:bidi="ar"/>
              </w:rPr>
              <w:t>（验收时提供该功能的具有CMA标识的第三方检测机构出具的检测测试报告，报告中需明确写明对该项功能的检验检测）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3.8.任务查询：学生登入平台后，在通过任务查询功能，查看到教师发布的实训任务。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3.9.开始任务：学生登入平台后，获取教师发布的实训任务，并开始实训任务。</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3.10.成绩提交：学生完成教师发布的实训任务后，将成绩提交至平台。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3.11.成绩详情：可以查询单个学生实训任务的详细信息，包操作步骤信息、实训记录信息等。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概述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4.1.产品删除：为保障数据安全性，删除产品后，产品数据自动隐藏，下次再次添加该产品，历史数据自动显示，老师可通过管理后台真实的删除数据。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电动汽车整车CAN控制实训台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产品参数如下：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1、电动汽车CAN总线网络系统(包括仪表、电动车窗系统、中控门锁、钥匙)，真实可运行操作,展示系统结构和原理、工作过程。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2、设备安装有点火开关、仪表、电动车窗系统、中控门锁、钥匙、工况指示灯、电源开关等，CAN系统正常通讯工作。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3、设备安装有诊断座，可连接故障检测仪，对电控系统进行读取故障码、清除故障码、读取数据流等自诊断功能。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4、采用DC12V电源装置，减少充电的麻烦，电源有防短路功能。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5、面板采用4mm厚铝塑板，立式安装面板UV平板喷绘打印有彩色图板；学员可直观对照图板和实物，认识和分析系统的工作原理。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6、面板上安装有检测端子、可直接在面板上检测系统电路元件的电信号，如电阻、电压、电流、频率信号等。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7、设备框架采用40mm×40mm一体化全铝合金型材搭建，耐油耐腐蚀并易于清洁，台面宽40cm,台面铺装32mm厚彩色高密度复合板,经久耐用不生锈，带4个带自锁装置万向脚轮，便于移动。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8、配套实训(实验)指导书等教学资料，包含工作原理、实训项目、故障设置及分析等要点说明。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9、安装安全保护装置：急停开关、机械式电源总开关、维修开关、转动部位防护保护罩、高压安全防护装置与警告提示。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10、配备智能化故障设置和考核系统。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11、设备技术参数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（1）电源：DC12V：主要用于操作面板，与汽车保持相同的电压。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（2）故障设置类型：开路故障，16个开路故障设置点。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（3）设备使用环境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①环境温度：-10℃～60℃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②环境湿度：小于90%HR。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12、技术规格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（1）外形尺寸</w:t>
            </w:r>
            <w:r>
              <w:rPr>
                <w:rFonts w:hint="eastAsia" w:ascii="宋体" w:hAnsi="宋体" w:eastAsia="宋体" w:cs="宋体"/>
                <w:color w:val="auto"/>
                <w:sz w:val="21"/>
                <w:szCs w:val="21"/>
                <w:highlight w:val="none"/>
                <w:lang w:val="en-US" w:eastAsia="zh-CN"/>
              </w:rPr>
              <w:t>（mm）：</w:t>
            </w:r>
            <w:r>
              <w:rPr>
                <w:rFonts w:hint="eastAsia"/>
                <w:color w:val="auto"/>
                <w:highlight w:val="none"/>
                <w:lang w:val="en-US" w:eastAsia="zh-CN"/>
              </w:rPr>
              <w:t>≤</w:t>
            </w:r>
            <w:r>
              <w:rPr>
                <w:rFonts w:hint="eastAsia" w:ascii="宋体" w:hAnsi="宋体" w:eastAsia="宋体" w:cs="宋体"/>
                <w:color w:val="auto"/>
                <w:sz w:val="21"/>
                <w:szCs w:val="21"/>
                <w:highlight w:val="none"/>
                <w:lang w:val="en-US" w:eastAsia="zh-CN"/>
              </w:rPr>
              <w:t>2040×650×1800mm(长×宽×高)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（2）移动脚轮：</w:t>
            </w:r>
            <w:r>
              <w:rPr>
                <w:rFonts w:hint="eastAsia"/>
                <w:color w:val="auto"/>
                <w:highlight w:val="none"/>
                <w:lang w:val="en-US" w:eastAsia="zh-CN"/>
              </w:rPr>
              <w:t>≥</w:t>
            </w:r>
            <w:r>
              <w:rPr>
                <w:rFonts w:hint="eastAsia" w:ascii="宋体" w:hAnsi="宋体" w:eastAsia="宋体" w:cs="宋体"/>
                <w:color w:val="auto"/>
                <w:sz w:val="21"/>
                <w:szCs w:val="21"/>
                <w:highlight w:val="none"/>
                <w:lang w:val="en-US" w:eastAsia="zh-CN"/>
              </w:rPr>
              <w:t>100*60mm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（3）工作温度：-40℃～+50℃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（4）工作电源：DC12V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（5）输入电源：AC220V±10% 50Hz</w:t>
            </w:r>
            <w:r>
              <w:rPr>
                <w:rFonts w:hint="eastAsia" w:ascii="宋体" w:hAnsi="宋体" w:eastAsia="宋体" w:cs="宋体"/>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13、基本配置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仪表（带CAN通讯）、左前车窗电机、右前车窗电机、左前锁块、右前锁块、左后车窗电机、左后锁块、电源总开关、右后车窗电机、右后锁块、室内保险丝盒BCM（带CAN通讯）、网关电脑、车窗组合开关（带CAN通讯）、一键启动电源开关、诊断座、智能钥匙控制单元（带CAN通讯）、转向轴锁控制单元（带CAN通讯）、探测天线(前后天线、左右前门开线、室内天线)、刹车开关、DC12开关电源、一体化全铝合金型材搭建的移动台架(带自锁脚轮装置，带安装检测端子的原理面板）、故障设置和考核系统、设备操作说明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14、新能源汽车电子电器仿真课程（CAN控制）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一、系统运行环境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1.1操作系统兼容性：在 Windows7、Windows8 以及 Windows10 等多种 Windows 操作系统版本上均能实现稳定、流畅的运行。经过严格测试与优化，确保在不同系统环境下，软件的核心功能、界面显示、数据处理以及交互响应等方面均无异常卡顿、闪退或兼容性故障。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1.2硬件适配性：对计算机硬件具有广泛的适配能力，最低配置要求为英特尔酷睿 i3 处理器或同等性能水平的 AMD 处理器，4GB 及以上内存，200GB 可用硬盘空间，集成显卡具备 1GB 以上显存（推荐独立显卡以获得更优视觉效果）。在满足最低配置的基础上，软件能够根据硬件性能自动调整图形渲染质量、数据加载速度等参数，以平衡系统资源占用与运行效果，在高端硬件配置下则可充分发挥其全部性能潜力，展现出更为精细逼真的虚拟实验场景与流畅的操作反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二、虚拟现实引擎应用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采用行业领先的虚拟现实引擎技术，在虚拟实验环境构建方面实现高度的真实感与沉浸感。通过对汽车电子电器实验箱及相关实验场景的高精度三维建模与物理模拟，用户在电脑端操作时仿佛置身于真实的实验室环境之中，能够直观地观察到实验设备的外观细节、内部电路结构以及实验过程中的各种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借助虚拟现实引擎强大的交互功能，用户可通过鼠标、键盘对虚拟实验设备进行全方位、多角度的操作，如电路元件的选取、连接、仪器仪表的操作等，操作方式与真实实验高度一致且反馈及时准确，有效提升用户的操作技能训练效果与学习积极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2.3配套实训软件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（1）软件首页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软件首页：展示仿真软件名称以及对应设备实物样貌，软件首页左侧菜单栏可以查看实验项目名称，首页具备最小化、缩放、关闭界面等功能按键；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验项目内容：包括电工电路连接与检测、电子电路连接与检测、集成电路连接与检测三大标题模块，标题模块下的子菜单包含汽车大灯基本电路连接与检测、汽车大灯并联电路连接与检测、汽车大灯串联电路连接与检测等实验模块，总实验项目不少于11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（2）实验模块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实验界面：显示对应实验具体名称，并有步骤文字提示框，方便了解实验下一步操作且提示的线束或零部件会有闪烁提示；跳过线路连接：点击跳过线路连接按键可以一键跳过实验的连接过程从而查看实验结果，可长按鼠标右键旋转实验箱各角度进行观察，也可以滚动鼠标滚轮缩放实验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测量诊断模块：包含电位测量、电流测量、故障诊断三大模块，点击电位测量模块可以实验万用表进行测量，万用表调节至合适档位并测量端口后显示对应数值；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三、具体技术参数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主界面共分为三大模块：“电工电路连接与检测”、“电子电路连接与检测”、“集成电路连接与检测”。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3.1实验模块具体分类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（一）电工电路连接与检测模块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①汽车大灯基本电路连接与检测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②汽车大灯并联电路连接与检测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③汽车大灯串联电路连接与检测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④汽车大灯混联电路连接与检测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⑤继电器控制汽车大灯电路连接与检测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⑥直流电动机正反转电路连接与检测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（二）电子电路连接与检测模块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①带二极管控制汽车大灯电路连接与检测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②晶体管控制汽车大灯电路连接与检测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③晶体管控制汽车大灯明暗电路连接与检测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（三）集成电路连接与检测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①集成运算放大器控制汽车大灯电路连接与检测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②集成逻辑门控制汽车大灯电路连接与检测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3.2模块功能展示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①语音提示：点击任意实验进入后，会出现背景提示音提示下一步所需操作步骤；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②工具使用：实验操作所需工具或线束，会显示红色闪烁，使用鼠标左键可拖动；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③文字提示：界面左侧会出现文字提示框，提示下一步所需操作步骤；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④视角调节：长按鼠标右键可以360°自由调节观察角度；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⑤实验现象：根据提示完成正确的操作步骤，会显示对应实验的实验现象；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⑥电位测量：实验线路连接正确后，根据提示使用万用表对所需点位进行电位测量；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⑦电流测量：实验线路连接正确后，根据提示使用万用表对所需点位进行电流测量；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lang w:val="en-US" w:eastAsia="zh-CN"/>
              </w:rPr>
            </w:pPr>
            <w:r>
              <w:rPr>
                <w:rFonts w:hint="eastAsia" w:ascii="宋体" w:hAnsi="宋体" w:eastAsia="宋体" w:cs="宋体"/>
                <w:color w:val="auto"/>
                <w:sz w:val="21"/>
                <w:szCs w:val="21"/>
                <w:lang w:val="en-US" w:eastAsia="zh-CN"/>
              </w:rPr>
              <w:t>⑧故障诊断：实验线路连接正确后，根据提示取出故障诊断线束更换对应线束，随后再使用万用表对所需诊断点位进行诊断。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混合动力整车CAN控制实训台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产品参数如下：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混合动力</w:t>
            </w:r>
            <w:r>
              <w:rPr>
                <w:rFonts w:hint="eastAsia" w:ascii="宋体" w:hAnsi="宋体" w:eastAsia="宋体" w:cs="宋体"/>
                <w:color w:val="auto"/>
                <w:sz w:val="21"/>
                <w:szCs w:val="21"/>
                <w:lang w:val="en-US" w:eastAsia="zh-CN"/>
              </w:rPr>
              <w:t>汽车CAN总线网络系统(包括仪表、电动车窗系统、中控门锁、钥匙)，真实可运行操作,展示系统结构和原理、工作过程。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2、设备安装有点火开关、仪表、电动车窗系统、中控门锁、钥匙、工况指示灯、电源开关等,CAN系统正常通讯工作。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3、设备安装有诊断座，可连接故障检测仪，对电控系统进行读取故障码、清除故障码、读取数据流等自诊断功能。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4、采用DC12V电源装置，减少充电的麻烦，电源有防短路功能。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5、面板采用4mm厚铝塑板，立式安装面板UV平板喷绘打印有彩色图板；学员可直观对照图板和实物，认识和分析系统的工作原理。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6、面板上安装有检测端子、可直接在面板上检测系统电路元件的电信号，如电阻、电压、电流、频率信号等。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7、设备框架采</w:t>
            </w:r>
            <w:r>
              <w:rPr>
                <w:rFonts w:hint="eastAsia" w:ascii="宋体" w:hAnsi="宋体" w:eastAsia="宋体" w:cs="宋体"/>
                <w:color w:val="auto"/>
                <w:sz w:val="21"/>
                <w:szCs w:val="21"/>
                <w:highlight w:val="none"/>
                <w:lang w:val="en-US" w:eastAsia="zh-CN"/>
              </w:rPr>
              <w:t>用40mm×40mm一体化全铝合金型材搭建，耐油耐腐蚀并易于清洁，台面宽≥</w:t>
            </w:r>
            <w:r>
              <w:rPr>
                <w:rFonts w:hint="eastAsia" w:ascii="宋体" w:hAnsi="宋体" w:eastAsia="宋体" w:cs="宋体"/>
                <w:i w:val="0"/>
                <w:iCs w:val="0"/>
                <w:color w:val="auto"/>
                <w:kern w:val="0"/>
                <w:sz w:val="21"/>
                <w:szCs w:val="21"/>
                <w:highlight w:val="none"/>
                <w:u w:val="none"/>
                <w:lang w:val="en-US" w:eastAsia="zh-CN" w:bidi="ar"/>
              </w:rPr>
              <w:t>40cm</w:t>
            </w:r>
            <w:r>
              <w:rPr>
                <w:rFonts w:hint="eastAsia" w:ascii="宋体" w:hAnsi="宋体" w:eastAsia="宋体" w:cs="宋体"/>
                <w:color w:val="auto"/>
                <w:sz w:val="21"/>
                <w:szCs w:val="21"/>
                <w:highlight w:val="none"/>
                <w:lang w:val="en-US" w:eastAsia="zh-CN"/>
              </w:rPr>
              <w:t>,台面铺装≥32mm厚彩</w:t>
            </w:r>
            <w:r>
              <w:rPr>
                <w:rFonts w:hint="eastAsia" w:ascii="宋体" w:hAnsi="宋体" w:eastAsia="宋体" w:cs="宋体"/>
                <w:color w:val="auto"/>
                <w:sz w:val="21"/>
                <w:szCs w:val="21"/>
                <w:lang w:val="en-US" w:eastAsia="zh-CN"/>
              </w:rPr>
              <w:t>色高密度复合板,经久耐用不生锈，带4个带自锁装置万向脚轮，便于移动。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8、配套实训(实验)指导书等教学资料，包含工作原理、实训项目、故障设置及分析等要点说明。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9、安装安全保护装置：急停开关、机械式电源总开关、维修开关、转动部位防护保护罩、高压安全防护装置与警告提示。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10、配备智能化故障设置和考核系统。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11、设备技术参数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（1）电源：DC12V：主要用于操作面板，与汽车保持相同的电压。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（2）故障设置类型：开路故障，16个开路故障设置点。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（3）设备使用环境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①环境温度：-10℃～60℃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②环境湿度：小于90%HR。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12、技术规格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（1）外形尺寸（m</w:t>
            </w:r>
            <w:r>
              <w:rPr>
                <w:rFonts w:hint="eastAsia" w:ascii="宋体" w:hAnsi="宋体" w:eastAsia="宋体" w:cs="宋体"/>
                <w:color w:val="auto"/>
                <w:sz w:val="21"/>
                <w:szCs w:val="21"/>
                <w:highlight w:val="none"/>
                <w:lang w:val="en-US" w:eastAsia="zh-CN"/>
              </w:rPr>
              <w:t>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2040×650×1800mm(长×宽×高)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（2）移动脚轮：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100*60mm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（3）工作温度：-40℃～+50℃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（4）工作电源：DC12V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（5）输入电源：AC220V±10% 50Hz</w:t>
            </w:r>
            <w:r>
              <w:rPr>
                <w:rFonts w:hint="eastAsia" w:ascii="宋体" w:hAnsi="宋体" w:eastAsia="宋体" w:cs="宋体"/>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13、基本配置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color w:val="auto"/>
                <w:sz w:val="21"/>
                <w:szCs w:val="21"/>
                <w:lang w:val="en-US" w:eastAsia="zh-CN"/>
              </w:rPr>
              <w:t>仪表（带CAN通讯）、左前车窗电机、右前车窗电机、左前锁块、右前锁块、左后车窗电机、左后锁块、电源总开关、右后车窗电机、右后锁块、室内保险丝盒BCM（带CAN通讯）、网关电脑、车窗组合开关（带CAN通讯）、一键启动电源开关、诊断座、智能钥匙控制单元（带CAN通讯）、转向轴锁控制单元（带CAN通讯）、探测天线(前后天线、左右前门开线、室内天线)、刹车开关、DC12开关电源、一体化全铝合金型材搭建的移动台架</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带自锁脚轮装置，带安装检测端子的原理面板）、故障设置和考核系统、设备操作说明书。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CAN分析仪</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产品参数如下：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USB与CAN总线的协议转换。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2、具备2个CAN接口，两路高速CAN。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3、USB 接口支持 USB3.0、USB2.0，兼容 USB1.1。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 CAN2.0A 和 CAN2.0B 协议，支持标准帧和扩展帧；支持数据帧和远程帧格式。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5、支持双向传输，CAN 发送和 CAN 接收。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6、波特率在 10Kbps-1Mbps 之间可选，可以软件配置。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7、两路 CAN 总线接口采用高速磁藕隔离、双隔离 DC-DC 电源；三端全隔离（USB 总线与两路 CAN 总线之间分别隔离、CAN1 与 CAN2 之间完全隔离）。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8、隔离电压等级：3000V。</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9、CAN1 通道内置 GDT 陶瓷放电管，可有效释放浪涌电流。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10、两路 CAN 通道内置共模线圈/共模电感，抑制共模干扰，大大提高抗干扰能力。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11、支持中继功能，透明传输功能，CAN1 与 CAN2 之间 2500V 隔离。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12、流量：两个 CAN 通道（同时运行时）分别达到接收 8500 帧/s，发送 8500 帧/s。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13、USB 总线直接供电，无需外部电源。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14、工作温度：-40～85℃。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15、产品兼容性：函数库兼容国内外主流厂家 USBCAN 接口适配器。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16、系统支持：支持 win11/win10/win8/win7/xp（64bit/32bit）。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17、可以利用提供的 USB_CAN Tool工具软件，直接进行 CAN 总线的配置，发送和接收。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18、协议支持：汽油车ISO 15765协议的解析、CANOpen、J1939、DeviceNet。硬件支持：高速CAN、低速容错CAN、单线CAN 。CANalyst-II分析仪可以利用提供的CANTools工具软件，直接进行CAN总线的配置，发送和接收。用户也可以参考提供的DLL动态连接库、VC/VB例程编写自己的应用程序，方便的开发出CAN系统应用软件产品。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19、支持DBC协议解析与发送：每个CAN通道都可以独立支持车载DBC协议解析和DBC发送功能进行车辆CAN协议解析、车辆测试维修和破解车辆CAN协议等。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脱机中继功能：灵活方便的可编辑中继功能，可在2路通道实现将接收到的特定数据修改后从另一个通道转发增加网络通信距离操作简便易上手、简便操作的波特率设置，只需在下拉列表中选择，波特率可全范围自动侦测。人性化滤波设置，可轻松应对复杂的滤波合并同类ID，深入浅出功能让客户更便捷易上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21、自主开发的专用于USB CAN调试的CANTOOL应用软件，软件中包含了多种复杂实用的功能，公开源代码更能完成复杂应用。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22、远程优化升级：支持芯片CAN总线升级固件键远程软件、固件在线升级。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color w:val="auto"/>
                <w:sz w:val="21"/>
                <w:szCs w:val="21"/>
                <w:lang w:val="en-US" w:eastAsia="zh-CN"/>
              </w:rPr>
              <w:t>23、支持二次开发：CANalyst-1分析仪可支持各类开发环境，如C++、C#、Python、Labview等主流开发环境，提供高效易用的二次开发函数库，同时提供丰富的二次开发样例参考完整demo源码，用户只需在样例工程基础上进行简单修改，即可完成大多数工况需要，大幅缩短用户开发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新能源汽车动力电池PACK装调实训平台</w:t>
            </w:r>
          </w:p>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cs="宋体"/>
                <w:b/>
                <w:bCs/>
                <w:szCs w:val="21"/>
                <w:lang w:val="en-US" w:eastAsia="zh-CN"/>
              </w:rPr>
              <w:t>（核心产品）</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一、产品参数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采用新能源汽车量产磷酸铁锂动力电池，单体电池标称电压3.2V，容量27Ah，电池安全稳定。动力电池组采用24节单体电池串联，电池组额定电压76.8V，可动态监测电池组总压、充放电电流、电池组温度及每个单节电池电压，同时实现电池组SOC估算、充放电有效控制及故障报警功能，实训台配备大功率电气加载装置，可以通过挡位开关选择不同的负荷，动力电池组表面覆盖5mm厚透明亚克力板，清晰展示动力电池组线路连接主板不少2mm冷轧钢板，台架采用拼接结构，大方美观，多组色彩搭配，配备多抽屉结构，大空间储存柜，方便工具及零部件收纳摆放，台架配有，拆装工具，检测工具专用仪表仪器，满足对电池模组拆装，均衡，放电，充电，测试功能，可做试验，(模组拆装、模组均衡采集、故障测试、故障修复、充电检测、放电检测、高压PEU组件连接、模组高压连接、高压互锁系统训练、充电系统测试、整车放电测试、CAN报文读取、软件测试、硬件测试、故障分析检测、传感器测试、配备CAN报文检测平台，数据发送解析软件，加密信息解读，数据指令读取与检测，绝缘护具，绝缘工具，拆装工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二、产品组成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实训台由磷酸铁锂电池箱采用标准原车电池pack工艺拼装、电池管理系统（BMS）、智能车载充电机（OBC)、DC/DC转换模块、充电继电器、放电继电器、预充继电器、预充电阻、手动维修开关（MSD）、霍尔电流传感器、点火开关、运行管理机、国标模式2充电枪、国标交流充电座、12V电源，负载电阻，风扇，pcb采集板等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三、产品特点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1.系统配备</w:t>
            </w:r>
            <w:r>
              <w:rPr>
                <w:rFonts w:hint="eastAsia" w:ascii="宋体" w:hAnsi="宋体" w:eastAsia="宋体" w:cs="宋体"/>
                <w:color w:val="auto"/>
                <w:sz w:val="21"/>
                <w:szCs w:val="21"/>
                <w:highlight w:val="none"/>
                <w:lang w:val="en-US" w:eastAsia="zh-CN"/>
              </w:rPr>
              <w:t>至少43寸</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以上</w:t>
            </w:r>
            <w:r>
              <w:rPr>
                <w:rFonts w:hint="eastAsia" w:ascii="宋体" w:hAnsi="宋体" w:eastAsia="宋体" w:cs="宋体"/>
                <w:sz w:val="21"/>
                <w:szCs w:val="21"/>
                <w:lang w:val="en-US" w:eastAsia="zh-CN"/>
              </w:rPr>
              <w:t>运行管理机，可以动态观察电池组电压，充放电电流、电池组温度、SOC、继电器闭合状态、充电状态(CC、 CP)、绝缘检测、单体电压、总电压等数据信息，可通过触控显示屏读取BMS系统参数，可对BMS系统告警/保护参数进行修改，模拟系统一级告警、二级保护等信息变化状态。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2.系统配备智能车载充电机（OBC)，充电机通过CAN协议与BMS通信，连接充电枪后检测CC、CP状态系统自检OK后闭合充电正极接触器闭合，充电机根据BMS实时状态信息进行恒流充电，BMS对充电过程进行实时在线监测。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3.电池箱高压连接采用高压插件，系统设计回路互锁，系统运行时拔动维修开关或任何插头可立及切断继电器；断开外部电力输送；保证操作安全性。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4.BMS内部电路设计被动式均衡，使得系统中电池剩余能量趋于一致，延长电池使用寿命，增加设备使用率。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5.动力电池箱上盖设计透明亚克力板，清晰展示动力电池组线路连接，每颗电池都标有对应的序号，线路采集线有线标标识；可直观了解采集线路连接方式。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四、整体结构：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1.动力电池系统配件附有零件名称，并且每个部件可以了解该部件的信息参数、工作原理、检测、安装方法。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1.1电池设备台架：台架电池包可进行拆卸、安装，电池包组装完成后可以配合设备台架设置故障及诊断等功能，故障情况可在上位机检测软件中显示具体情况；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1.2BMS管理系统：需包括主从机结构、继电器、预充继电器、预充电阻、航空插头、保险带座、接头、维修开关、烟雾报警系统、绝缘检测、上位机检测软件等；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1.3BMS设故模块：要求配备不少于4层PCB电路板，车规级防水接插件链接，设置不少于68路故障，配备双端检测功能不少于136个，配备CAN报文检测平台，数据发送解析软件，绝缘护具，绝缘工具等；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2.设备主体要求采用整体结构设计，主体外壳采用厚冷轧板，严格按钣金加工工艺操作，经酸洗、喷塑、丝印；主体框架采用钢结构焊接，表面采用防静电喷涂工艺处理，配置带锁止功能的万向静音脚轮。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3.系统采用多层抽屉，工具储物柜，多分层结构，配备多种检测工具、测量仪表、均衡仪器等。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4.主要配件和功能要求：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要求配备满足动力电池组装调试模块调装使用物料的供给零部件，包括：单体电芯、接触器、预充电阻、动力电池模组安装支架、数据采集器、电池管理器、直流和交流快速接口、车载充电机、高压线缆、电压线束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4.2.主要部件安装在平台上，电气连接方式与实车相同，可以方便拆卸，让学员在拆装连线过程掌握高压系统零部件拆装要点和安全保护；提供课件，讲述各主要零部件功能和引脚定义。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4.3.动力电池包半透明设计，便于学员观察电池内部结构和原位直接测量，电池底板、固定件、采样安装件系统等加工定制，配套制作数字模型，展示，操作，方便演示拆装pake工艺展示。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4.4.实训台配放电模块，模仿车辆能量消耗过程，放电电流大小可以选择。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4.5.系统可通过国标模式充电，可正常为电池充电。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4.5.1.单体电芯24个：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额定容量：27ah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标称电压：3.2V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重量：0.81kg(±10g)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最大连续充电电流：20A 1.0C充电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最大连续放电电流：100A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放电终止电压：2.5V 保护下限不低于2.0V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工作温度：充电-10^45 放电-20~60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4.5.2.直流继电器8个：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含预充直流继电器、主正直流继电器、主负直流继电器、慢充直流继电器、系统供电直流继电器、快充直流继电器、冷却直流继电器、加热直流继电器等多种控制逻辑。系统定制文件，技术手册，逻辑软件，报文解析工具，通讯协议现场解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4.5.3.霍尔传感器1个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电源电压：+5V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精度：±1%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绝缘电压：在原边与副边电路之间：5KV有效值/50Hz/1分钟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失调电压：当原边电流IN=0时,最大值：+25mV或0.02mA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温漂(-25.C..+75×C)：最大值：≤+0.08%/°C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频率范围：0-50KHz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工作温度：-25C-+70°C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4.5.4.DC-DC转换器1个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输入电压：72v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输出电压：13.8V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输出电流：25A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负载率：98%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工作环境温度：-20-+50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绝缘电阻：大于100兆欧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测试漏电流：小于0.75mA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输入输出关系：隔离型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4.5.5.车载充电机1个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五阶段充电模块，充满自动切断、模式自动切换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型号：24串磷酸铁锂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输出电压：72V</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输入：180-250-50/60Hz</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输出电流：20A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通讯：CAN 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辅助电源≤12V3A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散热方式：风冷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防护等级：IP65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4.5.6.预充电阻1个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电阻阻值：100Ω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电阻功率：100W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电阻器类别：绕线式电阻器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封装材料：工业铝材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引出接线：铁氟龙高温线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五、动力</w:t>
            </w:r>
            <w:r>
              <w:rPr>
                <w:rFonts w:hint="eastAsia" w:ascii="宋体" w:hAnsi="宋体" w:cs="宋体"/>
                <w:b/>
                <w:bCs/>
                <w:sz w:val="21"/>
                <w:szCs w:val="21"/>
                <w:lang w:val="en-US" w:eastAsia="zh-CN"/>
              </w:rPr>
              <w:t>蓄</w:t>
            </w:r>
            <w:r>
              <w:rPr>
                <w:rFonts w:hint="eastAsia" w:ascii="宋体" w:hAnsi="宋体" w:eastAsia="宋体" w:cs="宋体"/>
                <w:b/>
                <w:bCs/>
                <w:sz w:val="21"/>
                <w:szCs w:val="21"/>
                <w:lang w:val="en-US" w:eastAsia="zh-CN"/>
              </w:rPr>
              <w:t>电池装调智能管理系统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可实现动力蓄电池的装配与调试、单体电池的装配与测量、电池模组的分装与测量、直流充电接口的装配与测量、交流充电接口的装配与测量、动力电池管理器参数的标定、SOC/SOH的监测、数据流读取、故障码读取、软件由定制项目制作软件组成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动力蓄电池分装工作区功能要求可实现单体电池的分档、单体电压和内阻测试、电池模组的组装、高压连接器安装、BCU的安装、BSU的安装、直流充电接口装配、交流充电接口装配、维修开关的装配、接触器的装配、放电装置的装配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.BMS电池管理系统带被动均衡功能，6路开关控制保护（单体断线、短路、过压、欠压、过流、过温），与充电机CAN通讯，通过BMS控制车载充电机工作，估算SOC(荷电状态)等。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.动力蓄电池通电调试区要求：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.1.数据读取要求：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要求通过人机交互界面≥43寸显示屏对动力电池管理系统实训台进行图形化控制。包含动力电池组电压、电流、温度、内阻、SOH、SOC、高压互锁状态等。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.2.系统自检要求：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符合真实车辆启动工作过程。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.3.参数标定要求：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（1）课程中心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①理论模式内置丰富的视频资源与文本资源，资源为软件自带资源，同时可以进行资源的添加以及删减；视频播放时可暂停，可全屏，可调整音量，屏幕右侧显示课程资源名称,视频资源具有循环播放功能。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②软件具有资源添加功能，支持视频、文本、图片、flash等格式。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③本地资源内置依据本产品定制开发视屏资源，包含电池单体筛选、电池模组成组、电池内接线线束和传感器安装、配电箱内线束和附件安装及电池管理系统参数检查与充放电测试。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资源包含电池结构原理，资源内包含铅酸电池、磷酸铁锂电池、三元锂电池以及镍氢电池四种类型电池，可通过操作进行各电池结构爆炸分解和合并，同时每个分解部分对应显示其名称；除此以外，每种类型电池还配有原理动画演示功能，将单体电池充放电原理通过彩色动画形式表现出来，使学员一目了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⑤本地资源还包含Flash形式交流充电及预充上电、视频形式的电池包拆解动画、PPT形式的动力电池单体认知及电池成组技术和电池管理系统(BMS)作用原理认知；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（2）实训中心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训模式界面图形化动态显示动力电池组总电压、电池均温、单体电池电压、单体电池最高电压、单体电池最低电压、单体电池温度、单体电池最高温度、单体电池最低温度、电流、SOC等数据信息。电池单体信息分为四个模组，可在四个模组之间切换显示；同时软件与下位机实时通讯和监控，将下位机的异常故障上报故障问题以及数据流信息，可以通过提示的故障以及查看数据流信息进行判断故障原因和位置，从而排除故障，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查看数据流界面可查看的数据包含</w:t>
            </w:r>
            <w:r>
              <w:rPr>
                <w:rFonts w:hint="eastAsia" w:ascii="宋体" w:hAnsi="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default" w:ascii="宋体" w:hAnsi="宋体" w:eastAsia="宋体" w:cs="宋体"/>
                <w:b/>
                <w:bCs/>
                <w:sz w:val="21"/>
                <w:szCs w:val="21"/>
                <w:lang w:val="en-US" w:eastAsia="zh-CN"/>
              </w:rPr>
            </w:pPr>
            <w:r>
              <w:rPr>
                <w:rFonts w:hint="eastAsia" w:ascii="宋体" w:hAnsi="宋体" w:eastAsia="宋体" w:cs="宋体"/>
                <w:sz w:val="21"/>
                <w:szCs w:val="21"/>
                <w:lang w:val="en-US" w:eastAsia="zh-CN"/>
              </w:rPr>
              <w:t>①属性：系统的总电压、总电流、SOC、系统运行状态、充电枪链接状态、充电状态、充电枪充电模式和状态、绝缘正阻值、绝缘负阻值、CC电阻值、CC2电阻值、电池温差、CP占空比、总正继电器状态、总负继电器状态、预充继电器状态、慢充继电器状态、放电继电器状态、高压互锁状态、与整车通讯状态、充电机通讯状态、交流充电枪座温度、电池容量</w:t>
            </w:r>
            <w:r>
              <w:rPr>
                <w:rFonts w:hint="eastAsia" w:ascii="宋体" w:hAnsi="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护以下参数三级阀值：总压过高、总压过低、单体过高、单体过低、放电过温、放电低温、充电高温、充电低温、压差过大、温差过大、放电电流、充电电流、SOC过低、绝缘过低，同时显示保护参数是否正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电池调试在电池调试模块中可对电池电压、电池温度进行数值调试。可对24节电池中单个电池电压进行数值设置，也可同时对多个电池电压进行数值设置，设置的范围为0-5V。当设置的电压超出正常值时，可用仪器在设备上进行检测，检查出问题后可在系统进行恢复。可对8个电池温度采集点进行单个温度设置，也可同时对多个电池温度采集点进行数值设置。当设置的温度超出正常工作值时，可用仪器在设备上进行检测，检查出问题时可在系统进行恢复正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此以外，实训界面配置充电和放电两个图形化按钮，系统配置CAN通讯控制、整车控制放电模式、点击放电按钮，页面可显示放电电流，剩余放电时间等信息。点击充电按钮，连接充电枪，正常情况下，页面显示充电枪连接状态，CC、CP，充电电流，充电剩余时间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（3）调试中心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点击调试按钮可进入调试界面，调试数据信息呈列表形式显示，包含：总压过高、单体过高、放电高温、充电高温、压差过大、放电过流、soc过低、总压过低、单体过低、放电低温、充电低温、温差过大、充电过流、绝缘过低等数据，每条数据分三个告警等级，可进行编辑修改；同时显示当前SOC、电池容量及最大电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②软件具有接触器检测功能，并可将采集的数据通过canbus实时反馈至教学系统。可实时检测总正继电器、总负继电器、预充继电器、放电继电器、慢充继电器、快充继电器等。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③接触器工作时，软件界面对应按钮可呈突出显示，学员也可通过鼠标控制接触器的断开与吸合，从而验证设备的工作状态。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软件具有展示数据流功能，点击展示数据流按钮，可动态显示动力电池管理系统相关数据流，包含：系统电压、系统总电流、系统SOC、系统运行状态、充电枪连接状态、充电状态、充电枪充电模式和状态、绝缘正阻值、绝缘负阻值、CC电阻值、CC2电阻值、电池温差、CP占空比、高压互锁状态、与整车通讯状态、充电机通讯状态、交流充电枪座温度、直流充电枪座温度等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⑤软件具有恢复默认设置功能，可对标定后的数据进行一键恢复。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⑥本系统具有电池传感器一键标定零点功能，及时有效测量电流精度校对。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六、交互式多媒体教学平台（新能源汽车动力电池的装调测试）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核平台针对新能源汽车动力电池的装调测试专业等多课程研发，平台分为模拟练习、错题重做、模拟考试、考核测评四大功能，任意进入其中一项功能，涵盖了初级、中级、高级三部分的题目内容，题目内容分成单选题、多选题、判断题、填空题、解答题等内容，根据自己课程需要自定义题目导入，支持一键导入功能，单题目编辑，分类导入等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（1）平台功能介绍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1.模拟考试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在题库编辑中，导入单选题、多选题、判断题、填空题等，设置难度等级及科目储存在题库中，模式考试前可选择对应试题，试题难度以及科目的选择，设置题目数量，题目分值以及考试时间设置，模拟考试结束后具有评分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（2）考试记录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1.可以记录模拟考试成绩，考核测评成绩，可选择试卷进行重做，查看试卷做题情况、标注错题的正确答案。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2.错题重做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统计模拟考试，考核测评中的错题记录，将题目类型进行归类，可以单击题目类型进行进行错题练习，实现有针对性的练习。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3.我要练习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可在题库编辑中，导入单选题、多选题、判断题、填空题，进行练习，具有做题进度记录功能。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4.考核测评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针对期中、期末、考试的应用具有评分功能，，可在题库编辑中导入考核题目、设置考试时间、设置科目及难度，开始考试前选择科目及难度进行考试。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5.题库编辑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进入题库编辑中需要输入密码即可进入，题库编辑具有搜索，添加题目，添加科目、修改题目、删除题目、设置考核时间、批量导入题目等功能。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（3）平台技术参数：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1.正版授权，免费升级。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2.平台具有四大特色功能：模拟练习、错题重做、模拟考试、考核测评。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3.平台中包含新能源汽车技术专业等多课程训练、测试、考试、考核题目。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4.平台分成训练、测试、考试、考核四大功能，任意进入其中一项功能，涵盖了初级、中级、高级三部分的题目内容，题目内容分为判断题、单选题、多选题、填空题等多种题目类型。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5.平台中自带课程题目，可根据课程内容的要求录入新的测试题目，可进行批量导入题目，单题目修改等出多功能。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6.可以通过本平台使用训练、测试功能对需学内容或所学内容进行课前预习与课后复习，平台会以得分的形式展现出成绩，答错的题目会出现正确答案，可以回顾错题，以便日后熟练掌握，提升成绩。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7.通过本平台使用考试测评功能对学生进行测试，在线查看考试情况及成绩。本平台也可以作为考证的理论考核平台。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8.平台使用具有题目保护性，为防止学生查看考核题目的正确答案，平台题库编辑功能需要输入密码才可以进入编辑界面。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9.考核测评功能具有独立性，考核测评功能只针对于考核使用，具有独立的批量导入格式，例如一套试卷的导入，不参杂任何其他题目。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七、动力电池系统装调仿真软件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（1）操作系统兼容性要求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1.本软件需具备卓越的操作系统兼容性，确保在Windows 7、Windows 8及Windows 10操作系统上稳定、流畅运行。经过严格测试与优化的版本，保证在不同系统环境下，软件的核心功能、界面显示、数据处理及交互响应均无异常卡顿、闪退或兼容性故障，为用户提供一致且可靠的使用体验。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（2）硬件适配性要求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2.软件需广泛适配计算机硬件，并满足以下最低配置要求：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处理器：英特尔酷睿i5或同等性能水平的AMD处理器；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内存：8GB；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硬盘空间：128GB可用；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显卡：集成显卡具备2GB显存（推荐独立显卡以获得更优视觉效果）。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（3）虚拟现实引擎应用要求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软件采用行业领先的虚拟现实引擎技术，实现虚拟实验环境的高度真实感与沉浸感。提供对新能源汽车动力电池PACK装调实训平台及相关实验场景的高精度三维建模与物理模拟方案，确保用户在电脑端操作时能直观观察到实验设备的外观细节、内部结构及实验现象。软件利用虚拟现实引擎的交互功能，实现用户通过鼠标、键盘对虚拟实验设备进行全方位、多角度操作，操作方式与真实实验高度一致，反馈及时准确，以提升用户操作技能训练效果与学习积极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（4）核心拆装实训项目模块包括：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1.电池模组固定侧板拆装模块：详细展示电池模组固定侧板的拆装步骤、注意事项及安全规范，使用户了解结构和功能。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2.电池模组固定底板拆装模块：引导用户进行电池模组固定底板的拆装实践，熟悉结构、安装位置及连接方式。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3.电池隔离防护底板拆装模块：提供拆装防护底板的详细步骤和注意事项，使用户了解防护底板的作用及安全规范。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4.电池模组拆装模块：展示24组电池模组的拆装过程，使用户了解排列方式、连接方法及注意事项。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5.BMS电池主控板拆装模块：提供拆装主控板的详细步骤和注意事项，使用户了解主控板的功能、安装位置及连接方式。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6.BMS电池从控板拆装模块：引导用户进行BMS电池从控板的拆装实践，熟悉结构和功能。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7.预充电阻拆装模块：展示预充电阻的拆装步骤和注意事项，使用户了解作用及安全规范。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8.预充继电器拆装模块：引导用户进行预充继电器的拆装实践，熟悉结构、安装位置及连接方式。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9.总正继电器拆装模块：提供拆装总正继电器的详细步骤和注意事项，使用户了解作用及安全规范。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10.充电继电器拆装模块：展示充电继电器的拆装过程，使用户了解结构、安装位置及连接方式。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11.放电继电器拆装模块：提供拆装放电继电器的详细步骤和注意事项，使用户了解作用及安全规范。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12.总负继电器拆装模块：展示总负继电器的拆装步骤和注意事项，使用户了解作用及安全规范。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13.铜排拆装模块：引导用户进行铜排的拆装实践，熟悉结构、安装位置及连接方式。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14.霍尔电流传感器拆装模块：提供拆装霍尔电流传感器的详细步骤和注意事项，使用户了解作用及安全规范。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通过本实训软件，用户可以全面了解和掌握PACK拆装领域的相关知识和技能。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15.配套仿真软件：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部件提示：工具箱内的工具以及零件箱内的零部件可通过鼠标移动进行该部件的名称高亮显示，点击提示位置按键，操作部位处会显示所需零件名称，可在零件箱内快速找到所需安装的零件；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对充电端口与预充电阻的线路进行连接：预充电阻的左侧线路连接至预充继电器的右侧接线口：预充电阻的右侧线路连接至总正继电器的右侧接线口；充电端口左侧线路连接至总负继电器接线口；充电端口中间线路连接至充电继电器右侧接线口：充电端口右侧线路连接至放电继电器右侧接线口</w:t>
            </w:r>
            <w:r>
              <w:rPr>
                <w:rFonts w:hint="eastAsia" w:ascii="宋体" w:hAnsi="宋体" w:eastAsia="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八、拆装实训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1.动力电池包电芯性能检测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2.动力电池串并联性能试验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3.新能源汽车动力电池系统组成认知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4.新能源汽车分布式电池管理控制原理认知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5.新能源汽车动力电池各运行状态控制逻辑关系，掌握动力电池上电、下电、充电控制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6.新能源动力电池均衡管理控制实训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7.动力电池包过充和过放电控制试验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8.交流充电系统认知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9.动力电池接触器性能测试试验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10.新能源汽车高压互锁完整性性能检测试验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11.动力电池告警各主要性能参数设置实训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12.动力电池高压安全操作和检查实训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13.电池管理系统（BMS）故障诊断与分析实训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14.动力电池数据采集器故障诊断与分析实训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15.车辆慢充故障诊断与分析实训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16.DC-DC转换系统认知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17.DC-DC故障诊断与分析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18.低压蓄电池的检查与更换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国家锂电池列入危险品运输，1.通过电池额定瓦特小时数为3600W</w:t>
            </w:r>
            <w:r>
              <w:rPr>
                <w:rFonts w:hint="eastAsia" w:ascii="宋体" w:hAnsi="宋体" w:eastAsia="宋体" w:cs="宋体"/>
                <w:color w:val="auto"/>
                <w:sz w:val="21"/>
                <w:szCs w:val="21"/>
                <w:lang w:val="en-US" w:eastAsia="zh-CN"/>
              </w:rPr>
              <w:t>h＞100瓦时；2.锂电池已通过UN38.3检查；3.电池质量管路体系制造检查；4.该</w:t>
            </w:r>
            <w:r>
              <w:rPr>
                <w:rFonts w:hint="eastAsia" w:ascii="宋体" w:hAnsi="宋体" w:cs="宋体"/>
                <w:strike w:val="0"/>
                <w:dstrike w:val="0"/>
                <w:color w:val="auto"/>
                <w:sz w:val="21"/>
                <w:szCs w:val="21"/>
                <w:lang w:val="en-US" w:eastAsia="zh-CN"/>
              </w:rPr>
              <w:t>锂</w:t>
            </w:r>
            <w:r>
              <w:rPr>
                <w:rFonts w:hint="eastAsia" w:ascii="宋体" w:hAnsi="宋体" w:eastAsia="宋体" w:cs="宋体"/>
                <w:color w:val="auto"/>
                <w:sz w:val="21"/>
                <w:szCs w:val="21"/>
                <w:lang w:val="en-US" w:eastAsia="zh-CN"/>
              </w:rPr>
              <w:t>电池不属于召回电池，不属于废弃和回收电池；5.通过包装件1.2米跌落试验；6.每个包装件上均有</w:t>
            </w:r>
            <w:r>
              <w:rPr>
                <w:rFonts w:hint="eastAsia" w:ascii="宋体" w:hAnsi="宋体" w:cs="宋体"/>
                <w:color w:val="auto"/>
                <w:sz w:val="21"/>
                <w:szCs w:val="21"/>
                <w:lang w:val="en-US" w:eastAsia="zh-CN"/>
              </w:rPr>
              <w:t>锂</w:t>
            </w:r>
            <w:r>
              <w:rPr>
                <w:rFonts w:hint="eastAsia" w:ascii="宋体" w:hAnsi="宋体" w:eastAsia="宋体" w:cs="宋体"/>
                <w:color w:val="auto"/>
                <w:sz w:val="21"/>
                <w:szCs w:val="21"/>
                <w:lang w:val="en-US" w:eastAsia="zh-CN"/>
              </w:rPr>
              <w:t>电池操作标签每票货物均有随附文件说明:包装件内装锂离子电池:必须小心操作。如包装件破损，有易燃危险性:包装件破损</w:t>
            </w:r>
            <w:r>
              <w:rPr>
                <w:rFonts w:hint="eastAsia" w:ascii="宋体" w:hAnsi="宋体" w:eastAsia="宋体" w:cs="宋体"/>
                <w:sz w:val="21"/>
                <w:szCs w:val="21"/>
                <w:lang w:val="en-US" w:eastAsia="zh-CN"/>
              </w:rPr>
              <w:t>时应采取的特殊措施，包括必要时的检查和重新包装;应急电话号码</w:t>
            </w:r>
            <w:r>
              <w:rPr>
                <w:rFonts w:hint="eastAsia" w:ascii="宋体" w:hAnsi="宋体" w:eastAsia="宋体" w:cs="宋体"/>
                <w:b/>
                <w:bCs/>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sz w:val="21"/>
                <w:szCs w:val="21"/>
                <w:lang w:val="en-US" w:eastAsia="zh-CN"/>
              </w:rPr>
              <w:t>19、配备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防电弧面罩 4套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面屏厚度：2mm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材质：聚碳酸酯材质（面屏）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尺寸：30*22cm(±3cm）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重量：360g（±10g）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功能：阻挡颗粒物、液体、金属熔融物危害。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纯电动汽车空调和暖风实训台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一、产品参数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用原装新能源汽车车型空调系统；真实呈现主流车型空调和暖风系统核心零部件之间的连接控制关系、安装位置和运行参数，培养学员对主流车型空调和暖风系统故障分析和处理能力，适用于职业技术学院新能源混合动力课程教学和维修实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混合动力汽车空调系统实训平台包含：设备框架、原车部件、检测面板、故障设置装置。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1.设备框架：为钣金制作承载主体，框架内固定原车部件、检测面板、安装部件为原车部件定制处理保证原车部件完整性，无损安装。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1.1.框架尺</w:t>
            </w:r>
            <w:r>
              <w:rPr>
                <w:rFonts w:hint="eastAsia" w:ascii="宋体" w:hAnsi="宋体" w:eastAsia="宋体" w:cs="宋体"/>
                <w:color w:val="auto"/>
                <w:sz w:val="21"/>
                <w:szCs w:val="21"/>
                <w:highlight w:val="none"/>
                <w:lang w:val="en-US" w:eastAsia="zh-CN"/>
              </w:rPr>
              <w:t>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1600mm*1100mm*1800mm（长*宽*高）；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1.2.材质：国标钢板；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1.3.工艺：钣金标准制作，激光切割、数控折弯、保护焊接、高温喷塑；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原车部件：混合动力汽车部件，能够正常工作通过电气线路连接实现具备空调的运行、数据显示、数据检测等功能的教学。能实现电动压缩机的结构原理认知、电动空调控制系统的结构原理认知。可实现空调制冷加热控制逻辑分析实训、并支持使用CAN解析工具对数据分析等教学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2.1.包含部件：压缩机、空调箱总成、冷凝器总成、散热风扇、空调控制面板、控制线束、电缆等实物部件。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3.检测面板：面板内嵌式安装，采用高密度铝塑板，具有耐磨、耐高温、耐剐、抗渗透、容易清洁、防潮、不褪色等特点。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面板喷绘电路原理图，并安装检测端子可使用示波器、万用表等工具对混合动力汽车空调系统的数据检测进行电动空调控制逻辑的分析、高压转换低压控制系统的关系帮助学员理解混合动力汽车空调系统的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3.2.安装数字显示电压，可实时显示混合动力汽车空调系统不同状态的主要数据变化，以便学员对混合动力汽车空调系统的动态数据的分析。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4.配备智能化故障设置和考核系统：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智能化故障设置为汽车类培训装备而开发的一款训练用的产品，包括智能化故障设置考核系统和学习实训系统两大系统，主要有以下功能：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（1）自由练习功能：训练者通过自己设置故障，自己进行故障排除，故障排出后可以立刻输出训练成绩；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（2）自由考核功能：甲学生设置故障，乙学生进行故障排除，故障排出后可以立刻输出训练成绩，增强训练效果；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（3）考核功能：教师设置故障，学生进行出题考核，最终测试学生训练效果；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（4）成绩查询：查询学生考核成绩；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（5）学生在考试结束后，可随时提交试卷；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（6）使学生的专业知识和操作技能（理论与实践）紧密结合，从而提高学生的综合分析判断能力和调试维修技术水平。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（7）考核系统配有大屏幕彩色高清智能触摸屏、R232通信接口、可插拔的无线通信模块，可以实现与台架无线组网连接，根据实训台故障现象进行故障检测和故障确认。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（8）设备技术参数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1）电源：DC12V：主要用于操作面板，与汽车保持相同的电压。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2）故障设置类型：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开路故障：16个开路故障设置点；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3）触摸屏：5寸彩色电容屏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4）设备使用环境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环境温度：-10℃～60℃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环境湿度：小于90%HR</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二、功能特点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1.空调压缩机、PTC，蒸发箱总成，冷凝器，空调管路等安装在实训台上。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2.实训台面板上画有空调系统工作电路图，安装检测端子，可以利用万用笔、汽车专用示波器等测量传感器的数据，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动压缩机将电控总成传输来的高压电转换成三相电驱动内部电机工作，压缩机工作给整个空调制冷系统提供高压力的冷媒。电动压缩机转速自动调节，起到节能效果，转动信号有空调控制住通过CAN传输，提供CAN传输协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4.PTC将电控总成传输来的高压电转换为热能，给暖风系统中水提供加热。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5.实训台配套实训指导，完整讲述该实训台工作原理，实训科目，故障设置及清除等要点。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三、实训目的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空调制冷主要零部件功能。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空调制冷与传统车区别。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暖风模块主要零部件功能。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暖风模块与传统车区别。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四、基本配置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1.硬件配置：空调压缩机1件，冷凝器1件，电子膨胀阀1件，蒸发器1件，空调面板1件；水泵总成1件，PTC加热模块总成1件，暖风芯体总成1件。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2.软件配置：汽车一体化教学资源系统（配赠课程资源）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五、汽车一体化教学资源系统功能介绍：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套一体化教学资源系统，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课程和一体化教具的软硬件一体化深度对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（1）平台功能：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1.课程内容以翻转课堂的微课程制作方式为指导，系统性的进行碎片化处理，每一个课程目录下均含有原理结构微图文，作业指导微视频，教学重难点微考核等相关信息。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2.在鼓励学员通过移动教学终端进行随时、随地、随需的碎片化学习的基础上，极大的降低教师部分低附加值的重复劳动，并快速、准确的呈现出教学过程中的实训数据。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3.学习方法：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①人机智能语音学习法：教师只需简单的对着移动教学终端说出需要的实训指导内容，即可在网络环境中将实训微课程快速地呈现出来，极大地减轻了教师的课堂教学压力。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②二维码系统学习法：配合一体化学生实训二维码工作页进行自主式学习，学员在每一步实训过程中扫描工作页及设备面板上的二维码即可得到所需要的实训微课程，任务明确，目标清晰，保障学习质量。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4.系统目录，必须包含不少于三级菜单，一级菜单为车型学习选择主菜单，二级菜单为学习项目子菜单，三级菜单为学习任务子菜单，学习任务子菜单根据学习难易程度进行星标注明。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APP移动应用内人机智能语音识别系统的使用过程，在系统学习中学员只需对准学习终端讲出语音信息即可快速地检索到与语音热点完全匹配关联的微课程内容并快速载入。语音系统具有中文识别，普通话识别以及典型方言识别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与一体化学生工作页目录相同的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专业播音员配音，语速适中，视频教学场景环境，完整地呈现教中学、学中做的理实一体化教学内容。每一个微课程均具有离线下载、点赞、纠错功能，用户使用纠错功能提出建议后系统提供商远程后台将可接收到纠错建议，以便进行课程内容升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7.与一体化学生工作页目录相同的微课程考核试题，试题具备单选、多选及智能提示功能，任意学员的答题成绩可实时查询。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9.学习排行榜功能，课时完结后，系统根据学员的做题量以及做题标准程度进行大数据排行比较，将全国范围内的学习个人信息进行数据比较。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12.离线缓存功能，学习个人可根据实际需要选取自己所需的微课程信息进行自主下载，并在不具备网络条件的环境中进行学习浏览。离线缓存后的课程信息目录系统根据离线下载时间具备自动排序功能。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14.新能源汽车空调系统课程资源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（1）电动汽车空调制冷系统得我工作原理；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（2）电动汽车空调制热系统的工作原理；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（3）H型膨胀阀工作原理；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（4）典型热力膨胀阀工作原理；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（5）电动空调系统出风模式控制原理；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（6）电动空调系统风速控制原理；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（7）电动空调系统结构组成；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（8）空调不制冷故障诊断及排除；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（9）空调出风模式及风量调节异常；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（10）空调节流管得工作原理；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（11）空调压力开关介绍；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（12）冷凝器分类及性能比较；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（13）曲轴连杆压缩机结构组成与工作原理；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（14）涡轮式压缩机结构组成与工作原理；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（15）旋转叶片式压缩机结构与工作原理；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（16）制冷工作原理；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sz w:val="21"/>
                <w:szCs w:val="21"/>
                <w:lang w:val="en-US" w:eastAsia="zh-CN"/>
              </w:rPr>
              <w:t>（17）制热工作原理。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混合动力汽车空调和暖风实训台</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一、产品参数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用原装混合动力车型空调系统；真实呈现主流车型空调和暖风系统核心零部件之间的连接控制关系、安装位置和运行参数，培养学员对主流车型空调和暖风系统故障分析和处理能力，适用于职业技术学院新能源混合动力课程教学和维修实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混合动力汽车空调系统实训平台包含：设备框架、原车部件、检测面板、故障设置装置。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val="en-US" w:eastAsia="zh-CN"/>
              </w:rPr>
              <w:t>1.设备框架：为钣金制作承载主体，框架内固定原车部件、检测面板、安装部件为</w:t>
            </w:r>
            <w:r>
              <w:rPr>
                <w:rFonts w:hint="eastAsia" w:ascii="宋体" w:hAnsi="宋体" w:eastAsia="宋体" w:cs="宋体"/>
                <w:color w:val="auto"/>
                <w:sz w:val="21"/>
                <w:szCs w:val="21"/>
                <w:highlight w:val="none"/>
                <w:lang w:val="en-US" w:eastAsia="zh-CN"/>
              </w:rPr>
              <w:t>原车部件定制处理保证原车部件完整性，无损安装。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1.1.框架尺寸：</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1600mm*1100mm*1800mm（长*宽*高）；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1.2.材质：国标钢板；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lang w:val="en-US" w:eastAsia="zh-CN"/>
              </w:rPr>
              <w:t>1.3.工艺：钣金标准制作，激</w:t>
            </w:r>
            <w:r>
              <w:rPr>
                <w:rFonts w:hint="eastAsia" w:ascii="宋体" w:hAnsi="宋体" w:eastAsia="宋体" w:cs="宋体"/>
                <w:sz w:val="21"/>
                <w:szCs w:val="21"/>
                <w:lang w:val="en-US" w:eastAsia="zh-CN"/>
              </w:rPr>
              <w:t>光切割、数控折弯、保护焊接、高温喷塑；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原车部件：混合动力汽车部件，能够正常工作通过电气线路连接实现具备空调的运行、数据显示、数据检测等功能的教学。能实现电动压缩机的结构原理认知、电动空调控制系统的结构原理认知。可实现空调制冷加热控制逻辑分析实训、并支持使用CAN解析工具对数据分析等教学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2.1.包含部件：压缩机、空调箱总成、冷凝器总成、散热风扇、空调控制面板、控制线束、电缆等实物部件。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3.检测面板：面板内嵌式安装，采用高密度铝塑板，具有耐磨、耐高温、耐剐、抗渗透、容易清洁、防潮、不褪色等特点。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面板喷绘电路原理图，并安装检测端子可使用示波器、万用表等工具对混合动力汽车空调系统的数据检测进行电动空调控制逻辑的分析、高压转换低压控制系统的关系帮助学员理解混合动力汽车空调系统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3.2.安装数字显示电压，可实时显示混合动力汽车空调系统不同状态的主要数据变化，以便学员对混合动力汽车空调系统的动态数据的分析。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4.配备智能化故障设置和考核系统：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智能化故障设置为汽车类培训装备而开发的一款训练用的产品，包括智能化故障设置考核系统和学习实训系统两大系统，主要有以下功能：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（1）自由练习功能：训练者通过自己设置故障，自己进行故障排除，故障排出后可以立刻输出训练成绩；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（2）自由考核功能：甲学生设置故障，乙学生进行故障排除，故障排出后可以立刻输出训练成绩，增强训练效果；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（3）考核功能：教师设置故障，学生进行出题考核，最终测试学生训练效果；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（4）成绩查询：查询学生考核成绩；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（5）学生在考试结束后，可随时提交试卷；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（6）使学生的专业知识和操作技能（理论与实践）紧密结合，从而提高学生的综合分析判断能力和调试维修技术水平。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（7）考核系统配有大屏幕彩色高清智能触摸屏、R232通信接口、可插拔的无线通信模块，可以实现与台架无线组网连接，根据实训台故障现象进行故障检测和故障确认。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（8）设备技术参数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1）电源：DC12V：主要用于操作面板，与汽车保持相同的电压。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2）故障设置类型：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开路故障：16个开路故障设置点；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3）触摸屏：5寸彩色电容屏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4）设备使用环境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环境温度：-10℃～60℃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环境湿度：小于90%HR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二、功能特点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1.空调压缩机、PTC，蒸发箱总成，冷凝器，空调管路等安装在实训台上。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2.实训台面板上画有空调系统工作电路图，安装检测端子，可以利用万用笔、汽车专用示波器等测量传感器的数据，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动压缩机将电控总成传输来的高压电转换成三相电驱动内部电机工作，压缩机工作给整个空调制冷系统提供高压力的冷媒。电动压缩机转速自动调节，起到节能效果，转动信号有空调控制住通过CAN传输，提供CAN传输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4.PTC将电控总成传输来的高压电转换为热能，给暖风系统中水提供加热。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5.实训台配套实训指导，完整讲述该实训台工作原理，实训科目，故障设置及清除等要点。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三、实训目的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空调制冷主要零部件功能。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空调制冷与传统车区别。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暖风模块主要零部件功能。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了解主流车型  暖风模块与传统车区别。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四、基本配置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1.硬件配置：空调压缩机1件，冷凝器1件，电子膨胀阀1件，蒸发器1件，空调面板1件；水泵总成1件，PTC加热模块总成1件，暖风芯体总成1件。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2.软件配置：汽车一体化教学资源系统（配赠课程资源）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五、汽车一体化教学资源系统功能介绍：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套一体化教学资源系统，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课程和一体化教具的软硬件一体化深度对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平台功能：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1.课程内容以翻转课堂的微课程制作方式为指导，系统性的进行碎片化处理，每一个课程目录下均含有原理结构微图文，作业指导微视频，教学重难点微考核等相关信息。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2.在鼓励学员通过移动教学终端进行随时、随地、随需的碎片化学习的基础上，也极大的降低了的教师部分低附加值的重复劳动，并快速、准确的呈现出教学过程中的实训数据。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3.学习方法：1．人机智能语音学习法：教师只需简单的对着移动教学终端说出需要的实训指导内容，即可在网络环境中将实训微课程快速地呈现出来，极大地减轻了教师的课堂教学压力。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4.二维码系统学习法：配合一体化学生实训二维码工作页进行自主式学习，学员在每一步实训过程中扫描工作页及设备面板上的二维码即可得到所需要的实训微课程，任务明确，目标清晰，保障了学习质量。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5.系统目录，必须包含不少于三级菜单，一级菜单为车型学习选择主菜单，二级菜单为学习项目子菜单，三级菜单为学习任务子菜单，学习任务子菜单根据学习难易程度进行星标注明。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APP移动应用内人机智能语音识别系统的使用过程，在系统学习中学员只需对准学习终端讲出语音信息即可快速地检索到与语音热点完全匹配关联的微课程内容并快速载入。语音系统具有中文识别，普通话识别以及典型方言识别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与一体化学生工作页目录相同的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专业播音员配音，语速适中，视频教学场景环境，完整地呈现教中学、学中做的理实一体化教学内容。每一个微课程均具有离线下载、点赞、纠错功能，用户使用纠错功能提出建议后系统提供商远程后台将可接收到纠错建议，以便进行课程内容升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8.与一体化学生工作页目录相同的微课程考核试题，试题具备单选、多选及智能提示功能，任意学员的答题成绩可实时查询。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10.学习排行榜功能，课时完结后，系统根据学员的做题量以及做题标准程度进行大数据排行比较，将全国范围内的学习个人信息进行数据比较。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11.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12.离线缓存功能，学习个人可根据实际需要选取自己所需的微课程信息进行自主下载，并在不具备网络条件的环境中进行学习浏览。离线缓存后的课程信息目录系统根据离线下载时间具备自动排序功能。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14.新能源汽车空调系统课程资源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（1）电动汽车空调制冷系统得我工作原理；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（2）电动汽车空调制热系统的工作原理；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（3）H型膨胀阀工作原理；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（4）典型热力膨胀阀工作原理；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（5）电动空调系统出风模式控制原理；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（6）电动空调系统风速控制原理；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（7）电动空调系统结构组成；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（8）空调不制冷故障诊断及排除；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（9）空调出风模式及风量调节异常；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（10）空调节流管得工作原理；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（11）空调压力开关介绍；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（12）冷凝器分类及性能比较；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（13）曲轴连杆压缩机结构组成与工作原理；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（14）涡轮式压缩机结构组成与工作原理；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（15）旋转叶片式压缩机结构与工作原理；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（16）制冷工作原理；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sz w:val="21"/>
                <w:szCs w:val="21"/>
                <w:lang w:val="en-US" w:eastAsia="zh-CN"/>
              </w:rPr>
              <w:t>（17）制热工作原理。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压缩机检测仪</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产品参数如下：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该设备的主体设计采用高度集成的整体结构设计方案，确保平台的稳定性和耐用性。主体外壳精选厚度不低于1.5毫米的优质冷轧板材质，具有良好的抗腐蚀性能。严格按照钣金加工工艺进行操作，包括酸洗处理以去除表面锈蚀和油污，喷塑处理以增强外壳的防腐能力和美观度，以及丝印处理以添加必要的标识和信息。主体框架则采用坚固耐用的钢结构进行焊接，确保平台的承重能力和稳定性。框架表面采用先进的防静电喷涂工艺处理，有效防止静电的产生和积累，保护平台内电子设备的正常运行。采用激光切割和数控加工技术来精确制造结构件，确保部件的精度和一致性。同时，配置带锁止功能的万向静音脚轮，方便平台的移动和定位，同时减少移动过程中的噪音和振动，提高用户的使用体验。专为新能源汽车电动压缩机的全自动无损检测而设计。该检测台支持多种压缩机选型测试，包括压缩机厂家、车型及型号，确保测试的多样性和准确性。其核心功能包括全自动测试、型号全覆盖、智能加压保压测试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2.支持原车报文驱动压缩机，确保测试环境与实际应用一致。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3.兼容低压和高压电路测量，可同时进行低压驱动电路与高压电路的精确测量。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4.高精度压力传感器，精度达到±0.5%FS，保证了测量结果的高准确度。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5.提供压缩机厂家、车企、型号三种搜索方式，快速定位所需测试型号。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6.参数设置简便，一键切换功能，自动输出检测结果，提高工作效率。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7.配备不小于10寸液晶显示屏，支持中英文操作界面，界面清晰易懂。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8.能够显示详细的测量报告，确保测试过程的科学性和合理性。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sz w:val="21"/>
                <w:szCs w:val="21"/>
                <w:lang w:val="en-US" w:eastAsia="zh-CN"/>
              </w:rPr>
              <w:t>9.安全性高，待测量时高压系统自动断电，测试完毕后迅速泄放高压，保障操作安全。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冷媒回收加注机</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1.全中文或英文菜单导航式操作简单易懂,手动、自动切换自由、自动检测、诊断、检漏、回收、加注等多种功能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2.高精度电子秤计时，可实时精确计量回收、加注过程冷媒量。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3.可加注PAG/POE冷冻油。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4.高效过滤填信息，保证回收制冷剂的纯度。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5、分离并排出制冷剂中冷冻油及补充冷冻油功能，对回收的残余制冷剂，加注/回收数据通过打印机显示。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电压AC220V/50Hz</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最大功率650W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回收速率≤480g/min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充注速率≤900g/min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充注精度+10g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充注范围0-12kg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压缩机3/8HP</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真空泵抽率90L/min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制冷罐容量≤12L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sz w:val="21"/>
                <w:szCs w:val="21"/>
                <w:lang w:val="en-US" w:eastAsia="zh-CN"/>
              </w:rPr>
              <w:t>冷媒种类R410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全自动泊车系统实验系统</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泊车实验卡：配置点火开关，方向盘转向开关，报警信号抑制开关，报警信号音量控制，转向角传感器，近距离超声LED，4个超声波传感器，1个高清摄像机，测量和诊断端口。泊车距离软件模拟泊车过程监控软件，可在PC上显示数据、配套多媒体课程软件，将实验卡插入实验器，接通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•系统结构和基本工作原理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•超声波基本原理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•超声波传感器结构和工作原理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•摄像头的应用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•测距过程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•系统故障诊断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全自动泊车系统”多媒体课程软件不仅可以控制实验系统、采集测量各种信号直接得出测量结果和激活故障，同时能够传授该主题的相关的理论和背景知识，包含大量动画仿真演示，能够绘制曲线、保存实验结果、进行知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11</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激光雷达实验系统</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1.激光雷达实验卡；激光雷达系统安装调试面板；激光雷达系统专用复合玻璃板套装；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2.激光雷达实验卡特点：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-旋转式激光测距单元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-电机模块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-电位计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-配置点火开关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-系统启动开关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-2个用于CAN总线通信接口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-2个控制加热的连接端子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-4个激光雷达控制系统连接端子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-2个桥接连接器，用于将系统集成到车载网络中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-1个点火指示的LED灯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-1个系统LED灯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-1个错误指示LED灯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3.将实验卡插入实验器，接通测量界面，借助多媒体课程软件可进行以下内容的教学：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•驾驶员辅助系统的基本知识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•自动驾驶的含义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•光和激光的物理基础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•使用激光时的安全指南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•机动车激光雷达系统的设计与功能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•测量方法与反射特性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•信号处理与外围检测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•网络化驾驶员辅助系统及其体系结构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•实际工作：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-用校准台校准激光雷达系统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-CAN总线诊断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-电源系统中的诊断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-执行器系统中的诊断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激光雷达系统”多媒体课程软件不仅可以控制实验系统、采集测量各种信号直接得出测量结果和激活故障，同时能够传授该主题的相关的理论和背景知识，包含大量动画仿真演示，能够绘制曲线、保存实验结果、进行知识测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（1）软件要求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1.1.软件系统车辆与实车一致；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（2）系统功能：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2.1.模式选择：可以使用“仿真教学、仿真训练、仿真考核”三种模式；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2.2.仿真教学：教学模式下系统有步骤提示、操作提示等功能；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2.3.仿真训练：训练模式下系统有步骤提示等功能；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2.4.仿真考核：考核模式下系统无提示并记录考核结果；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2.5.教学内容：包含遥控驾驶、远程驾驶、循迹驾驶、无人驾驶；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2.6.信息显示：可以对操作人员的基本信息进行展示；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2.7.退出功能：可直接点击退出按钮退出系统，为防止误操作点击退出按钮后系统会进一步确认是否需要退出系统；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2.8.返回功能：可直接点击返回按钮返回功能选项菜单，为防止误操作点击返回按钮后系统会进一步确认是否需要返回系统菜单；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2.9.硬件控制：可连接硬件方向盘套件实现虚拟车辆远程驾驶。支持连接硬件遥控器实现虚拟车辆遥控驾驶。</w:t>
            </w:r>
            <w:r>
              <w:rPr>
                <w:rFonts w:hint="eastAsia" w:ascii="宋体" w:hAnsi="宋体" w:eastAsia="宋体" w:cs="宋体"/>
                <w:b/>
                <w:bCs/>
                <w:sz w:val="21"/>
                <w:szCs w:val="21"/>
                <w:lang w:val="en-US" w:eastAsia="zh-CN"/>
              </w:rPr>
              <w:t>（验收时提供该功能的具有CMA标识的第三方检测机构出具的检测测试报告，报告中需明确写明对该项功能的检验检测）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（3）遥控驾驶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3.1.教学模式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3.1.1.仿真教学：可教学的内容包含车辆启动训练、遥控器操作训练、遥控驾驶训练、急停操作训练；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3.1.2.车辆启动训练：可教学的内容包含车辆上电、起动车辆；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遥控器操作训练：可教学的内容包含遥控器开启操作、切换至自动驾驶模式、切换至遥控驾驶模式、切换至D档、切换至R档、切换至N档、解除驻车、开启驻车、调整油门开度至100%、调整制动开度至100%、调整转向至左转30°、调整转向至右转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遥控驾驶训练：可教学的内容包含切换至自动驾驶模式、切换至D档、解除驻车、驾驶车辆前进至目标点1、开启驻车、切换至R档、解除驻车、驾驶车辆倒退至目标点2、开启驻车、切换至D档、解除驻车、驾驶车辆转向至目标点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3.1.5.急停操作训练：可教学的内容包含按下车辆急停开关、解除车辆急停开关、开启远程遥控急停、解除远程遥控急停；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3.2.仿真训练：可训练的内容包含侧方停车、倒车入库训练、坡道训练、直角转弯、曲线驾驶、隧道驾驶等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3.3.仿真考核：可以让学生根据提供的道路从起点完整的驾驶至终端；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3.3.1.驾驶路径提醒：系统实时的提供驾驶路径提醒；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3.3.2.考核评价：学生提交后，系统自动评价，评价体系需包含等用时、完成度、正确率等；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3.3.3.综合结果：可通过操作规范、操作步骤、作业工时三个纬度进行打分，最终汇总成学生本次训练的成绩。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3.4.驾驶场景：采用真实驾校训练场景1:1还原；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3.5.车辆操作：可以对车辆的上电按钮、启动按钮、急停按钮、驻车按钮等操作；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3.6.遥控器操作：可以对遥控器的开机键、驻车解除、遥控、接管、自动驾驶、前进、空挡、倒车、左转、右转、油门、制动、开启远程遥控急停、解除远程遥控急停等操作；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3.7.视角导航：可以切换视角包括起始点、车辆前视角、车辆后视镜、控制面板、前急停开关、后急停开关灯；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（4）远程驾驶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4.1.功能说明：远程驾驶功能是模拟驾驶员通过网络通讯，根据车辆的5个摄像头传输的数据，远程对车辆进行控制并驾驶；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4.2.车辆远程控制模拟：可模拟对车辆进行远程启动、远程熄火、远程换挡及前进、后退、左转、右转灯操作；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4.3.车辆接管：可点击M按钮对车辆进行接管，接管后才可换挡及对车辆操作；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4.4.车辆换挡：可通过Ctrl建对车辆进行换挡操作，档位包含：D档、N档、R档；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4.5.车辆行驶：可通过W、A、S、D控制车辆的油门、左转、刹车、右转；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4.6.观察视角：可模拟车辆的5个摄像头位置的视角，包含前视角、左视角、右视角、后视角；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4.7.视角内容：可模拟车辆行驶过程中5个摄像头中的实时的图像；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4.8.操作帮助：可通过系统的操作帮助，进行实训操作；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（5）循迹驾驶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5.1.教学内容：可教学的内容包含车辆启动、启动终端、启动CAN驱动、启动Apollo循迹系统、启动模块、录制轨迹、循迹回放等；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5.2.车辆启动：可教学的内容包含车辆上电、启动车辆等；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5.3.启动终端：可教学的内容包含进入Ubantu系统界面、启动终端等；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5.4.启动CAN驱动：可教学的内容包含进入CAN卡目录、启动CAN、输入密码、确认CAN卡成功启动等；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5.5.启动Apollo循迹系统：可教学的内容包含进入Apollo目录、启动Apollo、运行Apollo、进入Apollo交互界面、设置模式等；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5.6.启动模块：可教学的内容包含进入模块启动界面、开启Canbus模块、开启GPS模块、开启Localization模块、开启RTK Recorder模块等；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5.7.录制轨迹：可教学的内容包含遥控器开启操作、切换至遥控驾驶模式、切换至D档、解除驻车、驾驶至目标点、关闭RTK Recorder模块等；</w:t>
            </w:r>
            <w:r>
              <w:rPr>
                <w:rFonts w:hint="eastAsia" w:ascii="宋体" w:hAnsi="宋体" w:eastAsia="宋体" w:cs="宋体"/>
                <w:b/>
                <w:bCs/>
                <w:sz w:val="21"/>
                <w:szCs w:val="21"/>
                <w:lang w:val="en-US" w:eastAsia="zh-CN"/>
              </w:rPr>
              <w:t>（验收时提供该功能的具有CMA标识第三方检测机构出具的检测测试报告，报告中需明确写明对该项功能的检验检测）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5.8.循迹回放：可教学的内容包含将车驾驶至起点、切换至D档、切换至自动驾驶模式、启动Control模块、启动RTK Player模块、进入任务模块界面、启动循迹、接管车辆等；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5.9.驾驶场景：采用城市道路场景1:1还原；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5.10.车辆操作：可以对车辆的上电按钮、启动按钮、急停按钮、驻车按钮等操作；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5.11.遥控器操作：可以对遥控器的开机键、驻车解除、遥控、接管、自动驾驶、前进、空挡、倒车、左转、右转、油门、制动、开启远程遥控急停、解除远程遥控急停等操作；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5.12.视角导航：可以切换视角包括起始点、车辆前视角、车辆后视镜、控制面板、前急停开关、后急停开关灯；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5.13.考核评价：学生提交后，系统自动评价，评价体系需包含等用时、完成度、正确率等；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5.14.综合结果：可通过操作规范、操作步骤、作业工时三个纬度进行打分，最终汇总成学生本次训练的成绩。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（6）无人驾驶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6.1.教学内容：可教学的内容包含车辆启动、启动终端、启动CAN驱动、启动自动驾驶模块、启动模块、车道线采集、制作车道线地图、选点发车等；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6.2.车辆启动：可教学的内容包含车辆上电、启动车辆等；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6.3.启动终端：可教学的内容包含进入Ubantu系统界面、启动终端等；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6.4.启动CAN驱动：可教学的内容包含进入CAN卡目录、启动CAN、输入密码、确认CAN卡成功启动等；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6.5.启动自动驾驶模块：可教学的内容包含进入Apollo目录、启动Apollo、运行Apollo、进入Apollo交互界面、设置模式等；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6.6.启动模块：可教学的内容包含进入模块启动界面、开启Canbus模块、开启Control模块、开启GPS模块、开启Lidar模块、开启Lidar Perception模块、开启Localization模块、开启Planning模块、开启Prediction模块、开启Routing模块、开启Transform模块等；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车道线采集：可教学的内容包含进入地图包目录、删除map_tmp地图文件夹、创建map_tmp地图文件夹、进入map_tmp地图目录、开始采集地图、遥控器开启操作、切换至遥控驾驶模式、切换至D档、解除驻车、驾驶至目标点、关闭地图采集、开启驻车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6.8.制作车道线地图：可教学的内容包含进入Apollo目录、创建map_tmp地图文件夹、执行车道文件生成、进入Apollo目录、执行车道线地图制作程序等；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6.9.选点发车：可教学的内容包含解除驻车、驾驶至起始点、切换至D档、进入路线编辑模块界面、选择到达点、发送到达点请求、切换至自动驾驶模式、解除驻车、进入任务模块界面、启动自动驾驶等；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6.10.驾驶场景：采用城市道路场景1:1还原；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6.11.车辆操作：可以对车辆的上电按钮、启动按钮、急停按钮、驻车按钮等操作；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6.12.遥控器操作：可以对遥控器的开机键、驻车解除、遥控、接管、自动驾驶、前进、空挡、倒车、左转、右转、油门、制动、开启远程遥控急停、解除远程遥控急停等操作；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6.13.视角导航：可以切换视角包括起始点、车辆前视角、车辆后视镜、控制面板、前急停开关、后急停开关灯；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6.14.考核评价：学生提交后，系统自动评价，评价体系需包含等用时、完成度、正确率等；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6.15.综合结果：可通过操作规范、操作步骤、作业工时三个纬度进行打分，最终汇总成学生本次训练的成绩。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12</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带紧急制动辅助的自适应巡航实验系统</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张ACC和紧急制动系统控制器实验卡，一个雷达传感器应用模块，另外配套雷达和摄像头校准模块。该仿真实训课程主要介绍动态距离控制（ACC）的功能和控制策略，包括紧急制动辅助装置。除了探讨该系统的结构和网络通信方式外，还讨论驾驶员辅助系统的架构。课程的重点是雷达传感器的校准。调校过程是通过相应的校准板来完成。利用ACC模块上的调整点，可以对模块进行对齐校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将实验卡插入实验器，接通测量界面，借助多媒体课程软件可进行以下内容的教学：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•雷达传感器校准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•使用真正的雷达传感器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•激光校准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•调整传感器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•ACC系统控制策略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•ACC系统的组网与开发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•雷达技术基础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•故障诊断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带紧急制动辅助的自适应巡航”多媒体课程软件不仅可以控制实验系统、采集测量各种信号直接得出测量结果和激活故障，同时能够传授该主题的相关的理论和背景知识，包含大量动画仿真演示，能够绘制曲线、保存实验结果、进行知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主动车道辅助实验系统</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-实验卡“主动车道保持助手”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-主动车道保持辅助系统的前置摄像头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-模拟场景“不含交通的乡村道路”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-模拟场景“有交通的乡村道路”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-USB连接电缆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-USB集线器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将实验卡插入实验器，接通测量界面，借助多媒体课程软件可进行以下内容的教学：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•驾驶员辅助系统的基本知识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•自动驾驶发展接到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•主动车道辅助系统的工作原理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•虚拟车道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•主动车道辅助系统的性能限制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•主动车道辅助系统的电气部件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•车内联网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•故障诊断包括4个车间订单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动车道辅助”多媒体课程软件不仅可以控制实验系统、采集测量各种信号直接得出测量结果和激活故障，同时能够传授该主题的相关的理论和背景知识，包含大量动画仿真演示，能够绘制曲线、保存实验结果、进行知识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14</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汽车仿真实训课程：新能源汽车DC/DC升压变换</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1个实验卡（按键，DC-DC变压电路，带信号灯的控制电路，线圈插槽，电容器插槽）；“新能源汽车DC/DC升压变换” 多媒体课程软件的安装光盘；两个跨界插头；电容器；两个带铁芯的线圈。将实验卡插入实验器中，接通虚拟测量界面，借助多媒体课程软件可进行以下内容的教学：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•DC/DC升压变换基本原理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•维修工单：诊断功能（借助诊断工具读故障码），分析汽车故障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•DC/DC升压变换工作原理以及构造：电路结构、工作原理、控制过程、实现电路类别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•维修方法和客户谈话：根据制造商技术规定选择维修方案，了解配件编号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DC/DC升压变换”多媒体课程软件不仅可以控制实训系统、采集测量各种信号直接得出测量结果，同时能够传授该主题的相关的理论和背景知识，包含大量动画仿真演示，能够绘制曲线、保存实验结果、进行知识测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3.汽车仿真实训课程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一、系统运行环境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（1）操作系统兼容性：在 Windows7、Windows8 以及 Windows10 等多种 Windows 操作系统版本上均能实现稳定、流畅的运行。经过严格测试与优化，确保在不同系统环境下，软件的核心功能、界面显示、数据处理以及交互响应等方面均无异常卡顿、闪退或兼容性故障，为用户提供一致且可靠的使用体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（2）硬件适配性：对计算机硬件具有广泛的适配能力，最低配置要求为英特尔酷睿 i3 处理器或同等性能水平的 AMD 处理器，4GB 及以上内存，200GB 可用硬盘空间，集成显卡具备 1GB 以上显存（推荐独立显卡以获得更优视觉效果）。在满足最低配置的基础上，软件能够根据硬件性能自动调整图形渲染质量、数据加载速度等参数，以平衡系统资源占用与运行效果，在高端硬件配置下则可充分发挥其全部性能潜力，展现出更为精细逼真的虚拟实验场景与流畅的操作反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二、虚拟现实引擎应用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用行业领先的虚拟现实引擎技术，在虚拟实验环境构建方面实现了高度的真实感与沉浸感。通过对汽车电子电器实验箱及相关实验场景的高精度三维建模与物理模拟，用户在电脑端操作时仿佛置身于真实的实验室环境之中，能够直观地观察到实验设备的外观细节、内部电路结构以及实验过程中的各种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借助虚拟现实引擎强大的交互功能，用户可通过鼠标、键盘对虚拟实验设备进行全方位、多角度的操作，如电路元件的选取、连接、仪器仪表的操作等，操作方式与真实实验高度一致且反馈及时准确，有效提升了用户的操作技能训练效果与学习积极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三、具体技术参数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主界面共分为三大模块：“电工电路连接与检测”、“电子电路连接与检测”、“集成电路连接与检测”。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3.1实验模块具体分类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（一）电工电路连接与检测模块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①汽车大灯基本电路连接与检测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②汽车大灯并联电路连接与检测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③汽车大灯串联电路连接与检测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④汽车大灯混联电路连接与检测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⑤继电器控制汽车大灯电路连接与检测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⑥直流电动机正反转电路连接与检测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（二）电子电路连接与检测模块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①带二极管控制汽车大灯电路连接与检测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②晶体管控制汽车大灯电路连接与检测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③晶体管控制汽车大灯明暗电路连接与检测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（三）集成电路连接与检测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①集成运算放大器控制汽车大灯电路连接与检测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②集成逻辑门控制汽车大灯电路连接与检测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3.2模块功能展示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①语音提示：点击任意实验进入后，会出现背景提示音提示下一步所需操作步骤；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②工具使用：实验操作所需工具或线束，会显示红色闪烁，使用鼠标左键可拖动；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③文字提示：界面左侧会出现文字提示框，提示下一步所需操作步骤；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④视角调节：长按鼠标右键可以360°自由调节观察角度；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⑤实验现象：根据提示完成正确的操作步骤，会显示对应实验的实验现象；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⑥电位测量：实验线路连接正确后，根据提示使用万用表对所需点位进行电位测量；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⑦电流测量：实验线路连接正确后，根据提示使用万用表对所需点位进行电流测量；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⑧故障诊断：实验线路连接正确后，根据提示取出故障诊断线束更换对应线束，随后再使用万用表对所需诊断点位进行诊断。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7"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15</w:t>
            </w:r>
          </w:p>
        </w:tc>
        <w:tc>
          <w:tcPr>
            <w:tcW w:w="899"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汽车仿真实训课程：新能源汽车DC/DC降压变换</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290"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szCs w:val="21"/>
              </w:rPr>
            </w:pPr>
            <w:r>
              <w:rPr>
                <w:rFonts w:hint="eastAsia" w:ascii="宋体" w:hAnsi="宋体" w:cs="宋体"/>
                <w:szCs w:val="21"/>
                <w:lang w:val="en-US" w:eastAsia="zh-CN"/>
              </w:rPr>
              <w:t>套</w:t>
            </w:r>
          </w:p>
        </w:tc>
        <w:tc>
          <w:tcPr>
            <w:tcW w:w="3232" w:type="pct"/>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1个实验卡（按键，DC-DC变压电路，带信号灯的控制电路，线圈插槽，电容器插槽）；“新能源汽车DC/DC降压变换” 多媒体课程软件的安装光盘；两个跨界插头；电容器；两个带铁芯的线圈。将实验卡插入实验器中，接通虚拟测量界面，借助多媒体课程软件可进行以下内容的教学：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DC/DC降压变换基本原理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维修工单：诊断功能（借助诊断工具读故障码），分析汽车故障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DC/DC降压变换工作原理以及构造：电路结构、工作原理、控制过程、实现电路类别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维修方法和客户谈话：根据制造商技术规定选择维修方案，了解配件编号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实验测量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DC/DC降压变换”多媒体课程软件不仅可以控制实训系统、采集测量各种信号直接得出测量结果，同时能够传授该主题的相关的理论和背景知识，包含大量动画仿真演示，能够绘制曲线、保存实验结果、进行知识测试。</w:t>
            </w:r>
          </w:p>
        </w:tc>
      </w:tr>
    </w:tbl>
    <w:p>
      <w:pPr>
        <w:adjustRightInd w:val="0"/>
        <w:snapToGrid w:val="0"/>
        <w:spacing w:line="288" w:lineRule="auto"/>
        <w:rPr>
          <w:rFonts w:hint="eastAsia" w:ascii="宋体" w:hAnsi="宋体" w:cs="宋体"/>
          <w:b/>
          <w:bCs/>
          <w:color w:val="auto"/>
          <w:szCs w:val="21"/>
          <w:lang w:val="en-US" w:eastAsia="zh-CN"/>
        </w:rPr>
      </w:pPr>
    </w:p>
    <w:p>
      <w:pPr>
        <w:adjustRightInd w:val="0"/>
        <w:snapToGrid w:val="0"/>
        <w:spacing w:line="288" w:lineRule="auto"/>
        <w:rPr>
          <w:rFonts w:ascii="宋体" w:hAnsi="宋体" w:eastAsia="宋体" w:cs="宋体"/>
          <w:b/>
          <w:bCs/>
          <w:color w:val="auto"/>
          <w:szCs w:val="21"/>
        </w:rPr>
      </w:pPr>
      <w:r>
        <w:rPr>
          <w:rFonts w:hint="eastAsia" w:ascii="宋体" w:hAnsi="宋体" w:cs="宋体"/>
          <w:b/>
          <w:bCs/>
          <w:color w:val="auto"/>
          <w:szCs w:val="21"/>
          <w:lang w:val="en-US" w:eastAsia="zh-CN"/>
        </w:rPr>
        <w:t>（四）</w:t>
      </w:r>
      <w:r>
        <w:rPr>
          <w:rFonts w:hint="eastAsia" w:ascii="宋体" w:hAnsi="宋体" w:eastAsia="宋体" w:cs="宋体"/>
          <w:b/>
          <w:bCs/>
          <w:color w:val="auto"/>
          <w:szCs w:val="21"/>
        </w:rPr>
        <w:t>演示要求：</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Times New Roman"/>
          <w:color w:val="auto"/>
          <w:sz w:val="21"/>
          <w:szCs w:val="21"/>
        </w:rPr>
      </w:pPr>
      <w:r>
        <w:rPr>
          <w:rFonts w:hint="eastAsia" w:ascii="宋体" w:hAnsi="宋体" w:cs="Times New Roman"/>
          <w:color w:val="auto"/>
          <w:sz w:val="21"/>
          <w:szCs w:val="21"/>
        </w:rPr>
        <w:t>投标人需提供</w:t>
      </w:r>
      <w:r>
        <w:rPr>
          <w:rFonts w:hint="eastAsia" w:ascii="宋体" w:hAnsi="宋体" w:cs="Times New Roman"/>
          <w:color w:val="auto"/>
          <w:sz w:val="21"/>
          <w:szCs w:val="21"/>
          <w:lang w:val="en-US" w:eastAsia="zh-CN"/>
        </w:rPr>
        <w:t>以下</w:t>
      </w:r>
      <w:r>
        <w:rPr>
          <w:rFonts w:hint="eastAsia" w:ascii="宋体" w:hAnsi="宋体" w:cs="Times New Roman"/>
          <w:color w:val="auto"/>
          <w:sz w:val="21"/>
          <w:szCs w:val="21"/>
        </w:rPr>
        <w:t>真实的</w:t>
      </w:r>
      <w:r>
        <w:rPr>
          <w:rFonts w:hint="eastAsia" w:ascii="宋体" w:hAnsi="宋体" w:cs="Times New Roman"/>
          <w:color w:val="auto"/>
          <w:sz w:val="21"/>
          <w:szCs w:val="21"/>
          <w:lang w:val="en-US" w:eastAsia="zh-CN"/>
        </w:rPr>
        <w:t>投标</w:t>
      </w:r>
      <w:r>
        <w:rPr>
          <w:rFonts w:hint="eastAsia" w:ascii="宋体" w:hAnsi="宋体" w:cs="Times New Roman"/>
          <w:color w:val="auto"/>
          <w:sz w:val="21"/>
          <w:szCs w:val="21"/>
        </w:rPr>
        <w:t>产品录屏讲解操作视频，投标人将演示的过程录制成视频，视频内须提供人员解说，内容应为真实操作过程的原始记录。</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Times New Roman"/>
          <w:color w:val="auto"/>
          <w:sz w:val="21"/>
          <w:szCs w:val="21"/>
        </w:rPr>
      </w:pPr>
      <w:r>
        <w:rPr>
          <w:rFonts w:hint="eastAsia" w:ascii="宋体" w:hAnsi="宋体" w:eastAsia="宋体" w:cs="宋体"/>
          <w:b/>
          <w:color w:val="000000"/>
          <w:sz w:val="21"/>
          <w:szCs w:val="21"/>
          <w:lang w:val="en-US" w:eastAsia="zh-CN"/>
        </w:rPr>
        <w:t>1、演示内容：</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Times New Roman"/>
          <w:b/>
          <w:bCs/>
          <w:color w:val="auto"/>
          <w:sz w:val="21"/>
          <w:szCs w:val="21"/>
        </w:rPr>
      </w:pPr>
      <w:r>
        <w:rPr>
          <w:rFonts w:hint="eastAsia" w:ascii="宋体" w:hAnsi="宋体" w:cs="Times New Roman"/>
          <w:b/>
          <w:bCs/>
          <w:color w:val="auto"/>
          <w:sz w:val="21"/>
          <w:szCs w:val="21"/>
          <w:lang w:val="en-US" w:eastAsia="zh-CN"/>
        </w:rPr>
        <w:t>电动汽车整车CAN控制实训台</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eastAsia="zh-CN"/>
        </w:rPr>
      </w:pPr>
      <w:r>
        <w:rPr>
          <w:rFonts w:hint="eastAsia" w:ascii="宋体" w:hAnsi="宋体" w:cs="Times New Roman"/>
          <w:b/>
          <w:bCs/>
          <w:color w:val="auto"/>
          <w:sz w:val="21"/>
          <w:szCs w:val="21"/>
          <w:lang w:val="en-US" w:eastAsia="zh-CN"/>
        </w:rPr>
        <w:t>演示项1（软件首页）</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软件首页：展示仿真软件名称以及对应设备实物样貌，软件首页左侧菜单栏可以查看实验项目名称，首页具备最小化、缩放、关闭界面等功能按键。</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Times New Roman"/>
          <w:color w:val="auto"/>
          <w:sz w:val="21"/>
          <w:szCs w:val="21"/>
          <w:lang w:val="en-US" w:eastAsia="zh-CN"/>
        </w:rPr>
      </w:pPr>
      <w:r>
        <w:rPr>
          <w:rFonts w:hint="eastAsia" w:ascii="宋体" w:hAnsi="宋体" w:cs="Times New Roman"/>
          <w:b/>
          <w:bCs/>
          <w:color w:val="auto"/>
          <w:sz w:val="21"/>
          <w:szCs w:val="21"/>
          <w:lang w:val="en-US" w:eastAsia="zh-CN"/>
        </w:rPr>
        <w:t>演示项2（软件首页）</w:t>
      </w: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实验项目内容：包括电工电路连接与检测、电子电路连接与检测、集成电路连接与检测三大标题模块，标题模块下的子菜单包含汽车大灯基本电路连接与检测、汽车大灯并联电路连接与检测、汽车大灯串联电路连接与检测等实验模块，总实验项目不少于11个。</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演示项3（实验模块）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实验界面：显示对应实验具体名称，并有步骤文字提示框，方便了解实验下一步操作且提示的线束或零部件会有闪烁提示；跳过线路连接：点击跳过线路连接按键可以一键跳过实验的连接过程从而查看实验结果，可长按鼠标右键旋转实验箱各角度进行观察，也可以滚动鼠标滚轮缩放实验箱。</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演示项4（实验模块）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测量诊断模块：包含电位测量、电流测量、故障诊断三大模块，点击电位测量模块可以实验万用表进行测量，万用表调节至合适档位并测量端口后显示对应数值。</w:t>
      </w:r>
    </w:p>
    <w:p>
      <w:pPr>
        <w:keepNext w:val="0"/>
        <w:keepLines w:val="0"/>
        <w:pageBreakBefore w:val="0"/>
        <w:widowControl w:val="0"/>
        <w:kinsoku/>
        <w:wordWrap/>
        <w:overflowPunct/>
        <w:topLinePunct w:val="0"/>
        <w:autoSpaceDE/>
        <w:autoSpaceDN/>
        <w:bidi w:val="0"/>
        <w:adjustRightInd w:val="0"/>
        <w:snapToGrid/>
        <w:spacing w:line="288" w:lineRule="auto"/>
        <w:ind w:firstLine="420" w:firstLineChars="200"/>
        <w:textAlignment w:val="auto"/>
        <w:rPr>
          <w:rFonts w:hint="eastAsia" w:ascii="宋体" w:hAnsi="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Times New Roman"/>
          <w:b/>
          <w:bCs/>
          <w:color w:val="auto"/>
          <w:sz w:val="21"/>
          <w:szCs w:val="21"/>
          <w:lang w:val="en-US" w:eastAsia="zh-CN"/>
        </w:rPr>
      </w:pPr>
      <w:r>
        <w:rPr>
          <w:rFonts w:hint="eastAsia" w:ascii="宋体" w:hAnsi="宋体" w:cs="Times New Roman"/>
          <w:b/>
          <w:bCs/>
          <w:color w:val="auto"/>
          <w:sz w:val="21"/>
          <w:szCs w:val="21"/>
          <w:lang w:val="en-US" w:eastAsia="zh-CN"/>
        </w:rPr>
        <w:t>新能源汽车动力电池PACK装调实训平台</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演示项5</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电池设备台架：台架电池包可进行拆卸、安装，电池包组装完成后可以配合设备台架设置故障及诊断等功能，故障情况可在上位机检测软件中显示具体情况。</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演示项6</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BMS管理系统：需包括主从机结构、继电器、预充继电器、预充电阻、航空插头、保险带座、接头、维修开关、烟雾报警系统、绝缘检测、上位机检测软件等。</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演示项7</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BMS设故模块：要求配备不少于4层PCB电路板，车规级防水接插件链接，设置不少于68路故障，配备双端检测功能不少于136个，配备CAN报文检测平台，数据发送解析软件，绝缘护具，绝缘工具等。</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演示项8（仿真软件）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部件提示：工具箱内的工具以及零件箱内的零部件可通过鼠标移动进行该部件的名称高亮显示，点击提示位置按键，操作部位处会显示所需零件名称，可在零件箱内快速找到所需安装的零件。</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演示项9（仿真软件）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对充电端口与预充电阻的线路进行连接：预充电阻的左侧线路连接至预充继电器的右侧接线口：预充电阻的右侧线路连接至总正继电器的右侧接线口；充电端口左侧线路连接至总负继电器接线口；充电端口中间线路连接至充电继电器右侧接线口：充电端口右侧线路连接至放电继电器右侧接线口。</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演示项10（动力蓄电池装调智能供应站管理系统——（2）实训中心）：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保护以下参数三级阀值：总压过高、总压过低、单体过高、单体过低、放电过温、放电低温、充电高温、充电低温、压差过大、温差过大、放电电流、充电电流、SOC过低、绝缘过低，同时显示保护参数是否正常。</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演示项11（动力蓄电池装调智能供应站管理系统——（2）实训中心）：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电池调试在电池调试模块中可对电池电压、电池温度进行数值调试。可对24节电池中单个电池电压进行数值设置，也可同时对多个电池电压进行数值设置，设置的范围为0-5V。当设置的电压超出正常值时，可用仪器在设备上进行检测，检查出问题后可在系统进行恢复。可对8个电池温度采集点进行单个温度设置，也可同时对多个电池温度采集点进行数值设置。当设置的温度超出正常工作值时，可用仪器在设备上进行检测，检查出问题时可在系统进行恢复正常。</w:t>
      </w:r>
    </w:p>
    <w:p>
      <w:pPr>
        <w:keepNext w:val="0"/>
        <w:keepLines w:val="0"/>
        <w:pageBreakBefore w:val="0"/>
        <w:widowControl w:val="0"/>
        <w:kinsoku/>
        <w:wordWrap/>
        <w:overflowPunct/>
        <w:topLinePunct w:val="0"/>
        <w:autoSpaceDE/>
        <w:autoSpaceDN/>
        <w:bidi w:val="0"/>
        <w:adjustRightInd w:val="0"/>
        <w:snapToGrid/>
        <w:spacing w:line="288" w:lineRule="auto"/>
        <w:ind w:firstLine="422" w:firstLineChars="200"/>
        <w:textAlignment w:val="auto"/>
        <w:rPr>
          <w:rFonts w:hint="eastAsia" w:ascii="宋体" w:hAnsi="宋体" w:cs="宋体"/>
          <w:b/>
          <w:color w:val="auto"/>
          <w:sz w:val="21"/>
          <w:szCs w:val="21"/>
          <w:highlight w:val="none"/>
          <w:shd w:val="clear" w:color="auto" w:fill="FFFFFF"/>
        </w:rPr>
      </w:pPr>
      <w:r>
        <w:rPr>
          <w:rFonts w:hint="eastAsia" w:ascii="宋体" w:hAnsi="宋体" w:cs="宋体"/>
          <w:b/>
          <w:color w:val="auto"/>
          <w:sz w:val="21"/>
          <w:szCs w:val="21"/>
          <w:highlight w:val="none"/>
          <w:shd w:val="clear" w:color="auto" w:fill="FFFFFF"/>
          <w:lang w:val="en-US" w:eastAsia="zh-CN"/>
        </w:rPr>
        <w:t>演示项12（动力蓄电池装调智能供应站管理系统——（3）调试中心）：</w:t>
      </w:r>
      <w:r>
        <w:rPr>
          <w:rFonts w:hint="eastAsia" w:ascii="宋体" w:hAnsi="宋体" w:cs="宋体"/>
          <w:b w:val="0"/>
          <w:bCs/>
          <w:color w:val="auto"/>
          <w:sz w:val="21"/>
          <w:szCs w:val="21"/>
          <w:highlight w:val="none"/>
          <w:shd w:val="clear" w:color="auto" w:fill="FFFFFF"/>
          <w:lang w:val="en-US" w:eastAsia="zh-CN"/>
        </w:rPr>
        <w:t>点击调试按钮可进入调试界面，调试数据信息呈列表形式显示，包含：总压过高、单体过高、放电高温、充电高温、压差过大、放电过流、soc过低、总压过低、单体过低、放电低温、充电低温、温差过大、充电过流、绝缘过低等数据，每条数据分三个告警等级，可进行编辑修改；同时显示当前SOC、电池容量及最大电流。</w:t>
      </w:r>
    </w:p>
    <w:p>
      <w:pPr>
        <w:pStyle w:val="24"/>
        <w:keepNext w:val="0"/>
        <w:keepLines w:val="0"/>
        <w:pageBreakBefore w:val="0"/>
        <w:widowControl w:val="0"/>
        <w:kinsoku/>
        <w:wordWrap/>
        <w:overflowPunct/>
        <w:topLinePunct w:val="0"/>
        <w:bidi w:val="0"/>
        <w:adjustRightInd w:val="0"/>
        <w:spacing w:line="288" w:lineRule="auto"/>
        <w:ind w:firstLine="422" w:firstLineChars="200"/>
        <w:textAlignment w:val="auto"/>
        <w:rPr>
          <w:rFonts w:hint="eastAsia" w:hAnsi="宋体" w:cs="仿宋_GB2312"/>
          <w:b/>
          <w:bCs/>
          <w:snapToGrid/>
          <w:color w:val="auto"/>
          <w:sz w:val="21"/>
          <w:lang w:val="en-US" w:eastAsia="zh-CN"/>
        </w:rPr>
      </w:pPr>
    </w:p>
    <w:p>
      <w:pPr>
        <w:pStyle w:val="24"/>
        <w:keepNext w:val="0"/>
        <w:keepLines w:val="0"/>
        <w:pageBreakBefore w:val="0"/>
        <w:widowControl w:val="0"/>
        <w:kinsoku/>
        <w:wordWrap/>
        <w:overflowPunct/>
        <w:topLinePunct w:val="0"/>
        <w:bidi w:val="0"/>
        <w:adjustRightInd w:val="0"/>
        <w:spacing w:line="288" w:lineRule="auto"/>
        <w:ind w:firstLine="422" w:firstLineChars="200"/>
        <w:textAlignment w:val="auto"/>
        <w:rPr>
          <w:rFonts w:ascii="宋体" w:hAnsi="宋体"/>
          <w:b/>
          <w:bCs/>
          <w:color w:val="auto"/>
          <w:sz w:val="21"/>
          <w:szCs w:val="21"/>
        </w:rPr>
      </w:pPr>
      <w:r>
        <w:rPr>
          <w:rFonts w:hint="eastAsia" w:hAnsi="宋体" w:cs="仿宋_GB2312"/>
          <w:b/>
          <w:bCs/>
          <w:snapToGrid/>
          <w:color w:val="auto"/>
          <w:sz w:val="21"/>
          <w:lang w:val="en-US" w:eastAsia="zh-CN"/>
        </w:rPr>
        <w:t>2、</w:t>
      </w:r>
      <w:r>
        <w:rPr>
          <w:rFonts w:ascii="宋体" w:hAnsi="宋体"/>
          <w:b/>
          <w:bCs/>
          <w:color w:val="auto"/>
          <w:sz w:val="21"/>
          <w:szCs w:val="21"/>
        </w:rPr>
        <w:t>演示U盘：</w:t>
      </w:r>
    </w:p>
    <w:p>
      <w:pPr>
        <w:keepNext w:val="0"/>
        <w:keepLines w:val="0"/>
        <w:pageBreakBefore w:val="0"/>
        <w:widowControl w:val="0"/>
        <w:kinsoku/>
        <w:wordWrap/>
        <w:overflowPunct/>
        <w:topLinePunct w:val="0"/>
        <w:bidi w:val="0"/>
        <w:adjustRightInd w:val="0"/>
        <w:spacing w:line="288" w:lineRule="auto"/>
        <w:ind w:firstLine="420" w:firstLineChars="200"/>
        <w:textAlignment w:val="auto"/>
        <w:rPr>
          <w:rFonts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1</w:t>
      </w:r>
      <w:r>
        <w:rPr>
          <w:rFonts w:hint="eastAsia" w:ascii="宋体" w:hAnsi="宋体" w:cs="Times New Roman"/>
          <w:color w:val="auto"/>
          <w:sz w:val="21"/>
          <w:szCs w:val="21"/>
          <w:lang w:eastAsia="zh-CN"/>
        </w:rPr>
        <w:t>）</w:t>
      </w:r>
      <w:r>
        <w:rPr>
          <w:rFonts w:ascii="宋体" w:hAnsi="宋体" w:cs="Times New Roman"/>
          <w:color w:val="auto"/>
          <w:sz w:val="21"/>
          <w:szCs w:val="21"/>
        </w:rPr>
        <w:t>根据“电子交易/不见面开评标”原则，投标人需将以上演示及讲解过程录制视频，演示时长不超过1</w:t>
      </w:r>
      <w:r>
        <w:rPr>
          <w:rFonts w:hint="eastAsia" w:ascii="宋体" w:hAnsi="宋体" w:cs="Times New Roman"/>
          <w:color w:val="auto"/>
          <w:sz w:val="21"/>
          <w:szCs w:val="21"/>
          <w:lang w:val="en-US" w:eastAsia="zh-CN"/>
        </w:rPr>
        <w:t>5</w:t>
      </w:r>
      <w:r>
        <w:rPr>
          <w:rFonts w:ascii="宋体" w:hAnsi="宋体" w:cs="Times New Roman"/>
          <w:color w:val="auto"/>
          <w:sz w:val="21"/>
          <w:szCs w:val="21"/>
        </w:rPr>
        <w:t>分钟以.mp4格式存储于U盘。投标人须自行核验U盘中的视频能正常播放，保证视频无需转码即可直接用主流播放器打开播放。</w:t>
      </w:r>
    </w:p>
    <w:p>
      <w:pPr>
        <w:keepNext w:val="0"/>
        <w:keepLines w:val="0"/>
        <w:pageBreakBefore w:val="0"/>
        <w:widowControl w:val="0"/>
        <w:kinsoku/>
        <w:wordWrap/>
        <w:overflowPunct/>
        <w:topLinePunct w:val="0"/>
        <w:bidi w:val="0"/>
        <w:adjustRightInd w:val="0"/>
        <w:spacing w:line="288" w:lineRule="auto"/>
        <w:ind w:firstLine="420" w:firstLineChars="200"/>
        <w:textAlignment w:val="auto"/>
        <w:rPr>
          <w:rFonts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lang w:eastAsia="zh-CN"/>
        </w:rPr>
        <w:t>）</w:t>
      </w:r>
      <w:r>
        <w:rPr>
          <w:rFonts w:ascii="宋体" w:hAnsi="宋体" w:cs="Times New Roman"/>
          <w:color w:val="auto"/>
          <w:sz w:val="21"/>
          <w:szCs w:val="21"/>
        </w:rPr>
        <w:t>演示U盘以邮寄形式在</w:t>
      </w:r>
      <w:r>
        <w:rPr>
          <w:rFonts w:hint="eastAsia" w:ascii="宋体" w:hAnsi="宋体" w:cs="Times New Roman"/>
          <w:color w:val="auto"/>
          <w:sz w:val="21"/>
          <w:szCs w:val="21"/>
        </w:rPr>
        <w:t>提交投标文件截止时间</w:t>
      </w:r>
      <w:r>
        <w:rPr>
          <w:rFonts w:ascii="宋体" w:hAnsi="宋体" w:cs="Times New Roman"/>
          <w:color w:val="auto"/>
          <w:sz w:val="21"/>
          <w:szCs w:val="21"/>
        </w:rPr>
        <w:t>前递交，演示U盘应当密封包装并在包装上标注演示U盘、项目名称、投标人名称并加盖公章</w:t>
      </w:r>
      <w:r>
        <w:rPr>
          <w:rFonts w:hint="eastAsia" w:ascii="Times New Roman" w:hAnsi="宋体" w:cs="Times New Roman"/>
          <w:b/>
          <w:bCs/>
          <w:color w:val="auto"/>
          <w:sz w:val="21"/>
        </w:rPr>
        <w:t>（投标人也可提供演示备份文件，一同放于</w:t>
      </w:r>
      <w:r>
        <w:rPr>
          <w:rFonts w:ascii="Times New Roman" w:hAnsi="宋体" w:cs="Times New Roman"/>
          <w:b/>
          <w:bCs/>
          <w:color w:val="auto"/>
          <w:sz w:val="21"/>
        </w:rPr>
        <w:t>密封包装</w:t>
      </w:r>
      <w:r>
        <w:rPr>
          <w:rFonts w:hint="eastAsia" w:ascii="Times New Roman" w:hAnsi="宋体" w:cs="Times New Roman"/>
          <w:b/>
          <w:bCs/>
          <w:color w:val="auto"/>
          <w:sz w:val="21"/>
        </w:rPr>
        <w:t>内，并且</w:t>
      </w:r>
      <w:r>
        <w:rPr>
          <w:rFonts w:ascii="Times New Roman" w:hAnsi="宋体" w:cs="Times New Roman"/>
          <w:b/>
          <w:bCs/>
          <w:color w:val="auto"/>
          <w:sz w:val="21"/>
        </w:rPr>
        <w:t>标注</w:t>
      </w:r>
      <w:r>
        <w:rPr>
          <w:rFonts w:hint="eastAsia" w:ascii="Times New Roman" w:hAnsi="宋体" w:cs="Times New Roman"/>
          <w:b/>
          <w:bCs/>
          <w:color w:val="auto"/>
          <w:sz w:val="21"/>
        </w:rPr>
        <w:t>“演示备份”。如原演示视频在打开过程中无法读取或者无法正常播放，可启用“演示备份”文件）</w:t>
      </w:r>
      <w:r>
        <w:rPr>
          <w:rFonts w:ascii="Times New Roman" w:hAnsi="宋体" w:cs="Times New Roman"/>
          <w:color w:val="auto"/>
          <w:sz w:val="21"/>
        </w:rPr>
        <w:t>。</w:t>
      </w:r>
      <w:r>
        <w:rPr>
          <w:rFonts w:ascii="宋体" w:hAnsi="宋体" w:cs="Times New Roman"/>
          <w:color w:val="auto"/>
          <w:sz w:val="21"/>
          <w:szCs w:val="21"/>
        </w:rPr>
        <w:t>（邮寄地址：杭州市西湖区玉古路173号中田大厦21楼H室，浙江求是招标代理有限公司（</w:t>
      </w:r>
      <w:r>
        <w:rPr>
          <w:rFonts w:hint="eastAsia" w:ascii="宋体" w:hAnsi="宋体" w:cs="Times New Roman"/>
          <w:color w:val="auto"/>
          <w:sz w:val="21"/>
          <w:szCs w:val="21"/>
          <w:lang w:val="en-US" w:eastAsia="zh-CN"/>
        </w:rPr>
        <w:t>蒋晗</w:t>
      </w:r>
      <w:r>
        <w:rPr>
          <w:rFonts w:ascii="宋体" w:hAnsi="宋体" w:cs="Times New Roman"/>
          <w:color w:val="auto"/>
          <w:sz w:val="21"/>
          <w:szCs w:val="21"/>
        </w:rPr>
        <w:t>）收，电话：0571-87666117，寄出后将（快递单号、项目名称、公司名称、联系方式等相关信息）发至：zb05@qszb.net，以便查收）。</w:t>
      </w:r>
    </w:p>
    <w:p>
      <w:pPr>
        <w:keepNext w:val="0"/>
        <w:keepLines w:val="0"/>
        <w:pageBreakBefore w:val="0"/>
        <w:widowControl w:val="0"/>
        <w:kinsoku/>
        <w:wordWrap/>
        <w:overflowPunct/>
        <w:topLinePunct w:val="0"/>
        <w:bidi w:val="0"/>
        <w:adjustRightInd w:val="0"/>
        <w:spacing w:line="288" w:lineRule="auto"/>
        <w:ind w:firstLine="420" w:firstLineChars="200"/>
        <w:textAlignment w:val="auto"/>
        <w:rPr>
          <w:rFonts w:ascii="宋体" w:hAnsi="宋体" w:cs="Times New Roman"/>
          <w:color w:val="auto"/>
          <w:sz w:val="21"/>
          <w:szCs w:val="21"/>
        </w:rPr>
      </w:pPr>
      <w:r>
        <w:rPr>
          <w:rFonts w:hint="eastAsia" w:ascii="宋体" w:hAnsi="宋体" w:cs="Times New Roman"/>
          <w:color w:val="auto"/>
          <w:sz w:val="21"/>
          <w:szCs w:val="21"/>
          <w:lang w:eastAsia="zh-CN"/>
        </w:rPr>
        <w:t>（</w:t>
      </w:r>
      <w:r>
        <w:rPr>
          <w:rFonts w:hint="eastAsia" w:ascii="宋体" w:hAnsi="宋体" w:cs="Times New Roman"/>
          <w:color w:val="auto"/>
          <w:sz w:val="21"/>
          <w:szCs w:val="21"/>
          <w:lang w:val="en-US" w:eastAsia="zh-CN"/>
        </w:rPr>
        <w:t>3</w:t>
      </w:r>
      <w:r>
        <w:rPr>
          <w:rFonts w:hint="eastAsia" w:ascii="宋体" w:hAnsi="宋体" w:cs="Times New Roman"/>
          <w:color w:val="auto"/>
          <w:sz w:val="21"/>
          <w:szCs w:val="21"/>
          <w:lang w:eastAsia="zh-CN"/>
        </w:rPr>
        <w:t>）</w:t>
      </w:r>
      <w:r>
        <w:rPr>
          <w:rFonts w:ascii="宋体" w:hAnsi="宋体" w:cs="Times New Roman"/>
          <w:color w:val="auto"/>
          <w:sz w:val="21"/>
          <w:szCs w:val="21"/>
        </w:rPr>
        <w:t>未按</w:t>
      </w:r>
      <w:r>
        <w:rPr>
          <w:rFonts w:hint="eastAsia" w:ascii="宋体" w:hAnsi="宋体" w:cs="Times New Roman"/>
          <w:color w:val="auto"/>
          <w:sz w:val="21"/>
          <w:szCs w:val="21"/>
        </w:rPr>
        <w:t>招标</w:t>
      </w:r>
      <w:r>
        <w:rPr>
          <w:rFonts w:ascii="宋体" w:hAnsi="宋体" w:cs="Times New Roman"/>
          <w:color w:val="auto"/>
          <w:sz w:val="21"/>
          <w:szCs w:val="21"/>
        </w:rPr>
        <w:t>文件要求提供演示U盘造成评审专家无法正常评审的风险由投标人自行承担。</w:t>
      </w:r>
      <w:r>
        <w:rPr>
          <w:rFonts w:hint="eastAsia" w:ascii="宋体" w:hAnsi="宋体" w:cs="Times New Roman"/>
          <w:color w:val="auto"/>
          <w:sz w:val="21"/>
          <w:szCs w:val="21"/>
        </w:rPr>
        <w:t>因投标人自身原因导致无法演示或者演示效果不理想的，责任自负。</w:t>
      </w:r>
    </w:p>
    <w:p>
      <w:pPr>
        <w:keepNext w:val="0"/>
        <w:keepLines w:val="0"/>
        <w:pageBreakBefore w:val="0"/>
        <w:widowControl w:val="0"/>
        <w:kinsoku/>
        <w:wordWrap/>
        <w:overflowPunct/>
        <w:topLinePunct w:val="0"/>
        <w:bidi w:val="0"/>
        <w:adjustRightInd w:val="0"/>
        <w:snapToGrid w:val="0"/>
        <w:spacing w:line="288" w:lineRule="auto"/>
        <w:ind w:firstLine="422" w:firstLineChars="200"/>
        <w:textAlignment w:val="auto"/>
        <w:rPr>
          <w:rFonts w:hint="eastAsia" w:ascii="宋体" w:hAnsi="宋体" w:cs="Times New Roman"/>
          <w:b/>
          <w:bCs/>
          <w:color w:val="auto"/>
          <w:sz w:val="21"/>
          <w:szCs w:val="21"/>
          <w:lang w:val="en-US" w:eastAsia="zh-CN"/>
        </w:rPr>
      </w:pPr>
      <w:r>
        <w:rPr>
          <w:rFonts w:hint="eastAsia" w:ascii="宋体" w:hAnsi="宋体" w:cs="Times New Roman"/>
          <w:b/>
          <w:bCs/>
          <w:color w:val="auto"/>
          <w:sz w:val="21"/>
          <w:szCs w:val="21"/>
          <w:lang w:eastAsia="zh-CN"/>
        </w:rPr>
        <w:t>▲（</w:t>
      </w:r>
      <w:r>
        <w:rPr>
          <w:rFonts w:hint="eastAsia" w:ascii="宋体" w:hAnsi="宋体" w:cs="Times New Roman"/>
          <w:b/>
          <w:bCs/>
          <w:color w:val="auto"/>
          <w:sz w:val="21"/>
          <w:szCs w:val="21"/>
          <w:lang w:val="en-US" w:eastAsia="zh-CN"/>
        </w:rPr>
        <w:t>4</w:t>
      </w:r>
      <w:r>
        <w:rPr>
          <w:rFonts w:hint="eastAsia" w:ascii="宋体" w:hAnsi="宋体" w:cs="Times New Roman"/>
          <w:b/>
          <w:bCs/>
          <w:color w:val="auto"/>
          <w:sz w:val="21"/>
          <w:szCs w:val="21"/>
          <w:lang w:eastAsia="zh-CN"/>
        </w:rPr>
        <w:t>）</w:t>
      </w:r>
      <w:r>
        <w:rPr>
          <w:rFonts w:ascii="宋体" w:hAnsi="宋体" w:cs="Times New Roman"/>
          <w:b/>
          <w:bCs/>
          <w:color w:val="auto"/>
          <w:sz w:val="21"/>
          <w:szCs w:val="21"/>
        </w:rPr>
        <w:t>未提供演示的或提供</w:t>
      </w:r>
      <w:r>
        <w:rPr>
          <w:rFonts w:hint="eastAsia" w:ascii="宋体" w:hAnsi="宋体" w:cs="Times New Roman"/>
          <w:b/>
          <w:bCs/>
          <w:color w:val="auto"/>
          <w:sz w:val="21"/>
          <w:szCs w:val="21"/>
          <w:lang w:val="en-US" w:eastAsia="zh-CN"/>
        </w:rPr>
        <w:t>PPT</w:t>
      </w:r>
      <w:r>
        <w:rPr>
          <w:rFonts w:hint="eastAsia" w:ascii="宋体" w:hAnsi="宋体" w:cs="Times New Roman"/>
          <w:b/>
          <w:bCs/>
          <w:color w:val="auto"/>
          <w:sz w:val="21"/>
          <w:szCs w:val="21"/>
          <w:lang w:eastAsia="zh-CN"/>
        </w:rPr>
        <w:t>、</w:t>
      </w:r>
      <w:r>
        <w:rPr>
          <w:rFonts w:hint="eastAsia" w:ascii="宋体" w:hAnsi="宋体" w:cs="Times New Roman"/>
          <w:b/>
          <w:bCs/>
          <w:color w:val="auto"/>
          <w:sz w:val="21"/>
          <w:szCs w:val="21"/>
          <w:lang w:val="en-US" w:eastAsia="zh-CN"/>
        </w:rPr>
        <w:t>Word</w:t>
      </w:r>
      <w:r>
        <w:rPr>
          <w:rFonts w:ascii="宋体" w:hAnsi="宋体" w:cs="Times New Roman"/>
          <w:b/>
          <w:bCs/>
          <w:color w:val="auto"/>
          <w:sz w:val="21"/>
          <w:szCs w:val="21"/>
        </w:rPr>
        <w:t>等其他形式演示的，</w:t>
      </w:r>
      <w:r>
        <w:rPr>
          <w:rFonts w:hint="eastAsia" w:ascii="宋体" w:hAnsi="宋体" w:cs="Times New Roman"/>
          <w:b/>
          <w:bCs/>
          <w:color w:val="auto"/>
          <w:sz w:val="21"/>
          <w:szCs w:val="21"/>
          <w:lang w:val="en-US" w:eastAsia="zh-CN"/>
        </w:rPr>
        <w:t>投标无效。</w:t>
      </w:r>
    </w:p>
    <w:p>
      <w:pPr>
        <w:adjustRightInd w:val="0"/>
        <w:snapToGrid w:val="0"/>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rPr>
        <w:br w:type="page"/>
      </w:r>
      <w:r>
        <w:rPr>
          <w:rFonts w:hint="eastAsia" w:ascii="宋体" w:hAnsi="宋体" w:eastAsia="宋体" w:cs="Times New Roman"/>
          <w:b/>
          <w:bCs/>
          <w:color w:val="auto"/>
          <w:szCs w:val="21"/>
          <w:highlight w:val="none"/>
        </w:rPr>
        <w:t>需提供的证明材料</w:t>
      </w:r>
    </w:p>
    <w:p>
      <w:pPr>
        <w:adjustRightInd w:val="0"/>
        <w:snapToGrid w:val="0"/>
        <w:jc w:val="center"/>
        <w:rPr>
          <w:rFonts w:ascii="宋体" w:hAnsi="宋体" w:eastAsia="宋体" w:cs="Times New Roman"/>
          <w:b/>
          <w:bCs/>
          <w:color w:val="auto"/>
          <w:szCs w:val="21"/>
        </w:rPr>
      </w:pPr>
      <w:r>
        <w:rPr>
          <w:rFonts w:hint="eastAsia" w:ascii="宋体" w:hAnsi="宋体" w:eastAsia="宋体" w:cs="Times New Roman"/>
          <w:b/>
          <w:bCs/>
          <w:color w:val="auto"/>
          <w:szCs w:val="21"/>
          <w:highlight w:val="none"/>
        </w:rPr>
        <w:t>（技术要求需提供的证明材料以此表为准，未提供证明材料或提</w:t>
      </w:r>
      <w:r>
        <w:rPr>
          <w:rFonts w:hint="eastAsia" w:ascii="宋体" w:hAnsi="宋体" w:eastAsia="宋体" w:cs="Times New Roman"/>
          <w:b/>
          <w:bCs/>
          <w:color w:val="auto"/>
          <w:szCs w:val="21"/>
        </w:rPr>
        <w:t>供材料不符合技术要求均视为该指标负偏离）</w:t>
      </w:r>
    </w:p>
    <w:tbl>
      <w:tblPr>
        <w:tblStyle w:val="62"/>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5"/>
        <w:gridCol w:w="2502"/>
        <w:gridCol w:w="42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color w:val="auto"/>
                <w:szCs w:val="21"/>
              </w:rPr>
            </w:pPr>
            <w:r>
              <w:rPr>
                <w:rFonts w:hint="eastAsia" w:ascii="宋体" w:hAnsi="宋体" w:eastAsia="宋体" w:cs="Times New Roman"/>
                <w:b/>
                <w:color w:val="auto"/>
                <w:szCs w:val="21"/>
              </w:rPr>
              <w:t>序号</w:t>
            </w:r>
          </w:p>
        </w:tc>
        <w:tc>
          <w:tcPr>
            <w:tcW w:w="1405"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color w:val="auto"/>
                <w:szCs w:val="21"/>
              </w:rPr>
            </w:pPr>
            <w:r>
              <w:rPr>
                <w:rFonts w:hint="eastAsia" w:ascii="宋体" w:hAnsi="宋体" w:eastAsia="宋体" w:cs="Times New Roman"/>
                <w:b/>
                <w:color w:val="auto"/>
                <w:szCs w:val="21"/>
              </w:rPr>
              <w:t>名称</w:t>
            </w: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color w:val="auto"/>
                <w:szCs w:val="21"/>
              </w:rPr>
            </w:pPr>
            <w:r>
              <w:rPr>
                <w:rFonts w:hint="eastAsia" w:ascii="宋体" w:hAnsi="宋体" w:eastAsia="宋体" w:cs="Times New Roman"/>
                <w:b/>
                <w:color w:val="auto"/>
                <w:szCs w:val="21"/>
              </w:rPr>
              <w:t>证明材料名称</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color w:val="auto"/>
                <w:szCs w:val="21"/>
              </w:rPr>
            </w:pPr>
            <w:r>
              <w:rPr>
                <w:rFonts w:hint="eastAsia" w:ascii="宋体" w:hAnsi="宋体" w:eastAsia="宋体" w:cs="Times New Roman"/>
                <w:b/>
                <w:color w:val="auto"/>
                <w:szCs w:val="21"/>
              </w:rPr>
              <w:t>验证指标（每项为一指标项）</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default" w:ascii="宋体" w:hAnsi="宋体" w:eastAsia="宋体" w:cs="Times New Roman"/>
                <w:b/>
                <w:color w:val="auto"/>
                <w:szCs w:val="21"/>
              </w:rPr>
            </w:pPr>
            <w:r>
              <w:rPr>
                <w:rFonts w:hint="eastAsia" w:ascii="宋体" w:hAnsi="宋体" w:eastAsia="宋体" w:cs="Times New Roman"/>
                <w:b/>
                <w:color w:val="auto"/>
                <w:szCs w:val="21"/>
              </w:rPr>
              <w:t>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1</w:t>
            </w:r>
          </w:p>
        </w:tc>
        <w:tc>
          <w:tcPr>
            <w:tcW w:w="140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混合动力汽车驱动系统实训平台</w:t>
            </w: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trike w:val="0"/>
                <w:color w:val="auto"/>
                <w:szCs w:val="21"/>
                <w:highlight w:val="none"/>
              </w:rPr>
            </w:pPr>
            <w:r>
              <w:rPr>
                <w:rFonts w:hint="eastAsia" w:ascii="宋体" w:hAnsi="宋体" w:eastAsia="宋体" w:cs="宋体"/>
                <w:b/>
                <w:bCs/>
                <w:i w:val="0"/>
                <w:iCs w:val="0"/>
                <w:strike w:val="0"/>
                <w:color w:val="auto"/>
                <w:kern w:val="0"/>
                <w:sz w:val="21"/>
                <w:szCs w:val="21"/>
                <w:highlight w:val="none"/>
                <w:u w:val="none"/>
                <w:lang w:val="en-US" w:eastAsia="zh-CN" w:bidi="ar"/>
              </w:rPr>
              <w:t>（提供</w:t>
            </w:r>
            <w:r>
              <w:rPr>
                <w:rFonts w:hint="eastAsia" w:ascii="宋体" w:hAnsi="宋体" w:cs="宋体"/>
                <w:b/>
                <w:bCs/>
                <w:i w:val="0"/>
                <w:iCs w:val="0"/>
                <w:strike w:val="0"/>
                <w:color w:val="auto"/>
                <w:kern w:val="0"/>
                <w:sz w:val="21"/>
                <w:szCs w:val="21"/>
                <w:highlight w:val="none"/>
                <w:u w:val="none"/>
                <w:lang w:val="en-US" w:eastAsia="zh-CN" w:bidi="ar"/>
              </w:rPr>
              <w:t>8个</w:t>
            </w:r>
            <w:r>
              <w:rPr>
                <w:rFonts w:hint="eastAsia" w:ascii="宋体" w:hAnsi="宋体" w:eastAsia="宋体" w:cs="宋体"/>
                <w:b/>
                <w:bCs/>
                <w:i w:val="0"/>
                <w:iCs w:val="0"/>
                <w:strike w:val="0"/>
                <w:color w:val="auto"/>
                <w:kern w:val="0"/>
                <w:sz w:val="21"/>
                <w:szCs w:val="21"/>
                <w:highlight w:val="none"/>
                <w:u w:val="none"/>
                <w:lang w:val="en-US" w:eastAsia="zh-CN" w:bidi="ar"/>
              </w:rPr>
              <w:t>结构模块截图佐证）</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cs="宋体"/>
                <w:b/>
                <w:bCs/>
                <w:i w:val="0"/>
                <w:iCs w:val="0"/>
                <w:strike w:val="0"/>
                <w:color w:val="auto"/>
                <w:kern w:val="0"/>
                <w:sz w:val="21"/>
                <w:szCs w:val="21"/>
                <w:highlight w:val="none"/>
                <w:u w:val="none"/>
                <w:lang w:val="en-US" w:eastAsia="zh-CN" w:bidi="ar"/>
              </w:rPr>
            </w:pPr>
            <w:r>
              <w:rPr>
                <w:rFonts w:hint="eastAsia" w:ascii="宋体" w:hAnsi="宋体" w:eastAsia="宋体" w:cs="宋体"/>
                <w:b/>
                <w:bCs/>
                <w:i w:val="0"/>
                <w:iCs w:val="0"/>
                <w:strike w:val="0"/>
                <w:color w:val="auto"/>
                <w:kern w:val="0"/>
                <w:sz w:val="21"/>
                <w:szCs w:val="21"/>
                <w:highlight w:val="none"/>
                <w:u w:val="none"/>
                <w:lang w:val="en-US" w:eastAsia="zh-CN" w:bidi="ar"/>
              </w:rPr>
              <w:t>15、混合动力整车结构虚拟仿真课程</w:t>
            </w:r>
            <w:r>
              <w:rPr>
                <w:rFonts w:hint="eastAsia" w:ascii="宋体" w:hAnsi="宋体" w:cs="宋体"/>
                <w:b/>
                <w:bCs/>
                <w:i w:val="0"/>
                <w:iCs w:val="0"/>
                <w:strike w:val="0"/>
                <w:color w:val="auto"/>
                <w:kern w:val="0"/>
                <w:sz w:val="21"/>
                <w:szCs w:val="21"/>
                <w:highlight w:val="none"/>
                <w:u w:val="none"/>
                <w:lang w:val="en-US" w:eastAsia="zh-CN" w:bidi="ar"/>
              </w:rPr>
              <w:t>：</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strike w:val="0"/>
                <w:color w:val="auto"/>
                <w:kern w:val="0"/>
                <w:sz w:val="21"/>
                <w:szCs w:val="21"/>
                <w:highlight w:val="none"/>
                <w:u w:val="none"/>
                <w:lang w:val="en-US" w:eastAsia="zh-CN" w:bidi="ar"/>
              </w:rPr>
            </w:pPr>
            <w:r>
              <w:rPr>
                <w:rFonts w:hint="eastAsia" w:ascii="宋体" w:hAnsi="宋体" w:eastAsia="宋体" w:cs="宋体"/>
                <w:b/>
                <w:bCs/>
                <w:i w:val="0"/>
                <w:iCs w:val="0"/>
                <w:strike w:val="0"/>
                <w:color w:val="auto"/>
                <w:kern w:val="0"/>
                <w:sz w:val="21"/>
                <w:szCs w:val="21"/>
                <w:highlight w:val="none"/>
                <w:u w:val="none"/>
                <w:lang w:val="en-US" w:eastAsia="zh-CN" w:bidi="ar"/>
              </w:rPr>
              <w:t>二、教学项目</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trike w:val="0"/>
                <w:color w:val="auto"/>
                <w:szCs w:val="21"/>
                <w:highlight w:val="none"/>
              </w:rPr>
            </w:pPr>
            <w:r>
              <w:rPr>
                <w:rFonts w:hint="eastAsia" w:ascii="宋体" w:hAnsi="宋体" w:eastAsia="宋体" w:cs="宋体"/>
                <w:i w:val="0"/>
                <w:iCs w:val="0"/>
                <w:strike w:val="0"/>
                <w:color w:val="auto"/>
                <w:kern w:val="0"/>
                <w:sz w:val="21"/>
                <w:szCs w:val="21"/>
                <w:highlight w:val="none"/>
                <w:u w:val="none"/>
                <w:lang w:val="en-US" w:eastAsia="zh-CN" w:bidi="ar"/>
              </w:rPr>
              <w:t>（</w:t>
            </w:r>
            <w:r>
              <w:rPr>
                <w:rFonts w:hint="eastAsia" w:ascii="宋体" w:hAnsi="宋体" w:cs="宋体"/>
                <w:i w:val="0"/>
                <w:iCs w:val="0"/>
                <w:strike w:val="0"/>
                <w:color w:val="auto"/>
                <w:kern w:val="0"/>
                <w:sz w:val="21"/>
                <w:szCs w:val="21"/>
                <w:highlight w:val="none"/>
                <w:u w:val="none"/>
                <w:lang w:val="en-US" w:eastAsia="zh-CN" w:bidi="ar"/>
              </w:rPr>
              <w:t>1</w:t>
            </w:r>
            <w:r>
              <w:rPr>
                <w:rFonts w:hint="eastAsia" w:ascii="宋体" w:hAnsi="宋体" w:eastAsia="宋体" w:cs="宋体"/>
                <w:i w:val="0"/>
                <w:iCs w:val="0"/>
                <w:strike w:val="0"/>
                <w:color w:val="auto"/>
                <w:kern w:val="0"/>
                <w:sz w:val="21"/>
                <w:szCs w:val="21"/>
                <w:highlight w:val="none"/>
                <w:u w:val="none"/>
                <w:lang w:val="en-US" w:eastAsia="zh-CN" w:bidi="ar"/>
              </w:rPr>
              <w:t>）28个结构展示</w:t>
            </w:r>
            <w:r>
              <w:rPr>
                <w:rFonts w:hint="eastAsia" w:ascii="宋体" w:hAnsi="宋体" w:cs="宋体"/>
                <w:i w:val="0"/>
                <w:iCs w:val="0"/>
                <w:strike w:val="0"/>
                <w:color w:val="auto"/>
                <w:kern w:val="0"/>
                <w:sz w:val="21"/>
                <w:szCs w:val="21"/>
                <w:highlight w:val="none"/>
                <w:u w:val="none"/>
                <w:lang w:val="en-US" w:eastAsia="zh-CN" w:bidi="ar"/>
              </w:rPr>
              <w:t>，其中</w:t>
            </w:r>
            <w:r>
              <w:rPr>
                <w:rFonts w:hint="eastAsia" w:ascii="宋体" w:hAnsi="宋体" w:eastAsia="宋体" w:cs="宋体"/>
                <w:i w:val="0"/>
                <w:iCs w:val="0"/>
                <w:strike w:val="0"/>
                <w:color w:val="auto"/>
                <w:kern w:val="0"/>
                <w:sz w:val="21"/>
                <w:szCs w:val="21"/>
                <w:highlight w:val="none"/>
                <w:u w:val="none"/>
                <w:lang w:val="en-US" w:eastAsia="zh-CN" w:bidi="ar"/>
              </w:rPr>
              <w:t>包含混合动力汽车动力系统结构、发动机总成结构、发动机结构、发动机冷却系统结构、双离合变速器总成结构、双离合器结构、变速箱总成结构、差速器结构</w:t>
            </w:r>
            <w:r>
              <w:rPr>
                <w:rFonts w:hint="eastAsia" w:ascii="宋体" w:hAnsi="宋体" w:cs="宋体"/>
                <w:i w:val="0"/>
                <w:iCs w:val="0"/>
                <w:strike w:val="0"/>
                <w:color w:val="auto"/>
                <w:kern w:val="0"/>
                <w:sz w:val="21"/>
                <w:szCs w:val="21"/>
                <w:highlight w:val="none"/>
                <w:u w:val="none"/>
                <w:lang w:val="en-US" w:eastAsia="zh-CN" w:bidi="ar"/>
              </w:rPr>
              <w:t>等。</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140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strike w:val="0"/>
                <w:color w:val="auto"/>
                <w:szCs w:val="21"/>
                <w:highlight w:val="none"/>
              </w:rPr>
            </w:pPr>
            <w:r>
              <w:rPr>
                <w:rFonts w:hint="eastAsia" w:ascii="宋体" w:hAnsi="宋体" w:eastAsia="宋体" w:cs="宋体"/>
                <w:b/>
                <w:bCs/>
                <w:i w:val="0"/>
                <w:iCs w:val="0"/>
                <w:strike w:val="0"/>
                <w:color w:val="auto"/>
                <w:kern w:val="0"/>
                <w:sz w:val="21"/>
                <w:szCs w:val="21"/>
                <w:highlight w:val="none"/>
                <w:u w:val="none"/>
                <w:lang w:val="en-US" w:eastAsia="zh-CN" w:bidi="ar"/>
              </w:rPr>
              <w:t>（提供</w:t>
            </w:r>
            <w:r>
              <w:rPr>
                <w:rFonts w:hint="eastAsia" w:ascii="宋体" w:hAnsi="宋体" w:cs="宋体"/>
                <w:b/>
                <w:bCs/>
                <w:i w:val="0"/>
                <w:iCs w:val="0"/>
                <w:strike w:val="0"/>
                <w:color w:val="auto"/>
                <w:kern w:val="0"/>
                <w:sz w:val="21"/>
                <w:szCs w:val="21"/>
                <w:highlight w:val="none"/>
                <w:u w:val="none"/>
                <w:lang w:val="en-US" w:eastAsia="zh-CN" w:bidi="ar"/>
              </w:rPr>
              <w:t>8</w:t>
            </w:r>
            <w:r>
              <w:rPr>
                <w:rFonts w:hint="eastAsia" w:ascii="宋体" w:hAnsi="宋体" w:eastAsia="宋体" w:cs="宋体"/>
                <w:b/>
                <w:bCs/>
                <w:i w:val="0"/>
                <w:iCs w:val="0"/>
                <w:strike w:val="0"/>
                <w:color w:val="auto"/>
                <w:kern w:val="0"/>
                <w:sz w:val="21"/>
                <w:szCs w:val="21"/>
                <w:highlight w:val="none"/>
                <w:u w:val="none"/>
                <w:lang w:val="en-US" w:eastAsia="zh-CN" w:bidi="ar"/>
              </w:rPr>
              <w:t>个原理模块截图佐证）</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strike w:val="0"/>
                <w:color w:val="auto"/>
                <w:kern w:val="0"/>
                <w:sz w:val="21"/>
                <w:szCs w:val="21"/>
                <w:highlight w:val="none"/>
                <w:u w:val="none"/>
                <w:lang w:val="en-US" w:eastAsia="zh-CN" w:bidi="ar"/>
              </w:rPr>
            </w:pPr>
            <w:r>
              <w:rPr>
                <w:rFonts w:hint="eastAsia" w:ascii="宋体" w:hAnsi="宋体" w:eastAsia="宋体" w:cs="宋体"/>
                <w:b/>
                <w:bCs/>
                <w:i w:val="0"/>
                <w:iCs w:val="0"/>
                <w:strike w:val="0"/>
                <w:color w:val="auto"/>
                <w:kern w:val="0"/>
                <w:sz w:val="21"/>
                <w:szCs w:val="21"/>
                <w:highlight w:val="none"/>
                <w:u w:val="none"/>
                <w:lang w:val="en-US" w:eastAsia="zh-CN" w:bidi="ar"/>
              </w:rPr>
              <w:t>15、混合动力整车结构虚拟仿真课程</w:t>
            </w:r>
            <w:r>
              <w:rPr>
                <w:rFonts w:hint="eastAsia" w:ascii="宋体" w:hAnsi="宋体" w:cs="宋体"/>
                <w:b/>
                <w:bCs/>
                <w:i w:val="0"/>
                <w:iCs w:val="0"/>
                <w:strike w:val="0"/>
                <w:color w:val="auto"/>
                <w:kern w:val="0"/>
                <w:sz w:val="21"/>
                <w:szCs w:val="21"/>
                <w:highlight w:val="none"/>
                <w:u w:val="none"/>
                <w:lang w:val="en-US" w:eastAsia="zh-CN" w:bidi="ar"/>
              </w:rPr>
              <w:t>：</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strike w:val="0"/>
                <w:color w:val="auto"/>
                <w:kern w:val="0"/>
                <w:sz w:val="21"/>
                <w:szCs w:val="21"/>
                <w:highlight w:val="none"/>
                <w:u w:val="none"/>
                <w:lang w:val="en-US" w:eastAsia="zh-CN" w:bidi="ar"/>
              </w:rPr>
            </w:pPr>
            <w:r>
              <w:rPr>
                <w:rFonts w:hint="eastAsia" w:ascii="宋体" w:hAnsi="宋体" w:eastAsia="宋体" w:cs="宋体"/>
                <w:b/>
                <w:bCs/>
                <w:i w:val="0"/>
                <w:iCs w:val="0"/>
                <w:strike w:val="0"/>
                <w:color w:val="auto"/>
                <w:kern w:val="0"/>
                <w:sz w:val="21"/>
                <w:szCs w:val="21"/>
                <w:highlight w:val="none"/>
                <w:u w:val="none"/>
                <w:lang w:val="en-US" w:eastAsia="zh-CN" w:bidi="ar"/>
              </w:rPr>
              <w:t>二、教学项目</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strike w:val="0"/>
                <w:color w:val="auto"/>
                <w:szCs w:val="21"/>
                <w:highlight w:val="none"/>
              </w:rPr>
            </w:pPr>
            <w:r>
              <w:rPr>
                <w:rFonts w:hint="eastAsia" w:ascii="宋体" w:hAnsi="宋体" w:eastAsia="宋体" w:cs="宋体"/>
                <w:i w:val="0"/>
                <w:iCs w:val="0"/>
                <w:strike w:val="0"/>
                <w:color w:val="auto"/>
                <w:kern w:val="0"/>
                <w:sz w:val="21"/>
                <w:szCs w:val="21"/>
                <w:highlight w:val="none"/>
                <w:u w:val="none"/>
                <w:lang w:val="en-US" w:eastAsia="zh-CN" w:bidi="ar"/>
              </w:rPr>
              <w:t>（2）21个原理演示</w:t>
            </w:r>
            <w:r>
              <w:rPr>
                <w:rFonts w:hint="eastAsia" w:ascii="宋体" w:hAnsi="宋体" w:cs="宋体"/>
                <w:i w:val="0"/>
                <w:iCs w:val="0"/>
                <w:strike w:val="0"/>
                <w:color w:val="auto"/>
                <w:kern w:val="0"/>
                <w:sz w:val="21"/>
                <w:szCs w:val="21"/>
                <w:highlight w:val="none"/>
                <w:u w:val="none"/>
                <w:lang w:val="en-US" w:eastAsia="zh-CN" w:bidi="ar"/>
              </w:rPr>
              <w:t>，其中</w:t>
            </w:r>
            <w:r>
              <w:rPr>
                <w:rFonts w:hint="eastAsia" w:ascii="宋体" w:hAnsi="宋体" w:eastAsia="宋体" w:cs="宋体"/>
                <w:i w:val="0"/>
                <w:iCs w:val="0"/>
                <w:strike w:val="0"/>
                <w:color w:val="auto"/>
                <w:kern w:val="0"/>
                <w:sz w:val="21"/>
                <w:szCs w:val="21"/>
                <w:highlight w:val="none"/>
                <w:u w:val="none"/>
                <w:lang w:val="en-US" w:eastAsia="zh-CN" w:bidi="ar"/>
              </w:rPr>
              <w:t>包含混合动力汽车动力系统原理、发动机总成原理、发动机冷却系统原理、双离合变速器总成原理、双离合器原理、变速箱总成原理、电驱系统原理、电机减速器原理</w:t>
            </w:r>
            <w:r>
              <w:rPr>
                <w:rFonts w:hint="eastAsia" w:ascii="宋体" w:hAnsi="宋体" w:cs="宋体"/>
                <w:i w:val="0"/>
                <w:iCs w:val="0"/>
                <w:strike w:val="0"/>
                <w:color w:val="auto"/>
                <w:kern w:val="0"/>
                <w:sz w:val="21"/>
                <w:szCs w:val="21"/>
                <w:highlight w:val="none"/>
                <w:u w:val="none"/>
                <w:lang w:val="en-US" w:eastAsia="zh-CN" w:bidi="ar"/>
              </w:rPr>
              <w:t>等</w:t>
            </w:r>
            <w:r>
              <w:rPr>
                <w:rFonts w:hint="eastAsia" w:ascii="宋体" w:hAnsi="宋体" w:eastAsia="宋体" w:cs="宋体"/>
                <w:i w:val="0"/>
                <w:iCs w:val="0"/>
                <w:strike w:val="0"/>
                <w:color w:val="auto"/>
                <w:kern w:val="0"/>
                <w:sz w:val="21"/>
                <w:szCs w:val="21"/>
                <w:highlight w:val="none"/>
                <w:u w:val="none"/>
                <w:lang w:val="en-US" w:eastAsia="zh-CN" w:bidi="ar"/>
              </w:rPr>
              <w:t>。</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140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color w:val="auto"/>
                <w:kern w:val="0"/>
                <w:szCs w:val="21"/>
                <w:highlight w:val="none"/>
                <w:lang w:val="en-US" w:eastAsia="zh-CN" w:bidi="ar"/>
              </w:rPr>
              <w:t>提供软件功能截图</w:t>
            </w:r>
            <w:r>
              <w:rPr>
                <w:rFonts w:hint="eastAsia" w:ascii="宋体" w:hAnsi="宋体" w:eastAsia="宋体" w:cs="宋体"/>
                <w:b/>
                <w:bCs/>
                <w:i w:val="0"/>
                <w:iCs w:val="0"/>
                <w:color w:val="auto"/>
                <w:kern w:val="0"/>
                <w:sz w:val="21"/>
                <w:szCs w:val="21"/>
                <w:highlight w:val="none"/>
                <w:u w:val="none"/>
                <w:lang w:val="en-US" w:eastAsia="zh-CN" w:bidi="ar"/>
              </w:rPr>
              <w:t>）</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15、混合动力整车结构虚拟仿真课程：</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五、平台技术参数：</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）平台具有四大特色功能：模拟练习、错题重做、模拟考试、考核测评。</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140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cs="宋体"/>
                <w:b/>
                <w:bCs/>
                <w:color w:val="auto"/>
                <w:kern w:val="0"/>
                <w:szCs w:val="21"/>
                <w:highlight w:val="none"/>
                <w:lang w:val="en-US" w:eastAsia="zh-CN" w:bidi="ar"/>
              </w:rPr>
              <w:t>提供软件功能截图</w:t>
            </w:r>
            <w:r>
              <w:rPr>
                <w:rFonts w:hint="eastAsia" w:ascii="宋体" w:hAnsi="宋体" w:eastAsia="宋体" w:cs="宋体"/>
                <w:b/>
                <w:bCs/>
                <w:i w:val="0"/>
                <w:iCs w:val="0"/>
                <w:color w:val="auto"/>
                <w:kern w:val="0"/>
                <w:sz w:val="21"/>
                <w:szCs w:val="21"/>
                <w:highlight w:val="none"/>
                <w:u w:val="none"/>
                <w:lang w:val="en-US" w:eastAsia="zh-CN" w:bidi="ar"/>
              </w:rPr>
              <w:t>）</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15、混合动力整车结构虚拟仿真课程：</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rPr>
              <w:t>六、系统功能模块</w:t>
            </w:r>
            <w:r>
              <w:rPr>
                <w:rFonts w:hint="eastAsia" w:ascii="宋体" w:hAnsi="宋体" w:eastAsia="宋体" w:cs="Times New Roman"/>
                <w:b/>
                <w:color w:val="auto"/>
                <w:szCs w:val="21"/>
                <w:lang w:val="en-US" w:eastAsia="zh-CN"/>
              </w:rPr>
              <w:t>（五）系统功能</w:t>
            </w:r>
            <w:r>
              <w:rPr>
                <w:rFonts w:hint="eastAsia" w:ascii="宋体" w:hAnsi="宋体" w:cs="Times New Roman"/>
                <w:b/>
                <w:color w:val="auto"/>
                <w:szCs w:val="21"/>
                <w:lang w:val="en-US" w:eastAsia="zh-CN"/>
              </w:rPr>
              <w:t>：</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color w:val="auto"/>
                <w:szCs w:val="21"/>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Times New Roman"/>
                <w:b w:val="0"/>
                <w:bCs/>
                <w:color w:val="auto"/>
                <w:szCs w:val="21"/>
                <w:lang w:val="en-US" w:eastAsia="zh-CN"/>
              </w:rPr>
              <w:t>选手报告单：项目内容包括：故障现象描述、通过分析得出故障可能原因、故障检修过程、故障点和故障类型确认、故障机理分析。</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140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宋体"/>
                <w:b/>
                <w:bCs/>
                <w:i w:val="0"/>
                <w:iCs w:val="0"/>
                <w:strike w:val="0"/>
                <w:dstrike w:val="0"/>
                <w:color w:val="auto"/>
                <w:kern w:val="0"/>
                <w:sz w:val="21"/>
                <w:szCs w:val="21"/>
                <w:highlight w:val="none"/>
                <w:u w:val="none"/>
                <w:lang w:val="en-US" w:eastAsia="zh-CN" w:bidi="ar"/>
              </w:rPr>
            </w:pPr>
            <w:r>
              <w:rPr>
                <w:rFonts w:hint="eastAsia" w:ascii="宋体" w:hAnsi="宋体" w:eastAsia="宋体" w:cs="宋体"/>
                <w:b/>
                <w:bCs/>
                <w:i w:val="0"/>
                <w:iCs w:val="0"/>
                <w:strike w:val="0"/>
                <w:dstrike w:val="0"/>
                <w:color w:val="auto"/>
                <w:kern w:val="0"/>
                <w:sz w:val="21"/>
                <w:szCs w:val="21"/>
                <w:highlight w:val="none"/>
                <w:u w:val="none"/>
                <w:lang w:val="en-US" w:eastAsia="zh-CN" w:bidi="ar"/>
              </w:rPr>
              <w:t>（</w:t>
            </w:r>
            <w:r>
              <w:rPr>
                <w:rFonts w:hint="eastAsia" w:ascii="宋体" w:hAnsi="宋体" w:cs="宋体"/>
                <w:b/>
                <w:bCs/>
                <w:strike w:val="0"/>
                <w:dstrike w:val="0"/>
                <w:color w:val="auto"/>
                <w:kern w:val="0"/>
                <w:szCs w:val="21"/>
                <w:highlight w:val="none"/>
                <w:lang w:val="en-US" w:eastAsia="zh-CN" w:bidi="ar"/>
              </w:rPr>
              <w:t>提供软件功能截图</w:t>
            </w:r>
            <w:r>
              <w:rPr>
                <w:rFonts w:hint="eastAsia" w:ascii="宋体" w:hAnsi="宋体" w:eastAsia="宋体" w:cs="宋体"/>
                <w:b/>
                <w:bCs/>
                <w:i w:val="0"/>
                <w:iCs w:val="0"/>
                <w:strike w:val="0"/>
                <w:dstrike w:val="0"/>
                <w:color w:val="auto"/>
                <w:kern w:val="0"/>
                <w:sz w:val="21"/>
                <w:szCs w:val="21"/>
                <w:highlight w:val="none"/>
                <w:u w:val="none"/>
                <w:lang w:val="en-US" w:eastAsia="zh-CN" w:bidi="ar"/>
              </w:rPr>
              <w:t>）</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strike w:val="0"/>
                <w:dstrike w:val="0"/>
                <w:color w:val="auto"/>
                <w:kern w:val="0"/>
                <w:sz w:val="21"/>
                <w:szCs w:val="21"/>
                <w:u w:val="none"/>
                <w:lang w:val="en-US" w:eastAsia="zh-CN" w:bidi="ar"/>
              </w:rPr>
            </w:pPr>
            <w:r>
              <w:rPr>
                <w:rFonts w:hint="eastAsia" w:ascii="宋体" w:hAnsi="宋体" w:eastAsia="宋体" w:cs="宋体"/>
                <w:b/>
                <w:bCs/>
                <w:i w:val="0"/>
                <w:iCs w:val="0"/>
                <w:strike w:val="0"/>
                <w:dstrike w:val="0"/>
                <w:color w:val="auto"/>
                <w:kern w:val="0"/>
                <w:sz w:val="21"/>
                <w:szCs w:val="21"/>
                <w:u w:val="none"/>
                <w:lang w:val="en-US" w:eastAsia="zh-CN" w:bidi="ar"/>
              </w:rPr>
              <w:t>16、配套虚拟仿真实训教学中心平台</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i w:val="0"/>
                <w:iCs w:val="0"/>
                <w:strike w:val="0"/>
                <w:dstrike w:val="0"/>
                <w:color w:val="auto"/>
                <w:kern w:val="0"/>
                <w:sz w:val="21"/>
                <w:szCs w:val="21"/>
                <w:u w:val="none"/>
                <w:lang w:val="en-US" w:eastAsia="zh-CN" w:bidi="ar"/>
              </w:rPr>
            </w:pPr>
            <w:r>
              <w:rPr>
                <w:rFonts w:hint="eastAsia" w:ascii="宋体" w:hAnsi="宋体" w:eastAsia="宋体" w:cs="宋体"/>
                <w:b/>
                <w:bCs/>
                <w:i w:val="0"/>
                <w:iCs w:val="0"/>
                <w:strike w:val="0"/>
                <w:dstrike w:val="0"/>
                <w:color w:val="auto"/>
                <w:kern w:val="0"/>
                <w:sz w:val="21"/>
                <w:szCs w:val="21"/>
                <w:u w:val="none"/>
                <w:lang w:val="en-US" w:eastAsia="zh-CN" w:bidi="ar"/>
              </w:rPr>
              <w:t>（1）产品首页</w:t>
            </w:r>
            <w:r>
              <w:rPr>
                <w:rFonts w:hint="eastAsia" w:ascii="宋体" w:hAnsi="宋体" w:cs="宋体"/>
                <w:b/>
                <w:bCs/>
                <w:i w:val="0"/>
                <w:iCs w:val="0"/>
                <w:strike w:val="0"/>
                <w:dstrike w:val="0"/>
                <w:color w:val="auto"/>
                <w:kern w:val="0"/>
                <w:sz w:val="21"/>
                <w:szCs w:val="21"/>
                <w:u w:val="none"/>
                <w:lang w:val="en-US" w:eastAsia="zh-CN" w:bidi="ar"/>
              </w:rPr>
              <w:t>：</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val="0"/>
                <w:bCs/>
                <w:strike w:val="0"/>
                <w:dstrike w:val="0"/>
                <w:color w:val="auto"/>
                <w:szCs w:val="21"/>
                <w:lang w:val="en-US" w:eastAsia="zh-CN"/>
              </w:rPr>
            </w:pPr>
            <w:r>
              <w:rPr>
                <w:rFonts w:hint="eastAsia" w:ascii="宋体" w:hAnsi="宋体" w:eastAsia="宋体" w:cs="宋体"/>
                <w:i w:val="0"/>
                <w:iCs w:val="0"/>
                <w:strike w:val="0"/>
                <w:dstrike w:val="0"/>
                <w:color w:val="auto"/>
                <w:kern w:val="0"/>
                <w:sz w:val="21"/>
                <w:szCs w:val="21"/>
                <w:u w:val="none"/>
                <w:lang w:val="en-US" w:eastAsia="zh-CN" w:bidi="ar"/>
              </w:rPr>
              <w:t>1.1.产品首页：产品首页显示已添加的软件产品、软件产品的任务看板、任务动态、成绩分布、任务评价、问题点等功能操作。</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lang w:val="en-US" w:eastAsia="zh-CN"/>
              </w:rPr>
            </w:pPr>
            <w:r>
              <w:rPr>
                <w:rFonts w:hint="eastAsia" w:ascii="宋体" w:hAnsi="宋体" w:cs="Times New Roman"/>
                <w:b/>
                <w:color w:val="auto"/>
                <w:szCs w:val="21"/>
                <w:lang w:val="en-US" w:eastAsia="zh-CN"/>
              </w:rPr>
              <w:t>5</w:t>
            </w:r>
          </w:p>
        </w:tc>
        <w:tc>
          <w:tcPr>
            <w:tcW w:w="140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新能源汽车动力电池PACK装调实训平台</w:t>
            </w: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（提供功能截图佐证）</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五、动力蓄电池装调智能供应站管理系统</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bCs w:val="0"/>
                <w:color w:val="auto"/>
                <w:szCs w:val="21"/>
                <w:lang w:val="en-US" w:eastAsia="zh-CN"/>
              </w:rPr>
            </w:pPr>
            <w:r>
              <w:rPr>
                <w:rFonts w:hint="eastAsia" w:ascii="宋体" w:hAnsi="宋体" w:eastAsia="宋体" w:cs="Times New Roman"/>
                <w:b/>
                <w:bCs w:val="0"/>
                <w:color w:val="auto"/>
                <w:szCs w:val="21"/>
                <w:lang w:val="en-US" w:eastAsia="zh-CN"/>
              </w:rPr>
              <w:t>5.4.3.参数标定要求：（2）实训中心</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①属性：系统的总电压、总电流、SOC、系统运行状态、充电枪链接状态、充电状态、充电枪充电模式和状态、绝缘正阻值、绝缘负阻值、CC电阻值、CC2电阻值、电池温差、CP占空比、总正继电器状态、总负继电器状态、预充继电器状态、慢充继电器状态、放电继电器状态、高压互锁状态、与整车通讯状态、充电机通讯状态、交流充电枪座温度、电池容量</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140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提供佐证材料</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八、拆装实训</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18.低压蓄电池的检查与更换</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国家锂电池列入危险品运输，1.通过电池额定瓦</w:t>
            </w:r>
            <w:r>
              <w:rPr>
                <w:rFonts w:hint="eastAsia" w:ascii="宋体" w:hAnsi="宋体" w:eastAsia="宋体" w:cs="宋体"/>
                <w:b w:val="0"/>
                <w:bCs w:val="0"/>
                <w:color w:val="auto"/>
                <w:sz w:val="21"/>
                <w:szCs w:val="21"/>
                <w:lang w:val="en-US" w:eastAsia="zh-CN"/>
              </w:rPr>
              <w:t>特小时数为3600Wh＞100瓦时；2.锂电池已通过UN38.3检查；3.电池质量管路体系制造检查；4.该</w:t>
            </w:r>
            <w:r>
              <w:rPr>
                <w:rFonts w:hint="eastAsia" w:ascii="宋体" w:hAnsi="宋体" w:cs="宋体"/>
                <w:b w:val="0"/>
                <w:bCs w:val="0"/>
                <w:color w:val="auto"/>
                <w:sz w:val="21"/>
                <w:szCs w:val="21"/>
                <w:lang w:val="en-US" w:eastAsia="zh-CN"/>
              </w:rPr>
              <w:t>锂</w:t>
            </w:r>
            <w:r>
              <w:rPr>
                <w:rFonts w:hint="eastAsia" w:ascii="宋体" w:hAnsi="宋体" w:eastAsia="宋体" w:cs="宋体"/>
                <w:b w:val="0"/>
                <w:bCs w:val="0"/>
                <w:color w:val="auto"/>
                <w:sz w:val="21"/>
                <w:szCs w:val="21"/>
                <w:lang w:val="en-US" w:eastAsia="zh-CN"/>
              </w:rPr>
              <w:t>电池不属于召回电池，不属于废弃和回收电池；5.通过包装件1.2米跌落试验；6.每个包装件上均有</w:t>
            </w:r>
            <w:r>
              <w:rPr>
                <w:rFonts w:hint="eastAsia" w:ascii="宋体" w:hAnsi="宋体" w:cs="宋体"/>
                <w:b w:val="0"/>
                <w:bCs w:val="0"/>
                <w:color w:val="auto"/>
                <w:sz w:val="21"/>
                <w:szCs w:val="21"/>
                <w:lang w:val="en-US" w:eastAsia="zh-CN"/>
              </w:rPr>
              <w:t>锂</w:t>
            </w:r>
            <w:r>
              <w:rPr>
                <w:rFonts w:hint="eastAsia" w:ascii="宋体" w:hAnsi="宋体" w:eastAsia="宋体" w:cs="宋体"/>
                <w:b w:val="0"/>
                <w:bCs w:val="0"/>
                <w:color w:val="auto"/>
                <w:sz w:val="21"/>
                <w:szCs w:val="21"/>
                <w:lang w:val="en-US" w:eastAsia="zh-CN"/>
              </w:rPr>
              <w:t>电池操作标签每票货物均有随附文件说明:包装件内装锂离子电池:必须小心操作。如包装</w:t>
            </w:r>
            <w:r>
              <w:rPr>
                <w:rFonts w:hint="eastAsia" w:ascii="宋体" w:hAnsi="宋体" w:eastAsia="宋体" w:cs="宋体"/>
                <w:b w:val="0"/>
                <w:bCs w:val="0"/>
                <w:sz w:val="21"/>
                <w:szCs w:val="21"/>
                <w:lang w:val="en-US" w:eastAsia="zh-CN"/>
              </w:rPr>
              <w:t>件破损，有易燃危险性:包装件破损时应采取的特殊措施，包括必要时的检查和重新包装;应急电话号码。</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b/>
                <w:color w:val="auto"/>
                <w:szCs w:val="21"/>
                <w:lang w:val="en-US" w:eastAsia="zh-CN"/>
              </w:rPr>
            </w:pPr>
            <w:r>
              <w:rPr>
                <w:rFonts w:hint="eastAsia" w:ascii="宋体" w:hAnsi="宋体" w:cs="Times New Roman"/>
                <w:b/>
                <w:color w:val="auto"/>
                <w:szCs w:val="21"/>
                <w:lang w:val="en-US" w:eastAsia="zh-CN"/>
              </w:rPr>
              <w:t>6</w:t>
            </w:r>
          </w:p>
        </w:tc>
        <w:tc>
          <w:tcPr>
            <w:tcW w:w="140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纯电动汽车空调和暖风实训台</w:t>
            </w:r>
          </w:p>
        </w:tc>
        <w:tc>
          <w:tcPr>
            <w:tcW w:w="2502"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提供个人信息功能截图佐证</w:t>
            </w:r>
            <w:r>
              <w:rPr>
                <w:rFonts w:hint="eastAsia" w:ascii="宋体" w:hAnsi="宋体" w:cs="宋体"/>
                <w:b/>
                <w:bCs/>
                <w:i w:val="0"/>
                <w:iCs w:val="0"/>
                <w:color w:val="auto"/>
                <w:kern w:val="0"/>
                <w:sz w:val="21"/>
                <w:szCs w:val="21"/>
                <w:highlight w:val="none"/>
                <w:u w:val="none"/>
                <w:lang w:val="en-US" w:eastAsia="zh-CN" w:bidi="ar"/>
              </w:rPr>
              <w:t>）</w:t>
            </w:r>
          </w:p>
        </w:tc>
        <w:tc>
          <w:tcPr>
            <w:tcW w:w="4286" w:type="dxa"/>
            <w:noWrap w:val="0"/>
            <w:vAlign w:val="center"/>
          </w:tcPr>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五、汽车一体化教学资源系统功能介绍：</w:t>
            </w:r>
          </w:p>
          <w:p>
            <w:pPr>
              <w:keepNext w:val="0"/>
              <w:keepLines w:val="0"/>
              <w:suppressLineNumbers w:val="0"/>
              <w:adjustRightInd w:val="0"/>
              <w:snapToGrid w:val="0"/>
              <w:spacing w:before="0" w:beforeAutospacing="0" w:after="0" w:afterAutospacing="0" w:line="276" w:lineRule="auto"/>
              <w:ind w:left="0" w:right="0"/>
              <w:jc w:val="both"/>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10.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tc>
        <w:tc>
          <w:tcPr>
            <w:tcW w:w="709" w:type="dxa"/>
            <w:noWrap w:val="0"/>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Times New Roman"/>
                <w:b/>
                <w:color w:val="auto"/>
                <w:szCs w:val="21"/>
              </w:rPr>
            </w:pPr>
          </w:p>
        </w:tc>
      </w:tr>
    </w:tbl>
    <w:p>
      <w:pPr>
        <w:spacing w:line="360" w:lineRule="auto"/>
        <w:rPr>
          <w:rFonts w:hint="eastAsia" w:ascii="宋体" w:hAnsi="宋体" w:cs="宋体"/>
          <w:szCs w:val="21"/>
        </w:rPr>
      </w:pPr>
    </w:p>
    <w:p>
      <w:pPr>
        <w:spacing w:line="360" w:lineRule="auto"/>
        <w:jc w:val="center"/>
        <w:outlineLvl w:val="0"/>
        <w:rPr>
          <w:rFonts w:hint="eastAsia" w:ascii="宋体" w:hAnsi="宋体" w:cs="宋体"/>
          <w:b/>
          <w:szCs w:val="21"/>
        </w:rPr>
      </w:pPr>
      <w:r>
        <w:rPr>
          <w:rFonts w:hint="eastAsia" w:ascii="宋体" w:hAnsi="宋体" w:cs="宋体"/>
          <w:b/>
          <w:szCs w:val="21"/>
        </w:rPr>
        <w:br w:type="page"/>
      </w:r>
      <w:bookmarkStart w:id="411" w:name="_GoBack"/>
      <w:bookmarkEnd w:id="411"/>
      <w:r>
        <w:rPr>
          <w:rFonts w:hint="eastAsia" w:ascii="宋体" w:hAnsi="宋体" w:cs="宋体"/>
          <w:b/>
          <w:szCs w:val="21"/>
        </w:rPr>
        <w:t xml:space="preserve">第四部分   </w:t>
      </w:r>
      <w:bookmarkStart w:id="34" w:name="_Toc184313306"/>
      <w:bookmarkEnd w:id="34"/>
      <w:bookmarkStart w:id="35" w:name="_Toc184314421"/>
      <w:bookmarkEnd w:id="35"/>
      <w:bookmarkStart w:id="36" w:name="_Toc184310307"/>
      <w:bookmarkEnd w:id="36"/>
      <w:bookmarkStart w:id="37" w:name="_Toc184313268"/>
      <w:bookmarkEnd w:id="37"/>
      <w:bookmarkStart w:id="38" w:name="_Toc184310288"/>
      <w:bookmarkEnd w:id="38"/>
      <w:bookmarkStart w:id="39" w:name="_Toc184310343"/>
      <w:bookmarkEnd w:id="39"/>
      <w:bookmarkStart w:id="40" w:name="_Toc184312069"/>
      <w:bookmarkEnd w:id="40"/>
      <w:bookmarkStart w:id="41" w:name="_Toc184314456"/>
      <w:bookmarkEnd w:id="41"/>
      <w:bookmarkStart w:id="42" w:name="_Toc184313310"/>
      <w:bookmarkEnd w:id="42"/>
      <w:bookmarkStart w:id="43" w:name="_Toc184312102"/>
      <w:bookmarkEnd w:id="43"/>
      <w:bookmarkStart w:id="44" w:name="_Toc184312080"/>
      <w:bookmarkEnd w:id="44"/>
      <w:bookmarkStart w:id="45" w:name="_Toc184310303"/>
      <w:bookmarkEnd w:id="45"/>
      <w:bookmarkStart w:id="46" w:name="_Toc184313263"/>
      <w:bookmarkEnd w:id="46"/>
      <w:bookmarkStart w:id="47" w:name="_Toc184313254"/>
      <w:bookmarkEnd w:id="47"/>
      <w:bookmarkStart w:id="48" w:name="_Toc184308079"/>
      <w:bookmarkEnd w:id="48"/>
      <w:bookmarkStart w:id="49" w:name="_Toc184310277"/>
      <w:bookmarkEnd w:id="49"/>
      <w:bookmarkStart w:id="50" w:name="_Toc184313242"/>
      <w:bookmarkEnd w:id="50"/>
      <w:bookmarkStart w:id="51" w:name="_Toc184313240"/>
      <w:bookmarkEnd w:id="51"/>
      <w:bookmarkStart w:id="52" w:name="_Toc184314474"/>
      <w:bookmarkEnd w:id="52"/>
      <w:bookmarkStart w:id="53" w:name="_Toc184312125"/>
      <w:bookmarkEnd w:id="53"/>
      <w:bookmarkStart w:id="54" w:name="_Toc184313261"/>
      <w:bookmarkEnd w:id="54"/>
      <w:bookmarkStart w:id="55" w:name="_Toc184314470"/>
      <w:bookmarkEnd w:id="55"/>
      <w:bookmarkStart w:id="56" w:name="_Toc184312082"/>
      <w:bookmarkEnd w:id="56"/>
      <w:bookmarkStart w:id="57" w:name="_Toc184312120"/>
      <w:bookmarkEnd w:id="57"/>
      <w:bookmarkStart w:id="58" w:name="_Toc184310341"/>
      <w:bookmarkEnd w:id="58"/>
      <w:bookmarkStart w:id="59" w:name="_Toc184314435"/>
      <w:bookmarkEnd w:id="59"/>
      <w:bookmarkStart w:id="60" w:name="_Toc184308046"/>
      <w:bookmarkEnd w:id="60"/>
      <w:bookmarkStart w:id="61" w:name="_Toc184310334"/>
      <w:bookmarkEnd w:id="61"/>
      <w:bookmarkStart w:id="62" w:name="_Toc184312100"/>
      <w:bookmarkEnd w:id="62"/>
      <w:bookmarkStart w:id="63" w:name="_Toc184312084"/>
      <w:bookmarkEnd w:id="63"/>
      <w:bookmarkStart w:id="64" w:name="_Toc184310337"/>
      <w:bookmarkEnd w:id="64"/>
      <w:bookmarkStart w:id="65" w:name="_Toc184312133"/>
      <w:bookmarkEnd w:id="65"/>
      <w:bookmarkStart w:id="66" w:name="_Toc184314475"/>
      <w:bookmarkEnd w:id="66"/>
      <w:bookmarkStart w:id="67" w:name="_Toc184313274"/>
      <w:bookmarkEnd w:id="67"/>
      <w:bookmarkStart w:id="68" w:name="_Toc184313297"/>
      <w:bookmarkEnd w:id="68"/>
      <w:bookmarkStart w:id="69" w:name="_Toc184313251"/>
      <w:bookmarkEnd w:id="69"/>
      <w:bookmarkStart w:id="70" w:name="_Toc184313303"/>
      <w:bookmarkEnd w:id="70"/>
      <w:bookmarkStart w:id="71" w:name="_Toc184313281"/>
      <w:bookmarkEnd w:id="71"/>
      <w:bookmarkStart w:id="72" w:name="_Toc184312092"/>
      <w:bookmarkEnd w:id="72"/>
      <w:bookmarkStart w:id="73" w:name="_Toc184313265"/>
      <w:bookmarkEnd w:id="73"/>
      <w:bookmarkStart w:id="74" w:name="_Toc184313238"/>
      <w:bookmarkEnd w:id="74"/>
      <w:bookmarkStart w:id="75" w:name="_Toc184312095"/>
      <w:bookmarkEnd w:id="75"/>
      <w:bookmarkStart w:id="76" w:name="_Toc184314449"/>
      <w:bookmarkEnd w:id="76"/>
      <w:bookmarkStart w:id="77" w:name="_Toc184313250"/>
      <w:bookmarkEnd w:id="77"/>
      <w:bookmarkStart w:id="78" w:name="_Toc184308067"/>
      <w:bookmarkEnd w:id="78"/>
      <w:bookmarkStart w:id="79" w:name="_Toc184312096"/>
      <w:bookmarkEnd w:id="79"/>
      <w:bookmarkStart w:id="80" w:name="_Toc184310287"/>
      <w:bookmarkEnd w:id="80"/>
      <w:bookmarkStart w:id="81" w:name="_Toc184310331"/>
      <w:bookmarkEnd w:id="81"/>
      <w:bookmarkStart w:id="82" w:name="_Toc184312072"/>
      <w:bookmarkEnd w:id="82"/>
      <w:bookmarkStart w:id="83" w:name="_Toc184310305"/>
      <w:bookmarkEnd w:id="83"/>
      <w:bookmarkStart w:id="84" w:name="_Toc184310306"/>
      <w:bookmarkEnd w:id="84"/>
      <w:bookmarkStart w:id="85" w:name="_Toc184313278"/>
      <w:bookmarkEnd w:id="85"/>
      <w:bookmarkStart w:id="86" w:name="_Toc184313245"/>
      <w:bookmarkEnd w:id="86"/>
      <w:bookmarkStart w:id="87" w:name="_Toc184308058"/>
      <w:bookmarkEnd w:id="87"/>
      <w:bookmarkStart w:id="88" w:name="_Toc184314417"/>
      <w:bookmarkEnd w:id="88"/>
      <w:bookmarkStart w:id="89" w:name="_Toc184312071"/>
      <w:bookmarkEnd w:id="89"/>
      <w:bookmarkStart w:id="90" w:name="_Toc184312073"/>
      <w:bookmarkEnd w:id="90"/>
      <w:bookmarkStart w:id="91" w:name="_Toc184313305"/>
      <w:bookmarkEnd w:id="91"/>
      <w:bookmarkStart w:id="92" w:name="_Toc184314426"/>
      <w:bookmarkEnd w:id="92"/>
      <w:bookmarkStart w:id="93" w:name="_Toc184314481"/>
      <w:bookmarkEnd w:id="93"/>
      <w:bookmarkStart w:id="94" w:name="_Toc184310298"/>
      <w:bookmarkEnd w:id="94"/>
      <w:bookmarkStart w:id="95" w:name="_Toc184314473"/>
      <w:bookmarkEnd w:id="95"/>
      <w:bookmarkStart w:id="96" w:name="_Toc184310286"/>
      <w:bookmarkEnd w:id="96"/>
      <w:bookmarkStart w:id="97" w:name="_Toc184312130"/>
      <w:bookmarkEnd w:id="97"/>
      <w:bookmarkStart w:id="98" w:name="_Toc184314458"/>
      <w:bookmarkEnd w:id="98"/>
      <w:bookmarkStart w:id="99" w:name="_Toc184308096"/>
      <w:bookmarkEnd w:id="99"/>
      <w:bookmarkStart w:id="100" w:name="_Toc184313286"/>
      <w:bookmarkEnd w:id="100"/>
      <w:bookmarkStart w:id="101" w:name="_Toc184314445"/>
      <w:bookmarkEnd w:id="101"/>
      <w:bookmarkStart w:id="102" w:name="_Toc184312089"/>
      <w:bookmarkEnd w:id="102"/>
      <w:bookmarkStart w:id="103" w:name="_Toc184308104"/>
      <w:bookmarkEnd w:id="103"/>
      <w:bookmarkStart w:id="104" w:name="_Toc184308045"/>
      <w:bookmarkEnd w:id="104"/>
      <w:bookmarkStart w:id="105" w:name="_Toc184313252"/>
      <w:bookmarkEnd w:id="105"/>
      <w:bookmarkStart w:id="106" w:name="_Toc184313304"/>
      <w:bookmarkEnd w:id="106"/>
      <w:bookmarkStart w:id="107" w:name="_Toc184310281"/>
      <w:bookmarkEnd w:id="107"/>
      <w:bookmarkStart w:id="108" w:name="_Toc184308087"/>
      <w:bookmarkEnd w:id="108"/>
      <w:bookmarkStart w:id="109" w:name="_Toc184308047"/>
      <w:bookmarkEnd w:id="109"/>
      <w:bookmarkStart w:id="110" w:name="_Toc184314414"/>
      <w:bookmarkEnd w:id="110"/>
      <w:bookmarkStart w:id="111" w:name="_Toc184314416"/>
      <w:bookmarkEnd w:id="111"/>
      <w:bookmarkStart w:id="112" w:name="_Toc184312097"/>
      <w:bookmarkEnd w:id="112"/>
      <w:bookmarkStart w:id="113" w:name="_Toc184310274"/>
      <w:bookmarkEnd w:id="113"/>
      <w:bookmarkStart w:id="114" w:name="_Toc184308072"/>
      <w:bookmarkEnd w:id="114"/>
      <w:bookmarkStart w:id="115" w:name="_Toc184312124"/>
      <w:bookmarkEnd w:id="115"/>
      <w:bookmarkStart w:id="116" w:name="_Toc184313302"/>
      <w:bookmarkEnd w:id="116"/>
      <w:bookmarkStart w:id="117" w:name="_Toc184308100"/>
      <w:bookmarkEnd w:id="117"/>
      <w:bookmarkStart w:id="118" w:name="_Toc184314471"/>
      <w:bookmarkEnd w:id="118"/>
      <w:bookmarkStart w:id="119" w:name="_Toc184310300"/>
      <w:bookmarkEnd w:id="119"/>
      <w:bookmarkStart w:id="120" w:name="_Toc184314418"/>
      <w:bookmarkEnd w:id="120"/>
      <w:bookmarkStart w:id="121" w:name="_Toc184312112"/>
      <w:bookmarkEnd w:id="121"/>
      <w:bookmarkStart w:id="122" w:name="_Toc184310301"/>
      <w:bookmarkEnd w:id="122"/>
      <w:bookmarkStart w:id="123" w:name="_Toc184314451"/>
      <w:bookmarkEnd w:id="123"/>
      <w:bookmarkStart w:id="124" w:name="_Toc184308063"/>
      <w:bookmarkEnd w:id="124"/>
      <w:bookmarkStart w:id="125" w:name="_Toc184310344"/>
      <w:bookmarkEnd w:id="125"/>
      <w:bookmarkStart w:id="126" w:name="_Toc184313247"/>
      <w:bookmarkEnd w:id="126"/>
      <w:bookmarkStart w:id="127" w:name="_Toc184313308"/>
      <w:bookmarkEnd w:id="127"/>
      <w:bookmarkStart w:id="128" w:name="_Toc184310319"/>
      <w:bookmarkEnd w:id="128"/>
      <w:bookmarkStart w:id="129" w:name="_Toc184313271"/>
      <w:bookmarkEnd w:id="129"/>
      <w:bookmarkStart w:id="130" w:name="_Toc184314438"/>
      <w:bookmarkEnd w:id="130"/>
      <w:bookmarkStart w:id="131" w:name="_Toc184308086"/>
      <w:bookmarkEnd w:id="131"/>
      <w:bookmarkStart w:id="132" w:name="_Toc184308071"/>
      <w:bookmarkEnd w:id="132"/>
      <w:bookmarkStart w:id="133" w:name="_Toc184312085"/>
      <w:bookmarkEnd w:id="133"/>
      <w:bookmarkStart w:id="134" w:name="_Toc184308083"/>
      <w:bookmarkEnd w:id="134"/>
      <w:bookmarkStart w:id="135" w:name="_Toc184314460"/>
      <w:bookmarkEnd w:id="135"/>
      <w:bookmarkStart w:id="136" w:name="_Toc184314432"/>
      <w:bookmarkEnd w:id="136"/>
      <w:bookmarkStart w:id="137" w:name="_Toc184308101"/>
      <w:bookmarkEnd w:id="137"/>
      <w:bookmarkStart w:id="138" w:name="_Toc184314448"/>
      <w:bookmarkEnd w:id="138"/>
      <w:bookmarkStart w:id="139" w:name="_Toc184308076"/>
      <w:bookmarkEnd w:id="139"/>
      <w:bookmarkStart w:id="140" w:name="_Toc184313295"/>
      <w:bookmarkEnd w:id="140"/>
      <w:bookmarkStart w:id="141" w:name="_Toc184308056"/>
      <w:bookmarkEnd w:id="141"/>
      <w:bookmarkStart w:id="142" w:name="_Toc184312119"/>
      <w:bookmarkEnd w:id="142"/>
      <w:bookmarkStart w:id="143" w:name="_Toc184313267"/>
      <w:bookmarkEnd w:id="143"/>
      <w:bookmarkStart w:id="144" w:name="_Toc184314453"/>
      <w:bookmarkEnd w:id="144"/>
      <w:bookmarkStart w:id="145" w:name="_Toc184308048"/>
      <w:bookmarkEnd w:id="145"/>
      <w:bookmarkStart w:id="146" w:name="_Toc184314454"/>
      <w:bookmarkEnd w:id="146"/>
      <w:bookmarkStart w:id="147" w:name="_Toc184308057"/>
      <w:bookmarkEnd w:id="147"/>
      <w:bookmarkStart w:id="148" w:name="_Toc184312067"/>
      <w:bookmarkEnd w:id="148"/>
      <w:bookmarkStart w:id="149" w:name="_Toc184308043"/>
      <w:bookmarkEnd w:id="149"/>
      <w:bookmarkStart w:id="150" w:name="_Toc184310296"/>
      <w:bookmarkEnd w:id="150"/>
      <w:bookmarkStart w:id="151" w:name="_Toc184310273"/>
      <w:bookmarkEnd w:id="151"/>
      <w:bookmarkStart w:id="152" w:name="_Toc184310335"/>
      <w:bookmarkEnd w:id="152"/>
      <w:bookmarkStart w:id="153" w:name="_Toc184312068"/>
      <w:bookmarkEnd w:id="153"/>
      <w:bookmarkStart w:id="154" w:name="_Toc184314440"/>
      <w:bookmarkEnd w:id="154"/>
      <w:bookmarkStart w:id="155" w:name="_Toc184308089"/>
      <w:bookmarkEnd w:id="155"/>
      <w:bookmarkStart w:id="156" w:name="_Toc184310323"/>
      <w:bookmarkEnd w:id="156"/>
      <w:bookmarkStart w:id="157" w:name="_Toc184308099"/>
      <w:bookmarkEnd w:id="157"/>
      <w:bookmarkStart w:id="158" w:name="_Toc184314450"/>
      <w:bookmarkEnd w:id="158"/>
      <w:bookmarkStart w:id="159" w:name="_Toc184312109"/>
      <w:bookmarkEnd w:id="159"/>
      <w:bookmarkStart w:id="160" w:name="_Toc184314459"/>
      <w:bookmarkEnd w:id="160"/>
      <w:bookmarkStart w:id="161" w:name="_Toc184314469"/>
      <w:bookmarkEnd w:id="161"/>
      <w:bookmarkStart w:id="162" w:name="_Toc184313266"/>
      <w:bookmarkEnd w:id="162"/>
      <w:bookmarkStart w:id="163" w:name="_Toc184314422"/>
      <w:bookmarkEnd w:id="163"/>
      <w:bookmarkStart w:id="164" w:name="_Toc184310295"/>
      <w:bookmarkEnd w:id="164"/>
      <w:bookmarkStart w:id="165" w:name="_Toc184313249"/>
      <w:bookmarkEnd w:id="165"/>
      <w:bookmarkStart w:id="166" w:name="_Toc184314467"/>
      <w:bookmarkEnd w:id="166"/>
      <w:bookmarkStart w:id="167" w:name="_Toc184308050"/>
      <w:bookmarkEnd w:id="167"/>
      <w:bookmarkStart w:id="168" w:name="_Toc184313284"/>
      <w:bookmarkEnd w:id="168"/>
      <w:bookmarkStart w:id="169" w:name="_Toc184312074"/>
      <w:bookmarkEnd w:id="169"/>
      <w:bookmarkStart w:id="170" w:name="_Toc184310304"/>
      <w:bookmarkEnd w:id="170"/>
      <w:bookmarkStart w:id="171" w:name="_Toc184312088"/>
      <w:bookmarkEnd w:id="171"/>
      <w:bookmarkStart w:id="172" w:name="_Toc184312139"/>
      <w:bookmarkEnd w:id="172"/>
      <w:bookmarkStart w:id="173" w:name="_Toc184313283"/>
      <w:bookmarkEnd w:id="173"/>
      <w:bookmarkStart w:id="174" w:name="_Toc184313285"/>
      <w:bookmarkEnd w:id="174"/>
      <w:bookmarkStart w:id="175" w:name="_Toc184314410"/>
      <w:bookmarkEnd w:id="175"/>
      <w:bookmarkStart w:id="176" w:name="_Toc184310282"/>
      <w:bookmarkEnd w:id="176"/>
      <w:bookmarkStart w:id="177" w:name="_Toc184312128"/>
      <w:bookmarkEnd w:id="177"/>
      <w:bookmarkStart w:id="178" w:name="_Toc184313290"/>
      <w:bookmarkEnd w:id="178"/>
      <w:bookmarkStart w:id="179" w:name="_Toc184313307"/>
      <w:bookmarkEnd w:id="179"/>
      <w:bookmarkStart w:id="180" w:name="_Toc184308085"/>
      <w:bookmarkEnd w:id="180"/>
      <w:bookmarkStart w:id="181" w:name="_Toc184310297"/>
      <w:bookmarkEnd w:id="181"/>
      <w:bookmarkStart w:id="182" w:name="_Toc184308062"/>
      <w:bookmarkEnd w:id="182"/>
      <w:bookmarkStart w:id="183" w:name="_Toc184313291"/>
      <w:bookmarkEnd w:id="183"/>
      <w:bookmarkStart w:id="184" w:name="_Toc184314427"/>
      <w:bookmarkEnd w:id="184"/>
      <w:bookmarkStart w:id="185" w:name="_Toc184314430"/>
      <w:bookmarkEnd w:id="185"/>
      <w:bookmarkStart w:id="186" w:name="_Toc184310308"/>
      <w:bookmarkEnd w:id="186"/>
      <w:bookmarkStart w:id="187" w:name="_Toc184308038"/>
      <w:bookmarkEnd w:id="187"/>
      <w:bookmarkStart w:id="188" w:name="_Toc184310315"/>
      <w:bookmarkEnd w:id="188"/>
      <w:bookmarkStart w:id="189" w:name="_Toc184312138"/>
      <w:bookmarkEnd w:id="189"/>
      <w:bookmarkStart w:id="190" w:name="_Toc184313287"/>
      <w:bookmarkEnd w:id="190"/>
      <w:bookmarkStart w:id="191" w:name="_Toc184308077"/>
      <w:bookmarkEnd w:id="191"/>
      <w:bookmarkStart w:id="192" w:name="_Toc184308054"/>
      <w:bookmarkEnd w:id="192"/>
      <w:bookmarkStart w:id="193" w:name="_Toc184312121"/>
      <w:bookmarkEnd w:id="193"/>
      <w:bookmarkStart w:id="194" w:name="_Toc184314482"/>
      <w:bookmarkEnd w:id="194"/>
      <w:bookmarkStart w:id="195" w:name="_Toc184308065"/>
      <w:bookmarkEnd w:id="195"/>
      <w:bookmarkStart w:id="196" w:name="_Toc184314434"/>
      <w:bookmarkEnd w:id="196"/>
      <w:bookmarkStart w:id="197" w:name="_Toc184312107"/>
      <w:bookmarkEnd w:id="197"/>
      <w:bookmarkStart w:id="198" w:name="_Toc184308068"/>
      <w:bookmarkEnd w:id="198"/>
      <w:bookmarkStart w:id="199" w:name="_Toc184308091"/>
      <w:bookmarkEnd w:id="199"/>
      <w:bookmarkStart w:id="200" w:name="_Toc184308066"/>
      <w:bookmarkEnd w:id="200"/>
      <w:bookmarkStart w:id="201" w:name="_Toc184310333"/>
      <w:bookmarkEnd w:id="201"/>
      <w:bookmarkStart w:id="202" w:name="_Toc184313258"/>
      <w:bookmarkEnd w:id="202"/>
      <w:bookmarkStart w:id="203" w:name="_Toc184314455"/>
      <w:bookmarkEnd w:id="203"/>
      <w:bookmarkStart w:id="204" w:name="_Toc184308044"/>
      <w:bookmarkEnd w:id="204"/>
      <w:bookmarkStart w:id="205" w:name="_Toc184312117"/>
      <w:bookmarkEnd w:id="205"/>
      <w:bookmarkStart w:id="206" w:name="_Toc184314428"/>
      <w:bookmarkEnd w:id="206"/>
      <w:bookmarkStart w:id="207" w:name="_Toc184310293"/>
      <w:bookmarkEnd w:id="207"/>
      <w:bookmarkStart w:id="208" w:name="_Toc184312123"/>
      <w:bookmarkEnd w:id="208"/>
      <w:bookmarkStart w:id="209" w:name="_Toc184310284"/>
      <w:bookmarkEnd w:id="209"/>
      <w:bookmarkStart w:id="210" w:name="_Toc184310338"/>
      <w:bookmarkEnd w:id="210"/>
      <w:bookmarkStart w:id="211" w:name="_Toc184310309"/>
      <w:bookmarkEnd w:id="211"/>
      <w:bookmarkStart w:id="212" w:name="_Toc184310291"/>
      <w:bookmarkEnd w:id="212"/>
      <w:bookmarkStart w:id="213" w:name="_Toc184314466"/>
      <w:bookmarkEnd w:id="213"/>
      <w:bookmarkStart w:id="214" w:name="_Toc184308102"/>
      <w:bookmarkEnd w:id="214"/>
      <w:bookmarkStart w:id="215" w:name="_Toc184308103"/>
      <w:bookmarkEnd w:id="215"/>
      <w:bookmarkStart w:id="216" w:name="_Toc184312132"/>
      <w:bookmarkEnd w:id="216"/>
      <w:bookmarkStart w:id="217" w:name="_Toc184310311"/>
      <w:bookmarkEnd w:id="217"/>
      <w:bookmarkStart w:id="218" w:name="_Toc184314461"/>
      <w:bookmarkEnd w:id="218"/>
      <w:bookmarkStart w:id="219" w:name="_Toc184312079"/>
      <w:bookmarkEnd w:id="219"/>
      <w:bookmarkStart w:id="220" w:name="_Toc184313296"/>
      <w:bookmarkEnd w:id="220"/>
      <w:bookmarkStart w:id="221" w:name="_Toc184314423"/>
      <w:bookmarkEnd w:id="221"/>
      <w:bookmarkStart w:id="222" w:name="_Toc184312101"/>
      <w:bookmarkEnd w:id="222"/>
      <w:bookmarkStart w:id="223" w:name="_Toc184313248"/>
      <w:bookmarkEnd w:id="223"/>
      <w:bookmarkStart w:id="224" w:name="_Toc184310316"/>
      <w:bookmarkEnd w:id="224"/>
      <w:bookmarkStart w:id="225" w:name="_Toc184308069"/>
      <w:bookmarkEnd w:id="225"/>
      <w:bookmarkStart w:id="226" w:name="_Toc184313270"/>
      <w:bookmarkEnd w:id="226"/>
      <w:bookmarkStart w:id="227" w:name="_Toc184310290"/>
      <w:bookmarkEnd w:id="227"/>
      <w:bookmarkStart w:id="228" w:name="_Toc184308064"/>
      <w:bookmarkEnd w:id="228"/>
      <w:bookmarkStart w:id="229" w:name="_Toc184314479"/>
      <w:bookmarkEnd w:id="229"/>
      <w:bookmarkStart w:id="230" w:name="_Toc184312103"/>
      <w:bookmarkEnd w:id="230"/>
      <w:bookmarkStart w:id="231" w:name="_Toc184308075"/>
      <w:bookmarkEnd w:id="231"/>
      <w:bookmarkStart w:id="232" w:name="_Toc184314463"/>
      <w:bookmarkEnd w:id="232"/>
      <w:bookmarkStart w:id="233" w:name="_Toc184313273"/>
      <w:bookmarkEnd w:id="233"/>
      <w:bookmarkStart w:id="234" w:name="_Toc184308092"/>
      <w:bookmarkEnd w:id="234"/>
      <w:bookmarkStart w:id="235" w:name="_Toc184310327"/>
      <w:bookmarkEnd w:id="235"/>
      <w:bookmarkStart w:id="236" w:name="_Toc184313260"/>
      <w:bookmarkEnd w:id="236"/>
      <w:bookmarkStart w:id="237" w:name="_Toc184310328"/>
      <w:bookmarkEnd w:id="237"/>
      <w:bookmarkStart w:id="238" w:name="_Toc184313298"/>
      <w:bookmarkEnd w:id="238"/>
      <w:bookmarkStart w:id="239" w:name="_Toc184314431"/>
      <w:bookmarkEnd w:id="239"/>
      <w:bookmarkStart w:id="240" w:name="_Toc184312075"/>
      <w:bookmarkEnd w:id="240"/>
      <w:bookmarkStart w:id="241" w:name="_Toc184314415"/>
      <w:bookmarkEnd w:id="241"/>
      <w:bookmarkStart w:id="242" w:name="_Toc184310322"/>
      <w:bookmarkEnd w:id="242"/>
      <w:bookmarkStart w:id="243" w:name="_Toc184314472"/>
      <w:bookmarkEnd w:id="243"/>
      <w:bookmarkStart w:id="244" w:name="_Toc184310279"/>
      <w:bookmarkEnd w:id="244"/>
      <w:bookmarkStart w:id="245" w:name="_Toc184312070"/>
      <w:bookmarkEnd w:id="245"/>
      <w:bookmarkStart w:id="246" w:name="_Toc184308078"/>
      <w:bookmarkEnd w:id="246"/>
      <w:bookmarkStart w:id="247" w:name="_Toc184308080"/>
      <w:bookmarkEnd w:id="247"/>
      <w:bookmarkStart w:id="248" w:name="_Toc184313239"/>
      <w:bookmarkEnd w:id="248"/>
      <w:bookmarkStart w:id="249" w:name="_Toc184312081"/>
      <w:bookmarkEnd w:id="249"/>
      <w:bookmarkStart w:id="250" w:name="_Toc184312122"/>
      <w:bookmarkEnd w:id="250"/>
      <w:bookmarkStart w:id="251" w:name="_Toc184310330"/>
      <w:bookmarkEnd w:id="251"/>
      <w:bookmarkStart w:id="252" w:name="_Toc184314462"/>
      <w:bookmarkEnd w:id="252"/>
      <w:bookmarkStart w:id="253" w:name="_Toc184314429"/>
      <w:bookmarkEnd w:id="253"/>
      <w:bookmarkStart w:id="254" w:name="_Toc184313299"/>
      <w:bookmarkEnd w:id="254"/>
      <w:bookmarkStart w:id="255" w:name="_Toc184314442"/>
      <w:bookmarkEnd w:id="255"/>
      <w:bookmarkStart w:id="256" w:name="_Toc184312076"/>
      <w:bookmarkEnd w:id="256"/>
      <w:bookmarkStart w:id="257" w:name="_Toc184308061"/>
      <w:bookmarkEnd w:id="257"/>
      <w:bookmarkStart w:id="258" w:name="_Toc184313282"/>
      <w:bookmarkEnd w:id="258"/>
      <w:bookmarkStart w:id="259" w:name="_Toc184313301"/>
      <w:bookmarkEnd w:id="259"/>
      <w:bookmarkStart w:id="260" w:name="_Toc184314478"/>
      <w:bookmarkEnd w:id="260"/>
      <w:bookmarkStart w:id="261" w:name="_Toc184314468"/>
      <w:bookmarkEnd w:id="261"/>
      <w:bookmarkStart w:id="262" w:name="_Toc184308108"/>
      <w:bookmarkEnd w:id="262"/>
      <w:bookmarkStart w:id="263" w:name="_Toc184310336"/>
      <w:bookmarkEnd w:id="263"/>
      <w:bookmarkStart w:id="264" w:name="_Toc184310317"/>
      <w:bookmarkEnd w:id="264"/>
      <w:bookmarkStart w:id="265" w:name="_Toc184312094"/>
      <w:bookmarkEnd w:id="265"/>
      <w:bookmarkStart w:id="266" w:name="_Toc184312126"/>
      <w:bookmarkEnd w:id="266"/>
      <w:bookmarkStart w:id="267" w:name="_Toc184310320"/>
      <w:bookmarkEnd w:id="267"/>
      <w:bookmarkStart w:id="268" w:name="_Toc184313292"/>
      <w:bookmarkEnd w:id="268"/>
      <w:bookmarkStart w:id="269" w:name="_Toc184310285"/>
      <w:bookmarkEnd w:id="269"/>
      <w:bookmarkStart w:id="270" w:name="_Toc184314412"/>
      <w:bookmarkEnd w:id="270"/>
      <w:bookmarkStart w:id="271" w:name="_Toc184310299"/>
      <w:bookmarkEnd w:id="271"/>
      <w:bookmarkStart w:id="272" w:name="_Toc184310339"/>
      <w:bookmarkEnd w:id="272"/>
      <w:bookmarkStart w:id="273" w:name="_Toc184313269"/>
      <w:bookmarkEnd w:id="273"/>
      <w:bookmarkStart w:id="274" w:name="_Toc184314413"/>
      <w:bookmarkEnd w:id="274"/>
      <w:bookmarkStart w:id="275" w:name="_Toc184313259"/>
      <w:bookmarkEnd w:id="275"/>
      <w:bookmarkStart w:id="276" w:name="_Toc184314436"/>
      <w:bookmarkEnd w:id="276"/>
      <w:bookmarkStart w:id="277" w:name="_Toc184312104"/>
      <w:bookmarkEnd w:id="277"/>
      <w:bookmarkStart w:id="278" w:name="_Toc184314419"/>
      <w:bookmarkEnd w:id="278"/>
      <w:bookmarkStart w:id="279" w:name="_Toc184310276"/>
      <w:bookmarkEnd w:id="279"/>
      <w:bookmarkStart w:id="280" w:name="_Toc184308088"/>
      <w:bookmarkEnd w:id="280"/>
      <w:bookmarkStart w:id="281" w:name="_Toc184308041"/>
      <w:bookmarkEnd w:id="281"/>
      <w:bookmarkStart w:id="282" w:name="_Toc184312134"/>
      <w:bookmarkEnd w:id="282"/>
      <w:bookmarkStart w:id="283" w:name="_Toc184314465"/>
      <w:bookmarkEnd w:id="283"/>
      <w:bookmarkStart w:id="284" w:name="_Toc184313256"/>
      <w:bookmarkEnd w:id="284"/>
      <w:bookmarkStart w:id="285" w:name="_Toc184314447"/>
      <w:bookmarkEnd w:id="285"/>
      <w:bookmarkStart w:id="286" w:name="_Toc184308070"/>
      <w:bookmarkEnd w:id="286"/>
      <w:bookmarkStart w:id="287" w:name="_Toc184312110"/>
      <w:bookmarkEnd w:id="287"/>
      <w:bookmarkStart w:id="288" w:name="_Toc184314452"/>
      <w:bookmarkEnd w:id="288"/>
      <w:bookmarkStart w:id="289" w:name="_Toc184308039"/>
      <w:bookmarkEnd w:id="289"/>
      <w:bookmarkStart w:id="290" w:name="_Toc184313241"/>
      <w:bookmarkEnd w:id="290"/>
      <w:bookmarkStart w:id="291" w:name="_Toc184310312"/>
      <w:bookmarkEnd w:id="291"/>
      <w:bookmarkStart w:id="292" w:name="_Toc184313264"/>
      <w:bookmarkEnd w:id="292"/>
      <w:bookmarkStart w:id="293" w:name="_Toc184313253"/>
      <w:bookmarkEnd w:id="293"/>
      <w:bookmarkStart w:id="294" w:name="_Toc184310321"/>
      <w:bookmarkEnd w:id="294"/>
      <w:bookmarkStart w:id="295" w:name="_Toc184308095"/>
      <w:bookmarkEnd w:id="295"/>
      <w:bookmarkStart w:id="296" w:name="_Toc184308084"/>
      <w:bookmarkEnd w:id="296"/>
      <w:bookmarkStart w:id="297" w:name="_Toc184314437"/>
      <w:bookmarkEnd w:id="297"/>
      <w:bookmarkStart w:id="298" w:name="_Toc184308051"/>
      <w:bookmarkEnd w:id="298"/>
      <w:bookmarkStart w:id="299" w:name="_Toc184312131"/>
      <w:bookmarkEnd w:id="299"/>
      <w:bookmarkStart w:id="300" w:name="_Toc184308053"/>
      <w:bookmarkEnd w:id="300"/>
      <w:bookmarkStart w:id="301" w:name="_Toc184310324"/>
      <w:bookmarkEnd w:id="301"/>
      <w:bookmarkStart w:id="302" w:name="_Toc184312115"/>
      <w:bookmarkEnd w:id="302"/>
      <w:bookmarkStart w:id="303" w:name="_Toc184310332"/>
      <w:bookmarkEnd w:id="303"/>
      <w:bookmarkStart w:id="304" w:name="_Toc184312077"/>
      <w:bookmarkEnd w:id="304"/>
      <w:bookmarkStart w:id="305" w:name="_Toc184313279"/>
      <w:bookmarkEnd w:id="305"/>
      <w:bookmarkStart w:id="306" w:name="_Toc184314476"/>
      <w:bookmarkEnd w:id="306"/>
      <w:bookmarkStart w:id="307" w:name="_Toc184312113"/>
      <w:bookmarkEnd w:id="307"/>
      <w:bookmarkStart w:id="308" w:name="_Toc184310302"/>
      <w:bookmarkEnd w:id="308"/>
      <w:bookmarkStart w:id="309" w:name="_Toc184310289"/>
      <w:bookmarkEnd w:id="309"/>
      <w:bookmarkStart w:id="310" w:name="_Toc184308074"/>
      <w:bookmarkEnd w:id="310"/>
      <w:bookmarkStart w:id="311" w:name="_Toc184308040"/>
      <w:bookmarkEnd w:id="311"/>
      <w:bookmarkStart w:id="312" w:name="_Toc184314464"/>
      <w:bookmarkEnd w:id="312"/>
      <w:bookmarkStart w:id="313" w:name="_Toc184312136"/>
      <w:bookmarkEnd w:id="313"/>
      <w:bookmarkStart w:id="314" w:name="_Toc184308106"/>
      <w:bookmarkEnd w:id="314"/>
      <w:bookmarkStart w:id="315" w:name="_Toc184308036"/>
      <w:bookmarkEnd w:id="315"/>
      <w:bookmarkStart w:id="316" w:name="_Toc184308037"/>
      <w:bookmarkEnd w:id="316"/>
      <w:bookmarkStart w:id="317" w:name="_Toc184308098"/>
      <w:bookmarkEnd w:id="317"/>
      <w:bookmarkStart w:id="318" w:name="_Toc184308105"/>
      <w:bookmarkEnd w:id="318"/>
      <w:bookmarkStart w:id="319" w:name="_Toc184312137"/>
      <w:bookmarkEnd w:id="319"/>
      <w:bookmarkStart w:id="320" w:name="_Toc184310340"/>
      <w:bookmarkEnd w:id="320"/>
      <w:bookmarkStart w:id="321" w:name="_Toc184312135"/>
      <w:bookmarkEnd w:id="321"/>
      <w:bookmarkStart w:id="322" w:name="_Toc184314477"/>
      <w:bookmarkEnd w:id="322"/>
      <w:bookmarkStart w:id="323" w:name="_Toc184312116"/>
      <w:bookmarkEnd w:id="323"/>
      <w:bookmarkStart w:id="324" w:name="_Toc184308107"/>
      <w:bookmarkEnd w:id="324"/>
      <w:bookmarkStart w:id="325" w:name="_Toc184314411"/>
      <w:bookmarkEnd w:id="325"/>
      <w:bookmarkStart w:id="326" w:name="_Toc184310272"/>
      <w:bookmarkEnd w:id="326"/>
      <w:bookmarkStart w:id="327" w:name="_Toc184312090"/>
      <w:bookmarkEnd w:id="327"/>
      <w:bookmarkStart w:id="328" w:name="_Toc184308081"/>
      <w:bookmarkEnd w:id="328"/>
      <w:bookmarkStart w:id="329" w:name="_Toc184312127"/>
      <w:bookmarkEnd w:id="329"/>
      <w:bookmarkStart w:id="330" w:name="_Toc184313244"/>
      <w:bookmarkEnd w:id="330"/>
      <w:bookmarkStart w:id="331" w:name="_Toc184310325"/>
      <w:bookmarkEnd w:id="331"/>
      <w:bookmarkStart w:id="332" w:name="_Toc184314439"/>
      <w:bookmarkEnd w:id="332"/>
      <w:bookmarkStart w:id="333" w:name="_Toc184308093"/>
      <w:bookmarkEnd w:id="333"/>
      <w:bookmarkStart w:id="334" w:name="_Toc184313280"/>
      <w:bookmarkEnd w:id="334"/>
      <w:bookmarkStart w:id="335" w:name="_Toc184308073"/>
      <w:bookmarkEnd w:id="335"/>
      <w:bookmarkStart w:id="336" w:name="_Toc184310310"/>
      <w:bookmarkEnd w:id="336"/>
      <w:bookmarkStart w:id="337" w:name="_Toc184308060"/>
      <w:bookmarkEnd w:id="337"/>
      <w:bookmarkStart w:id="338" w:name="_Toc184314443"/>
      <w:bookmarkEnd w:id="338"/>
      <w:bookmarkStart w:id="339" w:name="_Toc184312083"/>
      <w:bookmarkEnd w:id="339"/>
      <w:bookmarkStart w:id="340" w:name="_Toc184312108"/>
      <w:bookmarkEnd w:id="340"/>
      <w:bookmarkStart w:id="341" w:name="_Toc184313257"/>
      <w:bookmarkEnd w:id="341"/>
      <w:bookmarkStart w:id="342" w:name="_Toc184308042"/>
      <w:bookmarkEnd w:id="342"/>
      <w:bookmarkStart w:id="343" w:name="_Toc184310314"/>
      <w:bookmarkEnd w:id="343"/>
      <w:bookmarkStart w:id="344" w:name="_Toc184313277"/>
      <w:bookmarkEnd w:id="344"/>
      <w:bookmarkStart w:id="345" w:name="_Toc184314480"/>
      <w:bookmarkEnd w:id="345"/>
      <w:bookmarkStart w:id="346" w:name="_Toc184308094"/>
      <w:bookmarkEnd w:id="346"/>
      <w:bookmarkStart w:id="347" w:name="_Toc184310329"/>
      <w:bookmarkEnd w:id="347"/>
      <w:bookmarkStart w:id="348" w:name="_Toc184308052"/>
      <w:bookmarkEnd w:id="348"/>
      <w:bookmarkStart w:id="349" w:name="_Toc184313289"/>
      <w:bookmarkEnd w:id="349"/>
      <w:bookmarkStart w:id="350" w:name="_Toc184308097"/>
      <w:bookmarkEnd w:id="350"/>
      <w:bookmarkStart w:id="351" w:name="_Toc184310318"/>
      <w:bookmarkEnd w:id="351"/>
      <w:bookmarkStart w:id="352" w:name="_Toc184312114"/>
      <w:bookmarkEnd w:id="352"/>
      <w:bookmarkStart w:id="353" w:name="_Toc184313255"/>
      <w:bookmarkEnd w:id="353"/>
      <w:bookmarkStart w:id="354" w:name="_Toc184310275"/>
      <w:bookmarkEnd w:id="354"/>
      <w:bookmarkStart w:id="355" w:name="_Toc184308090"/>
      <w:bookmarkEnd w:id="355"/>
      <w:bookmarkStart w:id="356" w:name="_Toc184310278"/>
      <w:bookmarkEnd w:id="356"/>
      <w:bookmarkStart w:id="357" w:name="_Toc184314433"/>
      <w:bookmarkEnd w:id="357"/>
      <w:bookmarkStart w:id="358" w:name="_Toc184314425"/>
      <w:bookmarkEnd w:id="358"/>
      <w:bookmarkStart w:id="359" w:name="_Toc184308059"/>
      <w:bookmarkEnd w:id="359"/>
      <w:bookmarkStart w:id="360" w:name="_Toc184310294"/>
      <w:bookmarkEnd w:id="360"/>
      <w:bookmarkStart w:id="361" w:name="_Toc184314457"/>
      <w:bookmarkEnd w:id="361"/>
      <w:bookmarkStart w:id="362" w:name="_Toc184310280"/>
      <w:bookmarkEnd w:id="362"/>
      <w:bookmarkStart w:id="363" w:name="_Toc184308055"/>
      <w:bookmarkEnd w:id="363"/>
      <w:bookmarkStart w:id="364" w:name="_Toc184313272"/>
      <w:bookmarkEnd w:id="364"/>
      <w:bookmarkStart w:id="365" w:name="_Toc184312105"/>
      <w:bookmarkEnd w:id="365"/>
      <w:bookmarkStart w:id="366" w:name="_Toc184310313"/>
      <w:bookmarkEnd w:id="366"/>
      <w:bookmarkStart w:id="367" w:name="_Toc184313300"/>
      <w:bookmarkEnd w:id="367"/>
      <w:bookmarkStart w:id="368" w:name="_Toc184310342"/>
      <w:bookmarkEnd w:id="368"/>
      <w:bookmarkStart w:id="369" w:name="_Toc184312078"/>
      <w:bookmarkEnd w:id="369"/>
      <w:bookmarkStart w:id="370" w:name="_Toc184312098"/>
      <w:bookmarkEnd w:id="370"/>
      <w:bookmarkStart w:id="371" w:name="_Toc184312086"/>
      <w:bookmarkEnd w:id="371"/>
      <w:bookmarkStart w:id="372" w:name="_Toc184312091"/>
      <w:bookmarkEnd w:id="372"/>
      <w:bookmarkStart w:id="373" w:name="_Toc184312111"/>
      <w:bookmarkEnd w:id="373"/>
      <w:bookmarkStart w:id="374" w:name="_Toc184310283"/>
      <w:bookmarkEnd w:id="374"/>
      <w:bookmarkStart w:id="375" w:name="_Toc184313276"/>
      <w:bookmarkEnd w:id="375"/>
      <w:bookmarkStart w:id="376" w:name="_Toc184314444"/>
      <w:bookmarkEnd w:id="376"/>
      <w:bookmarkStart w:id="377" w:name="_Toc184313243"/>
      <w:bookmarkEnd w:id="377"/>
      <w:bookmarkStart w:id="378" w:name="_Toc184314420"/>
      <w:bookmarkEnd w:id="378"/>
      <w:bookmarkStart w:id="379" w:name="_Toc184314441"/>
      <w:bookmarkEnd w:id="379"/>
      <w:bookmarkStart w:id="380" w:name="_Toc184312099"/>
      <w:bookmarkEnd w:id="380"/>
      <w:bookmarkStart w:id="381" w:name="_Toc184310292"/>
      <w:bookmarkEnd w:id="381"/>
      <w:bookmarkStart w:id="382" w:name="_Toc184312118"/>
      <w:bookmarkEnd w:id="382"/>
      <w:bookmarkStart w:id="383" w:name="_Toc184312106"/>
      <w:bookmarkEnd w:id="383"/>
      <w:bookmarkStart w:id="384" w:name="_Toc184312129"/>
      <w:bookmarkEnd w:id="384"/>
      <w:bookmarkStart w:id="385" w:name="_Toc184314424"/>
      <w:bookmarkEnd w:id="385"/>
      <w:bookmarkStart w:id="386" w:name="_Toc184310326"/>
      <w:bookmarkEnd w:id="386"/>
      <w:bookmarkStart w:id="387" w:name="_Toc184308082"/>
      <w:bookmarkEnd w:id="387"/>
      <w:bookmarkStart w:id="388" w:name="_Toc184313309"/>
      <w:bookmarkEnd w:id="388"/>
      <w:bookmarkStart w:id="389" w:name="_Toc184314446"/>
      <w:bookmarkEnd w:id="389"/>
      <w:bookmarkStart w:id="390" w:name="_Toc184313275"/>
      <w:bookmarkEnd w:id="390"/>
      <w:bookmarkStart w:id="391" w:name="_Toc184313262"/>
      <w:bookmarkEnd w:id="391"/>
      <w:bookmarkStart w:id="392" w:name="_Toc184313294"/>
      <w:bookmarkEnd w:id="392"/>
      <w:bookmarkStart w:id="393" w:name="_Toc184308049"/>
      <w:bookmarkEnd w:id="393"/>
      <w:bookmarkStart w:id="394" w:name="_Toc184312087"/>
      <w:bookmarkEnd w:id="394"/>
      <w:bookmarkStart w:id="395" w:name="_Toc184313288"/>
      <w:bookmarkEnd w:id="395"/>
      <w:bookmarkStart w:id="396" w:name="_Toc184313246"/>
      <w:bookmarkEnd w:id="396"/>
      <w:bookmarkStart w:id="397" w:name="_Toc184313293"/>
      <w:bookmarkEnd w:id="397"/>
      <w:bookmarkStart w:id="398" w:name="_Toc184312093"/>
      <w:bookmarkEnd w:id="398"/>
      <w:r>
        <w:rPr>
          <w:rFonts w:hint="eastAsia" w:ascii="宋体" w:hAnsi="宋体" w:cs="宋体"/>
          <w:b/>
          <w:szCs w:val="21"/>
        </w:rPr>
        <w:t>评标办法</w:t>
      </w:r>
    </w:p>
    <w:p>
      <w:pPr>
        <w:snapToGrid w:val="0"/>
        <w:spacing w:line="360" w:lineRule="auto"/>
        <w:jc w:val="center"/>
        <w:rPr>
          <w:rFonts w:hint="eastAsia" w:ascii="宋体" w:hAnsi="宋体" w:cs="宋体"/>
          <w:b/>
          <w:szCs w:val="21"/>
        </w:rPr>
      </w:pPr>
      <w:r>
        <w:rPr>
          <w:rFonts w:hint="eastAsia" w:ascii="宋体" w:hAnsi="宋体" w:cs="宋体"/>
          <w:b/>
          <w:szCs w:val="21"/>
        </w:rPr>
        <w:t>评标办法前附表</w:t>
      </w:r>
    </w:p>
    <w:tbl>
      <w:tblPr>
        <w:tblStyle w:val="63"/>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5481"/>
        <w:gridCol w:w="752"/>
        <w:gridCol w:w="106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序号</w:t>
            </w:r>
          </w:p>
        </w:tc>
        <w:tc>
          <w:tcPr>
            <w:tcW w:w="2850"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评标标准</w:t>
            </w:r>
          </w:p>
        </w:tc>
        <w:tc>
          <w:tcPr>
            <w:tcW w:w="39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权重</w:t>
            </w:r>
          </w:p>
        </w:tc>
        <w:tc>
          <w:tcPr>
            <w:tcW w:w="55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主观分/客观分属性</w:t>
            </w:r>
          </w:p>
        </w:tc>
        <w:tc>
          <w:tcPr>
            <w:tcW w:w="836" w:type="pct"/>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000" w:type="pct"/>
            <w:gridSpan w:val="5"/>
            <w:vAlign w:val="center"/>
          </w:tcPr>
          <w:p>
            <w:pPr>
              <w:keepNext w:val="0"/>
              <w:keepLines w:val="0"/>
              <w:suppressLineNumbers w:val="0"/>
              <w:snapToGrid w:val="0"/>
              <w:spacing w:before="0" w:beforeAutospacing="0" w:after="0" w:afterAutospacing="0" w:line="276" w:lineRule="auto"/>
              <w:ind w:left="0" w:right="0"/>
              <w:jc w:val="both"/>
              <w:rPr>
                <w:rFonts w:hint="eastAsia" w:ascii="宋体" w:hAnsi="宋体" w:eastAsia="宋体" w:cs="仿宋_GB2312"/>
                <w:b/>
                <w:bCs/>
                <w:szCs w:val="21"/>
                <w:lang w:val="en-US" w:eastAsia="zh-CN"/>
              </w:rPr>
            </w:pPr>
            <w:r>
              <w:rPr>
                <w:rFonts w:hint="eastAsia" w:ascii="宋体" w:hAnsi="宋体" w:cs="仿宋_GB2312"/>
                <w:b/>
                <w:bCs/>
                <w:szCs w:val="21"/>
                <w:lang w:val="en-US" w:eastAsia="zh-CN"/>
              </w:rPr>
              <w:t>商务分（5）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bCs/>
                <w:szCs w:val="21"/>
              </w:rPr>
            </w:pPr>
            <w:r>
              <w:rPr>
                <w:rFonts w:hint="eastAsia" w:ascii="宋体" w:hAnsi="宋体" w:cs="仿宋_GB2312"/>
                <w:b/>
                <w:bCs/>
                <w:szCs w:val="21"/>
              </w:rPr>
              <w:t>1</w:t>
            </w:r>
          </w:p>
        </w:tc>
        <w:tc>
          <w:tcPr>
            <w:tcW w:w="2850" w:type="pct"/>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业绩：</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投标人自</w:t>
            </w:r>
            <w:r>
              <w:rPr>
                <w:rFonts w:hint="eastAsia" w:ascii="宋体" w:hAnsi="宋体" w:cs="宋体"/>
                <w:i w:val="0"/>
                <w:iCs w:val="0"/>
                <w:color w:val="auto"/>
                <w:kern w:val="0"/>
                <w:sz w:val="21"/>
                <w:szCs w:val="21"/>
                <w:u w:val="none"/>
                <w:lang w:val="en-US" w:eastAsia="zh-CN" w:bidi="ar"/>
              </w:rPr>
              <w:t>2022年1月1日</w:t>
            </w:r>
            <w:r>
              <w:rPr>
                <w:rFonts w:hint="eastAsia" w:ascii="宋体" w:hAnsi="宋体" w:eastAsia="宋体" w:cs="宋体"/>
                <w:i w:val="0"/>
                <w:iCs w:val="0"/>
                <w:color w:val="auto"/>
                <w:kern w:val="0"/>
                <w:sz w:val="21"/>
                <w:szCs w:val="21"/>
                <w:u w:val="none"/>
                <w:lang w:val="en-US" w:eastAsia="zh-CN" w:bidi="ar"/>
              </w:rPr>
              <w:t>以来（以合同签订时间为准）同类合同业绩（以提供的合同复印件为准）：每提供1份合同业绩得1分，最高得3分。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注：</w:t>
            </w:r>
            <w:r>
              <w:rPr>
                <w:rFonts w:hint="default"/>
                <w:color w:val="auto"/>
                <w:spacing w:val="-1"/>
                <w:highlight w:val="none"/>
              </w:rPr>
              <w:t>投标文件中须提供合同及验收报告（验收未通过的业绩无效）扫描件</w:t>
            </w:r>
            <w:r>
              <w:rPr>
                <w:rFonts w:hint="eastAsia" w:ascii="宋体" w:hAnsi="宋体" w:eastAsia="宋体" w:cs="宋体"/>
                <w:i w:val="0"/>
                <w:iCs w:val="0"/>
                <w:color w:val="auto"/>
                <w:kern w:val="0"/>
                <w:sz w:val="21"/>
                <w:szCs w:val="21"/>
                <w:highlight w:val="none"/>
                <w:u w:val="none"/>
                <w:lang w:val="en-US" w:eastAsia="zh-CN" w:bidi="ar"/>
              </w:rPr>
              <w:t>，未提供或不符合要求的不得分。</w:t>
            </w:r>
          </w:p>
        </w:tc>
        <w:tc>
          <w:tcPr>
            <w:tcW w:w="39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3</w:t>
            </w:r>
          </w:p>
        </w:tc>
        <w:tc>
          <w:tcPr>
            <w:tcW w:w="55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val="0"/>
                <w:bCs w:val="0"/>
                <w:szCs w:val="21"/>
              </w:rPr>
            </w:pPr>
            <w:r>
              <w:rPr>
                <w:rFonts w:hint="eastAsia" w:ascii="宋体" w:hAnsi="宋体" w:cs="仿宋_GB2312"/>
                <w:b w:val="0"/>
                <w:bCs w:val="0"/>
                <w:szCs w:val="21"/>
              </w:rPr>
              <w:t>客观分</w:t>
            </w:r>
          </w:p>
        </w:tc>
        <w:tc>
          <w:tcPr>
            <w:tcW w:w="836" w:type="pct"/>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蒋晗" w:date="2025-05-27T09:04:28Z"/>
        </w:trPr>
        <w:tc>
          <w:tcPr>
            <w:tcW w:w="37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eastAsia="宋体" w:cs="仿宋_GB2312"/>
                <w:b/>
                <w:bCs/>
                <w:szCs w:val="21"/>
                <w:lang w:val="en-US" w:eastAsia="zh-CN"/>
              </w:rPr>
            </w:pPr>
            <w:r>
              <w:rPr>
                <w:rFonts w:hint="eastAsia" w:ascii="宋体" w:hAnsi="宋体" w:cs="仿宋_GB2312"/>
                <w:b/>
                <w:bCs/>
                <w:szCs w:val="21"/>
                <w:lang w:val="en-US" w:eastAsia="zh-CN"/>
              </w:rPr>
              <w:t>2</w:t>
            </w:r>
          </w:p>
        </w:tc>
        <w:tc>
          <w:tcPr>
            <w:tcW w:w="2850" w:type="pct"/>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kern w:val="0"/>
                <w:szCs w:val="21"/>
                <w:lang w:bidi="ar"/>
              </w:rPr>
            </w:pPr>
            <w:r>
              <w:rPr>
                <w:rFonts w:hint="eastAsia" w:ascii="宋体" w:hAnsi="宋体" w:cs="宋体"/>
                <w:b/>
                <w:bCs/>
                <w:kern w:val="0"/>
                <w:szCs w:val="21"/>
                <w:lang w:bidi="ar"/>
              </w:rPr>
              <w:t>质保期：</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kern w:val="0"/>
                <w:szCs w:val="21"/>
                <w:lang w:bidi="ar"/>
              </w:rPr>
              <w:t>质保期满足招标文件要求的基础上每延长一年加1分，最多加2分，延长时间不足一年的不计入加分。质保期不满足招标文件要求的视为采购人不能接受的条件</w:t>
            </w:r>
            <w:r>
              <w:rPr>
                <w:rFonts w:hint="eastAsia" w:ascii="宋体" w:hAnsi="宋体" w:cs="宋体"/>
                <w:kern w:val="0"/>
                <w:szCs w:val="21"/>
                <w:lang w:eastAsia="zh-CN" w:bidi="ar"/>
              </w:rPr>
              <w:t>，</w:t>
            </w:r>
            <w:r>
              <w:rPr>
                <w:rFonts w:hint="eastAsia" w:ascii="宋体" w:hAnsi="宋体" w:cs="宋体"/>
                <w:kern w:val="0"/>
                <w:szCs w:val="21"/>
                <w:lang w:val="en-US" w:eastAsia="zh-CN" w:bidi="ar"/>
              </w:rPr>
              <w:t>投标无效</w:t>
            </w:r>
            <w:r>
              <w:rPr>
                <w:rFonts w:hint="eastAsia" w:ascii="宋体" w:hAnsi="宋体" w:cs="宋体"/>
                <w:kern w:val="0"/>
                <w:szCs w:val="21"/>
                <w:lang w:bidi="ar"/>
              </w:rPr>
              <w:t>。</w:t>
            </w:r>
          </w:p>
        </w:tc>
        <w:tc>
          <w:tcPr>
            <w:tcW w:w="391" w:type="pct"/>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2</w:t>
            </w:r>
          </w:p>
        </w:tc>
        <w:tc>
          <w:tcPr>
            <w:tcW w:w="551" w:type="pct"/>
            <w:vAlign w:val="center"/>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b w:val="0"/>
                <w:bCs w:val="0"/>
                <w:szCs w:val="21"/>
              </w:rPr>
            </w:pPr>
            <w:r>
              <w:rPr>
                <w:rFonts w:hint="eastAsia" w:ascii="宋体" w:hAnsi="宋体" w:cs="仿宋_GB2312"/>
                <w:b w:val="0"/>
                <w:bCs w:val="0"/>
                <w:szCs w:val="21"/>
              </w:rPr>
              <w:t>客观分</w:t>
            </w:r>
          </w:p>
        </w:tc>
        <w:tc>
          <w:tcPr>
            <w:tcW w:w="836" w:type="pct"/>
          </w:tcPr>
          <w:p>
            <w:pPr>
              <w:keepNext w:val="0"/>
              <w:keepLines w:val="0"/>
              <w:suppressLineNumbers w:val="0"/>
              <w:snapToGrid w:val="0"/>
              <w:spacing w:before="0" w:beforeAutospacing="0" w:after="0" w:afterAutospacing="0" w:line="276" w:lineRule="auto"/>
              <w:ind w:left="0" w:right="0"/>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vAlign w:val="center"/>
          </w:tcPr>
          <w:p>
            <w:pPr>
              <w:keepNext w:val="0"/>
              <w:keepLines w:val="0"/>
              <w:suppressLineNumbers w:val="0"/>
              <w:snapToGrid w:val="0"/>
              <w:spacing w:before="0" w:beforeAutospacing="0" w:after="0" w:afterAutospacing="0" w:line="276" w:lineRule="auto"/>
              <w:ind w:left="0" w:right="0"/>
              <w:jc w:val="both"/>
              <w:rPr>
                <w:rFonts w:hint="eastAsia" w:ascii="宋体" w:hAnsi="宋体" w:cs="仿宋_GB2312"/>
                <w:szCs w:val="21"/>
              </w:rPr>
            </w:pPr>
            <w:r>
              <w:rPr>
                <w:rFonts w:hint="eastAsia" w:ascii="宋体" w:hAnsi="宋体" w:cs="仿宋_GB2312"/>
                <w:b/>
                <w:bCs/>
                <w:szCs w:val="21"/>
                <w:lang w:val="en-US" w:eastAsia="zh-CN"/>
              </w:rPr>
              <w:t>技术分（65）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2</w:t>
            </w:r>
          </w:p>
        </w:tc>
        <w:tc>
          <w:tcPr>
            <w:tcW w:w="285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技术响应程度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不符合（负偏离）技术要求中标注“▲”条款（不可偏离）的投标无效；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满足招标文件明确的全部技术条款要求的该项得满分；</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技术条款低于技术要求（负偏离）的每项扣</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仿宋_GB2312"/>
                <w:color w:val="auto"/>
                <w:kern w:val="2"/>
                <w:sz w:val="21"/>
                <w:szCs w:val="21"/>
                <w:lang w:val="en-US" w:eastAsia="zh-CN" w:bidi="ar-SA"/>
              </w:rPr>
            </w:pPr>
            <w:r>
              <w:rPr>
                <w:rFonts w:hint="eastAsia" w:ascii="宋体" w:hAnsi="宋体" w:eastAsia="宋体" w:cs="宋体"/>
                <w:sz w:val="21"/>
                <w:szCs w:val="21"/>
                <w:highlight w:val="none"/>
              </w:rPr>
              <w:t>负偏离</w:t>
            </w:r>
            <w:r>
              <w:rPr>
                <w:rFonts w:hint="eastAsia" w:ascii="宋体" w:hAnsi="宋体" w:cs="宋体"/>
                <w:sz w:val="21"/>
                <w:szCs w:val="21"/>
                <w:highlight w:val="none"/>
                <w:lang w:val="en-US" w:eastAsia="zh-CN"/>
              </w:rPr>
              <w:t>10项及</w:t>
            </w:r>
            <w:r>
              <w:rPr>
                <w:rFonts w:hint="eastAsia" w:ascii="宋体" w:hAnsi="宋体" w:eastAsia="宋体" w:cs="宋体"/>
                <w:sz w:val="21"/>
                <w:szCs w:val="21"/>
                <w:highlight w:val="none"/>
              </w:rPr>
              <w:t>以上的，视为采购人不能接受的附加条件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投标无效</w:t>
            </w:r>
            <w:r>
              <w:rPr>
                <w:rFonts w:hint="eastAsia" w:ascii="宋体" w:hAnsi="宋体" w:eastAsia="宋体" w:cs="宋体"/>
                <w:sz w:val="21"/>
                <w:szCs w:val="21"/>
                <w:highlight w:val="none"/>
              </w:rPr>
              <w:t>。</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18</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客观分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3</w:t>
            </w:r>
          </w:p>
        </w:tc>
        <w:tc>
          <w:tcPr>
            <w:tcW w:w="4628" w:type="pct"/>
            <w:gridSpan w:val="4"/>
            <w:vAlign w:val="center"/>
          </w:tcPr>
          <w:p>
            <w:pPr>
              <w:keepNext w:val="0"/>
              <w:keepLines w:val="0"/>
              <w:suppressLineNumbers w:val="0"/>
              <w:snapToGrid w:val="0"/>
              <w:spacing w:before="0" w:beforeAutospacing="0" w:after="0" w:afterAutospacing="0" w:line="276" w:lineRule="auto"/>
              <w:ind w:left="0" w:right="0"/>
              <w:jc w:val="left"/>
              <w:rPr>
                <w:rFonts w:hint="eastAsia" w:ascii="宋体" w:hAnsi="宋体" w:cs="仿宋_GB2312"/>
                <w:szCs w:val="21"/>
              </w:rPr>
            </w:pPr>
            <w:r>
              <w:rPr>
                <w:rFonts w:hint="eastAsia" w:ascii="宋体" w:hAnsi="宋体" w:cs="宋体"/>
                <w:b/>
                <w:bCs/>
                <w:szCs w:val="21"/>
              </w:rPr>
              <w:t>项目</w:t>
            </w:r>
            <w:r>
              <w:rPr>
                <w:rFonts w:hint="eastAsia" w:ascii="宋体" w:hAnsi="宋体" w:cs="宋体"/>
                <w:b/>
                <w:bCs/>
                <w:szCs w:val="21"/>
                <w:lang w:val="en-US" w:eastAsia="zh-CN"/>
              </w:rPr>
              <w:t>实施</w:t>
            </w:r>
            <w:r>
              <w:rPr>
                <w:rFonts w:hint="eastAsia" w:ascii="宋体" w:hAnsi="宋体" w:cs="宋体"/>
                <w:b/>
                <w:bCs/>
                <w:szCs w:val="21"/>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3</w:t>
            </w:r>
            <w:r>
              <w:rPr>
                <w:rFonts w:hint="eastAsia" w:ascii="宋体" w:hAnsi="宋体" w:eastAsia="宋体" w:cs="仿宋_GB2312"/>
                <w:b/>
                <w:bCs/>
                <w:szCs w:val="21"/>
                <w:lang w:val="en-US" w:eastAsia="zh-CN"/>
              </w:rPr>
              <w:t>.1</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投标人拟提供的</w:t>
            </w:r>
            <w:r>
              <w:rPr>
                <w:rFonts w:hint="eastAsia" w:ascii="宋体" w:hAnsi="宋体" w:cs="宋体"/>
                <w:szCs w:val="21"/>
              </w:rPr>
              <w:t>项目</w:t>
            </w:r>
            <w:r>
              <w:rPr>
                <w:rFonts w:hint="eastAsia" w:ascii="宋体" w:hAnsi="宋体" w:cs="宋体"/>
                <w:szCs w:val="21"/>
                <w:lang w:val="en-US" w:eastAsia="zh-CN"/>
              </w:rPr>
              <w:t>总体</w:t>
            </w:r>
            <w:r>
              <w:rPr>
                <w:rFonts w:hint="eastAsia" w:ascii="宋体" w:hAnsi="宋体" w:cs="宋体"/>
                <w:szCs w:val="21"/>
              </w:rPr>
              <w:t>实施方案，提供项目组织管理、实施管理等内容</w:t>
            </w:r>
            <w:r>
              <w:rPr>
                <w:rFonts w:hint="eastAsia" w:ascii="宋体" w:hAnsi="宋体" w:cs="宋体"/>
                <w:szCs w:val="21"/>
                <w:lang w:eastAsia="zh-CN"/>
              </w:rPr>
              <w:t>：</w:t>
            </w:r>
            <w:r>
              <w:rPr>
                <w:rFonts w:hint="eastAsia" w:ascii="宋体" w:hAnsi="宋体" w:cs="宋体"/>
                <w:szCs w:val="21"/>
                <w:lang w:val="en-US" w:eastAsia="zh-CN"/>
              </w:rPr>
              <w:t>内容</w:t>
            </w:r>
            <w:r>
              <w:rPr>
                <w:rFonts w:hint="eastAsia" w:ascii="宋体" w:hAnsi="宋体" w:cs="宋体"/>
                <w:szCs w:val="21"/>
              </w:rPr>
              <w:t>详细、完整、合理性强</w:t>
            </w:r>
            <w:r>
              <w:rPr>
                <w:rFonts w:hint="eastAsia" w:ascii="宋体" w:hAnsi="宋体" w:eastAsia="宋体" w:cs="宋体"/>
                <w:kern w:val="0"/>
                <w:sz w:val="21"/>
                <w:szCs w:val="21"/>
                <w:highlight w:val="none"/>
                <w:lang w:val="en-US" w:eastAsia="zh-CN"/>
              </w:rPr>
              <w:t>、针对采购需求和实际特点、有利于采购标的实现及合同履约。</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仿宋_GB2312"/>
                <w:color w:val="auto"/>
                <w:kern w:val="2"/>
                <w:sz w:val="21"/>
                <w:szCs w:val="21"/>
                <w:lang w:val="en-US" w:eastAsia="zh-CN" w:bidi="ar-SA"/>
              </w:rPr>
            </w:pPr>
            <w:r>
              <w:rPr>
                <w:rFonts w:hint="eastAsia" w:ascii="宋体" w:hAnsi="宋体" w:eastAsia="宋体" w:cs="宋体"/>
                <w:kern w:val="0"/>
                <w:sz w:val="21"/>
                <w:szCs w:val="21"/>
                <w:highlight w:val="none"/>
                <w:lang w:val="en-US" w:eastAsia="zh-CN"/>
              </w:rPr>
              <w:t>（评分范围：4，3，2，1，0）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kern w:val="2"/>
                <w:sz w:val="21"/>
                <w:szCs w:val="21"/>
                <w:lang w:val="en-US" w:eastAsia="zh-CN" w:bidi="ar-SA"/>
              </w:rPr>
            </w:pPr>
            <w:r>
              <w:rPr>
                <w:rFonts w:hint="eastAsia" w:ascii="宋体" w:hAnsi="宋体" w:cs="宋体"/>
                <w:b/>
                <w:bCs/>
                <w:szCs w:val="21"/>
                <w:lang w:val="en-US" w:eastAsia="zh-CN"/>
              </w:rPr>
              <w:t>3</w:t>
            </w:r>
            <w:r>
              <w:rPr>
                <w:rFonts w:hint="eastAsia" w:ascii="宋体" w:hAnsi="宋体" w:eastAsia="宋体" w:cs="宋体"/>
                <w:b/>
                <w:bCs/>
                <w:szCs w:val="21"/>
                <w:lang w:val="en-US" w:eastAsia="zh-CN"/>
              </w:rPr>
              <w:t>.2</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投标人拟提供的</w:t>
            </w:r>
            <w:r>
              <w:rPr>
                <w:rFonts w:hint="eastAsia" w:ascii="宋体" w:hAnsi="宋体" w:eastAsia="宋体" w:cs="Times New Roman"/>
                <w:szCs w:val="21"/>
                <w:lang w:eastAsia="zh-CN"/>
              </w:rPr>
              <w:t>质量保证</w:t>
            </w:r>
            <w:r>
              <w:rPr>
                <w:rFonts w:hint="eastAsia" w:ascii="宋体" w:hAnsi="宋体" w:eastAsia="宋体" w:cs="Times New Roman"/>
                <w:szCs w:val="21"/>
                <w:lang w:val="en-US" w:eastAsia="zh-CN"/>
              </w:rPr>
              <w:t>方案：质量保证措施完整清晰、合理有效、</w:t>
            </w:r>
            <w:r>
              <w:rPr>
                <w:rFonts w:hint="eastAsia" w:ascii="宋体" w:hAnsi="宋体" w:eastAsia="宋体" w:cs="宋体"/>
                <w:kern w:val="0"/>
                <w:sz w:val="21"/>
                <w:szCs w:val="21"/>
                <w:highlight w:val="none"/>
                <w:lang w:val="en-US" w:eastAsia="zh-CN"/>
              </w:rPr>
              <w:t>有利于采购标的实现及合同履约。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kern w:val="0"/>
                <w:sz w:val="21"/>
                <w:szCs w:val="21"/>
                <w:lang w:val="en-US" w:eastAsia="zh-CN" w:bidi="ar-SA"/>
              </w:rPr>
            </w:pPr>
            <w:r>
              <w:rPr>
                <w:rFonts w:hint="eastAsia" w:ascii="宋体" w:hAnsi="宋体" w:cs="宋体"/>
                <w:b/>
                <w:bCs/>
                <w:spacing w:val="-6"/>
                <w:sz w:val="21"/>
                <w:szCs w:val="21"/>
                <w:lang w:val="en-US" w:eastAsia="zh-CN"/>
              </w:rPr>
              <w:t>3</w:t>
            </w:r>
            <w:r>
              <w:rPr>
                <w:rFonts w:hint="eastAsia" w:ascii="宋体" w:hAnsi="宋体" w:eastAsia="宋体" w:cs="宋体"/>
                <w:b/>
                <w:bCs/>
                <w:spacing w:val="-6"/>
                <w:sz w:val="21"/>
                <w:szCs w:val="21"/>
                <w:lang w:val="en-US" w:eastAsia="zh-CN"/>
              </w:rPr>
              <w:t>.3</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投标人拟提供的</w:t>
            </w:r>
            <w:r>
              <w:rPr>
                <w:rFonts w:hint="eastAsia" w:ascii="宋体" w:hAnsi="宋体" w:eastAsia="宋体" w:cs="宋体"/>
                <w:kern w:val="0"/>
                <w:sz w:val="21"/>
                <w:szCs w:val="21"/>
                <w:highlight w:val="none"/>
              </w:rPr>
              <w:t>项目整体工作阶段及任务划分情况：要求进度控制合理、关键时间节点把握科学准确。</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（评分范围：4，3，2，1，0）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spacing w:val="-6"/>
                <w:kern w:val="2"/>
                <w:sz w:val="21"/>
                <w:szCs w:val="21"/>
                <w:lang w:val="en-US" w:eastAsia="zh-CN" w:bidi="ar-SA"/>
              </w:rPr>
            </w:pPr>
            <w:r>
              <w:rPr>
                <w:rFonts w:hint="eastAsia" w:ascii="宋体" w:hAnsi="宋体" w:cs="宋体"/>
                <w:b/>
                <w:bCs/>
                <w:spacing w:val="-6"/>
                <w:sz w:val="21"/>
                <w:szCs w:val="21"/>
                <w:lang w:val="en-US" w:eastAsia="zh-CN"/>
              </w:rPr>
              <w:t>3</w:t>
            </w:r>
            <w:r>
              <w:rPr>
                <w:rFonts w:hint="eastAsia" w:ascii="宋体" w:hAnsi="宋体" w:eastAsia="宋体" w:cs="宋体"/>
                <w:b/>
                <w:bCs/>
                <w:spacing w:val="-6"/>
                <w:sz w:val="21"/>
                <w:szCs w:val="21"/>
                <w:lang w:val="en-US" w:eastAsia="zh-CN"/>
              </w:rPr>
              <w:t>.4</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default" w:ascii="宋体" w:hAnsi="宋体" w:cs="宋体"/>
                <w:spacing w:val="-6"/>
                <w:sz w:val="21"/>
                <w:szCs w:val="21"/>
              </w:rPr>
            </w:pPr>
            <w:r>
              <w:rPr>
                <w:rFonts w:hint="eastAsia" w:ascii="宋体" w:hAnsi="宋体" w:cs="宋体"/>
                <w:spacing w:val="-6"/>
                <w:sz w:val="21"/>
                <w:szCs w:val="21"/>
                <w:lang w:val="en-US" w:eastAsia="zh-CN"/>
              </w:rPr>
              <w:t>投标人拟提供的</w:t>
            </w:r>
            <w:r>
              <w:rPr>
                <w:rFonts w:hint="eastAsia" w:ascii="宋体" w:hAnsi="宋体" w:cs="宋体"/>
                <w:sz w:val="21"/>
                <w:szCs w:val="21"/>
              </w:rPr>
              <w:t>日常运行及保养</w:t>
            </w:r>
            <w:r>
              <w:rPr>
                <w:rFonts w:hint="eastAsia" w:ascii="宋体" w:hAnsi="宋体" w:cs="宋体"/>
                <w:sz w:val="21"/>
                <w:szCs w:val="21"/>
                <w:lang w:eastAsia="zh-CN"/>
              </w:rPr>
              <w:t>、</w:t>
            </w:r>
            <w:r>
              <w:rPr>
                <w:rFonts w:hint="eastAsia" w:ascii="宋体" w:hAnsi="宋体" w:cs="宋体"/>
                <w:sz w:val="21"/>
                <w:szCs w:val="21"/>
                <w:lang w:val="en-US" w:eastAsia="zh-CN"/>
              </w:rPr>
              <w:t>相关平台系统运维</w:t>
            </w:r>
            <w:r>
              <w:rPr>
                <w:rFonts w:hint="eastAsia" w:ascii="宋体" w:hAnsi="宋体" w:cs="宋体"/>
                <w:sz w:val="21"/>
                <w:szCs w:val="21"/>
              </w:rPr>
              <w:t>方案：专业、全面、针对采购需求及实际特点、有利于采购标的实现及合同履约。</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lang w:val="en-US" w:eastAsia="zh-CN" w:bidi="ar-SA"/>
              </w:rPr>
            </w:pPr>
            <w:r>
              <w:rPr>
                <w:rFonts w:hint="eastAsia" w:ascii="宋体" w:hAnsi="宋体" w:cs="宋体"/>
                <w:bCs/>
                <w:sz w:val="21"/>
                <w:szCs w:val="21"/>
              </w:rPr>
              <w:t>（评分范围：4，3，2，1，0）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4</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安装调试方案</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szCs w:val="21"/>
              </w:rPr>
              <w:t>投标人</w:t>
            </w:r>
            <w:r>
              <w:rPr>
                <w:rFonts w:hint="eastAsia" w:ascii="宋体" w:hAnsi="宋体" w:eastAsia="宋体" w:cs="宋体"/>
                <w:szCs w:val="21"/>
                <w:lang w:val="en-US" w:eastAsia="zh-CN"/>
              </w:rPr>
              <w:t>拟</w:t>
            </w:r>
            <w:r>
              <w:rPr>
                <w:rFonts w:hint="eastAsia" w:ascii="宋体" w:hAnsi="宋体" w:eastAsia="宋体" w:cs="宋体"/>
                <w:szCs w:val="21"/>
                <w:lang w:val="en"/>
              </w:rPr>
              <w:t>提供的</w:t>
            </w:r>
            <w:r>
              <w:rPr>
                <w:rFonts w:hint="eastAsia" w:ascii="宋体" w:hAnsi="宋体" w:eastAsia="宋体" w:cs="宋体"/>
                <w:szCs w:val="21"/>
                <w:lang w:val="en-US" w:eastAsia="zh-CN"/>
              </w:rPr>
              <w:t>安装调试方案：</w:t>
            </w:r>
            <w:r>
              <w:rPr>
                <w:rFonts w:hint="eastAsia" w:ascii="宋体" w:hAnsi="宋体" w:eastAsia="宋体" w:cs="宋体"/>
                <w:kern w:val="0"/>
                <w:sz w:val="21"/>
                <w:szCs w:val="21"/>
                <w:highlight w:val="none"/>
                <w:lang w:val="en-US" w:eastAsia="zh-CN"/>
              </w:rPr>
              <w:t>专业、全面、针对采购需求和实际特点、有利于采购标的实现及合同履约。</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仿宋_GB2312"/>
                <w:color w:val="auto"/>
                <w:kern w:val="2"/>
                <w:sz w:val="21"/>
                <w:szCs w:val="21"/>
                <w:lang w:val="en-US" w:eastAsia="zh-CN" w:bidi="ar-SA"/>
              </w:rPr>
            </w:pPr>
            <w:r>
              <w:rPr>
                <w:rFonts w:hint="eastAsia" w:ascii="宋体" w:hAnsi="宋体" w:eastAsia="宋体" w:cs="宋体"/>
                <w:kern w:val="0"/>
                <w:sz w:val="21"/>
                <w:szCs w:val="21"/>
                <w:highlight w:val="none"/>
                <w:lang w:val="en-US" w:eastAsia="zh-CN"/>
              </w:rPr>
              <w:t>（评分范围：3，2，1，0）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3</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5</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szCs w:val="21"/>
                <w:lang w:val="en"/>
              </w:rPr>
            </w:pPr>
            <w:r>
              <w:rPr>
                <w:rFonts w:hint="eastAsia" w:ascii="宋体" w:hAnsi="宋体" w:eastAsia="宋体" w:cs="宋体"/>
                <w:b/>
                <w:bCs/>
                <w:szCs w:val="21"/>
                <w:lang w:val="en"/>
              </w:rPr>
              <w:t>培训方案</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szCs w:val="21"/>
              </w:rPr>
              <w:t>投标人</w:t>
            </w:r>
            <w:r>
              <w:rPr>
                <w:rFonts w:hint="eastAsia" w:ascii="宋体" w:hAnsi="宋体" w:eastAsia="宋体" w:cs="宋体"/>
                <w:szCs w:val="21"/>
                <w:lang w:val="en-US" w:eastAsia="zh-CN"/>
              </w:rPr>
              <w:t>拟</w:t>
            </w:r>
            <w:r>
              <w:rPr>
                <w:rFonts w:hint="eastAsia" w:ascii="宋体" w:hAnsi="宋体" w:eastAsia="宋体" w:cs="宋体"/>
                <w:szCs w:val="21"/>
                <w:lang w:val="en"/>
              </w:rPr>
              <w:t>提供的培训方案</w:t>
            </w:r>
            <w:r>
              <w:rPr>
                <w:rFonts w:hint="eastAsia" w:ascii="宋体" w:hAnsi="宋体" w:eastAsia="宋体" w:cs="宋体"/>
                <w:szCs w:val="21"/>
                <w:lang w:val="en" w:eastAsia="zh-CN"/>
              </w:rPr>
              <w:t>：</w:t>
            </w:r>
            <w:r>
              <w:rPr>
                <w:rFonts w:hint="eastAsia" w:ascii="宋体" w:hAnsi="宋体" w:eastAsia="宋体" w:cs="宋体"/>
                <w:szCs w:val="21"/>
                <w:lang w:val="en"/>
              </w:rPr>
              <w:t>内容</w:t>
            </w:r>
            <w:r>
              <w:rPr>
                <w:rFonts w:hint="eastAsia" w:ascii="宋体" w:hAnsi="宋体" w:eastAsia="宋体" w:cs="宋体"/>
                <w:szCs w:val="21"/>
                <w:lang w:val="en-US" w:eastAsia="zh-CN"/>
              </w:rPr>
              <w:t>中</w:t>
            </w:r>
            <w:r>
              <w:rPr>
                <w:rFonts w:hint="eastAsia" w:ascii="宋体" w:hAnsi="宋体" w:eastAsia="宋体" w:cs="宋体"/>
                <w:szCs w:val="21"/>
                <w:lang w:val="en"/>
              </w:rPr>
              <w:t>培训方式、培训时长、培训</w:t>
            </w:r>
            <w:r>
              <w:rPr>
                <w:rFonts w:hint="eastAsia" w:ascii="宋体" w:hAnsi="宋体" w:eastAsia="宋体" w:cs="宋体"/>
                <w:szCs w:val="21"/>
              </w:rPr>
              <w:t>内容</w:t>
            </w:r>
            <w:r>
              <w:rPr>
                <w:rFonts w:hint="eastAsia" w:ascii="宋体" w:hAnsi="宋体" w:eastAsia="宋体" w:cs="宋体"/>
                <w:szCs w:val="21"/>
                <w:lang w:val="en"/>
              </w:rPr>
              <w:t>完善、详细</w:t>
            </w:r>
            <w:r>
              <w:rPr>
                <w:rFonts w:hint="eastAsia" w:ascii="宋体" w:hAnsi="宋体" w:eastAsia="宋体" w:cs="宋体"/>
                <w:szCs w:val="21"/>
                <w:lang w:val="en" w:eastAsia="zh-CN"/>
              </w:rPr>
              <w:t>，</w:t>
            </w:r>
            <w:r>
              <w:rPr>
                <w:rFonts w:hint="eastAsia" w:ascii="宋体" w:hAnsi="宋体" w:eastAsia="宋体" w:cs="宋体"/>
                <w:szCs w:val="21"/>
                <w:lang w:val="en-US" w:eastAsia="zh-CN"/>
              </w:rPr>
              <w:t>方案</w:t>
            </w:r>
            <w:r>
              <w:rPr>
                <w:rFonts w:hint="eastAsia" w:ascii="宋体" w:hAnsi="宋体" w:eastAsia="宋体" w:cs="宋体"/>
                <w:kern w:val="0"/>
                <w:sz w:val="21"/>
                <w:szCs w:val="21"/>
                <w:highlight w:val="none"/>
                <w:lang w:val="en-US" w:eastAsia="zh-CN"/>
              </w:rPr>
              <w:t>专业、全面、针对采购需求和实际特点、有利于采购标的实现及合同履约。</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仿宋_GB2312"/>
                <w:color w:val="auto"/>
                <w:kern w:val="2"/>
                <w:sz w:val="21"/>
                <w:szCs w:val="21"/>
                <w:lang w:val="en-US" w:eastAsia="zh-CN" w:bidi="ar-SA"/>
              </w:rPr>
            </w:pPr>
            <w:r>
              <w:rPr>
                <w:rFonts w:hint="eastAsia" w:ascii="宋体" w:hAnsi="宋体" w:eastAsia="宋体" w:cs="宋体"/>
                <w:kern w:val="0"/>
                <w:sz w:val="21"/>
                <w:szCs w:val="21"/>
                <w:highlight w:val="none"/>
                <w:lang w:val="en-US" w:eastAsia="zh-CN"/>
              </w:rPr>
              <w:t>（评分范围：4，3，2，1，0）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b/>
                <w:bCs/>
                <w:kern w:val="2"/>
                <w:sz w:val="21"/>
                <w:szCs w:val="21"/>
                <w:lang w:val="en-US" w:eastAsia="zh-CN" w:bidi="ar-SA"/>
              </w:rPr>
            </w:pPr>
            <w:r>
              <w:rPr>
                <w:rFonts w:hint="eastAsia" w:ascii="宋体" w:hAnsi="宋体" w:cs="仿宋_GB2312"/>
                <w:b/>
                <w:bCs/>
                <w:szCs w:val="21"/>
                <w:lang w:val="en-US" w:eastAsia="zh-CN"/>
              </w:rPr>
              <w:t>6</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kern w:val="0"/>
                <w:sz w:val="21"/>
                <w:szCs w:val="21"/>
                <w:highlight w:val="none"/>
                <w:lang w:val="en-US"/>
              </w:rPr>
            </w:pPr>
            <w:r>
              <w:rPr>
                <w:rFonts w:hint="eastAsia" w:ascii="宋体" w:hAnsi="宋体" w:eastAsia="宋体" w:cs="宋体"/>
                <w:b/>
                <w:bCs/>
                <w:kern w:val="0"/>
                <w:sz w:val="21"/>
                <w:szCs w:val="21"/>
                <w:highlight w:val="none"/>
                <w:lang w:val="en-US"/>
              </w:rPr>
              <w:t>项目团队</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lang w:val="en-US"/>
              </w:rPr>
              <w:t>拟投入本项目的项目团队成员的数量及工作经验、职业能力等内容</w:t>
            </w:r>
            <w:r>
              <w:rPr>
                <w:rFonts w:hint="eastAsia" w:ascii="宋体" w:hAnsi="宋体" w:eastAsia="宋体" w:cs="宋体"/>
                <w:kern w:val="0"/>
                <w:sz w:val="21"/>
                <w:szCs w:val="21"/>
                <w:highlight w:val="none"/>
                <w:lang w:val="en-US" w:eastAsia="zh-CN"/>
              </w:rPr>
              <w:t>：要求各成员类似经验丰富、人员数量充足且专业性强、满足需求</w:t>
            </w:r>
            <w:r>
              <w:rPr>
                <w:rFonts w:hint="eastAsia" w:ascii="宋体" w:hAnsi="宋体" w:eastAsia="宋体" w:cs="宋体"/>
                <w:kern w:val="0"/>
                <w:sz w:val="21"/>
                <w:szCs w:val="21"/>
                <w:highlight w:val="none"/>
              </w:rPr>
              <w:t>。</w:t>
            </w:r>
          </w:p>
          <w:p>
            <w:pPr>
              <w:keepNext w:val="0"/>
              <w:keepLines w:val="0"/>
              <w:suppressLineNumbers w:val="0"/>
              <w:snapToGrid w:val="0"/>
              <w:spacing w:before="0" w:beforeAutospacing="0" w:after="0" w:afterAutospacing="0" w:line="288" w:lineRule="auto"/>
              <w:ind w:left="0" w:right="0"/>
              <w:jc w:val="both"/>
              <w:rPr>
                <w:rFonts w:hint="eastAsia" w:ascii="宋体" w:hAnsi="宋体" w:eastAsia="宋体" w:cs="仿宋_GB2312"/>
                <w:color w:val="auto"/>
                <w:kern w:val="2"/>
                <w:sz w:val="21"/>
                <w:szCs w:val="21"/>
                <w:lang w:val="en-US" w:eastAsia="zh-CN" w:bidi="ar-SA"/>
              </w:rPr>
            </w:pPr>
            <w:r>
              <w:rPr>
                <w:rFonts w:hint="eastAsia" w:ascii="宋体" w:hAnsi="宋体" w:eastAsia="宋体" w:cs="宋体"/>
                <w:kern w:val="0"/>
                <w:sz w:val="21"/>
                <w:szCs w:val="21"/>
                <w:highlight w:val="none"/>
                <w:lang w:val="en-US" w:eastAsia="zh-CN"/>
              </w:rPr>
              <w:t>（评分范围：4，3，2，1，0）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spacing w:val="-6"/>
                <w:kern w:val="2"/>
                <w:sz w:val="21"/>
                <w:szCs w:val="21"/>
                <w:lang w:val="en-US" w:eastAsia="zh-CN" w:bidi="ar-SA"/>
              </w:rPr>
            </w:pPr>
            <w:r>
              <w:rPr>
                <w:rFonts w:hint="eastAsia" w:ascii="宋体" w:hAnsi="宋体" w:cs="宋体"/>
                <w:b/>
                <w:bCs/>
                <w:spacing w:val="-6"/>
                <w:sz w:val="21"/>
                <w:szCs w:val="21"/>
                <w:lang w:val="en-US" w:eastAsia="zh-CN"/>
              </w:rPr>
              <w:t>7</w:t>
            </w:r>
          </w:p>
        </w:tc>
        <w:tc>
          <w:tcPr>
            <w:tcW w:w="2850" w:type="pct"/>
            <w:vAlign w:val="center"/>
          </w:tcPr>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售后服务方案</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提供的售后服务方案（如服务体系、服务内容、人员保障及服务电话等）：售后服务方案内容完整、详细</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符合采购需求。</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（评分范围：</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3，2，</w:t>
            </w:r>
            <w:r>
              <w:rPr>
                <w:rFonts w:hint="eastAsia" w:ascii="宋体" w:hAnsi="宋体" w:eastAsia="宋体" w:cs="宋体"/>
                <w:kern w:val="0"/>
                <w:sz w:val="21"/>
                <w:szCs w:val="21"/>
                <w:highlight w:val="none"/>
              </w:rPr>
              <w:t>1，0）</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r>
              <w:rPr>
                <w:rFonts w:hint="eastAsia" w:ascii="宋体" w:hAnsi="宋体" w:cs="仿宋_GB2312"/>
                <w:color w:val="auto"/>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kern w:val="2"/>
                <w:sz w:val="21"/>
                <w:szCs w:val="21"/>
                <w:lang w:val="en-US" w:eastAsia="zh-CN" w:bidi="ar-SA"/>
              </w:rPr>
            </w:pPr>
            <w:r>
              <w:rPr>
                <w:rFonts w:hint="eastAsia" w:ascii="宋体" w:hAnsi="宋体" w:cs="仿宋_GB2312"/>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371"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b/>
                <w:bCs/>
                <w:szCs w:val="21"/>
                <w:highlight w:val="none"/>
                <w:lang w:val="en-US" w:eastAsia="zh-CN"/>
              </w:rPr>
              <w:t>8</w:t>
            </w:r>
          </w:p>
        </w:tc>
        <w:tc>
          <w:tcPr>
            <w:tcW w:w="2850" w:type="pct"/>
            <w:vAlign w:val="center"/>
          </w:tcPr>
          <w:p>
            <w:pPr>
              <w:keepNext w:val="0"/>
              <w:keepLines w:val="0"/>
              <w:suppressLineNumbers w:val="0"/>
              <w:snapToGrid w:val="0"/>
              <w:spacing w:before="0" w:beforeAutospacing="0" w:after="0" w:afterAutospacing="0" w:line="288" w:lineRule="auto"/>
              <w:ind w:left="0" w:right="0"/>
              <w:rPr>
                <w:rFonts w:hint="default" w:ascii="宋体" w:hAnsi="宋体" w:cs="宋体"/>
                <w:b/>
                <w:bCs/>
                <w:szCs w:val="21"/>
              </w:rPr>
            </w:pPr>
            <w:r>
              <w:rPr>
                <w:rFonts w:hint="eastAsia" w:ascii="宋体" w:hAnsi="宋体" w:cs="宋体"/>
                <w:b/>
                <w:bCs/>
                <w:szCs w:val="21"/>
              </w:rPr>
              <w:t>配件耗材</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kern w:val="0"/>
                <w:sz w:val="21"/>
                <w:szCs w:val="21"/>
                <w:highlight w:val="none"/>
                <w:lang w:val="en-US" w:eastAsia="zh-CN"/>
              </w:rPr>
            </w:pPr>
            <w:r>
              <w:rPr>
                <w:rFonts w:hint="eastAsia" w:ascii="宋体" w:hAnsi="宋体" w:eastAsia="宋体" w:cs="宋体"/>
                <w:szCs w:val="21"/>
                <w:lang w:val="en-US" w:eastAsia="zh-CN"/>
              </w:rPr>
              <w:t>投标人应提供质保期内</w:t>
            </w:r>
            <w:r>
              <w:rPr>
                <w:rFonts w:hint="eastAsia" w:ascii="宋体" w:hAnsi="宋体" w:cs="宋体"/>
                <w:szCs w:val="21"/>
                <w:lang w:val="en-US" w:eastAsia="zh-CN"/>
              </w:rPr>
              <w:t>及质保期满后</w:t>
            </w:r>
            <w:r>
              <w:rPr>
                <w:rFonts w:hint="eastAsia" w:ascii="宋体" w:hAnsi="宋体" w:eastAsia="宋体" w:cs="宋体"/>
                <w:szCs w:val="21"/>
                <w:lang w:val="en-US" w:eastAsia="zh-CN"/>
              </w:rPr>
              <w:t>正常使用的备品备件、专用工具、易损件和易耗件</w:t>
            </w:r>
            <w:r>
              <w:rPr>
                <w:rFonts w:hint="eastAsia" w:ascii="宋体" w:hAnsi="宋体" w:eastAsia="宋体" w:cs="宋体"/>
                <w:szCs w:val="21"/>
              </w:rPr>
              <w:t>；材料准备</w:t>
            </w:r>
            <w:r>
              <w:rPr>
                <w:rFonts w:hint="eastAsia" w:ascii="宋体" w:hAnsi="宋体" w:cs="宋体"/>
                <w:szCs w:val="21"/>
                <w:lang w:val="en-US" w:eastAsia="zh-CN"/>
              </w:rPr>
              <w:t>充分</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质保期满后的</w:t>
            </w:r>
            <w:r>
              <w:rPr>
                <w:rFonts w:hint="eastAsia" w:ascii="宋体" w:hAnsi="宋体" w:eastAsia="宋体" w:cs="宋体"/>
                <w:kern w:val="0"/>
                <w:sz w:val="21"/>
                <w:szCs w:val="21"/>
                <w:highlight w:val="none"/>
                <w:lang w:val="en-US" w:eastAsia="zh-CN"/>
              </w:rPr>
              <w:t>收费标准合理</w:t>
            </w:r>
            <w:r>
              <w:rPr>
                <w:rFonts w:hint="eastAsia" w:ascii="宋体" w:hAnsi="宋体" w:cs="宋体"/>
                <w:kern w:val="0"/>
                <w:sz w:val="21"/>
                <w:szCs w:val="21"/>
                <w:highlight w:val="none"/>
                <w:lang w:val="en-US" w:eastAsia="zh-CN"/>
              </w:rPr>
              <w:t>、</w:t>
            </w:r>
            <w:r>
              <w:rPr>
                <w:rFonts w:hint="eastAsia" w:ascii="宋体" w:hAnsi="宋体" w:eastAsia="宋体" w:cs="宋体"/>
                <w:kern w:val="0"/>
                <w:sz w:val="21"/>
                <w:szCs w:val="21"/>
                <w:highlight w:val="none"/>
                <w:lang w:val="en-US" w:eastAsia="zh-CN"/>
              </w:rPr>
              <w:t>针对采购需求和实际特点、有利于采购标的实现及合同履约。（评分范围：4，3，2，1，0）</w:t>
            </w:r>
          </w:p>
          <w:p>
            <w:pPr>
              <w:keepNext w:val="0"/>
              <w:keepLines w:val="0"/>
              <w:suppressLineNumbers w:val="0"/>
              <w:snapToGrid w:val="0"/>
              <w:spacing w:before="0" w:beforeAutospacing="0" w:after="0" w:afterAutospacing="0" w:line="288" w:lineRule="auto"/>
              <w:ind w:left="0" w:right="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注：提供具体的配件备件清单并注明</w:t>
            </w:r>
            <w:r>
              <w:rPr>
                <w:rFonts w:hint="eastAsia" w:ascii="宋体" w:hAnsi="宋体" w:cs="宋体"/>
                <w:kern w:val="0"/>
                <w:sz w:val="21"/>
                <w:szCs w:val="21"/>
                <w:highlight w:val="none"/>
                <w:lang w:val="en-US" w:eastAsia="zh-CN"/>
              </w:rPr>
              <w:t>质保期满后收费</w:t>
            </w:r>
            <w:r>
              <w:rPr>
                <w:rFonts w:hint="eastAsia" w:ascii="宋体" w:hAnsi="宋体" w:eastAsia="宋体" w:cs="宋体"/>
                <w:kern w:val="0"/>
                <w:sz w:val="21"/>
                <w:szCs w:val="21"/>
                <w:highlight w:val="none"/>
                <w:lang w:val="en-US" w:eastAsia="zh-CN"/>
              </w:rPr>
              <w:t>价格，不提供不得分。</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lang w:val="en-US" w:eastAsia="zh-CN"/>
              </w:rPr>
              <w:t>4</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rPr>
              <w:t>主观分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pc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9</w:t>
            </w:r>
          </w:p>
        </w:tc>
        <w:tc>
          <w:tcPr>
            <w:tcW w:w="2850" w:type="pct"/>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b/>
                <w:bCs/>
                <w:color w:val="auto"/>
                <w:sz w:val="21"/>
                <w:szCs w:val="21"/>
              </w:rPr>
            </w:pPr>
            <w:r>
              <w:rPr>
                <w:rFonts w:hint="eastAsia" w:ascii="宋体" w:hAnsi="宋体" w:eastAsia="宋体" w:cs="Times New Roman"/>
                <w:b/>
                <w:bCs/>
                <w:color w:val="auto"/>
                <w:sz w:val="21"/>
                <w:szCs w:val="21"/>
                <w:lang w:val="en-US" w:eastAsia="zh-CN"/>
              </w:rPr>
              <w:t>电动汽车整车CAN控制实训台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eastAsia="zh-CN"/>
              </w:rPr>
            </w:pPr>
            <w:r>
              <w:rPr>
                <w:rFonts w:hint="eastAsia" w:ascii="宋体" w:hAnsi="宋体" w:eastAsia="宋体" w:cs="Times New Roman"/>
                <w:b/>
                <w:bCs/>
                <w:color w:val="auto"/>
                <w:sz w:val="21"/>
                <w:szCs w:val="21"/>
                <w:lang w:val="en-US" w:eastAsia="zh-CN"/>
              </w:rPr>
              <w:t>演示项1（软件首页）</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软件首页：展示仿真软件名称以及对应设备实物样貌，软件首页左侧菜单栏可以查看实验项目名称，首页具备最小化、缩放、关闭界面等功能按键。</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演示项2（软件首页）</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实验项目内容：包括电工电路连接与检测、电子电路连接与检测、集成电路连接与检测三大标题模块，标题模块下的子菜单包含汽车大灯基本电路连接与检测、汽车大灯并联电路连接与检测、汽车大灯串联电路连接与检测等实验模块，总实验项目不少于11个。</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演示项3（实验模块）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实验界面：显示对应实验具体名称，并有步骤文字提示框，方便了解实验下一步操作且提示的线束或零部件会有闪烁提示；跳过线路连接：点击跳过线路连接按键可以一键跳过实验的连接过程从而查看实验结果，可长按鼠标右键旋转实验箱各角度进行观察，也可以滚动鼠标滚轮缩放实验箱。</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演示项4（实验模块）</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测量诊断模块：包含电位测量、电流测量、故障诊断三大模块，点击电位测量模块可以实验万用表进行测量，万用表调节至合适档位并测量端口后显示对应数值。</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b/>
                <w:bCs/>
                <w:color w:val="auto"/>
                <w:sz w:val="21"/>
                <w:szCs w:val="21"/>
                <w:lang w:val="en-US" w:eastAsia="zh-CN"/>
              </w:rPr>
            </w:pPr>
            <w:r>
              <w:rPr>
                <w:rFonts w:hint="eastAsia" w:ascii="宋体" w:hAnsi="宋体" w:eastAsia="宋体" w:cs="Times New Roman"/>
                <w:b/>
                <w:bCs/>
                <w:color w:val="auto"/>
                <w:sz w:val="21"/>
                <w:szCs w:val="21"/>
                <w:lang w:val="en-US" w:eastAsia="zh-CN"/>
              </w:rPr>
              <w:t>新能源汽车动力电池PACK装调实训平台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演示项5</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电池设备台架：台架电池包可进行拆卸、安装，电池包组装完成后可以配合设备台架设置故障及诊断等功能，故障情况可在上位机检测软件中显示具体情况。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演示项6</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BMS管理系统：需包括主从机结构、继电器、预充继电器、预充电阻、航空插头、保险带座、接头、维修开关、烟雾报警系统、绝缘检测、上位机检测软件等。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演示项7</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BMS设故模块：要求配备不少于4层PCB电路板，车规级防水接插件链接，设置不少于68路故障，配备双端检测功能不少于136个，配备CAN报文检测平台，数据发送解析软件，绝缘护具，绝缘工具等。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演示项8（仿真软件）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部件提示：工具箱内的工具以及零件箱内的零部件可通过鼠标移动进行该部件的名称高亮显示，点击提示位置按键，操作部位处会显示所需零件名称，可在零件箱内快速找到所需安装的零件。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eastAsia="宋体" w:cs="Times New Roman"/>
                <w:b/>
                <w:bCs/>
                <w:color w:val="auto"/>
                <w:sz w:val="21"/>
                <w:szCs w:val="21"/>
                <w:lang w:val="en-US" w:eastAsia="zh-CN"/>
              </w:rPr>
              <w:t>演示项9（仿真软件）</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对充电端口与预充电阻的线路进行连接：预充电阻的左侧线路连接至预充继电器的右侧接线口：预充电阻的右侧线路连接至总正继电器的右侧接线口；充电端口左侧线路连接至总负继电器接线口；充电端口中间线路连接至充电继电器右侧接线口：充电端口右侧线路连接至放电继电器右侧接线口。</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演示项10（动力蓄电池装调智能供应站管理系统——（2）实训中心）：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保护以下参数三级阀值：总压过高、总压过低、单体过高、单体过低、放电过温、放电低温、充电高温、充电低温、压差过大、温差过大、放电电流、充电电流、SOC过低、绝缘过低，同时显示保护参数是否正常。</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cs="宋体"/>
                <w:b/>
                <w:color w:val="auto"/>
                <w:sz w:val="21"/>
                <w:szCs w:val="21"/>
                <w:highlight w:val="none"/>
                <w:shd w:val="clear" w:color="auto" w:fill="FFFFFF"/>
                <w:lang w:val="en-US" w:eastAsia="zh-CN"/>
              </w:rPr>
            </w:pPr>
            <w:r>
              <w:rPr>
                <w:rFonts w:hint="eastAsia" w:ascii="宋体" w:hAnsi="宋体" w:cs="宋体"/>
                <w:b/>
                <w:color w:val="auto"/>
                <w:sz w:val="21"/>
                <w:szCs w:val="21"/>
                <w:highlight w:val="none"/>
                <w:shd w:val="clear" w:color="auto" w:fill="FFFFFF"/>
                <w:lang w:val="en-US" w:eastAsia="zh-CN"/>
              </w:rPr>
              <w:t>演示项11（动力蓄电池装调智能供应站管理系统——（2）实训中心）：</w:t>
            </w:r>
            <w:r>
              <w:rPr>
                <w:rFonts w:hint="eastAsia" w:ascii="宋体" w:hAnsi="宋体" w:cs="宋体"/>
                <w:b w:val="0"/>
                <w:bCs/>
                <w:color w:val="auto"/>
                <w:sz w:val="21"/>
                <w:szCs w:val="21"/>
                <w:highlight w:val="none"/>
                <w:shd w:val="clear" w:color="auto" w:fill="FFFFFF"/>
                <w:lang w:val="en-US" w:eastAsia="zh-CN"/>
              </w:rPr>
              <w:t>电池调试在电池调试模块中可对电池电压、电池温度进行数值调试。可对24节电池中单个电池电压进行数值设置，也可同时对多个电池电压进行数值设置，设置的范围为0-5V。当设置的电压超出正常值时，可用仪器在设备上进行检测，检查出问题后可在系统进行恢复。可对8个电池温度采集点进行单个温度设置，也可同时对多个电池温度采集点进行数值设置。当设置的温度超出正常工作值时，可用仪器在设备上进行检测，检查出问题时可在系统进行恢复正常。</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88" w:lineRule="auto"/>
              <w:ind w:left="0" w:right="0" w:firstLine="422" w:firstLineChars="200"/>
              <w:textAlignment w:val="auto"/>
              <w:rPr>
                <w:rFonts w:hint="eastAsia" w:ascii="宋体" w:hAnsi="宋体" w:eastAsia="宋体" w:cs="Times New Roman"/>
                <w:color w:val="auto"/>
                <w:sz w:val="21"/>
                <w:szCs w:val="21"/>
                <w:lang w:val="en-US" w:eastAsia="zh-CN"/>
              </w:rPr>
            </w:pPr>
            <w:r>
              <w:rPr>
                <w:rFonts w:hint="eastAsia" w:ascii="宋体" w:hAnsi="宋体" w:cs="宋体"/>
                <w:b/>
                <w:color w:val="auto"/>
                <w:sz w:val="21"/>
                <w:szCs w:val="21"/>
                <w:highlight w:val="none"/>
                <w:shd w:val="clear" w:color="auto" w:fill="FFFFFF"/>
                <w:lang w:val="en-US" w:eastAsia="zh-CN"/>
              </w:rPr>
              <w:t>演示项12（动力蓄电池装调智能供应站管理系统——（3）调试中心）：</w:t>
            </w:r>
            <w:r>
              <w:rPr>
                <w:rFonts w:hint="eastAsia" w:ascii="宋体" w:hAnsi="宋体" w:cs="宋体"/>
                <w:b w:val="0"/>
                <w:bCs/>
                <w:color w:val="auto"/>
                <w:sz w:val="21"/>
                <w:szCs w:val="21"/>
                <w:highlight w:val="none"/>
                <w:shd w:val="clear" w:color="auto" w:fill="FFFFFF"/>
                <w:lang w:val="en-US" w:eastAsia="zh-CN"/>
              </w:rPr>
              <w:t>点击调试按钮可进入调试界面，调试数据信息呈列表形式显示，包含：总压过高、单体过高、放电高温、充电高温、压差过大、放电过流、soc过低、总压过低、单体过低、放电低温、充电低温、温差过大、充电过流、绝缘过低等数据，每条数据分三个告警等级，可进行编辑修改；同时显示当前SOC、电池容量及最大电流。</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说明：</w:t>
            </w:r>
          </w:p>
          <w:p>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szCs w:val="21"/>
                <w:lang w:val="en-US" w:eastAsia="zh-CN"/>
              </w:rPr>
            </w:pPr>
            <w:r>
              <w:rPr>
                <w:rFonts w:hint="eastAsia" w:ascii="宋体" w:hAnsi="宋体" w:eastAsia="宋体" w:cs="宋体"/>
                <w:b/>
                <w:bCs/>
                <w:color w:val="auto"/>
                <w:kern w:val="0"/>
                <w:szCs w:val="21"/>
              </w:rPr>
              <w:t>此</w:t>
            </w:r>
            <w:r>
              <w:rPr>
                <w:rFonts w:hint="eastAsia" w:ascii="宋体" w:hAnsi="宋体" w:cs="宋体"/>
                <w:b/>
                <w:bCs/>
                <w:color w:val="auto"/>
                <w:kern w:val="0"/>
                <w:szCs w:val="21"/>
                <w:lang w:val="en-US" w:eastAsia="zh-CN"/>
              </w:rPr>
              <w:t>12</w:t>
            </w:r>
            <w:r>
              <w:rPr>
                <w:rFonts w:hint="eastAsia" w:ascii="宋体" w:hAnsi="宋体" w:eastAsia="宋体" w:cs="宋体"/>
                <w:b/>
                <w:bCs/>
                <w:color w:val="auto"/>
                <w:kern w:val="0"/>
                <w:szCs w:val="21"/>
              </w:rPr>
              <w:t>项功能演示，</w:t>
            </w:r>
            <w:r>
              <w:rPr>
                <w:rFonts w:hint="eastAsia" w:ascii="宋体" w:hAnsi="宋体" w:eastAsia="宋体" w:cs="宋体"/>
                <w:b/>
                <w:bCs/>
                <w:color w:val="auto"/>
                <w:kern w:val="0"/>
                <w:szCs w:val="21"/>
                <w:lang w:val="en-US" w:eastAsia="zh-CN"/>
              </w:rPr>
              <w:t>每项</w:t>
            </w:r>
            <w:r>
              <w:rPr>
                <w:rFonts w:hint="eastAsia" w:ascii="宋体" w:hAnsi="宋体" w:eastAsia="宋体" w:cs="宋体"/>
                <w:b/>
                <w:bCs/>
                <w:color w:val="auto"/>
                <w:kern w:val="0"/>
                <w:szCs w:val="21"/>
              </w:rPr>
              <w:t>功能完整演示且完全符合得</w:t>
            </w:r>
            <w:r>
              <w:rPr>
                <w:rFonts w:hint="eastAsia" w:ascii="宋体" w:hAnsi="宋体" w:eastAsia="宋体" w:cs="宋体"/>
                <w:b/>
                <w:bCs/>
                <w:color w:val="auto"/>
                <w:kern w:val="0"/>
                <w:szCs w:val="21"/>
                <w:lang w:val="en-US" w:eastAsia="zh-CN"/>
              </w:rPr>
              <w:t>1</w:t>
            </w:r>
            <w:r>
              <w:rPr>
                <w:rFonts w:hint="eastAsia" w:ascii="宋体" w:hAnsi="宋体" w:eastAsia="宋体" w:cs="宋体"/>
                <w:b/>
                <w:bCs/>
                <w:color w:val="auto"/>
                <w:kern w:val="0"/>
                <w:szCs w:val="21"/>
              </w:rPr>
              <w:t>分</w:t>
            </w:r>
            <w:r>
              <w:rPr>
                <w:rFonts w:hint="eastAsia" w:ascii="宋体" w:hAnsi="宋体" w:eastAsia="宋体" w:cs="宋体"/>
                <w:b/>
                <w:bCs/>
                <w:color w:val="auto"/>
                <w:kern w:val="0"/>
                <w:szCs w:val="21"/>
                <w:lang w:eastAsia="zh-CN"/>
              </w:rPr>
              <w:t>，</w:t>
            </w:r>
            <w:r>
              <w:rPr>
                <w:rFonts w:hint="eastAsia" w:ascii="宋体" w:hAnsi="宋体" w:cs="宋体"/>
                <w:b/>
                <w:bCs/>
                <w:color w:val="auto"/>
                <w:kern w:val="0"/>
                <w:szCs w:val="21"/>
                <w:lang w:val="en-US" w:eastAsia="zh-CN"/>
              </w:rPr>
              <w:t>否则</w:t>
            </w:r>
            <w:r>
              <w:rPr>
                <w:rFonts w:hint="eastAsia" w:ascii="宋体" w:hAnsi="宋体" w:eastAsia="宋体" w:cs="宋体"/>
                <w:b/>
                <w:bCs/>
                <w:color w:val="auto"/>
                <w:kern w:val="0"/>
                <w:szCs w:val="21"/>
                <w:lang w:val="en-US" w:eastAsia="zh-CN"/>
              </w:rPr>
              <w:t>不得分。</w:t>
            </w:r>
          </w:p>
        </w:tc>
        <w:tc>
          <w:tcPr>
            <w:tcW w:w="391" w:type="pct"/>
            <w:vAlign w:val="center"/>
          </w:tcPr>
          <w:p>
            <w:pPr>
              <w:keepNext w:val="0"/>
              <w:keepLines w:val="0"/>
              <w:suppressLineNumbers w:val="0"/>
              <w:snapToGrid w:val="0"/>
              <w:spacing w:before="0" w:beforeAutospacing="0" w:after="0" w:afterAutospacing="0" w:line="288" w:lineRule="auto"/>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12</w:t>
            </w:r>
          </w:p>
        </w:tc>
        <w:tc>
          <w:tcPr>
            <w:tcW w:w="551"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客观分</w:t>
            </w:r>
          </w:p>
        </w:tc>
        <w:tc>
          <w:tcPr>
            <w:tcW w:w="836" w:type="pct"/>
            <w:vAlign w:val="center"/>
          </w:tcPr>
          <w:p>
            <w:pPr>
              <w:keepNext w:val="0"/>
              <w:keepLines w:val="0"/>
              <w:suppressLineNumbers w:val="0"/>
              <w:snapToGrid w:val="0"/>
              <w:spacing w:before="0" w:beforeAutospacing="0" w:after="0" w:afterAutospacing="0" w:line="288" w:lineRule="auto"/>
              <w:ind w:left="0" w:right="0"/>
              <w:jc w:val="center"/>
              <w:rPr>
                <w:rFonts w:hint="eastAsia" w:ascii="宋体" w:hAnsi="宋体" w:eastAsia="宋体" w:cs="仿宋_GB2312"/>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suppressLineNumbers w:val="0"/>
              <w:spacing w:before="0" w:beforeAutospacing="0" w:after="0" w:afterAutospacing="0" w:line="276" w:lineRule="auto"/>
              <w:ind w:left="0" w:right="0"/>
              <w:jc w:val="both"/>
              <w:outlineLvl w:val="0"/>
              <w:rPr>
                <w:rFonts w:hint="eastAsia" w:ascii="宋体" w:hAnsi="宋体" w:cs="仿宋_GB2312"/>
                <w:szCs w:val="21"/>
              </w:rPr>
            </w:pPr>
            <w:r>
              <w:rPr>
                <w:rFonts w:hint="eastAsia" w:ascii="宋体" w:hAnsi="宋体" w:eastAsia="宋体" w:cs="宋体"/>
                <w:b/>
                <w:bCs/>
                <w:i w:val="0"/>
                <w:iCs w:val="0"/>
                <w:color w:val="auto"/>
                <w:kern w:val="0"/>
                <w:sz w:val="21"/>
                <w:szCs w:val="21"/>
                <w:u w:val="none"/>
                <w:lang w:val="en-US" w:eastAsia="zh-CN" w:bidi="ar"/>
              </w:rPr>
              <w:t>价格分（30）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pct"/>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eastAsia="宋体" w:cs="仿宋_GB2312"/>
                <w:b/>
                <w:bCs/>
                <w:szCs w:val="21"/>
                <w:lang w:val="en-US" w:eastAsia="zh-CN"/>
              </w:rPr>
            </w:pPr>
            <w:r>
              <w:rPr>
                <w:rFonts w:hint="eastAsia" w:ascii="宋体" w:hAnsi="宋体" w:cs="仿宋_GB2312"/>
                <w:b/>
                <w:bCs/>
                <w:szCs w:val="21"/>
                <w:lang w:val="en-US" w:eastAsia="zh-CN"/>
              </w:rPr>
              <w:t>10</w:t>
            </w:r>
          </w:p>
        </w:tc>
        <w:tc>
          <w:tcPr>
            <w:tcW w:w="2850" w:type="pct"/>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有效投标报价的最低价作为评标基准价，其最低报价为满分；按［投标报价得分=（评标基准价/投标报价）*</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］的计算公式计算。</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评标过程中，不得去掉报价中的最高报价和最低报价。</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对于未预留份额专门面向中小企业的政府采购货物项目，以及预留份额政府采购货物项目中的非预留部分标项，对小型和微型企业的投标报价给予</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%的扣除，用扣除后的价格参加评审。</w:t>
            </w:r>
          </w:p>
        </w:tc>
        <w:tc>
          <w:tcPr>
            <w:tcW w:w="391" w:type="pct"/>
            <w:vAlign w:val="center"/>
          </w:tcPr>
          <w:p>
            <w:pPr>
              <w:keepNext w:val="0"/>
              <w:keepLines w:val="0"/>
              <w:suppressLineNumbers w:val="0"/>
              <w:snapToGrid w:val="0"/>
              <w:spacing w:before="0" w:beforeAutospacing="0" w:after="0" w:afterAutospacing="0" w:line="288" w:lineRule="auto"/>
              <w:ind w:left="0" w:right="0"/>
              <w:jc w:val="center"/>
              <w:outlineLvl w:val="0"/>
              <w:rPr>
                <w:rFonts w:hint="eastAsia" w:ascii="宋体" w:hAnsi="宋体" w:eastAsia="宋体" w:cs="仿宋_GB2312"/>
                <w:kern w:val="2"/>
                <w:sz w:val="21"/>
                <w:szCs w:val="21"/>
                <w:lang w:val="en-US" w:eastAsia="zh-CN" w:bidi="ar-SA"/>
              </w:rPr>
            </w:pPr>
            <w:r>
              <w:rPr>
                <w:rFonts w:hint="eastAsia" w:ascii="宋体" w:hAnsi="宋体" w:cs="仿宋_GB2312"/>
                <w:color w:val="auto"/>
                <w:szCs w:val="21"/>
                <w:lang w:val="en-US" w:eastAsia="zh-CN"/>
              </w:rPr>
              <w:t>3</w:t>
            </w:r>
            <w:r>
              <w:rPr>
                <w:rFonts w:hint="default" w:ascii="宋体" w:hAnsi="宋体" w:cs="仿宋_GB2312"/>
                <w:color w:val="auto"/>
                <w:szCs w:val="21"/>
              </w:rPr>
              <w:t>0</w:t>
            </w:r>
          </w:p>
        </w:tc>
        <w:tc>
          <w:tcPr>
            <w:tcW w:w="551" w:type="pct"/>
            <w:vAlign w:val="center"/>
          </w:tcPr>
          <w:p>
            <w:pPr>
              <w:keepNext w:val="0"/>
              <w:keepLines w:val="0"/>
              <w:suppressLineNumbers w:val="0"/>
              <w:snapToGrid w:val="0"/>
              <w:spacing w:before="0" w:beforeAutospacing="0" w:after="0" w:afterAutospacing="0" w:line="288" w:lineRule="auto"/>
              <w:ind w:left="0" w:right="0"/>
              <w:jc w:val="center"/>
              <w:outlineLvl w:val="0"/>
              <w:rPr>
                <w:rFonts w:hint="eastAsia" w:ascii="宋体" w:hAnsi="宋体" w:eastAsia="宋体" w:cs="仿宋_GB2312"/>
                <w:kern w:val="2"/>
                <w:sz w:val="21"/>
                <w:szCs w:val="21"/>
                <w:lang w:val="en-US" w:eastAsia="zh-CN" w:bidi="ar-SA"/>
              </w:rPr>
            </w:pPr>
            <w:r>
              <w:rPr>
                <w:rFonts w:hint="eastAsia" w:ascii="宋体" w:hAnsi="宋体" w:cs="仿宋_GB2312"/>
                <w:color w:val="auto"/>
                <w:szCs w:val="21"/>
              </w:rPr>
              <w:t>价格分</w:t>
            </w:r>
          </w:p>
        </w:tc>
        <w:tc>
          <w:tcPr>
            <w:tcW w:w="836" w:type="pct"/>
            <w:vAlign w:val="center"/>
          </w:tcPr>
          <w:p>
            <w:pPr>
              <w:keepNext w:val="0"/>
              <w:keepLines w:val="0"/>
              <w:suppressLineNumbers w:val="0"/>
              <w:spacing w:before="0" w:beforeAutospacing="0" w:after="0" w:afterAutospacing="0" w:line="276" w:lineRule="auto"/>
              <w:ind w:left="0" w:right="0"/>
              <w:jc w:val="center"/>
              <w:outlineLvl w:val="0"/>
              <w:rPr>
                <w:rFonts w:hint="eastAsia" w:ascii="宋体" w:hAnsi="宋体" w:cs="仿宋_GB2312"/>
                <w:szCs w:val="21"/>
              </w:rPr>
            </w:pPr>
            <w:r>
              <w:rPr>
                <w:rFonts w:hint="eastAsia" w:ascii="宋体" w:hAnsi="宋体" w:cs="仿宋_GB2312"/>
                <w:szCs w:val="21"/>
              </w:rPr>
              <w:t>/</w:t>
            </w:r>
          </w:p>
        </w:tc>
      </w:tr>
    </w:tbl>
    <w:p>
      <w:pPr>
        <w:snapToGrid w:val="0"/>
        <w:spacing w:line="288" w:lineRule="auto"/>
        <w:rPr>
          <w:rFonts w:hint="eastAsia" w:ascii="宋体" w:hAnsi="宋体" w:cs="宋体"/>
          <w:b/>
          <w:bCs/>
          <w:szCs w:val="21"/>
        </w:rPr>
      </w:pPr>
      <w:r>
        <w:rPr>
          <w:rFonts w:hint="eastAsia" w:ascii="宋体" w:hAnsi="宋体" w:cs="宋体"/>
          <w:szCs w:val="21"/>
          <w:shd w:val="clear" w:color="auto" w:fill="FFFFFF"/>
        </w:rPr>
        <w:t> </w:t>
      </w:r>
      <w:r>
        <w:rPr>
          <w:rFonts w:hint="eastAsia" w:ascii="宋体" w:hAnsi="宋体" w:cs="宋体"/>
          <w:b/>
          <w:bCs/>
          <w:szCs w:val="21"/>
          <w:shd w:val="clear" w:color="auto" w:fill="FFFFFF"/>
        </w:rPr>
        <w:t>*</w:t>
      </w:r>
      <w:r>
        <w:rPr>
          <w:rFonts w:hint="eastAsia" w:ascii="宋体" w:hAnsi="宋体" w:cs="宋体"/>
          <w:b/>
          <w:bCs/>
          <w:szCs w:val="21"/>
        </w:rPr>
        <w:t>备注：投标人编制投标文件（商务技术文件部分）时，建议按此目录（序号和内容）提供评标标准相应的商务技术资料。 </w:t>
      </w:r>
    </w:p>
    <w:p>
      <w:pPr>
        <w:snapToGrid w:val="0"/>
        <w:spacing w:line="288" w:lineRule="auto"/>
        <w:rPr>
          <w:rFonts w:hint="eastAsia" w:ascii="宋体" w:hAnsi="宋体" w:cs="宋体"/>
          <w:b/>
          <w:szCs w:val="21"/>
        </w:rPr>
      </w:pPr>
      <w:r>
        <w:rPr>
          <w:rFonts w:hint="eastAsia" w:ascii="宋体" w:hAnsi="宋体" w:cs="宋体"/>
          <w:b/>
          <w:szCs w:val="21"/>
        </w:rPr>
        <w:t>一、评标方法</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snapToGrid w:val="0"/>
        <w:spacing w:line="288" w:lineRule="auto"/>
        <w:rPr>
          <w:rFonts w:hint="eastAsia" w:ascii="宋体" w:hAnsi="宋体" w:cs="宋体"/>
          <w:b/>
          <w:szCs w:val="21"/>
        </w:rPr>
      </w:pPr>
      <w:r>
        <w:rPr>
          <w:rFonts w:hint="eastAsia" w:ascii="宋体" w:hAnsi="宋体" w:cs="宋体"/>
          <w:b/>
          <w:szCs w:val="21"/>
        </w:rPr>
        <w:t>二、评标标准</w:t>
      </w:r>
    </w:p>
    <w:p>
      <w:pPr>
        <w:snapToGrid w:val="0"/>
        <w:spacing w:line="288" w:lineRule="auto"/>
        <w:ind w:firstLine="422" w:firstLineChars="200"/>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pPr>
        <w:snapToGrid w:val="0"/>
        <w:spacing w:line="288" w:lineRule="auto"/>
        <w:rPr>
          <w:rFonts w:hint="eastAsia" w:ascii="宋体" w:hAnsi="宋体" w:cs="宋体"/>
          <w:b/>
          <w:szCs w:val="21"/>
        </w:rPr>
      </w:pPr>
      <w:r>
        <w:rPr>
          <w:rFonts w:hint="eastAsia" w:ascii="宋体" w:hAnsi="宋体" w:cs="宋体"/>
          <w:b/>
          <w:szCs w:val="21"/>
        </w:rPr>
        <w:t>三、评标程序</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napToGrid w:val="0"/>
        <w:spacing w:line="288" w:lineRule="auto"/>
        <w:ind w:firstLine="422" w:firstLineChars="200"/>
        <w:rPr>
          <w:rFonts w:hint="eastAsia" w:ascii="宋体" w:hAnsi="宋体" w:cs="宋体"/>
          <w:b/>
          <w:kern w:val="0"/>
          <w:szCs w:val="21"/>
        </w:rPr>
      </w:pPr>
      <w:r>
        <w:rPr>
          <w:rFonts w:hint="eastAsia" w:ascii="宋体" w:hAnsi="宋体" w:cs="宋体"/>
          <w:b/>
          <w:kern w:val="0"/>
          <w:szCs w:val="21"/>
        </w:rPr>
        <w:t>3.4报价评审。</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3.4.1投标文件报价出现前后不一致的，按照下列规定修正：</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3.4.1.1投标文件中开标一览表(报价表)内容与投标文件中相应内容不一致的，以开标一览表(报价表)为准；</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3.4.1.2大写金额和小写金额不一致的，以大写金额为准；</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3.4.1.3单价金额小数点或者百分比有明显错位的，以开标一览表的总价为准，并修改单价；</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3.4.1.4总价金额与按单价汇总金额不一致的，以单价金额计算结果为准。</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3.4.1.5同时出现两种以上不一致的，按照3.4.1规定的顺序修正。修正后的报价按照</w:t>
      </w:r>
      <w:r>
        <w:rPr>
          <w:rFonts w:hint="eastAsia" w:ascii="宋体" w:hAnsi="宋体" w:cs="宋体"/>
          <w:kern w:val="0"/>
          <w:szCs w:val="21"/>
        </w:rPr>
        <w:t>财政部第87号令 《政府采购货物和服务招标投标管理办法》第五十一条第二款的规定经投标人确认后产生约束力。</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3.4.3投标报价超过招标文件中规定的预算金额或者最高限价的，投标无效。</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Cs w:val="21"/>
          <w:lang w:val="en"/>
        </w:rPr>
        <w:t>本项目推荐的中标候选人数量：</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1名</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Cs w:val="21"/>
          <w:lang w:val="en"/>
        </w:rPr>
        <w:t>。</w:t>
      </w:r>
    </w:p>
    <w:p>
      <w:pPr>
        <w:snapToGrid w:val="0"/>
        <w:spacing w:line="288" w:lineRule="auto"/>
        <w:ind w:firstLine="420" w:firstLineChars="200"/>
        <w:rPr>
          <w:rFonts w:hint="eastAsia"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288" w:lineRule="auto"/>
        <w:rPr>
          <w:rFonts w:hint="eastAsia" w:ascii="宋体" w:hAnsi="宋体" w:cs="宋体"/>
          <w:b/>
          <w:szCs w:val="21"/>
        </w:rPr>
      </w:pPr>
      <w:r>
        <w:rPr>
          <w:rFonts w:hint="eastAsia" w:ascii="宋体" w:hAnsi="宋体" w:cs="宋体"/>
          <w:b/>
          <w:szCs w:val="21"/>
        </w:rPr>
        <w:t>四、评标中的其他事项</w:t>
      </w:r>
    </w:p>
    <w:p>
      <w:pPr>
        <w:snapToGrid w:val="0"/>
        <w:spacing w:line="288" w:lineRule="auto"/>
        <w:ind w:firstLine="422" w:firstLineChars="200"/>
        <w:rPr>
          <w:rFonts w:hint="eastAsia" w:ascii="宋体" w:hAnsi="宋体" w:cs="宋体"/>
          <w:kern w:val="0"/>
          <w:szCs w:val="21"/>
        </w:rPr>
      </w:pPr>
      <w:r>
        <w:rPr>
          <w:rFonts w:hint="eastAsia" w:ascii="宋体" w:hAnsi="宋体" w:cs="宋体"/>
          <w:b/>
          <w:kern w:val="0"/>
          <w:szCs w:val="21"/>
        </w:rPr>
        <w:t>4.1投标人澄清、说明或者补正。</w:t>
      </w:r>
      <w:r>
        <w:rPr>
          <w:rFonts w:hint="eastAsia" w:ascii="宋体" w:hAnsi="宋体" w:cs="宋体"/>
          <w:kern w:val="0"/>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napToGrid w:val="0"/>
        <w:spacing w:line="288" w:lineRule="auto"/>
        <w:ind w:firstLine="422" w:firstLineChars="200"/>
        <w:rPr>
          <w:rFonts w:hint="eastAsia" w:ascii="宋体" w:hAnsi="宋体" w:cs="宋体"/>
          <w:szCs w:val="21"/>
        </w:rPr>
      </w:pPr>
      <w:r>
        <w:rPr>
          <w:rFonts w:hint="eastAsia" w:ascii="宋体" w:hAnsi="宋体" w:cs="宋体"/>
          <w:b/>
          <w:kern w:val="0"/>
          <w:szCs w:val="21"/>
        </w:rPr>
        <w:t>4.2投标无效。</w:t>
      </w:r>
      <w:r>
        <w:rPr>
          <w:rFonts w:hint="eastAsia" w:ascii="宋体" w:hAnsi="宋体" w:cs="宋体"/>
          <w:szCs w:val="21"/>
        </w:rPr>
        <w:t>有下列情形之一的，投标无效：</w:t>
      </w:r>
    </w:p>
    <w:p>
      <w:pPr>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4.2.2投标文件未按照招标文件要求签署、盖章的；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4.2.3采购人拟采购的产品属于政府强制采购的节能产品品目清单范围的，投标人相应的投标产品未获得国家确定的认证机构出具的、处于有效期之内的节能产品认证证书的；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4.2.4投标文件含有采购人不能接受的附加条件的；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4.2.5投标文件中承诺的投标有效期少于招标文件中载明的投标有效期的；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4.2.6投标文件出现不是唯一的、有选择性投标报价的;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4.2.7投标报价超过招标文件中规定的预算金额或者最高限价的;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4.2.8投标人对根据修正原则修正后的报价不确认的；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4.2.9投标人提供虚假材料投标的；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4.2.10投标人有恶意串通、妨碍其他投标人的竞争行为、损害采购人或者其他投标人的合法权益情形的；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4.2.12投标人仅提交备份投标文件，未在电子交易平台传输递交投标文件的，投标无效；</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4.2.13 投标文件不满足招标文件的其它实质性要求的；</w:t>
      </w:r>
    </w:p>
    <w:p>
      <w:pPr>
        <w:snapToGrid w:val="0"/>
        <w:spacing w:line="288" w:lineRule="auto"/>
        <w:ind w:firstLine="420" w:firstLineChars="200"/>
        <w:rPr>
          <w:rFonts w:hint="eastAsia" w:ascii="宋体" w:hAnsi="宋体" w:cs="宋体"/>
          <w:bCs/>
          <w:kern w:val="0"/>
          <w:szCs w:val="21"/>
        </w:rPr>
      </w:pPr>
      <w:r>
        <w:rPr>
          <w:rFonts w:hint="eastAsia" w:ascii="宋体" w:hAnsi="宋体" w:cs="宋体"/>
          <w:bCs/>
          <w:kern w:val="0"/>
          <w:szCs w:val="21"/>
        </w:rPr>
        <w:t>4.2.14法律、法规、规章（适用本市的）及省级以上规范性文件（适用本市的）规定的其他无效情形。</w:t>
      </w:r>
    </w:p>
    <w:p>
      <w:pPr>
        <w:snapToGrid w:val="0"/>
        <w:spacing w:line="288" w:lineRule="auto"/>
        <w:ind w:firstLine="422" w:firstLineChars="200"/>
        <w:rPr>
          <w:rFonts w:hint="eastAsia" w:ascii="宋体" w:hAnsi="宋体" w:cs="宋体"/>
          <w:b/>
          <w:szCs w:val="21"/>
        </w:rPr>
      </w:pPr>
      <w:r>
        <w:rPr>
          <w:rFonts w:hint="eastAsia" w:ascii="宋体" w:hAnsi="宋体" w:cs="宋体"/>
          <w:b/>
          <w:szCs w:val="21"/>
        </w:rPr>
        <w:t>5.废标。根据《中华人民共和国政府采购法》第三十六条之规定，在采购中，出现下列情形之一的，应予废标：</w:t>
      </w:r>
    </w:p>
    <w:p>
      <w:pPr>
        <w:snapToGrid w:val="0"/>
        <w:spacing w:line="288" w:lineRule="auto"/>
        <w:ind w:firstLine="420" w:firstLineChars="200"/>
        <w:rPr>
          <w:rFonts w:hint="eastAsia" w:ascii="宋体" w:hAnsi="宋体" w:cs="宋体"/>
          <w:szCs w:val="21"/>
        </w:rPr>
      </w:pPr>
      <w:r>
        <w:rPr>
          <w:rFonts w:hint="eastAsia" w:ascii="宋体" w:hAnsi="宋体" w:cs="宋体"/>
          <w:szCs w:val="21"/>
        </w:rPr>
        <w:t>5.1符合专业条件的供应商或者对招标文件作实质响应的供应商不足3家的；</w:t>
      </w:r>
    </w:p>
    <w:p>
      <w:pPr>
        <w:snapToGrid w:val="0"/>
        <w:spacing w:line="288" w:lineRule="auto"/>
        <w:ind w:firstLine="420" w:firstLineChars="200"/>
        <w:rPr>
          <w:rFonts w:hint="eastAsia" w:ascii="宋体" w:hAnsi="宋体" w:cs="宋体"/>
          <w:szCs w:val="21"/>
        </w:rPr>
      </w:pPr>
      <w:r>
        <w:rPr>
          <w:rFonts w:hint="eastAsia" w:ascii="宋体" w:hAnsi="宋体" w:cs="宋体"/>
          <w:szCs w:val="21"/>
        </w:rPr>
        <w:t>5.2出现影响采购公正的违法、违规行为的；</w:t>
      </w:r>
    </w:p>
    <w:p>
      <w:pPr>
        <w:snapToGrid w:val="0"/>
        <w:spacing w:line="288" w:lineRule="auto"/>
        <w:ind w:firstLine="420" w:firstLineChars="200"/>
        <w:rPr>
          <w:rFonts w:hint="eastAsia" w:ascii="宋体" w:hAnsi="宋体" w:cs="宋体"/>
          <w:szCs w:val="21"/>
        </w:rPr>
      </w:pPr>
      <w:r>
        <w:rPr>
          <w:rFonts w:hint="eastAsia" w:ascii="宋体" w:hAnsi="宋体" w:cs="宋体"/>
          <w:szCs w:val="21"/>
        </w:rPr>
        <w:t>5.3投标人的报价均超过了采购预算，采购人不能支付的；</w:t>
      </w:r>
    </w:p>
    <w:p>
      <w:pPr>
        <w:snapToGrid w:val="0"/>
        <w:spacing w:line="288" w:lineRule="auto"/>
        <w:ind w:firstLine="420" w:firstLineChars="200"/>
        <w:rPr>
          <w:rFonts w:hint="eastAsia" w:ascii="宋体" w:hAnsi="宋体" w:cs="宋体"/>
          <w:szCs w:val="21"/>
        </w:rPr>
      </w:pPr>
      <w:r>
        <w:rPr>
          <w:rFonts w:hint="eastAsia" w:ascii="宋体" w:hAnsi="宋体" w:cs="宋体"/>
          <w:szCs w:val="21"/>
        </w:rPr>
        <w:t>5.4因重大变故，采购任务取消的。</w:t>
      </w:r>
    </w:p>
    <w:p>
      <w:pPr>
        <w:snapToGrid w:val="0"/>
        <w:spacing w:line="288" w:lineRule="auto"/>
        <w:ind w:firstLine="420" w:firstLineChars="200"/>
        <w:rPr>
          <w:rFonts w:hint="eastAsia" w:ascii="宋体" w:hAnsi="宋体" w:cs="宋体"/>
          <w:szCs w:val="21"/>
        </w:rPr>
      </w:pPr>
      <w:r>
        <w:rPr>
          <w:rFonts w:hint="eastAsia" w:ascii="宋体" w:hAnsi="宋体" w:cs="宋体"/>
          <w:szCs w:val="21"/>
        </w:rPr>
        <w:t>废标后，采购代理机构应当将废标理由通知所有投标人。</w:t>
      </w:r>
    </w:p>
    <w:p>
      <w:pPr>
        <w:snapToGrid w:val="0"/>
        <w:spacing w:line="288" w:lineRule="auto"/>
        <w:ind w:firstLine="422" w:firstLineChars="200"/>
        <w:rPr>
          <w:rFonts w:hint="eastAsia" w:ascii="宋体" w:hAnsi="宋体" w:cs="宋体"/>
          <w:szCs w:val="21"/>
        </w:rPr>
      </w:pPr>
      <w:r>
        <w:rPr>
          <w:rFonts w:hint="eastAsia" w:ascii="宋体" w:hAnsi="宋体" w:cs="宋体"/>
          <w:b/>
          <w:kern w:val="0"/>
          <w:szCs w:val="21"/>
        </w:rPr>
        <w:t>6.修改招标文件，重新组织采购活动。评标委员会发现招标文件存在歧义、重大缺陷</w:t>
      </w:r>
      <w:r>
        <w:rPr>
          <w:rFonts w:hint="eastAsia" w:ascii="宋体" w:hAnsi="宋体" w:cs="宋体"/>
          <w:szCs w:val="21"/>
        </w:rPr>
        <w:t>导致评标工作无法进行，或者招标文件内容违反国家有关强制性规定的，将停止评标工作，并与采购人、采购代理机构沟通并作书面记录。采购人、采购代理机构确认后，将修改招标文件，重新组织采购活动。</w:t>
      </w:r>
    </w:p>
    <w:p>
      <w:pPr>
        <w:snapToGrid w:val="0"/>
        <w:spacing w:line="288" w:lineRule="auto"/>
        <w:ind w:firstLine="422" w:firstLineChars="200"/>
        <w:rPr>
          <w:rFonts w:hint="eastAsia" w:ascii="宋体" w:hAnsi="宋体" w:cs="宋体"/>
          <w:szCs w:val="21"/>
        </w:rPr>
      </w:pPr>
      <w:r>
        <w:rPr>
          <w:rFonts w:hint="eastAsia" w:ascii="宋体" w:hAnsi="宋体" w:cs="宋体"/>
          <w:b/>
          <w:kern w:val="0"/>
          <w:szCs w:val="21"/>
        </w:rPr>
        <w:t>7.重新开展采购。</w:t>
      </w:r>
      <w:r>
        <w:rPr>
          <w:rFonts w:hint="eastAsia" w:ascii="宋体" w:hAnsi="宋体" w:cs="宋体"/>
          <w:szCs w:val="21"/>
        </w:rPr>
        <w:t>有政府采购法第七十一条、第七十二条规定的违法行为之一，影响或者可能影响中标结果的，依照下列规定处理：</w:t>
      </w:r>
    </w:p>
    <w:p>
      <w:pPr>
        <w:snapToGrid w:val="0"/>
        <w:spacing w:line="288" w:lineRule="auto"/>
        <w:ind w:firstLine="420" w:firstLineChars="200"/>
        <w:rPr>
          <w:rFonts w:hint="eastAsia" w:ascii="宋体" w:hAnsi="宋体" w:cs="宋体"/>
          <w:szCs w:val="21"/>
        </w:rPr>
      </w:pPr>
      <w:r>
        <w:rPr>
          <w:rFonts w:hint="eastAsia" w:ascii="宋体" w:hAnsi="宋体" w:cs="宋体"/>
          <w:szCs w:val="21"/>
        </w:rPr>
        <w:t>7.1未确定中标供应商的，终止本次政府采购活动，重新开展政府采购活动。</w:t>
      </w:r>
    </w:p>
    <w:p>
      <w:pPr>
        <w:snapToGrid w:val="0"/>
        <w:spacing w:line="288" w:lineRule="auto"/>
        <w:ind w:firstLine="420" w:firstLineChars="200"/>
        <w:rPr>
          <w:rFonts w:hint="eastAsia" w:ascii="宋体" w:hAnsi="宋体" w:cs="宋体"/>
          <w:szCs w:val="21"/>
        </w:rPr>
      </w:pPr>
      <w:r>
        <w:rPr>
          <w:rFonts w:hint="eastAsia" w:ascii="宋体" w:hAnsi="宋体" w:cs="宋体"/>
          <w:szCs w:val="21"/>
        </w:rPr>
        <w:t>7.2已确定中标供应商但尚未签订政府采购合同的，中标结果无效，从合格的中标候选人中另行确定中标供应商；没有合格的中标候选人的，重新开展政府采购活动。</w:t>
      </w:r>
    </w:p>
    <w:p>
      <w:pPr>
        <w:snapToGrid w:val="0"/>
        <w:spacing w:line="288" w:lineRule="auto"/>
        <w:ind w:firstLine="420" w:firstLineChars="200"/>
        <w:rPr>
          <w:rFonts w:hint="eastAsia" w:ascii="宋体" w:hAnsi="宋体" w:cs="宋体"/>
          <w:szCs w:val="21"/>
        </w:rPr>
      </w:pPr>
      <w:r>
        <w:rPr>
          <w:rFonts w:hint="eastAsia" w:ascii="宋体" w:hAnsi="宋体" w:cs="宋体"/>
          <w:szCs w:val="21"/>
        </w:rPr>
        <w:t>7.3政府采购合同已签订但尚未履行的，撤销合同，从合格的中标候选人中另行确定中标供应商；没有合格的中标候选人的，重新开展政府采购活动。</w:t>
      </w:r>
    </w:p>
    <w:p>
      <w:pPr>
        <w:snapToGrid w:val="0"/>
        <w:spacing w:line="288" w:lineRule="auto"/>
        <w:ind w:firstLine="420" w:firstLineChars="200"/>
        <w:rPr>
          <w:rFonts w:hint="eastAsia" w:ascii="宋体" w:hAnsi="宋体" w:cs="宋体"/>
          <w:szCs w:val="21"/>
        </w:rPr>
      </w:pPr>
      <w:r>
        <w:rPr>
          <w:rFonts w:hint="eastAsia" w:ascii="宋体" w:hAnsi="宋体" w:cs="宋体"/>
          <w:szCs w:val="21"/>
        </w:rPr>
        <w:t>7.4政府采购合同已经履行，给采购人、供应商造成损失的，由责任人承担赔偿责任。</w:t>
      </w:r>
    </w:p>
    <w:p>
      <w:pPr>
        <w:snapToGrid w:val="0"/>
        <w:spacing w:line="288" w:lineRule="auto"/>
        <w:ind w:firstLine="420" w:firstLineChars="200"/>
        <w:rPr>
          <w:rFonts w:cs="宋体"/>
          <w:szCs w:val="21"/>
        </w:rPr>
      </w:pPr>
      <w:r>
        <w:rPr>
          <w:rFonts w:hint="eastAsia" w:ascii="宋体" w:hAnsi="宋体" w:cs="宋体"/>
          <w:szCs w:val="21"/>
        </w:rPr>
        <w:t>7.5政府采购当事人有其他违反政府采购法或者政府采购法实施条例等法律法规规定的行为，经改正后仍然影响或者可能影响中标结果或者依法被认定为中标无效的，依照7.1-7.4规定处理。</w:t>
      </w:r>
    </w:p>
    <w:bookmarkEnd w:id="31"/>
    <w:p>
      <w:pPr>
        <w:widowControl/>
        <w:adjustRightInd/>
        <w:jc w:val="left"/>
        <w:rPr>
          <w:rFonts w:hint="eastAsia" w:ascii="宋体" w:hAnsi="宋体" w:cs="宋体"/>
          <w:b/>
          <w:szCs w:val="21"/>
        </w:rPr>
      </w:pPr>
      <w:bookmarkStart w:id="399" w:name="第五部分"/>
      <w:bookmarkStart w:id="400" w:name="_Toc86217003"/>
      <w:r>
        <w:rPr>
          <w:rFonts w:hint="eastAsia" w:ascii="宋体" w:hAnsi="宋体" w:cs="宋体"/>
          <w:b/>
          <w:szCs w:val="21"/>
        </w:rPr>
        <w:br w:type="page"/>
      </w:r>
    </w:p>
    <w:p>
      <w:pPr>
        <w:snapToGrid w:val="0"/>
        <w:spacing w:line="360" w:lineRule="auto"/>
        <w:jc w:val="center"/>
        <w:outlineLvl w:val="0"/>
        <w:rPr>
          <w:rFonts w:hint="eastAsia" w:ascii="宋体" w:hAnsi="宋体" w:cs="宋体"/>
          <w:b/>
          <w:szCs w:val="21"/>
        </w:rPr>
      </w:pPr>
      <w:r>
        <w:rPr>
          <w:rFonts w:hint="eastAsia" w:ascii="宋体" w:hAnsi="宋体" w:cs="宋体"/>
          <w:b/>
          <w:szCs w:val="21"/>
        </w:rPr>
        <w:t>第五部分 拟签订的合同文本</w:t>
      </w:r>
    </w:p>
    <w:p>
      <w:pPr>
        <w:adjustRightInd/>
        <w:jc w:val="center"/>
        <w:rPr>
          <w:rFonts w:ascii="宋体" w:hAnsi="Times New Roman" w:eastAsia="宋体" w:cs="宋体"/>
          <w:spacing w:val="10"/>
          <w:sz w:val="21"/>
          <w:szCs w:val="21"/>
        </w:rPr>
      </w:pPr>
      <w:r>
        <w:rPr>
          <w:rFonts w:hint="eastAsia" w:ascii="宋体" w:hAnsi="宋体" w:eastAsia="宋体" w:cs="宋体"/>
          <w:spacing w:val="10"/>
          <w:sz w:val="21"/>
          <w:szCs w:val="21"/>
        </w:rPr>
        <w:t>杭州职业技术学院采购合同格式文本（货物类）</w:t>
      </w:r>
    </w:p>
    <w:p>
      <w:pPr>
        <w:adjustRightInd/>
        <w:rPr>
          <w:rFonts w:ascii="宋体" w:hAnsi="Times New Roman" w:eastAsia="宋体" w:cs="宋体"/>
          <w:sz w:val="21"/>
          <w:szCs w:val="21"/>
          <w:u w:val="single"/>
        </w:rPr>
      </w:pPr>
    </w:p>
    <w:p>
      <w:pPr>
        <w:tabs>
          <w:tab w:val="left" w:pos="5103"/>
        </w:tabs>
        <w:adjustRightInd/>
        <w:spacing w:line="560" w:lineRule="exact"/>
        <w:rPr>
          <w:rFonts w:ascii="宋体" w:hAnsi="Times New Roman" w:eastAsia="宋体" w:cs="宋体"/>
          <w:bCs/>
          <w:sz w:val="21"/>
          <w:szCs w:val="21"/>
        </w:rPr>
      </w:pPr>
      <w:r>
        <w:rPr>
          <w:rFonts w:hint="eastAsia" w:ascii="宋体" w:hAnsi="宋体" w:eastAsia="宋体" w:cs="宋体"/>
          <w:bCs/>
          <w:sz w:val="21"/>
          <w:szCs w:val="21"/>
        </w:rPr>
        <w:t>甲方：</w:t>
      </w:r>
      <w:r>
        <w:rPr>
          <w:rFonts w:hint="eastAsia" w:ascii="宋体" w:hAnsi="宋体" w:eastAsia="宋体" w:cs="宋体"/>
          <w:bCs/>
          <w:sz w:val="21"/>
          <w:szCs w:val="21"/>
          <w:u w:val="dotted"/>
        </w:rPr>
        <w:t>杭州职业技术学院</w:t>
      </w:r>
      <w:r>
        <w:rPr>
          <w:rFonts w:ascii="宋体" w:hAnsi="Times New Roman" w:eastAsia="宋体" w:cs="宋体"/>
          <w:bCs/>
          <w:sz w:val="21"/>
          <w:szCs w:val="21"/>
          <w:u w:val="dotted"/>
        </w:rPr>
        <w:tab/>
      </w:r>
      <w:r>
        <w:rPr>
          <w:rFonts w:hint="eastAsia" w:ascii="宋体" w:hAnsi="宋体" w:eastAsia="宋体" w:cs="宋体"/>
          <w:bCs/>
          <w:sz w:val="21"/>
          <w:szCs w:val="21"/>
        </w:rPr>
        <w:t>签订日期：</w:t>
      </w:r>
      <w:r>
        <w:rPr>
          <w:rFonts w:ascii="宋体" w:hAnsi="宋体" w:eastAsia="宋体" w:cs="宋体"/>
          <w:bCs/>
          <w:sz w:val="21"/>
          <w:szCs w:val="21"/>
          <w:u w:val="dotted"/>
        </w:rPr>
        <w:t xml:space="preserve">                </w:t>
      </w:r>
    </w:p>
    <w:p>
      <w:pPr>
        <w:tabs>
          <w:tab w:val="left" w:pos="5103"/>
        </w:tabs>
        <w:adjustRightInd/>
        <w:spacing w:line="560" w:lineRule="exact"/>
        <w:rPr>
          <w:rFonts w:ascii="宋体" w:hAnsi="Times New Roman" w:eastAsia="宋体" w:cs="宋体"/>
          <w:bCs/>
          <w:sz w:val="21"/>
          <w:szCs w:val="21"/>
          <w:u w:val="dotted"/>
        </w:rPr>
      </w:pPr>
      <w:r>
        <w:rPr>
          <w:rFonts w:hint="eastAsia" w:ascii="宋体" w:hAnsi="宋体" w:eastAsia="宋体" w:cs="宋体"/>
          <w:bCs/>
          <w:sz w:val="21"/>
          <w:szCs w:val="21"/>
        </w:rPr>
        <w:t>乙方：</w:t>
      </w:r>
      <w:r>
        <w:rPr>
          <w:rFonts w:ascii="宋体" w:hAnsi="Times New Roman" w:eastAsia="宋体" w:cs="宋体"/>
          <w:bCs/>
          <w:sz w:val="21"/>
          <w:szCs w:val="21"/>
          <w:u w:val="dotted"/>
        </w:rPr>
        <w:tab/>
      </w:r>
      <w:r>
        <w:rPr>
          <w:rFonts w:hint="eastAsia" w:ascii="宋体" w:hAnsi="宋体" w:eastAsia="宋体" w:cs="宋体"/>
          <w:bCs/>
          <w:sz w:val="21"/>
          <w:szCs w:val="21"/>
        </w:rPr>
        <w:t>签订地点：</w:t>
      </w:r>
      <w:r>
        <w:rPr>
          <w:rFonts w:hint="eastAsia" w:ascii="宋体" w:hAnsi="宋体" w:eastAsia="宋体" w:cs="宋体"/>
          <w:bCs/>
          <w:sz w:val="21"/>
          <w:szCs w:val="21"/>
          <w:u w:val="dotted"/>
        </w:rPr>
        <w:t>杭州职业技术学院</w:t>
      </w:r>
    </w:p>
    <w:p>
      <w:pPr>
        <w:tabs>
          <w:tab w:val="left" w:pos="5103"/>
        </w:tabs>
        <w:adjustRightInd/>
        <w:spacing w:line="560" w:lineRule="exact"/>
        <w:rPr>
          <w:rFonts w:ascii="宋体" w:hAnsi="Times New Roman" w:eastAsia="宋体" w:cs="宋体"/>
          <w:bCs/>
          <w:sz w:val="21"/>
          <w:szCs w:val="21"/>
          <w:u w:val="dotted"/>
        </w:rPr>
      </w:pPr>
    </w:p>
    <w:p>
      <w:pPr>
        <w:adjustRightInd/>
        <w:spacing w:line="560" w:lineRule="exact"/>
        <w:ind w:firstLine="420" w:firstLineChars="200"/>
        <w:rPr>
          <w:rFonts w:ascii="宋体" w:hAnsi="Times New Roman" w:eastAsia="宋体" w:cs="宋体"/>
          <w:bCs/>
          <w:sz w:val="21"/>
          <w:szCs w:val="21"/>
        </w:rPr>
      </w:pPr>
      <w:r>
        <w:rPr>
          <w:rFonts w:hint="eastAsia" w:ascii="宋体" w:hAnsi="宋体" w:eastAsia="宋体" w:cs="宋体"/>
          <w:sz w:val="21"/>
          <w:szCs w:val="21"/>
          <w:u w:val="single"/>
        </w:rPr>
        <w:t>浙江求是代理有限公司</w:t>
      </w:r>
      <w:r>
        <w:rPr>
          <w:rFonts w:hint="eastAsia" w:ascii="宋体" w:hAnsi="宋体" w:eastAsia="宋体" w:cs="宋体"/>
          <w:sz w:val="21"/>
          <w:szCs w:val="21"/>
        </w:rPr>
        <w:t>受杭州职业技术学院委托，通过</w:t>
      </w:r>
      <w:r>
        <w:rPr>
          <w:rFonts w:hint="eastAsia" w:ascii="宋体" w:hAnsi="宋体" w:eastAsia="宋体" w:cs="宋体"/>
          <w:sz w:val="21"/>
          <w:szCs w:val="21"/>
          <w:u w:val="single"/>
        </w:rPr>
        <w:t>公开招标</w:t>
      </w:r>
      <w:r>
        <w:rPr>
          <w:rFonts w:hint="eastAsia" w:ascii="宋体" w:hAnsi="宋体" w:eastAsia="宋体" w:cs="宋体"/>
          <w:sz w:val="21"/>
          <w:szCs w:val="21"/>
        </w:rPr>
        <w:t>方式采购杭州职业技术学院</w:t>
      </w:r>
      <w:r>
        <w:rPr>
          <w:rFonts w:ascii="宋体" w:hAnsi="宋体" w:eastAsia="宋体" w:cs="宋体"/>
          <w:sz w:val="21"/>
          <w:szCs w:val="21"/>
          <w:u w:val="single"/>
        </w:rPr>
        <w:t xml:space="preserve"> </w:t>
      </w:r>
      <w:r>
        <w:rPr>
          <w:rFonts w:hint="eastAsia" w:ascii="宋体" w:hAnsi="宋体" w:eastAsia="宋体" w:cs="宋体"/>
          <w:sz w:val="21"/>
          <w:szCs w:val="21"/>
          <w:u w:val="single"/>
          <w:lang w:eastAsia="zh-CN"/>
        </w:rPr>
        <w:t>新能源汽车关键零部件实训室</w:t>
      </w:r>
      <w:r>
        <w:rPr>
          <w:rFonts w:ascii="宋体" w:hAnsi="宋体" w:eastAsia="宋体" w:cs="宋体"/>
          <w:sz w:val="21"/>
          <w:szCs w:val="21"/>
          <w:u w:val="single"/>
        </w:rPr>
        <w:t xml:space="preserve"> </w:t>
      </w:r>
      <w:r>
        <w:rPr>
          <w:rFonts w:hint="eastAsia" w:ascii="宋体" w:hAnsi="宋体" w:eastAsia="宋体" w:cs="宋体"/>
          <w:sz w:val="21"/>
          <w:szCs w:val="21"/>
        </w:rPr>
        <w:t>项目（</w:t>
      </w:r>
      <w:r>
        <w:rPr>
          <w:rFonts w:hint="eastAsia" w:ascii="宋体" w:hAnsi="宋体" w:eastAsia="宋体" w:cs="宋体"/>
          <w:bCs/>
          <w:sz w:val="21"/>
          <w:szCs w:val="21"/>
        </w:rPr>
        <w:t>编号：</w:t>
      </w:r>
      <w:r>
        <w:rPr>
          <w:rFonts w:hint="eastAsia" w:ascii="宋体" w:hAnsi="宋体" w:cs="宋体"/>
          <w:bCs/>
          <w:sz w:val="21"/>
          <w:szCs w:val="21"/>
          <w:lang w:eastAsia="zh-CN"/>
        </w:rPr>
        <w:t>HZY-HF-2025046</w:t>
      </w:r>
      <w:r>
        <w:rPr>
          <w:rFonts w:hint="eastAsia" w:ascii="宋体" w:hAnsi="宋体" w:eastAsia="宋体" w:cs="宋体"/>
          <w:bCs/>
          <w:sz w:val="21"/>
          <w:szCs w:val="21"/>
        </w:rPr>
        <w:t>）。</w:t>
      </w:r>
      <w:r>
        <w:rPr>
          <w:rFonts w:hint="eastAsia" w:ascii="宋体" w:hAnsi="宋体" w:eastAsia="宋体" w:cs="宋体"/>
          <w:sz w:val="21"/>
          <w:szCs w:val="21"/>
        </w:rPr>
        <w:t>经评审由</w:t>
      </w:r>
      <w:r>
        <w:rPr>
          <w:rFonts w:ascii="宋体" w:hAnsi="宋体" w:eastAsia="宋体" w:cs="宋体"/>
          <w:sz w:val="21"/>
          <w:szCs w:val="21"/>
          <w:u w:val="single"/>
        </w:rPr>
        <w:fldChar w:fldCharType="begin"/>
      </w:r>
      <w:r>
        <w:rPr>
          <w:rFonts w:ascii="宋体" w:hAnsi="宋体" w:eastAsia="宋体" w:cs="宋体"/>
          <w:sz w:val="21"/>
          <w:szCs w:val="21"/>
          <w:u w:val="single"/>
        </w:rPr>
        <w:instrText xml:space="preserve"> MACROBUTTON  DoFieldClick </w:instrText>
      </w:r>
      <w:r>
        <w:rPr>
          <w:rFonts w:hint="eastAsia" w:ascii="宋体" w:hAnsi="宋体" w:eastAsia="宋体" w:cs="宋体"/>
          <w:sz w:val="21"/>
          <w:szCs w:val="21"/>
          <w:u w:val="single"/>
        </w:rPr>
        <w:instrText xml:space="preserve">中标供应商名称</w:instrText>
      </w:r>
      <w:r>
        <w:rPr>
          <w:rFonts w:ascii="宋体" w:hAnsi="宋体" w:eastAsia="宋体" w:cs="宋体"/>
          <w:sz w:val="21"/>
          <w:szCs w:val="21"/>
          <w:u w:val="single"/>
        </w:rPr>
        <w:instrText xml:space="preserve">] </w:instrText>
      </w:r>
      <w:r>
        <w:rPr>
          <w:rFonts w:ascii="宋体" w:hAnsi="宋体" w:eastAsia="宋体" w:cs="宋体"/>
          <w:sz w:val="21"/>
          <w:szCs w:val="21"/>
          <w:u w:val="single"/>
        </w:rPr>
        <w:fldChar w:fldCharType="end"/>
      </w:r>
      <w:r>
        <w:rPr>
          <w:rFonts w:hint="eastAsia" w:ascii="宋体" w:hAnsi="宋体" w:eastAsia="宋体" w:cs="宋体"/>
          <w:sz w:val="21"/>
          <w:szCs w:val="21"/>
        </w:rPr>
        <w:t>为</w:t>
      </w:r>
      <w:r>
        <w:rPr>
          <w:rFonts w:ascii="宋体" w:hAnsi="宋体" w:eastAsia="宋体" w:cs="宋体"/>
          <w:sz w:val="21"/>
          <w:szCs w:val="21"/>
          <w:u w:val="single"/>
        </w:rPr>
        <w:fldChar w:fldCharType="begin"/>
      </w:r>
      <w:r>
        <w:rPr>
          <w:rFonts w:ascii="宋体" w:hAnsi="宋体" w:eastAsia="宋体" w:cs="宋体"/>
          <w:sz w:val="21"/>
          <w:szCs w:val="21"/>
          <w:u w:val="single"/>
        </w:rPr>
        <w:instrText xml:space="preserve"> MACROBUTTON  DoFieldClick [</w:instrText>
      </w:r>
      <w:r>
        <w:rPr>
          <w:rFonts w:hint="eastAsia" w:ascii="宋体" w:hAnsi="宋体" w:eastAsia="宋体" w:cs="宋体"/>
          <w:sz w:val="21"/>
          <w:szCs w:val="21"/>
          <w:u w:val="single"/>
        </w:rPr>
        <w:instrText xml:space="preserve">中标标的名称</w:instrText>
      </w:r>
      <w:r>
        <w:rPr>
          <w:rFonts w:ascii="宋体" w:hAnsi="宋体" w:eastAsia="宋体" w:cs="宋体"/>
          <w:sz w:val="21"/>
          <w:szCs w:val="21"/>
          <w:u w:val="single"/>
        </w:rPr>
        <w:instrText xml:space="preserve">] </w:instrText>
      </w:r>
      <w:r>
        <w:rPr>
          <w:rFonts w:ascii="宋体" w:hAnsi="宋体" w:eastAsia="宋体" w:cs="宋体"/>
          <w:sz w:val="21"/>
          <w:szCs w:val="21"/>
          <w:u w:val="single"/>
        </w:rPr>
        <w:fldChar w:fldCharType="end"/>
      </w:r>
      <w:r>
        <w:rPr>
          <w:rFonts w:hint="eastAsia" w:ascii="宋体" w:hAnsi="宋体" w:eastAsia="宋体" w:cs="宋体"/>
          <w:sz w:val="21"/>
          <w:szCs w:val="21"/>
        </w:rPr>
        <w:t>的中标供应商。根据相关法律法规之规定，按照平等、自愿、公平和诚实信用的原则，经甲、乙双方协商一致，约定以下合同条款，以兹共同遵守、全面履行。</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一、货物清单及金额：</w:t>
      </w:r>
    </w:p>
    <w:p>
      <w:pPr>
        <w:adjustRightInd/>
        <w:spacing w:line="560" w:lineRule="exact"/>
        <w:ind w:right="238" w:firstLine="198"/>
        <w:jc w:val="right"/>
        <w:rPr>
          <w:rFonts w:ascii="宋体" w:hAnsi="Times New Roman" w:eastAsia="宋体" w:cs="宋体"/>
          <w:sz w:val="21"/>
          <w:szCs w:val="21"/>
        </w:rPr>
      </w:pPr>
      <w:r>
        <w:rPr>
          <w:rFonts w:hint="eastAsia" w:ascii="宋体" w:hAnsi="宋体" w:eastAsia="宋体" w:cs="宋体"/>
          <w:sz w:val="21"/>
          <w:szCs w:val="21"/>
        </w:rPr>
        <w:t>金额单位：元</w:t>
      </w:r>
    </w:p>
    <w:tbl>
      <w:tblPr>
        <w:tblStyle w:val="62"/>
        <w:tblW w:w="10136" w:type="dxa"/>
        <w:jc w:val="center"/>
        <w:tblLayout w:type="fixed"/>
        <w:tblCellMar>
          <w:top w:w="0" w:type="dxa"/>
          <w:left w:w="108" w:type="dxa"/>
          <w:bottom w:w="0" w:type="dxa"/>
          <w:right w:w="108" w:type="dxa"/>
        </w:tblCellMar>
      </w:tblPr>
      <w:tblGrid>
        <w:gridCol w:w="711"/>
        <w:gridCol w:w="1726"/>
        <w:gridCol w:w="1275"/>
        <w:gridCol w:w="1477"/>
        <w:gridCol w:w="1477"/>
        <w:gridCol w:w="739"/>
        <w:gridCol w:w="737"/>
        <w:gridCol w:w="872"/>
        <w:gridCol w:w="1122"/>
      </w:tblGrid>
      <w:tr>
        <w:tblPrEx>
          <w:tblCellMar>
            <w:top w:w="0" w:type="dxa"/>
            <w:left w:w="108" w:type="dxa"/>
            <w:bottom w:w="0" w:type="dxa"/>
            <w:right w:w="108" w:type="dxa"/>
          </w:tblCellMar>
        </w:tblPrEx>
        <w:trPr>
          <w:cantSplit/>
          <w:trHeight w:val="1145"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序号</w:t>
            </w:r>
          </w:p>
        </w:tc>
        <w:tc>
          <w:tcPr>
            <w:tcW w:w="17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品牌</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型号</w:t>
            </w: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规格</w:t>
            </w:r>
          </w:p>
        </w:tc>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数量</w:t>
            </w: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单位</w:t>
            </w: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单价</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eastAsia" w:ascii="宋体" w:hAnsi="宋体" w:eastAsia="宋体" w:cs="宋体"/>
                <w:sz w:val="21"/>
                <w:szCs w:val="21"/>
              </w:rPr>
              <w:t>金额</w:t>
            </w:r>
          </w:p>
        </w:tc>
      </w:tr>
      <w:tr>
        <w:tblPrEx>
          <w:tblCellMar>
            <w:top w:w="0" w:type="dxa"/>
            <w:left w:w="108" w:type="dxa"/>
            <w:bottom w:w="0" w:type="dxa"/>
            <w:right w:w="108" w:type="dxa"/>
          </w:tblCellMar>
        </w:tblPrEx>
        <w:trPr>
          <w:cantSplit/>
          <w:trHeight w:val="582"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default" w:ascii="宋体" w:hAnsi="宋体" w:eastAsia="宋体" w:cs="宋体"/>
                <w:sz w:val="21"/>
                <w:szCs w:val="21"/>
              </w:rPr>
              <w:t>1</w:t>
            </w:r>
          </w:p>
        </w:tc>
        <w:tc>
          <w:tcPr>
            <w:tcW w:w="17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r>
      <w:tr>
        <w:tblPrEx>
          <w:tblCellMar>
            <w:top w:w="0" w:type="dxa"/>
            <w:left w:w="108" w:type="dxa"/>
            <w:bottom w:w="0" w:type="dxa"/>
            <w:right w:w="108" w:type="dxa"/>
          </w:tblCellMar>
        </w:tblPrEx>
        <w:trPr>
          <w:cantSplit/>
          <w:trHeight w:val="582"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default" w:ascii="宋体" w:hAnsi="宋体" w:eastAsia="宋体" w:cs="宋体"/>
                <w:sz w:val="21"/>
                <w:szCs w:val="21"/>
              </w:rPr>
              <w:t>2</w:t>
            </w:r>
          </w:p>
        </w:tc>
        <w:tc>
          <w:tcPr>
            <w:tcW w:w="17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r>
      <w:tr>
        <w:tblPrEx>
          <w:tblCellMar>
            <w:top w:w="0" w:type="dxa"/>
            <w:left w:w="108" w:type="dxa"/>
            <w:bottom w:w="0" w:type="dxa"/>
            <w:right w:w="108" w:type="dxa"/>
          </w:tblCellMar>
        </w:tblPrEx>
        <w:trPr>
          <w:cantSplit/>
          <w:trHeight w:val="582"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r>
              <w:rPr>
                <w:rFonts w:hint="default" w:ascii="宋体" w:hAnsi="宋体" w:eastAsia="宋体" w:cs="宋体"/>
                <w:sz w:val="21"/>
                <w:szCs w:val="21"/>
              </w:rPr>
              <w:t>3</w:t>
            </w:r>
          </w:p>
        </w:tc>
        <w:tc>
          <w:tcPr>
            <w:tcW w:w="17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14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418"/>
              </w:tabs>
              <w:adjustRightInd/>
              <w:spacing w:before="0" w:beforeAutospacing="0" w:after="0" w:afterAutospacing="0" w:line="560" w:lineRule="exact"/>
              <w:ind w:left="0" w:right="0"/>
              <w:jc w:val="center"/>
              <w:rPr>
                <w:rFonts w:hint="default" w:ascii="宋体" w:hAnsi="Times New Roman" w:eastAsia="宋体" w:cs="宋体"/>
                <w:spacing w:val="20"/>
                <w:sz w:val="21"/>
                <w:szCs w:val="21"/>
              </w:rPr>
            </w:pPr>
          </w:p>
        </w:tc>
        <w:tc>
          <w:tcPr>
            <w:tcW w:w="7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bCs/>
                <w:sz w:val="21"/>
                <w:szCs w:val="21"/>
              </w:rPr>
            </w:pP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r>
      <w:tr>
        <w:tblPrEx>
          <w:tblCellMar>
            <w:top w:w="0" w:type="dxa"/>
            <w:left w:w="108" w:type="dxa"/>
            <w:bottom w:w="0" w:type="dxa"/>
            <w:right w:w="108" w:type="dxa"/>
          </w:tblCellMar>
        </w:tblPrEx>
        <w:trPr>
          <w:cantSplit/>
          <w:trHeight w:val="618" w:hRule="atLeast"/>
          <w:jc w:val="center"/>
        </w:trPr>
        <w:tc>
          <w:tcPr>
            <w:tcW w:w="9014"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left"/>
              <w:rPr>
                <w:rFonts w:hint="default" w:ascii="宋体" w:hAnsi="Times New Roman" w:eastAsia="宋体" w:cs="宋体"/>
                <w:bCs/>
                <w:sz w:val="21"/>
                <w:szCs w:val="21"/>
              </w:rPr>
            </w:pPr>
            <w:r>
              <w:rPr>
                <w:rFonts w:hint="eastAsia" w:ascii="宋体" w:hAnsi="宋体" w:eastAsia="宋体" w:cs="宋体"/>
                <w:bCs/>
                <w:sz w:val="21"/>
                <w:szCs w:val="21"/>
              </w:rPr>
              <w:t>合同总价（人民币大写）：</w:t>
            </w: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djustRightInd/>
              <w:spacing w:before="0" w:beforeAutospacing="0" w:after="0" w:afterAutospacing="0" w:line="560" w:lineRule="exact"/>
              <w:ind w:left="0" w:right="0"/>
              <w:jc w:val="center"/>
              <w:rPr>
                <w:rFonts w:hint="default" w:ascii="宋体" w:hAnsi="Times New Roman" w:eastAsia="宋体" w:cs="宋体"/>
                <w:sz w:val="21"/>
                <w:szCs w:val="21"/>
              </w:rPr>
            </w:pPr>
          </w:p>
        </w:tc>
      </w:tr>
    </w:tbl>
    <w:p>
      <w:pPr>
        <w:adjustRightInd/>
        <w:spacing w:line="560" w:lineRule="exact"/>
        <w:ind w:right="-51" w:firstLine="420" w:firstLineChars="200"/>
        <w:rPr>
          <w:rFonts w:ascii="宋体" w:hAnsi="Times New Roman" w:eastAsia="宋体" w:cs="宋体"/>
          <w:sz w:val="21"/>
          <w:szCs w:val="21"/>
        </w:rPr>
      </w:pPr>
      <w:r>
        <w:rPr>
          <w:rFonts w:hint="eastAsia" w:ascii="宋体" w:hAnsi="宋体" w:eastAsia="宋体" w:cs="宋体"/>
          <w:sz w:val="21"/>
          <w:szCs w:val="21"/>
        </w:rPr>
        <w:t>注：</w:t>
      </w:r>
      <w:r>
        <w:rPr>
          <w:rFonts w:ascii="宋体" w:hAnsi="宋体" w:eastAsia="宋体" w:cs="宋体"/>
          <w:sz w:val="21"/>
          <w:szCs w:val="21"/>
        </w:rPr>
        <w:t>1.</w:t>
      </w:r>
      <w:r>
        <w:rPr>
          <w:rFonts w:hint="eastAsia" w:ascii="宋体" w:hAnsi="宋体" w:eastAsia="宋体" w:cs="宋体"/>
          <w:sz w:val="21"/>
          <w:szCs w:val="21"/>
        </w:rPr>
        <w:t>以上合同总价中，包括运输、安装、调试、检测、税及操作维修培训费用及质保期内设备的维修保养费用等。</w:t>
      </w:r>
    </w:p>
    <w:p>
      <w:pPr>
        <w:adjustRightInd/>
        <w:spacing w:line="560" w:lineRule="exact"/>
        <w:ind w:right="-51"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以上产品在安装过程中如发生缺项，由乙方无偿补足。</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二、质量标准：</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乙方提供的货物在甲方使用期内因货物本身的质量问题发生故障，乙方应负责免费更换。对达不到技术要求者，甲方可选择以下任一办法处理：</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更换合格产品：由乙方承担所发生的全部费用，乙方应在甲方通知后一周内完成更换。</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贬值处理：如甲方同意接受贬值产品的，由甲乙双方合议定价，如无法达成一致，贬值价格由甲方确定。</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退货处理：乙方应退还甲方支付的合同款，同时应承担该货物的直接费用（运输、保险、检验、货款利息及银行手续费等）。</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三、交货及验收：</w:t>
      </w:r>
    </w:p>
    <w:p>
      <w:pPr>
        <w:adjustRightInd/>
        <w:spacing w:line="560" w:lineRule="exact"/>
        <w:ind w:left="210" w:leftChars="100" w:firstLine="210" w:firstLineChars="100"/>
        <w:rPr>
          <w:rFonts w:ascii="宋体" w:hAnsi="Times New Roman" w:eastAsia="宋体" w:cs="宋体"/>
          <w:sz w:val="21"/>
          <w:szCs w:val="21"/>
        </w:rPr>
      </w:pPr>
      <w:r>
        <w:rPr>
          <w:rFonts w:hint="eastAsia" w:ascii="宋体" w:hAnsi="宋体" w:eastAsia="宋体" w:cs="宋体"/>
          <w:sz w:val="21"/>
          <w:szCs w:val="21"/>
        </w:rPr>
        <w:t>乙方应于合同签订后</w:t>
      </w:r>
      <w:r>
        <w:rPr>
          <w:rFonts w:ascii="宋体" w:hAnsi="宋体" w:eastAsia="宋体" w:cs="宋体"/>
          <w:sz w:val="21"/>
          <w:szCs w:val="21"/>
          <w:u w:val="single"/>
        </w:rPr>
        <w:t xml:space="preserve">     </w:t>
      </w:r>
      <w:r>
        <w:rPr>
          <w:rFonts w:hint="eastAsia" w:ascii="宋体" w:hAnsi="宋体" w:eastAsia="宋体" w:cs="宋体"/>
          <w:sz w:val="21"/>
          <w:szCs w:val="21"/>
        </w:rPr>
        <w:t>日内将所供产品按时、安全运至甲方指定的地点并安装调试完毕。</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乙方交货前应对产品做出全面检查和对验收文件进行整理，并列出清单，作为甲方收货验收和使用的技术条件依据，检验的结果应随货物交甲方。</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甲方对乙方提交的货物依据招标文件上的技术规格要求和国家有关质量标准进行现场初步验收，外观、说明书符合招标文件技术要求的，给予签收，初步验收不合格的不予签收。</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甲方对乙方提供的货物在使用前进行调试时，乙方需负责安装并培训甲方的使用操作人员，并协助甲方一起调试，直到符合技术要求，甲方才做最终验收。</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对技术复杂的货物，甲方应请国家认可的专业检测机构参与初步验收及最终验收，并由其出具质量检测报告。</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验收时乙方必须在现场，如乙方不到场，视为乙方认可验收结果报告。验收完毕后作出验收结果报告；所有验收费用由乙方负责、承担。</w:t>
      </w:r>
    </w:p>
    <w:p>
      <w:pPr>
        <w:adjustRightInd/>
        <w:spacing w:line="560" w:lineRule="exact"/>
        <w:ind w:firstLine="420" w:firstLineChars="200"/>
        <w:rPr>
          <w:rFonts w:ascii="宋体" w:hAnsi="Times New Roman" w:eastAsia="宋体" w:cs="宋体"/>
          <w:sz w:val="21"/>
          <w:szCs w:val="21"/>
          <w:highlight w:val="yellow"/>
        </w:rPr>
      </w:pPr>
      <w:r>
        <w:rPr>
          <w:rFonts w:ascii="宋体" w:hAnsi="宋体" w:eastAsia="宋体" w:cs="宋体"/>
          <w:sz w:val="21"/>
          <w:szCs w:val="21"/>
        </w:rPr>
        <w:t>6.</w:t>
      </w:r>
      <w:r>
        <w:rPr>
          <w:rFonts w:hint="eastAsia" w:ascii="宋体" w:hAnsi="宋体" w:eastAsia="宋体" w:cs="宋体"/>
          <w:sz w:val="21"/>
          <w:szCs w:val="21"/>
        </w:rPr>
        <w:t>如发现有重大的质量问题，甲乙双方均同意提请国家法定检测机构鉴定，如检测结果证明产品无质量问题，由甲方承担检测费用；如检测结果证明产品有质量问题，由乙方承担检测费用，同时甲方无条件退货并乙方支付给甲方货款总价</w:t>
      </w:r>
      <w:r>
        <w:rPr>
          <w:rFonts w:ascii="宋体" w:hAnsi="宋体" w:eastAsia="宋体" w:cs="宋体"/>
          <w:sz w:val="21"/>
          <w:szCs w:val="21"/>
        </w:rPr>
        <w:t>10</w:t>
      </w:r>
      <w:r>
        <w:rPr>
          <w:rFonts w:hint="eastAsia" w:ascii="宋体" w:hAnsi="宋体" w:eastAsia="宋体" w:cs="宋体"/>
          <w:sz w:val="21"/>
          <w:szCs w:val="21"/>
        </w:rPr>
        <w:t>％的赔偿金。</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四、保质期：</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保质期：</w:t>
      </w:r>
      <w:r>
        <w:rPr>
          <w:rFonts w:ascii="宋体" w:hAnsi="宋体" w:eastAsia="宋体" w:cs="宋体"/>
          <w:sz w:val="21"/>
          <w:szCs w:val="21"/>
          <w:u w:val="single"/>
        </w:rPr>
        <w:t xml:space="preserve">            </w:t>
      </w:r>
      <w:r>
        <w:rPr>
          <w:rFonts w:hint="eastAsia" w:ascii="宋体" w:hAnsi="宋体" w:eastAsia="宋体" w:cs="宋体"/>
          <w:sz w:val="21"/>
          <w:szCs w:val="21"/>
        </w:rPr>
        <w:t>，保质期从项目验收合格之日算起。</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五、</w:t>
      </w:r>
      <w:r>
        <w:rPr>
          <w:rFonts w:hint="eastAsia" w:ascii="宋体" w:hAnsi="宋体" w:cs="宋体"/>
          <w:sz w:val="21"/>
          <w:szCs w:val="21"/>
          <w:lang w:val="en-US" w:eastAsia="zh-CN"/>
        </w:rPr>
        <w:t>履约保证金及</w:t>
      </w:r>
      <w:r>
        <w:rPr>
          <w:rFonts w:hint="eastAsia" w:ascii="宋体" w:hAnsi="宋体" w:eastAsia="宋体" w:cs="宋体"/>
          <w:sz w:val="21"/>
          <w:szCs w:val="21"/>
        </w:rPr>
        <w:t>结算方式：</w:t>
      </w:r>
    </w:p>
    <w:p>
      <w:pPr>
        <w:adjustRightInd/>
        <w:spacing w:line="56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履约保证金</w:t>
      </w:r>
      <w:r>
        <w:rPr>
          <w:rFonts w:hint="eastAsia" w:ascii="宋体" w:hAnsi="宋体" w:cs="宋体"/>
          <w:sz w:val="21"/>
          <w:szCs w:val="21"/>
          <w:lang w:val="en-US" w:eastAsia="zh-CN"/>
        </w:rPr>
        <w:t>：</w:t>
      </w:r>
    </w:p>
    <w:p>
      <w:pPr>
        <w:adjustRightInd/>
        <w:spacing w:line="560" w:lineRule="exact"/>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合同签订后一周内，中标人向采购人提交合同总价</w:t>
      </w:r>
      <w:r>
        <w:rPr>
          <w:rFonts w:hint="default" w:ascii="宋体" w:hAnsi="宋体" w:eastAsia="宋体" w:cs="宋体"/>
          <w:sz w:val="21"/>
          <w:szCs w:val="21"/>
        </w:rPr>
        <w:t>1</w:t>
      </w:r>
      <w:r>
        <w:rPr>
          <w:rFonts w:hint="eastAsia" w:ascii="宋体" w:hAnsi="宋体" w:eastAsia="宋体" w:cs="宋体"/>
          <w:sz w:val="21"/>
          <w:szCs w:val="21"/>
        </w:rPr>
        <w:t>%的履约保证金，履约保证金在合同履约期间无违约情形的，项目验收结束后，于一周内退还（不计息）；</w:t>
      </w:r>
    </w:p>
    <w:p>
      <w:pPr>
        <w:adjustRightInd/>
        <w:spacing w:line="560" w:lineRule="exact"/>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提交方式：支票、汇票、本票或银行出具的保函等非现金形式。</w:t>
      </w:r>
    </w:p>
    <w:p>
      <w:pPr>
        <w:adjustRightInd/>
        <w:spacing w:line="560" w:lineRule="exact"/>
        <w:ind w:firstLine="420" w:firstLineChars="200"/>
        <w:rPr>
          <w:rFonts w:ascii="宋体" w:hAnsi="Times New Roman" w:eastAsia="宋体" w:cs="宋体"/>
          <w:sz w:val="21"/>
          <w:szCs w:val="21"/>
        </w:rPr>
      </w:pPr>
      <w:r>
        <w:rPr>
          <w:rFonts w:hint="eastAsia" w:ascii="宋体" w:hAnsi="宋体" w:cs="宋体"/>
          <w:sz w:val="21"/>
          <w:szCs w:val="21"/>
          <w:lang w:val="en-US" w:eastAsia="zh-CN"/>
        </w:rPr>
        <w:t>2.付款方式：</w:t>
      </w:r>
      <w:r>
        <w:rPr>
          <w:rFonts w:hint="eastAsia" w:ascii="宋体" w:hAnsi="宋体" w:eastAsia="宋体" w:cs="宋体"/>
          <w:sz w:val="21"/>
          <w:szCs w:val="21"/>
        </w:rPr>
        <w:t>合同生效以及具备实施条件后</w:t>
      </w:r>
      <w:r>
        <w:rPr>
          <w:rFonts w:ascii="宋体" w:hAnsi="宋体" w:eastAsia="宋体" w:cs="宋体"/>
          <w:sz w:val="21"/>
          <w:szCs w:val="21"/>
        </w:rPr>
        <w:t>5</w:t>
      </w:r>
      <w:r>
        <w:rPr>
          <w:rFonts w:hint="eastAsia" w:ascii="宋体" w:hAnsi="宋体" w:eastAsia="宋体" w:cs="宋体"/>
          <w:sz w:val="21"/>
          <w:szCs w:val="21"/>
        </w:rPr>
        <w:t>个工作日内，且乙方已向甲方提交银行出具的（等额）预付款保函的，甲方向乙方支付合同总价的</w:t>
      </w:r>
      <w:r>
        <w:rPr>
          <w:rFonts w:ascii="宋体" w:hAnsi="宋体" w:eastAsia="宋体" w:cs="宋体"/>
          <w:sz w:val="21"/>
          <w:szCs w:val="21"/>
        </w:rPr>
        <w:t>40%</w:t>
      </w:r>
      <w:r>
        <w:rPr>
          <w:rFonts w:hint="eastAsia" w:ascii="宋体" w:hAnsi="宋体" w:eastAsia="宋体" w:cs="宋体"/>
          <w:sz w:val="21"/>
          <w:szCs w:val="21"/>
        </w:rPr>
        <w:t>；项目履约完成，经甲方验收合格后，收到发票后</w:t>
      </w:r>
      <w:r>
        <w:rPr>
          <w:rFonts w:ascii="宋体" w:hAnsi="宋体" w:eastAsia="宋体" w:cs="宋体"/>
          <w:sz w:val="21"/>
          <w:szCs w:val="21"/>
        </w:rPr>
        <w:t>5</w:t>
      </w:r>
      <w:r>
        <w:rPr>
          <w:rFonts w:hint="eastAsia" w:ascii="宋体" w:hAnsi="宋体" w:eastAsia="宋体" w:cs="宋体"/>
          <w:sz w:val="21"/>
          <w:szCs w:val="21"/>
        </w:rPr>
        <w:t>个工作日内，甲方向乙方支付合同总价的</w:t>
      </w:r>
      <w:r>
        <w:rPr>
          <w:rFonts w:ascii="宋体" w:hAnsi="宋体" w:eastAsia="宋体" w:cs="宋体"/>
          <w:sz w:val="21"/>
          <w:szCs w:val="21"/>
        </w:rPr>
        <w:t>60%</w:t>
      </w:r>
      <w:r>
        <w:rPr>
          <w:rFonts w:hint="eastAsia" w:ascii="宋体" w:hAnsi="宋体" w:eastAsia="宋体" w:cs="宋体"/>
          <w:sz w:val="21"/>
          <w:szCs w:val="21"/>
        </w:rPr>
        <w:t>。逾期支付货款的，自逾期之日起，向乙方每日偿付未付价款</w:t>
      </w:r>
      <w:r>
        <w:rPr>
          <w:rFonts w:ascii="宋体" w:hAnsi="宋体" w:eastAsia="宋体" w:cs="宋体"/>
          <w:sz w:val="21"/>
          <w:szCs w:val="21"/>
        </w:rPr>
        <w:t>0.05%</w:t>
      </w:r>
      <w:r>
        <w:rPr>
          <w:rFonts w:hint="eastAsia" w:ascii="宋体" w:hAnsi="宋体" w:eastAsia="宋体" w:cs="宋体"/>
          <w:sz w:val="21"/>
          <w:szCs w:val="21"/>
        </w:rPr>
        <w:t>的违约金，最高限额为本合同总价的</w:t>
      </w:r>
      <w:r>
        <w:rPr>
          <w:rFonts w:ascii="宋体" w:hAnsi="宋体" w:eastAsia="宋体" w:cs="宋体"/>
          <w:sz w:val="21"/>
          <w:szCs w:val="21"/>
        </w:rPr>
        <w:t>20%</w:t>
      </w:r>
      <w:r>
        <w:rPr>
          <w:rFonts w:hint="eastAsia" w:ascii="宋体" w:hAnsi="宋体" w:eastAsia="宋体" w:cs="宋体"/>
          <w:sz w:val="21"/>
          <w:szCs w:val="21"/>
        </w:rPr>
        <w:t>。</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六、违约责任：</w:t>
      </w:r>
    </w:p>
    <w:p>
      <w:pPr>
        <w:adjustRightInd/>
        <w:spacing w:line="560" w:lineRule="exact"/>
        <w:ind w:firstLine="420" w:firstLineChars="200"/>
        <w:rPr>
          <w:rFonts w:ascii="宋体" w:hAnsi="Times New Roman" w:eastAsia="宋体" w:cs="宋体"/>
          <w:sz w:val="21"/>
          <w:szCs w:val="21"/>
          <w:highlight w:val="yellow"/>
        </w:rPr>
      </w:pPr>
      <w:r>
        <w:rPr>
          <w:rFonts w:ascii="宋体" w:hAnsi="宋体" w:eastAsia="宋体" w:cs="宋体"/>
          <w:sz w:val="21"/>
          <w:szCs w:val="21"/>
        </w:rPr>
        <w:t>1.</w:t>
      </w:r>
      <w:r>
        <w:rPr>
          <w:rFonts w:hint="eastAsia" w:ascii="宋体" w:hAnsi="宋体" w:eastAsia="宋体" w:cs="宋体"/>
          <w:sz w:val="21"/>
          <w:szCs w:val="21"/>
        </w:rPr>
        <w:t>甲方无正当理由逾期支付货款的，自逾期之日起，向乙方每日偿付合同总价</w:t>
      </w:r>
      <w:r>
        <w:rPr>
          <w:rFonts w:ascii="宋体" w:hAnsi="宋体" w:eastAsia="宋体" w:cs="宋体"/>
          <w:sz w:val="21"/>
          <w:szCs w:val="21"/>
        </w:rPr>
        <w:t>1</w:t>
      </w:r>
      <w:r>
        <w:rPr>
          <w:rFonts w:hint="eastAsia" w:ascii="宋体" w:hAnsi="宋体" w:eastAsia="宋体" w:cs="宋体"/>
          <w:sz w:val="21"/>
          <w:szCs w:val="21"/>
        </w:rPr>
        <w:t>‰的违约金；甲方无正当理由拒付合同款的，应向乙方偿付合同总价</w:t>
      </w:r>
      <w:r>
        <w:rPr>
          <w:rFonts w:ascii="宋体" w:hAnsi="宋体" w:eastAsia="宋体" w:cs="宋体"/>
          <w:sz w:val="21"/>
          <w:szCs w:val="21"/>
        </w:rPr>
        <w:t>1%</w:t>
      </w:r>
      <w:r>
        <w:rPr>
          <w:rFonts w:hint="eastAsia" w:ascii="宋体" w:hAnsi="宋体" w:eastAsia="宋体" w:cs="宋体"/>
          <w:sz w:val="21"/>
          <w:szCs w:val="21"/>
        </w:rPr>
        <w:t>的违约金。</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乙方逾期供货及调试的，自逾期之日起，向甲方每日偿付合同总价</w:t>
      </w:r>
      <w:r>
        <w:rPr>
          <w:rFonts w:ascii="宋体" w:hAnsi="宋体" w:eastAsia="宋体" w:cs="宋体"/>
          <w:sz w:val="21"/>
          <w:szCs w:val="21"/>
        </w:rPr>
        <w:t>1</w:t>
      </w:r>
      <w:r>
        <w:rPr>
          <w:rFonts w:hint="eastAsia" w:ascii="宋体" w:hAnsi="宋体" w:eastAsia="宋体" w:cs="宋体"/>
          <w:sz w:val="21"/>
          <w:szCs w:val="21"/>
        </w:rPr>
        <w:t>‰的违约金；乙方逾期</w:t>
      </w:r>
      <w:r>
        <w:rPr>
          <w:rFonts w:ascii="宋体" w:hAnsi="宋体" w:eastAsia="宋体" w:cs="宋体"/>
          <w:sz w:val="21"/>
          <w:szCs w:val="21"/>
        </w:rPr>
        <w:t>10</w:t>
      </w:r>
      <w:r>
        <w:rPr>
          <w:rFonts w:hint="eastAsia" w:ascii="宋体" w:hAnsi="宋体" w:eastAsia="宋体" w:cs="宋体"/>
          <w:sz w:val="21"/>
          <w:szCs w:val="21"/>
        </w:rPr>
        <w:t>日不能交货的，应向甲方支付合同总价</w:t>
      </w:r>
      <w:r>
        <w:rPr>
          <w:rFonts w:ascii="宋体" w:hAnsi="宋体" w:eastAsia="宋体" w:cs="宋体"/>
          <w:sz w:val="21"/>
          <w:szCs w:val="21"/>
        </w:rPr>
        <w:t>10%</w:t>
      </w:r>
      <w:r>
        <w:rPr>
          <w:rFonts w:hint="eastAsia" w:ascii="宋体" w:hAnsi="宋体" w:eastAsia="宋体" w:cs="宋体"/>
          <w:sz w:val="21"/>
          <w:szCs w:val="21"/>
        </w:rPr>
        <w:t>的违约金，并且甲方有权单方面解除本合同，不退还履约保证金。</w:t>
      </w:r>
    </w:p>
    <w:p>
      <w:pPr>
        <w:adjustRightInd/>
        <w:spacing w:line="560" w:lineRule="exact"/>
        <w:ind w:firstLine="420" w:firstLineChars="200"/>
        <w:rPr>
          <w:rFonts w:ascii="宋体" w:hAnsi="Times New Roman" w:eastAsia="宋体" w:cs="宋体"/>
          <w:sz w:val="21"/>
          <w:szCs w:val="21"/>
          <w:highlight w:val="yellow"/>
        </w:rPr>
      </w:pPr>
      <w:r>
        <w:rPr>
          <w:rFonts w:ascii="宋体" w:hAnsi="宋体" w:eastAsia="宋体" w:cs="宋体"/>
          <w:sz w:val="21"/>
          <w:szCs w:val="21"/>
        </w:rPr>
        <w:t>3.</w:t>
      </w:r>
      <w:r>
        <w:rPr>
          <w:rFonts w:hint="eastAsia" w:ascii="宋体" w:hAnsi="宋体" w:eastAsia="宋体" w:cs="宋体"/>
          <w:sz w:val="21"/>
          <w:szCs w:val="21"/>
        </w:rPr>
        <w:t>乙方所交的货物品种、型号、规格、技术参数、质量不符合合同规定及招标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w:t>
      </w:r>
      <w:r>
        <w:rPr>
          <w:rFonts w:ascii="宋体" w:hAnsi="宋体" w:eastAsia="宋体" w:cs="宋体"/>
          <w:sz w:val="21"/>
          <w:szCs w:val="21"/>
        </w:rPr>
        <w:t>10%</w:t>
      </w:r>
      <w:r>
        <w:rPr>
          <w:rFonts w:hint="eastAsia" w:ascii="宋体" w:hAnsi="宋体" w:eastAsia="宋体" w:cs="宋体"/>
          <w:sz w:val="21"/>
          <w:szCs w:val="21"/>
        </w:rPr>
        <w:t>的违约金。</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如验收不能达到质量功能（性能）标准，合同商品由乙方在验收后一周内运离安装地点，所需费用由乙方承担。如乙方在一个月内不处理（搬走）合同商品，视为乙方放弃该商品，甲方有权自行处理（包括废物处理）。同时，乙方要支付给甲方合同总价的</w:t>
      </w:r>
      <w:r>
        <w:rPr>
          <w:rFonts w:ascii="宋体" w:hAnsi="宋体" w:eastAsia="宋体" w:cs="宋体"/>
          <w:sz w:val="21"/>
          <w:szCs w:val="21"/>
        </w:rPr>
        <w:t>20</w:t>
      </w:r>
      <w:r>
        <w:rPr>
          <w:rFonts w:hint="eastAsia" w:ascii="宋体" w:hAnsi="宋体" w:eastAsia="宋体" w:cs="宋体"/>
          <w:sz w:val="21"/>
          <w:szCs w:val="21"/>
        </w:rPr>
        <w:t>％作为违约金。</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七、技术资料：</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乙方应按招标文件规定的时间向甲方提供使用货物的有关技术资料。</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未经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八、知识产权：</w:t>
      </w:r>
    </w:p>
    <w:p>
      <w:pPr>
        <w:adjustRightInd/>
        <w:spacing w:line="560" w:lineRule="exact"/>
        <w:ind w:firstLine="420" w:firstLineChars="200"/>
        <w:rPr>
          <w:rFonts w:ascii="宋体" w:hAnsi="Times New Roman" w:eastAsia="宋体" w:cs="宋体"/>
          <w:sz w:val="21"/>
          <w:szCs w:val="21"/>
        </w:rPr>
      </w:pPr>
      <w:r>
        <w:rPr>
          <w:rFonts w:hint="eastAsia" w:ascii="宋体" w:hAnsi="宋体" w:eastAsia="宋体" w:cs="宋体"/>
          <w:sz w:val="21"/>
          <w:szCs w:val="21"/>
        </w:rPr>
        <w:t>乙方应保证所提供的货物或其任何一部分均不会侵犯任何第三方的知识产权。</w:t>
      </w:r>
    </w:p>
    <w:p>
      <w:pPr>
        <w:adjustRightInd/>
        <w:spacing w:line="560" w:lineRule="exact"/>
        <w:rPr>
          <w:rFonts w:ascii="宋体" w:hAnsi="Times New Roman" w:eastAsia="宋体" w:cs="宋体"/>
          <w:sz w:val="21"/>
          <w:szCs w:val="21"/>
        </w:rPr>
      </w:pP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九、不可抗力事件处理：</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在合同有效期内，任何一方因不可抗力事件导致不能履行合同的，则合同履行期可延长，其延长期与不可抗力影响期相同。</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不可抗力事件发生后，应立即通知对方，并寄送有关权威机构出具的证明。</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不可抗力事件延续</w:t>
      </w:r>
      <w:r>
        <w:rPr>
          <w:rFonts w:ascii="宋体" w:hAnsi="宋体" w:eastAsia="宋体" w:cs="宋体"/>
          <w:sz w:val="21"/>
          <w:szCs w:val="21"/>
        </w:rPr>
        <w:t xml:space="preserve">120 </w:t>
      </w:r>
      <w:r>
        <w:rPr>
          <w:rFonts w:hint="eastAsia" w:ascii="宋体" w:hAnsi="宋体" w:eastAsia="宋体" w:cs="宋体"/>
          <w:sz w:val="21"/>
          <w:szCs w:val="21"/>
        </w:rPr>
        <w:t>天以上，双方应通过友好协商，确定是否继续履行合同。</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十、争议解决：</w:t>
      </w:r>
    </w:p>
    <w:p>
      <w:pPr>
        <w:adjustRightInd/>
        <w:spacing w:line="560" w:lineRule="exact"/>
        <w:ind w:firstLine="420" w:firstLineChars="200"/>
        <w:rPr>
          <w:rFonts w:ascii="宋体" w:hAnsi="Times New Roman" w:eastAsia="宋体" w:cs="宋体"/>
          <w:sz w:val="21"/>
          <w:szCs w:val="21"/>
        </w:rPr>
      </w:pPr>
      <w:r>
        <w:rPr>
          <w:rFonts w:hint="eastAsia" w:ascii="宋体" w:hAnsi="宋体" w:eastAsia="宋体" w:cs="宋体"/>
          <w:sz w:val="21"/>
          <w:szCs w:val="21"/>
        </w:rPr>
        <w:t>本合同履行中发生争议的，由双方协商解决；如协商不成，任何一方均可向甲方所在地人民法院起诉。</w:t>
      </w:r>
    </w:p>
    <w:p>
      <w:pPr>
        <w:numPr>
          <w:ilvl w:val="0"/>
          <w:numId w:val="5"/>
        </w:numPr>
        <w:adjustRightInd/>
        <w:spacing w:line="560" w:lineRule="exact"/>
        <w:rPr>
          <w:rFonts w:ascii="宋体" w:hAnsi="Times New Roman" w:eastAsia="宋体" w:cs="宋体"/>
          <w:sz w:val="21"/>
          <w:szCs w:val="21"/>
        </w:rPr>
      </w:pPr>
      <w:r>
        <w:rPr>
          <w:rFonts w:hint="eastAsia" w:ascii="宋体" w:hAnsi="宋体" w:eastAsia="宋体" w:cs="宋体"/>
          <w:sz w:val="21"/>
          <w:szCs w:val="21"/>
        </w:rPr>
        <w:t>售后服务：</w:t>
      </w:r>
    </w:p>
    <w:p>
      <w:pPr>
        <w:adjustRightInd/>
        <w:spacing w:before="120" w:beforeLines="50" w:after="120" w:afterLines="50" w:line="400" w:lineRule="atLeast"/>
        <w:rPr>
          <w:rFonts w:ascii="宋体" w:hAnsi="宋体" w:eastAsia="宋体" w:cs="宋体"/>
          <w:sz w:val="21"/>
          <w:szCs w:val="21"/>
        </w:rPr>
      </w:pPr>
    </w:p>
    <w:p>
      <w:pPr>
        <w:adjustRightInd/>
        <w:ind w:firstLine="420"/>
        <w:rPr>
          <w:rFonts w:ascii="宋体" w:hAnsi="Times New Roman" w:eastAsia="宋体" w:cs="宋体"/>
          <w:sz w:val="21"/>
          <w:szCs w:val="21"/>
        </w:rPr>
      </w:pP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十二、甲乙双方约定：</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2.</w:t>
      </w:r>
    </w:p>
    <w:p>
      <w:pPr>
        <w:adjustRightInd/>
        <w:spacing w:line="560" w:lineRule="exact"/>
        <w:ind w:firstLine="420" w:firstLineChars="200"/>
        <w:rPr>
          <w:rFonts w:ascii="宋体" w:hAnsi="Times New Roman" w:eastAsia="宋体" w:cs="宋体"/>
          <w:sz w:val="21"/>
          <w:szCs w:val="21"/>
        </w:rPr>
      </w:pPr>
      <w:r>
        <w:rPr>
          <w:rFonts w:hint="eastAsia" w:ascii="宋体" w:hAnsi="宋体" w:eastAsia="宋体" w:cs="宋体"/>
          <w:sz w:val="21"/>
          <w:szCs w:val="21"/>
        </w:rPr>
        <w:t>本合同未提及内容及不详之处，以采购文件、询问记录及与本合同有关的其他内容为准，都具有同等法律效力。</w:t>
      </w:r>
    </w:p>
    <w:p>
      <w:pPr>
        <w:adjustRightInd/>
        <w:spacing w:line="560" w:lineRule="exact"/>
        <w:rPr>
          <w:rFonts w:ascii="宋体" w:hAnsi="Times New Roman" w:eastAsia="宋体" w:cs="宋体"/>
          <w:sz w:val="21"/>
          <w:szCs w:val="21"/>
        </w:rPr>
      </w:pPr>
      <w:r>
        <w:rPr>
          <w:rFonts w:hint="eastAsia" w:ascii="宋体" w:hAnsi="宋体" w:eastAsia="宋体" w:cs="宋体"/>
          <w:sz w:val="21"/>
          <w:szCs w:val="21"/>
        </w:rPr>
        <w:t>十三、其它：</w:t>
      </w:r>
    </w:p>
    <w:p>
      <w:pPr>
        <w:adjustRightInd/>
        <w:spacing w:line="560" w:lineRule="exact"/>
        <w:ind w:firstLine="420" w:firstLineChars="200"/>
        <w:rPr>
          <w:rFonts w:ascii="宋体" w:hAnsi="Times New Roman"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本合同依法签订，即具有法律效力，未尽事宜由甲、乙双方协商解决，如协商不成，双方同意将本合同引起的争议提交甲方所在地人民法院裁决。</w:t>
      </w:r>
    </w:p>
    <w:p>
      <w:pPr>
        <w:adjustRightInd/>
        <w:spacing w:line="560" w:lineRule="exact"/>
        <w:ind w:firstLine="420" w:firstLineChars="200"/>
        <w:rPr>
          <w:rFonts w:hint="eastAsia"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本合同一式陆份，经甲、乙双方签字并盖章后生效。甲方执肆份，乙方、采购代理机构各执壹份。</w:t>
      </w:r>
    </w:p>
    <w:p>
      <w:pPr>
        <w:adjustRightInd/>
        <w:spacing w:line="5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3.后附《杭州职业技术学院采购廉洁协议》</w:t>
      </w:r>
    </w:p>
    <w:tbl>
      <w:tblPr>
        <w:tblStyle w:val="62"/>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4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1" w:hRule="exact"/>
        </w:trPr>
        <w:tc>
          <w:tcPr>
            <w:tcW w:w="4223" w:type="dxa"/>
            <w:vMerge w:val="restart"/>
            <w:vAlign w:val="center"/>
          </w:tcPr>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甲方</w:t>
            </w:r>
            <w:r>
              <w:rPr>
                <w:rFonts w:hint="default" w:ascii="宋体" w:hAnsi="宋体" w:eastAsia="宋体" w:cs="宋体"/>
                <w:sz w:val="21"/>
                <w:szCs w:val="21"/>
              </w:rPr>
              <w:t>(</w:t>
            </w:r>
            <w:r>
              <w:rPr>
                <w:rFonts w:hint="eastAsia" w:ascii="宋体" w:hAnsi="宋体" w:eastAsia="宋体" w:cs="宋体"/>
                <w:sz w:val="21"/>
                <w:szCs w:val="21"/>
              </w:rPr>
              <w:t>章</w:t>
            </w:r>
            <w:r>
              <w:rPr>
                <w:rFonts w:hint="default" w:ascii="宋体" w:hAnsi="宋体" w:eastAsia="宋体" w:cs="宋体"/>
                <w:sz w:val="21"/>
                <w:szCs w:val="21"/>
              </w:rPr>
              <w:t>)</w:t>
            </w:r>
            <w:r>
              <w:rPr>
                <w:rFonts w:hint="eastAsia" w:ascii="宋体" w:hAnsi="宋体" w:eastAsia="宋体" w:cs="宋体"/>
                <w:sz w:val="21"/>
                <w:szCs w:val="21"/>
              </w:rPr>
              <w:t>：杭州职业技术学院</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地址：杭州下沙高教园区学源街</w:t>
            </w:r>
            <w:r>
              <w:rPr>
                <w:rFonts w:hint="default" w:ascii="宋体" w:hAnsi="宋体" w:eastAsia="宋体" w:cs="宋体"/>
                <w:sz w:val="21"/>
                <w:szCs w:val="21"/>
              </w:rPr>
              <w:t>68</w:t>
            </w:r>
            <w:r>
              <w:rPr>
                <w:rFonts w:hint="eastAsia" w:ascii="宋体" w:hAnsi="宋体" w:eastAsia="宋体" w:cs="宋体"/>
                <w:sz w:val="21"/>
                <w:szCs w:val="21"/>
              </w:rPr>
              <w:t>号</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法定代表人：</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或委托代理人（签字）：</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电话：</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邮编：</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开户行：</w:t>
            </w:r>
            <w:r>
              <w:rPr>
                <w:rFonts w:hint="default" w:ascii="宋体" w:hAnsi="宋体" w:eastAsia="宋体" w:cs="宋体"/>
                <w:sz w:val="21"/>
                <w:szCs w:val="21"/>
              </w:rPr>
              <w:t xml:space="preserve"> </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帐户：</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税号：</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联系人</w:t>
            </w:r>
            <w:r>
              <w:rPr>
                <w:rFonts w:hint="default" w:ascii="宋体" w:hAnsi="宋体" w:eastAsia="宋体" w:cs="宋体"/>
                <w:sz w:val="21"/>
                <w:szCs w:val="21"/>
              </w:rPr>
              <w:t>/</w:t>
            </w:r>
            <w:r>
              <w:rPr>
                <w:rFonts w:hint="eastAsia" w:ascii="宋体" w:hAnsi="宋体" w:eastAsia="宋体" w:cs="宋体"/>
                <w:sz w:val="21"/>
                <w:szCs w:val="21"/>
              </w:rPr>
              <w:t>手机</w:t>
            </w:r>
          </w:p>
        </w:tc>
        <w:tc>
          <w:tcPr>
            <w:tcW w:w="4616" w:type="dxa"/>
            <w:vMerge w:val="restart"/>
            <w:tcBorders>
              <w:bottom w:val="nil"/>
            </w:tcBorders>
            <w:vAlign w:val="center"/>
          </w:tcPr>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乙方</w:t>
            </w:r>
            <w:r>
              <w:rPr>
                <w:rFonts w:hint="default" w:ascii="宋体" w:hAnsi="宋体" w:eastAsia="宋体" w:cs="宋体"/>
                <w:sz w:val="21"/>
                <w:szCs w:val="21"/>
              </w:rPr>
              <w:t>(</w:t>
            </w:r>
            <w:r>
              <w:rPr>
                <w:rFonts w:hint="eastAsia" w:ascii="宋体" w:hAnsi="宋体" w:eastAsia="宋体" w:cs="宋体"/>
                <w:sz w:val="21"/>
                <w:szCs w:val="21"/>
              </w:rPr>
              <w:t>章</w:t>
            </w:r>
            <w:r>
              <w:rPr>
                <w:rFonts w:hint="default" w:ascii="宋体" w:hAnsi="宋体" w:eastAsia="宋体" w:cs="宋体"/>
                <w:sz w:val="21"/>
                <w:szCs w:val="21"/>
              </w:rPr>
              <w:t>)</w:t>
            </w:r>
            <w:r>
              <w:rPr>
                <w:rFonts w:hint="eastAsia" w:ascii="宋体" w:hAnsi="宋体" w:eastAsia="宋体" w:cs="宋体"/>
                <w:sz w:val="21"/>
                <w:szCs w:val="21"/>
              </w:rPr>
              <w:t>：</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地址：</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法定代表人：</w:t>
            </w:r>
            <w:r>
              <w:rPr>
                <w:rFonts w:hint="default" w:ascii="宋体" w:hAnsi="宋体" w:eastAsia="宋体" w:cs="宋体"/>
                <w:sz w:val="21"/>
                <w:szCs w:val="21"/>
              </w:rPr>
              <w:t xml:space="preserve"> </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或委托代理人（签字）：</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电话：</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邮编：</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开户行：</w:t>
            </w:r>
            <w:r>
              <w:rPr>
                <w:rFonts w:hint="default" w:ascii="宋体" w:hAnsi="宋体" w:eastAsia="宋体" w:cs="宋体"/>
                <w:sz w:val="21"/>
                <w:szCs w:val="21"/>
              </w:rPr>
              <w:t xml:space="preserve"> </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帐户：</w:t>
            </w:r>
          </w:p>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r>
              <w:rPr>
                <w:rFonts w:hint="eastAsia" w:ascii="宋体" w:hAnsi="宋体" w:eastAsia="宋体" w:cs="宋体"/>
                <w:sz w:val="21"/>
                <w:szCs w:val="21"/>
              </w:rPr>
              <w:t>税号：</w:t>
            </w:r>
          </w:p>
          <w:p>
            <w:pPr>
              <w:keepNext/>
              <w:keepLines w:val="0"/>
              <w:suppressLineNumbers w:val="0"/>
              <w:adjustRightInd/>
              <w:spacing w:before="0" w:beforeAutospacing="0" w:after="0" w:afterAutospacing="0" w:line="560" w:lineRule="exact"/>
              <w:ind w:left="0" w:right="-107" w:rightChars="-51"/>
              <w:rPr>
                <w:rFonts w:hint="default" w:ascii="宋体" w:hAnsi="Times New Roman" w:eastAsia="宋体" w:cs="宋体"/>
                <w:sz w:val="21"/>
                <w:szCs w:val="21"/>
              </w:rPr>
            </w:pPr>
            <w:r>
              <w:rPr>
                <w:rFonts w:hint="eastAsia" w:ascii="宋体" w:hAnsi="宋体" w:eastAsia="宋体" w:cs="宋体"/>
                <w:sz w:val="21"/>
                <w:szCs w:val="21"/>
              </w:rPr>
              <w:t>联系人</w:t>
            </w:r>
            <w:r>
              <w:rPr>
                <w:rFonts w:hint="default" w:ascii="宋体" w:hAnsi="宋体" w:eastAsia="宋体" w:cs="宋体"/>
                <w:sz w:val="21"/>
                <w:szCs w:val="21"/>
              </w:rPr>
              <w:t>/</w:t>
            </w:r>
            <w:r>
              <w:rPr>
                <w:rFonts w:hint="eastAsia" w:ascii="宋体" w:hAnsi="宋体" w:eastAsia="宋体" w:cs="宋体"/>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trPr>
        <w:tc>
          <w:tcPr>
            <w:tcW w:w="4223" w:type="dxa"/>
            <w:vMerge w:val="continue"/>
          </w:tcPr>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p>
        </w:tc>
        <w:tc>
          <w:tcPr>
            <w:tcW w:w="4616" w:type="dxa"/>
            <w:vMerge w:val="continue"/>
            <w:tcBorders>
              <w:top w:val="nil"/>
            </w:tcBorders>
          </w:tcPr>
          <w:p>
            <w:pPr>
              <w:keepNext/>
              <w:keepLines w:val="0"/>
              <w:suppressLineNumbers w:val="0"/>
              <w:adjustRightInd/>
              <w:spacing w:before="0" w:beforeAutospacing="0" w:after="0" w:afterAutospacing="0" w:line="560" w:lineRule="exact"/>
              <w:ind w:left="0" w:right="0"/>
              <w:rPr>
                <w:rFonts w:hint="default" w:ascii="宋体" w:hAnsi="Times New Roman" w:eastAsia="宋体" w:cs="宋体"/>
                <w:sz w:val="21"/>
                <w:szCs w:val="21"/>
              </w:rPr>
            </w:pPr>
          </w:p>
        </w:tc>
      </w:tr>
    </w:tbl>
    <w:p>
      <w:pPr>
        <w:adjustRightInd/>
        <w:rPr>
          <w:rFonts w:ascii="宋体" w:hAnsi="宋体" w:eastAsia="宋体" w:cs="Times New Roman"/>
          <w:b/>
          <w:spacing w:val="-6"/>
          <w:sz w:val="24"/>
        </w:rPr>
      </w:pPr>
      <w:r>
        <w:rPr>
          <w:rFonts w:ascii="宋体" w:hAnsi="宋体" w:eastAsia="宋体" w:cs="Times New Roman"/>
          <w:b/>
          <w:spacing w:val="-6"/>
          <w:sz w:val="24"/>
        </w:rPr>
        <w:br w:type="page"/>
      </w:r>
    </w:p>
    <w:p>
      <w:pPr>
        <w:bidi w:val="0"/>
        <w:adjustRightInd/>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杭州职业技术学院采购廉洁协议</w:t>
      </w:r>
    </w:p>
    <w:p>
      <w:pPr>
        <w:bidi w:val="0"/>
        <w:adjustRightInd/>
        <w:spacing w:line="520" w:lineRule="exact"/>
        <w:jc w:val="center"/>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为做好采购廉政建设，实现该采购项目高效优质、廉洁安全，根据国家有关法律法规，采购人与中标人双方就</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采购项目（编号：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）签署《采购廉政协议》，承诺共同遵守。</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双方承诺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（一）采购人承诺</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1.不向中标人索要或接受中标人的财物或者各种名义的回扣、手续费。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2.不在中标人报销或由中标人支付任何应由个人负担的费用。</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3.采购人工作人员不接受中标人的可能影响公正执行公务的礼品馈赠、宴请以及高消费活动安排。</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4.不得要求或接受中标人为采购人个人及亲友提供有可能违反公平竞争的利益。</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5.采购人工作人员的配偶、子女及其配偶不得从事与采购人基本建设项目有关的经商办企业、社会中介服务等活动。</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采购人及其工作人员不得违规干预和插手基本建设项目的招投标、材料设备采购活动；不得违规干预与基本建设项目有关的设计、资金拨付、验收等重大事项；不得以任何理由向中标人推荐分包单位；不得要求中标人购买协议规定外的材料和设备。</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7.采购人及其工作人员不得泄露与项目有关的应当保密的信息、资料等机密事项。</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（二）中标人承诺</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1.诚实守信、依法办事，不从事损害国家利益、公共利益和采购人合法权益的活动，不以非法手段参与采购人基本建设项目。</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2.不向采购人及其工作人员给予财物或者各种名义的回扣、手续费。</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3.不为采购人及其工作人员报销或支付应由个人负担的费用。</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4.不向采购人工作人员提供礼品馈赠、宴请以及高消费活动安排。</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5.采购人工作人员有违反采购人承诺的，中标人拒绝无果，应当向采购人职能主管部门举报。</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二、违约责任</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（一）采购人违反承诺的，依照违规情节轻重，给予相关人员党纪、政务或组织处理；给中标人造成经济损失的，应予以赔偿。</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（二）中标人违反承诺，给采购人造成经济损失的，中标人以合同金额的30%为标准向采购人支付廉政违约金，同时，采购人建议工程建设主管部门给予中标人三年内不得进入其主管的工程建设市场的处罚。</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三、双方约定</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（一）本协议的履行情况由采购人、中标人双方上级主管部门负责监督检查，提出本协议规定范围内裁定意见。</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（二）本协议一式X份，采购人执X份，中标人执X份，经双方法定代表人或授权代表签订并盖公章后生效。</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采购人（公章）：              中标人（公章）：</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授权代表：                    授权代表：</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电话：                        电话：</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                     年  月  日</w:t>
      </w:r>
    </w:p>
    <w:p>
      <w:pPr>
        <w:rPr>
          <w:szCs w:val="21"/>
        </w:rPr>
      </w:pPr>
    </w:p>
    <w:p>
      <w:pPr>
        <w:widowControl/>
        <w:adjustRightInd/>
        <w:jc w:val="left"/>
        <w:rPr>
          <w:rFonts w:hint="eastAsia" w:ascii="宋体" w:hAnsi="宋体" w:cs="宋体"/>
          <w:b/>
          <w:szCs w:val="21"/>
        </w:rPr>
      </w:pPr>
      <w:r>
        <w:rPr>
          <w:rFonts w:hint="eastAsia" w:ascii="宋体" w:hAnsi="宋体" w:cs="宋体"/>
          <w:b/>
          <w:szCs w:val="21"/>
        </w:rPr>
        <w:br w:type="page"/>
      </w:r>
    </w:p>
    <w:p>
      <w:pPr>
        <w:snapToGrid w:val="0"/>
        <w:spacing w:line="360" w:lineRule="auto"/>
        <w:jc w:val="center"/>
        <w:outlineLvl w:val="0"/>
        <w:rPr>
          <w:rFonts w:hint="eastAsia" w:ascii="宋体" w:hAnsi="宋体" w:cs="宋体"/>
          <w:b/>
          <w:szCs w:val="21"/>
        </w:rPr>
      </w:pPr>
      <w:r>
        <w:rPr>
          <w:rFonts w:hint="eastAsia" w:ascii="宋体" w:hAnsi="宋体" w:cs="宋体"/>
          <w:b/>
          <w:szCs w:val="21"/>
        </w:rPr>
        <w:t>第六部分</w:t>
      </w:r>
      <w:bookmarkEnd w:id="399"/>
      <w:r>
        <w:rPr>
          <w:rFonts w:hint="eastAsia" w:ascii="宋体" w:hAnsi="宋体" w:cs="宋体"/>
          <w:b/>
          <w:szCs w:val="21"/>
        </w:rPr>
        <w:t xml:space="preserve"> </w:t>
      </w:r>
      <w:bookmarkEnd w:id="400"/>
      <w:r>
        <w:rPr>
          <w:rFonts w:hint="eastAsia" w:ascii="宋体" w:hAnsi="宋体" w:cs="宋体"/>
          <w:b/>
          <w:szCs w:val="21"/>
        </w:rPr>
        <w:t>应提交的有关格式范例</w:t>
      </w:r>
    </w:p>
    <w:p>
      <w:pPr>
        <w:snapToGrid w:val="0"/>
        <w:spacing w:line="360" w:lineRule="auto"/>
        <w:jc w:val="center"/>
        <w:rPr>
          <w:rFonts w:hint="eastAsia" w:ascii="宋体" w:hAnsi="宋体" w:cs="宋体"/>
          <w:b/>
          <w:kern w:val="0"/>
          <w:szCs w:val="21"/>
        </w:rPr>
      </w:pPr>
    </w:p>
    <w:p>
      <w:pPr>
        <w:snapToGrid w:val="0"/>
        <w:spacing w:line="360" w:lineRule="auto"/>
        <w:jc w:val="center"/>
        <w:outlineLvl w:val="1"/>
        <w:rPr>
          <w:rFonts w:hint="eastAsia" w:ascii="宋体" w:hAnsi="宋体" w:cs="宋体"/>
          <w:b/>
          <w:kern w:val="0"/>
          <w:szCs w:val="21"/>
        </w:rPr>
      </w:pPr>
      <w:r>
        <w:rPr>
          <w:rFonts w:hint="eastAsia" w:ascii="宋体" w:hAnsi="宋体" w:cs="宋体"/>
          <w:b/>
          <w:kern w:val="0"/>
          <w:szCs w:val="21"/>
        </w:rPr>
        <w:t>资格文件部分</w:t>
      </w:r>
    </w:p>
    <w:p>
      <w:pPr>
        <w:snapToGrid w:val="0"/>
        <w:spacing w:line="360" w:lineRule="auto"/>
        <w:jc w:val="center"/>
        <w:rPr>
          <w:rFonts w:hint="eastAsia" w:ascii="宋体" w:hAnsi="宋体" w:cs="宋体"/>
          <w:b/>
          <w:kern w:val="0"/>
          <w:szCs w:val="21"/>
        </w:rPr>
      </w:pPr>
      <w:r>
        <w:rPr>
          <w:rFonts w:hint="eastAsia" w:ascii="宋体" w:hAnsi="宋体" w:cs="宋体"/>
          <w:b/>
          <w:kern w:val="0"/>
          <w:szCs w:val="21"/>
        </w:rPr>
        <w:t>目录</w:t>
      </w:r>
    </w:p>
    <w:p>
      <w:pPr>
        <w:snapToGrid w:val="0"/>
        <w:spacing w:line="360" w:lineRule="auto"/>
        <w:jc w:val="center"/>
        <w:rPr>
          <w:rFonts w:hint="eastAsia" w:ascii="宋体" w:hAnsi="宋体" w:cs="宋体"/>
          <w:szCs w:val="21"/>
        </w:rPr>
      </w:pPr>
      <w:r>
        <w:rPr>
          <w:rFonts w:hint="eastAsia" w:ascii="宋体" w:hAnsi="宋体" w:cs="宋体"/>
          <w:szCs w:val="21"/>
        </w:rPr>
        <w:t>（1）符合参加政府采购活动应当具备的一般条件的承诺函……………（页码）</w:t>
      </w:r>
    </w:p>
    <w:p>
      <w:pPr>
        <w:snapToGrid w:val="0"/>
        <w:spacing w:line="360" w:lineRule="auto"/>
        <w:jc w:val="center"/>
        <w:rPr>
          <w:rFonts w:hint="eastAsia"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pPr>
        <w:snapToGrid w:val="0"/>
        <w:spacing w:line="360" w:lineRule="auto"/>
        <w:jc w:val="center"/>
        <w:outlineLvl w:val="2"/>
        <w:rPr>
          <w:rFonts w:hint="eastAsia"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pPr>
        <w:snapToGrid w:val="0"/>
        <w:spacing w:line="360" w:lineRule="auto"/>
        <w:rPr>
          <w:rFonts w:hint="eastAsia" w:ascii="宋体" w:hAnsi="宋体" w:cs="宋体"/>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我方参与</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】政府采购活动，郑重承诺：</w:t>
      </w:r>
    </w:p>
    <w:p>
      <w:pPr>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pPr>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pPr>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pPr>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pPr>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投标人名称(电子签名)：</w:t>
      </w:r>
    </w:p>
    <w:p>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rPr>
          <w:rFonts w:hint="eastAsia" w:ascii="宋体" w:hAnsi="宋体" w:cs="宋体"/>
          <w:kern w:val="0"/>
          <w:szCs w:val="21"/>
          <w:lang w:val="zh-CN"/>
        </w:rPr>
      </w:pPr>
      <w:r>
        <w:rPr>
          <w:rFonts w:hint="eastAsia" w:ascii="宋体" w:hAnsi="宋体" w:cs="宋体"/>
          <w:kern w:val="0"/>
          <w:szCs w:val="21"/>
          <w:lang w:val="zh-CN"/>
        </w:rPr>
        <w:br w:type="page"/>
      </w:r>
    </w:p>
    <w:p>
      <w:pPr>
        <w:rPr>
          <w:rFonts w:hint="eastAsia" w:ascii="宋体" w:hAnsi="宋体" w:cs="宋体"/>
          <w:szCs w:val="21"/>
        </w:rPr>
      </w:pP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二、联合协议（如果有）</w:t>
      </w:r>
    </w:p>
    <w:p>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cs="宋体"/>
          <w:b/>
          <w:kern w:val="0"/>
          <w:szCs w:val="21"/>
        </w:rPr>
      </w:pPr>
    </w:p>
    <w:p>
      <w:pPr>
        <w:snapToGrid w:val="0"/>
        <w:spacing w:line="360" w:lineRule="auto"/>
        <w:ind w:right="480"/>
        <w:jc w:val="center"/>
        <w:rPr>
          <w:rFonts w:hint="eastAsia" w:ascii="宋体" w:hAnsi="宋体" w:cs="宋体"/>
          <w:b/>
          <w:kern w:val="0"/>
          <w:szCs w:val="21"/>
        </w:rPr>
      </w:pP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三、落实政府采购政策需满足的资格要求</w:t>
      </w:r>
    </w:p>
    <w:p>
      <w:pPr>
        <w:spacing w:line="360" w:lineRule="auto"/>
        <w:rPr>
          <w:rFonts w:hint="eastAsia"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hint="eastAsia"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.专门面向中小企业，货物全部由符合政策要求的中小企业（或小微企业）制造的，提供相应的中小企业声明函。</w:t>
      </w:r>
    </w:p>
    <w:p>
      <w:pPr>
        <w:snapToGrid w:val="0"/>
        <w:spacing w:before="50" w:after="50" w:line="360" w:lineRule="auto"/>
        <w:ind w:firstLine="411" w:firstLineChars="196"/>
        <w:jc w:val="left"/>
        <w:rPr>
          <w:rFonts w:hint="eastAsia" w:ascii="宋体" w:hAnsi="宋体" w:cs="宋体"/>
          <w:szCs w:val="21"/>
        </w:rPr>
      </w:pPr>
      <w:r>
        <w:rPr>
          <w:rFonts w:hint="eastAsia" w:ascii="宋体" w:hAnsi="宋体" w:cs="宋体"/>
          <w:szCs w:val="21"/>
        </w:rPr>
        <w:t xml:space="preserve"> </w:t>
      </w:r>
    </w:p>
    <w:p>
      <w:pPr>
        <w:widowControl/>
        <w:spacing w:line="360" w:lineRule="auto"/>
        <w:ind w:firstLine="480"/>
        <w:jc w:val="left"/>
        <w:rPr>
          <w:rFonts w:hint="eastAsia" w:ascii="宋体" w:hAnsi="宋体" w:cs="宋体"/>
          <w:szCs w:val="21"/>
        </w:rPr>
      </w:pPr>
    </w:p>
    <w:p>
      <w:pPr>
        <w:widowControl/>
        <w:spacing w:line="360" w:lineRule="auto"/>
        <w:ind w:firstLine="413" w:firstLineChars="196"/>
        <w:jc w:val="left"/>
        <w:rPr>
          <w:rFonts w:hint="eastAsia"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cs="宋体"/>
          <w:szCs w:val="21"/>
        </w:rPr>
      </w:pPr>
      <w:r>
        <w:rPr>
          <w:rFonts w:hint="eastAsia" w:ascii="宋体" w:hAnsi="宋体" w:cs="宋体"/>
          <w:b/>
          <w:szCs w:val="21"/>
        </w:rPr>
        <w:t xml:space="preserve">    </w:t>
      </w:r>
    </w:p>
    <w:p>
      <w:pPr>
        <w:spacing w:line="360" w:lineRule="auto"/>
        <w:ind w:firstLine="422" w:firstLineChars="200"/>
        <w:rPr>
          <w:rFonts w:hint="eastAsia"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pPr>
        <w:widowControl/>
        <w:spacing w:line="360" w:lineRule="auto"/>
        <w:ind w:left="150"/>
        <w:jc w:val="cente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br w:type="page"/>
      </w:r>
    </w:p>
    <w:p>
      <w:pPr>
        <w:spacing w:line="360" w:lineRule="auto"/>
        <w:jc w:val="center"/>
        <w:rPr>
          <w:rFonts w:hint="eastAsia" w:ascii="宋体" w:hAnsi="宋体" w:eastAsia="宋体" w:cs="宋体"/>
          <w:b/>
          <w:szCs w:val="21"/>
        </w:rPr>
      </w:pPr>
      <w:r>
        <w:rPr>
          <w:rFonts w:hint="eastAsia" w:ascii="宋体" w:hAnsi="宋体" w:eastAsia="宋体" w:cs="宋体"/>
          <w:b/>
          <w:szCs w:val="21"/>
        </w:rPr>
        <w:t>中小企业声明函（货物）</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本公司（联合体）郑重声明，根据《政府采购促进中小企业发展管理办法》（财库﹝2020﹞46 号）的规定，本公司（联合体）参加 </w:t>
      </w:r>
      <w:r>
        <w:rPr>
          <w:rFonts w:hint="eastAsia" w:ascii="宋体" w:hAnsi="宋体" w:eastAsia="宋体" w:cs="宋体"/>
          <w:szCs w:val="21"/>
          <w:u w:val="single"/>
          <w:lang w:eastAsia="zh-CN"/>
        </w:rPr>
        <w:t>杭州职业技术学院</w:t>
      </w:r>
      <w:r>
        <w:rPr>
          <w:rFonts w:hint="eastAsia" w:ascii="宋体" w:hAnsi="宋体" w:eastAsia="宋体" w:cs="宋体"/>
          <w:szCs w:val="21"/>
          <w:u w:val="single"/>
        </w:rPr>
        <w:t xml:space="preserve"> </w:t>
      </w:r>
      <w:r>
        <w:rPr>
          <w:rFonts w:hint="eastAsia" w:ascii="宋体" w:hAnsi="宋体" w:eastAsia="宋体" w:cs="宋体"/>
          <w:szCs w:val="21"/>
        </w:rPr>
        <w:t xml:space="preserve">的 </w:t>
      </w:r>
      <w:r>
        <w:rPr>
          <w:rFonts w:hint="eastAsia" w:ascii="宋体" w:hAnsi="宋体" w:eastAsia="宋体" w:cs="宋体"/>
          <w:szCs w:val="21"/>
          <w:u w:val="single"/>
          <w:lang w:eastAsia="zh-CN"/>
        </w:rPr>
        <w:t>新能源汽车关键零部件实训室</w:t>
      </w:r>
      <w:r>
        <w:rPr>
          <w:rFonts w:hint="eastAsia" w:ascii="宋体" w:hAnsi="宋体" w:eastAsia="宋体" w:cs="宋体"/>
          <w:szCs w:val="21"/>
        </w:rPr>
        <w:t xml:space="preserve"> 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szCs w:val="21"/>
          <w:u w:val="single"/>
        </w:rPr>
        <w:t>混合动力汽车驱动系统实训平台（标的名称）</w:t>
      </w:r>
      <w:r>
        <w:rPr>
          <w:rFonts w:hint="eastAsia" w:ascii="宋体" w:hAnsi="宋体" w:eastAsia="宋体" w:cs="宋体"/>
          <w:szCs w:val="21"/>
        </w:rPr>
        <w:t xml:space="preserve"> ，属于</w:t>
      </w:r>
      <w:r>
        <w:rPr>
          <w:rFonts w:hint="eastAsia" w:ascii="宋体" w:hAnsi="宋体" w:eastAsia="宋体" w:cs="宋体"/>
          <w:szCs w:val="21"/>
          <w:u w:val="single"/>
        </w:rPr>
        <w:t xml:space="preserve"> 工业（采购文件中明确的所属行业）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 xml:space="preserve">. </w:t>
      </w:r>
      <w:r>
        <w:rPr>
          <w:rFonts w:hint="eastAsia" w:ascii="宋体" w:hAnsi="宋体" w:eastAsia="宋体" w:cs="宋体"/>
          <w:szCs w:val="21"/>
          <w:u w:val="single"/>
          <w:lang w:val="en-US" w:eastAsia="zh-CN"/>
        </w:rPr>
        <w:t>电动汽车整车CAN控制实训台</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 xml:space="preserve">. </w:t>
      </w:r>
      <w:r>
        <w:rPr>
          <w:rFonts w:hint="eastAsia" w:ascii="宋体" w:hAnsi="宋体" w:eastAsia="宋体" w:cs="宋体"/>
          <w:szCs w:val="21"/>
          <w:u w:val="single"/>
          <w:lang w:val="en-US" w:eastAsia="zh-CN"/>
        </w:rPr>
        <w:t>混合动力整车CAN控制实训台</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 xml:space="preserve">. </w:t>
      </w:r>
      <w:r>
        <w:rPr>
          <w:rFonts w:hint="eastAsia" w:ascii="宋体" w:hAnsi="宋体" w:eastAsia="宋体" w:cs="宋体"/>
          <w:szCs w:val="21"/>
          <w:u w:val="single"/>
          <w:lang w:val="en-US" w:eastAsia="zh-CN"/>
        </w:rPr>
        <w:t>CAN分析仪</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 xml:space="preserve">. </w:t>
      </w:r>
      <w:r>
        <w:rPr>
          <w:rFonts w:hint="eastAsia" w:ascii="宋体" w:hAnsi="宋体" w:eastAsia="宋体" w:cs="宋体"/>
          <w:szCs w:val="21"/>
          <w:u w:val="single"/>
          <w:lang w:val="en-US" w:eastAsia="zh-CN"/>
        </w:rPr>
        <w:t>新能源汽车动力电池PACK装调实训平台</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 xml:space="preserve">. </w:t>
      </w:r>
      <w:r>
        <w:rPr>
          <w:rFonts w:hint="eastAsia" w:ascii="宋体" w:hAnsi="宋体" w:eastAsia="宋体" w:cs="宋体"/>
          <w:szCs w:val="21"/>
          <w:u w:val="single"/>
          <w:lang w:val="en-US" w:eastAsia="zh-CN"/>
        </w:rPr>
        <w:t>纯电动汽车空调和暖风实训台</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u w:val="single"/>
          <w:lang w:val="en-US" w:eastAsia="zh-CN"/>
        </w:rPr>
        <w:t>混合动力汽车空调和暖风实训台</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 xml:space="preserve">. </w:t>
      </w:r>
      <w:r>
        <w:rPr>
          <w:rFonts w:hint="eastAsia" w:ascii="宋体" w:hAnsi="宋体" w:eastAsia="宋体" w:cs="宋体"/>
          <w:szCs w:val="21"/>
          <w:u w:val="single"/>
          <w:lang w:val="en-US" w:eastAsia="zh-CN"/>
        </w:rPr>
        <w:t>压缩机检测仪</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 xml:space="preserve">. </w:t>
      </w:r>
      <w:r>
        <w:rPr>
          <w:rFonts w:hint="eastAsia" w:ascii="宋体" w:hAnsi="宋体" w:eastAsia="宋体" w:cs="宋体"/>
          <w:szCs w:val="21"/>
          <w:u w:val="single"/>
          <w:lang w:val="en-US" w:eastAsia="zh-CN"/>
        </w:rPr>
        <w:t>冷媒回收加注机</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工业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10</w:t>
      </w:r>
      <w:r>
        <w:rPr>
          <w:rFonts w:hint="eastAsia" w:ascii="宋体" w:hAnsi="宋体" w:eastAsia="宋体" w:cs="宋体"/>
          <w:szCs w:val="21"/>
        </w:rPr>
        <w:t xml:space="preserve">. </w:t>
      </w:r>
      <w:r>
        <w:rPr>
          <w:rFonts w:hint="eastAsia" w:ascii="宋体" w:hAnsi="宋体" w:eastAsia="宋体" w:cs="宋体"/>
          <w:szCs w:val="21"/>
          <w:u w:val="single"/>
          <w:lang w:val="en-US" w:eastAsia="zh-CN"/>
        </w:rPr>
        <w:t>全自动泊车系统实验系统</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11</w:t>
      </w:r>
      <w:r>
        <w:rPr>
          <w:rFonts w:hint="eastAsia" w:ascii="宋体" w:hAnsi="宋体" w:eastAsia="宋体" w:cs="宋体"/>
          <w:szCs w:val="21"/>
        </w:rPr>
        <w:t xml:space="preserve">. </w:t>
      </w:r>
      <w:r>
        <w:rPr>
          <w:rFonts w:hint="eastAsia" w:ascii="宋体" w:hAnsi="宋体" w:eastAsia="宋体" w:cs="宋体"/>
          <w:szCs w:val="21"/>
          <w:u w:val="single"/>
          <w:lang w:val="en-US" w:eastAsia="zh-CN"/>
        </w:rPr>
        <w:t>激光雷达实验系统</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12</w:t>
      </w:r>
      <w:r>
        <w:rPr>
          <w:rFonts w:hint="eastAsia" w:ascii="宋体" w:hAnsi="宋体" w:eastAsia="宋体" w:cs="宋体"/>
          <w:szCs w:val="21"/>
        </w:rPr>
        <w:t xml:space="preserve">. </w:t>
      </w:r>
      <w:r>
        <w:rPr>
          <w:rFonts w:hint="eastAsia" w:ascii="宋体" w:hAnsi="宋体" w:eastAsia="宋体" w:cs="宋体"/>
          <w:szCs w:val="21"/>
          <w:u w:val="single"/>
          <w:lang w:val="en-US" w:eastAsia="zh-CN"/>
        </w:rPr>
        <w:t>带紧急制动辅助的自适应巡航实验系统</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13</w:t>
      </w:r>
      <w:r>
        <w:rPr>
          <w:rFonts w:hint="eastAsia" w:ascii="宋体" w:hAnsi="宋体" w:eastAsia="宋体" w:cs="宋体"/>
          <w:szCs w:val="21"/>
        </w:rPr>
        <w:t xml:space="preserve">. </w:t>
      </w:r>
      <w:r>
        <w:rPr>
          <w:rFonts w:hint="eastAsia" w:ascii="宋体" w:hAnsi="宋体" w:eastAsia="宋体" w:cs="宋体"/>
          <w:szCs w:val="21"/>
          <w:u w:val="single"/>
          <w:lang w:val="en-US" w:eastAsia="zh-CN"/>
        </w:rPr>
        <w:t>主动车道辅助实验系统</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14</w:t>
      </w:r>
      <w:r>
        <w:rPr>
          <w:rFonts w:hint="eastAsia" w:ascii="宋体" w:hAnsi="宋体" w:eastAsia="宋体" w:cs="宋体"/>
          <w:szCs w:val="21"/>
        </w:rPr>
        <w:t xml:space="preserve">. </w:t>
      </w:r>
      <w:r>
        <w:rPr>
          <w:rFonts w:hint="eastAsia" w:ascii="宋体" w:hAnsi="宋体" w:eastAsia="宋体" w:cs="宋体"/>
          <w:szCs w:val="21"/>
          <w:u w:val="single"/>
          <w:lang w:val="en-US" w:eastAsia="zh-CN"/>
        </w:rPr>
        <w:t>汽车仿真实训课程：新能源汽车DC/DC升压变换</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15</w:t>
      </w:r>
      <w:r>
        <w:rPr>
          <w:rFonts w:hint="eastAsia" w:ascii="宋体" w:hAnsi="宋体" w:eastAsia="宋体" w:cs="宋体"/>
          <w:szCs w:val="21"/>
        </w:rPr>
        <w:t xml:space="preserve">. </w:t>
      </w:r>
      <w:r>
        <w:rPr>
          <w:rFonts w:hint="eastAsia" w:ascii="宋体" w:hAnsi="宋体" w:eastAsia="宋体" w:cs="宋体"/>
          <w:szCs w:val="21"/>
          <w:u w:val="single"/>
          <w:lang w:val="en-US" w:eastAsia="zh-CN"/>
        </w:rPr>
        <w:t>汽车仿真实训课程：新能源汽车DC/DC降压变换</w:t>
      </w:r>
      <w:r>
        <w:rPr>
          <w:rFonts w:hint="eastAsia" w:ascii="宋体" w:hAnsi="宋体" w:eastAsia="宋体" w:cs="宋体"/>
          <w:szCs w:val="21"/>
          <w:u w:val="single"/>
        </w:rPr>
        <w:t>（标的名称）</w:t>
      </w:r>
      <w:r>
        <w:rPr>
          <w:rFonts w:hint="eastAsia" w:ascii="宋体" w:hAnsi="宋体" w:eastAsia="宋体" w:cs="宋体"/>
          <w:szCs w:val="21"/>
        </w:rPr>
        <w:t xml:space="preserve"> ，属于 </w:t>
      </w:r>
      <w:r>
        <w:rPr>
          <w:rFonts w:hint="eastAsia" w:ascii="宋体" w:hAnsi="宋体" w:eastAsia="宋体" w:cs="宋体"/>
          <w:szCs w:val="21"/>
          <w:u w:val="single"/>
          <w:lang w:val="en-US" w:eastAsia="zh-CN"/>
        </w:rPr>
        <w:t>软件和信息技术服务业</w:t>
      </w:r>
      <w:r>
        <w:rPr>
          <w:rFonts w:hint="eastAsia" w:ascii="宋体" w:hAnsi="宋体" w:eastAsia="宋体" w:cs="宋体"/>
          <w:szCs w:val="21"/>
          <w:u w:val="single"/>
        </w:rPr>
        <w:t>（采购文件中明确的所属行业）</w:t>
      </w:r>
      <w:r>
        <w:rPr>
          <w:rFonts w:hint="eastAsia" w:ascii="宋体" w:hAnsi="宋体" w:eastAsia="宋体" w:cs="宋体"/>
          <w:szCs w:val="21"/>
        </w:rPr>
        <w:t>行业 ；制造商为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（企业名称）</w:t>
      </w:r>
      <w:r>
        <w:rPr>
          <w:rFonts w:hint="eastAsia" w:ascii="宋体" w:hAnsi="宋体" w:eastAsia="宋体" w:cs="宋体"/>
          <w:szCs w:val="21"/>
        </w:rPr>
        <w:t xml:space="preserve"> ，从业人员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（中型企业、小型企业、微型企业）</w:t>
      </w: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snapToGrid w:val="0"/>
        <w:spacing w:line="360" w:lineRule="auto"/>
        <w:ind w:firstLine="4515" w:firstLineChars="2150"/>
        <w:rPr>
          <w:rFonts w:hint="eastAsia" w:ascii="宋体" w:hAnsi="宋体" w:eastAsia="宋体" w:cs="宋体"/>
          <w:kern w:val="0"/>
          <w:szCs w:val="21"/>
        </w:rPr>
      </w:pPr>
      <w:r>
        <w:rPr>
          <w:rFonts w:hint="eastAsia" w:ascii="宋体" w:hAnsi="宋体" w:eastAsia="宋体" w:cs="宋体"/>
          <w:kern w:val="0"/>
          <w:szCs w:val="21"/>
          <w:lang w:val="zh-CN"/>
        </w:rPr>
        <w:t>投标人名称(电子签名)：</w:t>
      </w:r>
    </w:p>
    <w:p>
      <w:pPr>
        <w:snapToGrid w:val="0"/>
        <w:spacing w:line="360" w:lineRule="auto"/>
        <w:rPr>
          <w:rFonts w:hint="eastAsia" w:ascii="宋体" w:hAnsi="宋体" w:eastAsia="宋体" w:cs="宋体"/>
          <w:kern w:val="0"/>
          <w:szCs w:val="21"/>
          <w:lang w:val="zh-CN"/>
        </w:rPr>
      </w:pPr>
      <w:r>
        <w:rPr>
          <w:rFonts w:hint="eastAsia" w:ascii="宋体" w:hAnsi="宋体" w:eastAsia="宋体" w:cs="宋体"/>
          <w:kern w:val="0"/>
          <w:szCs w:val="21"/>
          <w:lang w:val="zh-CN"/>
        </w:rPr>
        <w:t xml:space="preserve">                                           日期</w:t>
      </w:r>
      <w:r>
        <w:rPr>
          <w:rFonts w:hint="eastAsia" w:ascii="宋体" w:hAnsi="宋体" w:eastAsia="宋体" w:cs="宋体"/>
          <w:kern w:val="0"/>
          <w:szCs w:val="21"/>
        </w:rPr>
        <w:t xml:space="preserve">：  年  </w:t>
      </w:r>
      <w:r>
        <w:rPr>
          <w:rFonts w:hint="eastAsia" w:ascii="宋体" w:hAnsi="宋体" w:eastAsia="宋体" w:cs="宋体"/>
          <w:kern w:val="0"/>
          <w:szCs w:val="21"/>
          <w:lang w:val="zh-CN"/>
        </w:rPr>
        <w:t>月</w:t>
      </w:r>
      <w:r>
        <w:rPr>
          <w:rFonts w:hint="eastAsia" w:ascii="宋体" w:hAnsi="宋体" w:eastAsia="宋体" w:cs="宋体"/>
          <w:kern w:val="0"/>
          <w:szCs w:val="21"/>
        </w:rPr>
        <w:t xml:space="preserve">   </w:t>
      </w:r>
      <w:r>
        <w:rPr>
          <w:rFonts w:hint="eastAsia" w:ascii="宋体" w:hAnsi="宋体" w:eastAsia="宋体" w:cs="宋体"/>
          <w:kern w:val="0"/>
          <w:szCs w:val="21"/>
          <w:lang w:val="zh-CN"/>
        </w:rPr>
        <w:t>日</w:t>
      </w:r>
    </w:p>
    <w:p>
      <w:pPr>
        <w:spacing w:line="360" w:lineRule="auto"/>
        <w:ind w:right="420" w:firstLine="420" w:firstLineChars="200"/>
        <w:rPr>
          <w:rFonts w:ascii="宋体" w:hAnsi="宋体" w:eastAsia="宋体" w:cs="宋体"/>
          <w:szCs w:val="21"/>
        </w:rPr>
      </w:pPr>
    </w:p>
    <w:p>
      <w:pPr>
        <w:spacing w:line="360" w:lineRule="auto"/>
        <w:ind w:right="420" w:firstLine="420" w:firstLineChars="200"/>
        <w:rPr>
          <w:rFonts w:hint="eastAsia" w:ascii="宋体" w:hAnsi="宋体" w:eastAsia="宋体" w:cs="宋体"/>
          <w:szCs w:val="21"/>
        </w:rPr>
      </w:pPr>
      <w:r>
        <w:rPr>
          <w:rFonts w:hint="eastAsia" w:ascii="宋体" w:hAnsi="宋体" w:eastAsia="宋体" w:cs="宋体"/>
          <w:szCs w:val="21"/>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hint="eastAsia" w:ascii="宋体" w:hAnsi="宋体" w:eastAsia="宋体" w:cs="宋体"/>
          <w:b/>
          <w:szCs w:val="21"/>
        </w:rPr>
      </w:pPr>
    </w:p>
    <w:p>
      <w:pPr>
        <w:spacing w:line="360" w:lineRule="auto"/>
        <w:rPr>
          <w:rFonts w:hint="eastAsia" w:ascii="宋体" w:hAnsi="宋体" w:eastAsia="宋体" w:cs="宋体"/>
          <w:bCs/>
          <w:szCs w:val="21"/>
        </w:rPr>
      </w:pPr>
    </w:p>
    <w:p>
      <w:pPr>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四、本项目的特定资格要求</w:t>
      </w:r>
    </w:p>
    <w:p>
      <w:pPr>
        <w:spacing w:line="360" w:lineRule="auto"/>
        <w:jc w:val="center"/>
        <w:rPr>
          <w:rFonts w:hint="eastAsia" w:ascii="宋体" w:hAnsi="宋体" w:cs="宋体"/>
          <w:szCs w:val="21"/>
        </w:rPr>
      </w:pPr>
      <w:r>
        <w:rPr>
          <w:rFonts w:hint="eastAsia" w:ascii="宋体" w:hAnsi="宋体" w:cs="宋体"/>
          <w:szCs w:val="21"/>
        </w:rPr>
        <w:t>（根据招标公告本项目的特定资格要求提供相应的材料；未要求的，无需提供）</w:t>
      </w:r>
    </w:p>
    <w:p>
      <w:pPr>
        <w:rPr>
          <w:rFonts w:hint="eastAsia" w:ascii="宋体" w:hAnsi="宋体" w:cs="宋体"/>
          <w:szCs w:val="21"/>
        </w:rPr>
      </w:pPr>
    </w:p>
    <w:p>
      <w:pPr>
        <w:widowControl/>
        <w:adjustRightInd/>
        <w:jc w:val="left"/>
        <w:rPr>
          <w:rFonts w:hint="eastAsia" w:ascii="宋体" w:hAnsi="宋体" w:cs="宋体"/>
          <w:b/>
          <w:kern w:val="0"/>
          <w:szCs w:val="21"/>
        </w:rPr>
      </w:pPr>
      <w:r>
        <w:rPr>
          <w:rFonts w:ascii="宋体" w:hAnsi="宋体" w:cs="宋体"/>
          <w:b/>
          <w:kern w:val="0"/>
          <w:szCs w:val="21"/>
        </w:rPr>
        <w:br w:type="page"/>
      </w:r>
    </w:p>
    <w:p>
      <w:pPr>
        <w:snapToGrid w:val="0"/>
        <w:spacing w:line="360" w:lineRule="auto"/>
        <w:jc w:val="center"/>
        <w:outlineLvl w:val="1"/>
        <w:rPr>
          <w:rFonts w:hint="eastAsia" w:ascii="宋体" w:hAnsi="宋体" w:cs="宋体"/>
          <w:b/>
          <w:kern w:val="0"/>
          <w:szCs w:val="21"/>
        </w:rPr>
      </w:pPr>
      <w:r>
        <w:rPr>
          <w:rFonts w:hint="eastAsia" w:ascii="宋体" w:hAnsi="宋体" w:cs="宋体"/>
          <w:b/>
          <w:kern w:val="0"/>
          <w:szCs w:val="21"/>
        </w:rPr>
        <w:t>商务技术文件部分</w:t>
      </w:r>
    </w:p>
    <w:p>
      <w:pPr>
        <w:spacing w:line="360" w:lineRule="auto"/>
        <w:jc w:val="center"/>
        <w:rPr>
          <w:rFonts w:hint="eastAsia" w:ascii="宋体" w:hAnsi="宋体" w:cs="宋体"/>
          <w:b/>
          <w:kern w:val="0"/>
          <w:szCs w:val="21"/>
        </w:rPr>
      </w:pPr>
      <w:r>
        <w:rPr>
          <w:rFonts w:hint="eastAsia" w:ascii="宋体" w:hAnsi="宋体" w:cs="宋体"/>
          <w:b/>
          <w:kern w:val="0"/>
          <w:szCs w:val="21"/>
        </w:rPr>
        <w:t>目录</w:t>
      </w:r>
    </w:p>
    <w:p>
      <w:pPr>
        <w:snapToGrid w:val="0"/>
        <w:spacing w:line="360" w:lineRule="auto"/>
        <w:jc w:val="center"/>
        <w:rPr>
          <w:rFonts w:hint="eastAsia" w:ascii="宋体" w:hAnsi="宋体" w:cs="宋体"/>
          <w:szCs w:val="21"/>
        </w:rPr>
      </w:pPr>
      <w:r>
        <w:rPr>
          <w:rFonts w:hint="eastAsia" w:ascii="宋体" w:hAnsi="宋体" w:cs="宋体"/>
          <w:szCs w:val="21"/>
        </w:rPr>
        <w:t>（1）投标函…………………………………………………………………………………（页码）</w:t>
      </w:r>
    </w:p>
    <w:p>
      <w:pPr>
        <w:snapToGrid w:val="0"/>
        <w:spacing w:line="360" w:lineRule="auto"/>
        <w:jc w:val="center"/>
        <w:rPr>
          <w:rFonts w:hint="eastAsia" w:ascii="宋体" w:hAnsi="宋体" w:cs="宋体"/>
          <w:szCs w:val="21"/>
        </w:rPr>
      </w:pPr>
      <w:r>
        <w:rPr>
          <w:rFonts w:hint="eastAsia" w:ascii="宋体" w:hAnsi="宋体" w:cs="宋体"/>
          <w:szCs w:val="21"/>
        </w:rPr>
        <w:t>（2）授权委托书或法定代表人（单位负责人、自然人本人）身份证明………………（页码）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）评标标准相应的商务技术资料………………………………………………………（页码）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）货物配置清单…………………………………………………………………………（页码）</w:t>
      </w:r>
    </w:p>
    <w:p>
      <w:pPr>
        <w:snapToGrid w:val="0"/>
        <w:spacing w:line="360" w:lineRule="auto"/>
        <w:jc w:val="center"/>
        <w:rPr>
          <w:rFonts w:hint="eastAsia"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pPr>
        <w:snapToGrid w:val="0"/>
        <w:spacing w:line="360" w:lineRule="auto"/>
        <w:jc w:val="center"/>
        <w:rPr>
          <w:rFonts w:hint="eastAsia" w:ascii="宋体" w:hAnsi="宋体" w:cs="宋体"/>
          <w:szCs w:val="21"/>
        </w:rPr>
      </w:pP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widowControl/>
        <w:adjustRightInd/>
        <w:jc w:val="left"/>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2"/>
        <w:rPr>
          <w:rFonts w:hint="eastAsia"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pPr>
        <w:snapToGrid w:val="0"/>
        <w:spacing w:line="360" w:lineRule="auto"/>
        <w:rPr>
          <w:rFonts w:hint="eastAsia" w:ascii="宋体" w:hAnsi="宋体" w:cs="宋体"/>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szCs w:val="21"/>
        </w:rPr>
        <w:t>：</w:t>
      </w:r>
    </w:p>
    <w:p>
      <w:pPr>
        <w:snapToGrid w:val="0"/>
        <w:spacing w:line="360" w:lineRule="auto"/>
        <w:ind w:firstLine="420" w:firstLineChars="200"/>
        <w:rPr>
          <w:rFonts w:hint="eastAsia" w:ascii="宋体" w:hAnsi="宋体" w:cs="宋体"/>
          <w:szCs w:val="21"/>
        </w:rPr>
      </w:pPr>
      <w:r>
        <w:rPr>
          <w:rFonts w:hint="eastAsia" w:ascii="宋体" w:hAnsi="宋体" w:cs="宋体"/>
          <w:szCs w:val="21"/>
        </w:rPr>
        <w:t>我方参加你方组织的</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】招标的有关活动，并对此项目进行投标。为此：</w:t>
      </w:r>
    </w:p>
    <w:p>
      <w:pPr>
        <w:snapToGrid w:val="0"/>
        <w:spacing w:line="360" w:lineRule="auto"/>
        <w:ind w:firstLine="420" w:firstLineChars="200"/>
        <w:rPr>
          <w:rFonts w:hint="eastAsia"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2、我方的投标文件包括以下内容：</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2.1资格文件：</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2.1.1承诺函；</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pPr>
        <w:snapToGrid w:val="0"/>
        <w:spacing w:line="360" w:lineRule="auto"/>
        <w:ind w:left="210" w:leftChars="1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2.2.2授权委托书或法定代表人（单位负责人）身份证明；</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pPr>
        <w:snapToGrid w:val="0"/>
        <w:spacing w:line="360" w:lineRule="auto"/>
        <w:ind w:left="420" w:leftChars="2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2.3.1开标一览表（报价表）；</w:t>
      </w:r>
    </w:p>
    <w:p>
      <w:pPr>
        <w:snapToGrid w:val="0"/>
        <w:spacing w:line="360" w:lineRule="auto"/>
        <w:ind w:left="420" w:leftChars="200" w:firstLine="420" w:firstLineChars="200"/>
        <w:rPr>
          <w:rFonts w:hint="eastAsia" w:ascii="宋体" w:hAnsi="宋体" w:cs="宋体"/>
          <w:szCs w:val="21"/>
        </w:rPr>
      </w:pPr>
      <w:r>
        <w:rPr>
          <w:rFonts w:hint="eastAsia" w:ascii="宋体" w:hAnsi="宋体" w:cs="宋体"/>
          <w:szCs w:val="21"/>
        </w:rPr>
        <w:t>2.3.3中小企业声明函（如果有）。</w:t>
      </w:r>
    </w:p>
    <w:p>
      <w:pPr>
        <w:snapToGrid w:val="0"/>
        <w:spacing w:line="360"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20" w:firstLineChars="200"/>
        <w:rPr>
          <w:rFonts w:hint="eastAsia" w:ascii="宋体" w:hAnsi="宋体" w:cs="宋体"/>
          <w:szCs w:val="21"/>
        </w:rPr>
      </w:pPr>
      <w:r>
        <w:rPr>
          <w:rFonts w:hint="eastAsia" w:ascii="宋体" w:hAnsi="宋体" w:cs="宋体"/>
          <w:szCs w:val="21"/>
        </w:rPr>
        <w:t>4、如我方中标，我方承诺：</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4.1在收到中标通知书后，在中标通知书规定的期限内与你方签订合同； </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4.2在签订合同时不向你方提出附加条件； </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4.3按照招标文件要求提交履约保证金； </w:t>
      </w:r>
    </w:p>
    <w:p>
      <w:pPr>
        <w:snapToGrid w:val="0"/>
        <w:spacing w:line="360" w:lineRule="auto"/>
        <w:ind w:left="210" w:leftChars="100" w:firstLine="420" w:firstLineChars="200"/>
        <w:rPr>
          <w:rFonts w:hint="eastAsia" w:ascii="宋体" w:hAnsi="宋体" w:cs="宋体"/>
          <w:szCs w:val="21"/>
        </w:rPr>
      </w:pPr>
      <w:r>
        <w:rPr>
          <w:rFonts w:hint="eastAsia" w:ascii="宋体" w:hAnsi="宋体" w:cs="宋体"/>
          <w:szCs w:val="21"/>
        </w:rPr>
        <w:t xml:space="preserve">4.4在合同约定的期限内完成合同规定的全部义务。 </w:t>
      </w:r>
    </w:p>
    <w:p>
      <w:pPr>
        <w:snapToGrid w:val="0"/>
        <w:spacing w:line="360" w:lineRule="auto"/>
        <w:ind w:firstLine="420" w:firstLineChars="200"/>
        <w:rPr>
          <w:rFonts w:hint="eastAsia" w:ascii="宋体" w:hAnsi="宋体" w:cs="宋体"/>
          <w:szCs w:val="21"/>
        </w:rPr>
      </w:pPr>
      <w:r>
        <w:rPr>
          <w:rFonts w:hint="eastAsia" w:ascii="宋体" w:hAnsi="宋体" w:cs="宋体"/>
          <w:szCs w:val="21"/>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20" w:firstLineChars="200"/>
        <w:rPr>
          <w:rFonts w:hint="eastAsia" w:ascii="宋体" w:hAnsi="宋体" w:cs="宋体"/>
          <w:szCs w:val="21"/>
        </w:rPr>
      </w:pPr>
      <w:r>
        <w:rPr>
          <w:rFonts w:hint="eastAsia" w:ascii="宋体" w:hAnsi="宋体" w:cs="宋体"/>
          <w:szCs w:val="21"/>
        </w:rPr>
        <w:t>6、其他补充说明:</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150" w:firstLineChars="1500"/>
        <w:rPr>
          <w:rFonts w:hint="eastAsia" w:ascii="宋体" w:hAnsi="宋体" w:cs="宋体"/>
          <w:szCs w:val="21"/>
        </w:rPr>
      </w:pPr>
      <w:r>
        <w:rPr>
          <w:rFonts w:hint="eastAsia" w:ascii="宋体" w:hAnsi="宋体" w:cs="宋体"/>
          <w:szCs w:val="21"/>
        </w:rPr>
        <w:t xml:space="preserve">投标人名称（电子签名）：                          </w:t>
      </w:r>
    </w:p>
    <w:p>
      <w:pPr>
        <w:spacing w:line="360" w:lineRule="auto"/>
        <w:jc w:val="center"/>
        <w:rPr>
          <w:rFonts w:hint="eastAsia" w:ascii="宋体" w:hAnsi="宋体" w:cs="宋体"/>
          <w:szCs w:val="21"/>
        </w:rPr>
      </w:pPr>
      <w:r>
        <w:rPr>
          <w:rFonts w:hint="eastAsia" w:ascii="宋体" w:hAnsi="宋体" w:cs="宋体"/>
          <w:szCs w:val="21"/>
        </w:rPr>
        <w:t xml:space="preserve">     日期：  年   月   日</w:t>
      </w:r>
    </w:p>
    <w:p>
      <w:pPr>
        <w:snapToGrid w:val="0"/>
        <w:spacing w:line="360" w:lineRule="auto"/>
        <w:ind w:left="420" w:leftChars="200" w:firstLine="3675" w:firstLineChars="1750"/>
        <w:rPr>
          <w:rFonts w:hint="eastAsia" w:ascii="宋体" w:hAnsi="宋体" w:cs="宋体"/>
          <w:kern w:val="0"/>
          <w:szCs w:val="21"/>
          <w:u w:val="single"/>
        </w:rPr>
      </w:pPr>
    </w:p>
    <w:p>
      <w:pPr>
        <w:spacing w:line="360" w:lineRule="auto"/>
        <w:ind w:right="420"/>
        <w:rPr>
          <w:rFonts w:hint="eastAsia" w:ascii="宋体" w:hAnsi="宋体" w:cs="宋体"/>
          <w:szCs w:val="21"/>
        </w:rPr>
      </w:pPr>
      <w:r>
        <w:rPr>
          <w:rFonts w:hint="eastAsia" w:ascii="宋体" w:hAnsi="宋体" w:cs="宋体"/>
          <w:szCs w:val="21"/>
        </w:rPr>
        <w:t>注：按本格式和要求提供。</w:t>
      </w:r>
    </w:p>
    <w:p>
      <w:pPr>
        <w:snapToGrid w:val="0"/>
        <w:spacing w:line="360" w:lineRule="auto"/>
        <w:jc w:val="center"/>
        <w:rPr>
          <w:rFonts w:hint="eastAsia" w:ascii="宋体" w:hAnsi="宋体" w:cs="宋体"/>
          <w:b/>
          <w:kern w:val="0"/>
          <w:szCs w:val="21"/>
        </w:rPr>
      </w:pPr>
    </w:p>
    <w:p>
      <w:pPr>
        <w:snapToGrid w:val="0"/>
        <w:spacing w:line="360" w:lineRule="auto"/>
        <w:rPr>
          <w:rFonts w:hint="eastAsia" w:ascii="宋体" w:hAnsi="宋体" w:cs="宋体"/>
          <w:szCs w:val="21"/>
        </w:rPr>
      </w:pPr>
    </w:p>
    <w:p>
      <w:pPr>
        <w:jc w:val="center"/>
        <w:rPr>
          <w:rFonts w:hint="eastAsia" w:ascii="宋体" w:hAnsi="宋体" w:cs="宋体"/>
          <w:b/>
          <w:kern w:val="0"/>
          <w:szCs w:val="21"/>
        </w:rPr>
      </w:pPr>
    </w:p>
    <w:p>
      <w:pPr>
        <w:jc w:val="both"/>
        <w:rPr>
          <w:rFonts w:hint="eastAsia" w:ascii="宋体" w:hAnsi="宋体" w:cs="宋体"/>
          <w:b/>
          <w:kern w:val="0"/>
          <w:szCs w:val="21"/>
        </w:rPr>
      </w:pPr>
    </w:p>
    <w:p>
      <w:pPr>
        <w:jc w:val="center"/>
        <w:rPr>
          <w:rFonts w:hint="eastAsia" w:ascii="宋体" w:hAnsi="宋体" w:cs="宋体"/>
          <w:b/>
          <w:kern w:val="0"/>
          <w:szCs w:val="21"/>
        </w:rPr>
      </w:pPr>
    </w:p>
    <w:p>
      <w:pPr>
        <w:rPr>
          <w:rFonts w:hint="eastAsia" w:ascii="宋体" w:hAnsi="宋体" w:cs="宋体"/>
          <w:b/>
          <w:kern w:val="0"/>
          <w:szCs w:val="21"/>
          <w:lang w:val="zh-CN"/>
        </w:rPr>
      </w:pPr>
      <w:r>
        <w:rPr>
          <w:rFonts w:hint="eastAsia" w:ascii="宋体" w:hAnsi="宋体" w:cs="宋体"/>
          <w:b/>
          <w:kern w:val="0"/>
          <w:szCs w:val="21"/>
          <w:lang w:val="zh-CN"/>
        </w:rPr>
        <w:br w:type="page"/>
      </w:r>
    </w:p>
    <w:p>
      <w:pPr>
        <w:snapToGrid w:val="0"/>
        <w:spacing w:line="360" w:lineRule="auto"/>
        <w:jc w:val="center"/>
        <w:outlineLvl w:val="2"/>
        <w:rPr>
          <w:rFonts w:hint="eastAsia"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pPr>
        <w:snapToGrid w:val="0"/>
        <w:spacing w:line="360" w:lineRule="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宋体"/>
          <w:szCs w:val="21"/>
        </w:rPr>
      </w:pPr>
      <w:r>
        <w:rPr>
          <w:rFonts w:hint="eastAsia" w:ascii="宋体" w:hAnsi="宋体" w:cs="宋体"/>
          <w:b/>
          <w:kern w:val="0"/>
          <w:szCs w:val="21"/>
          <w:lang w:val="zh-CN"/>
        </w:rPr>
        <w:t>授权委托书（适用于非联合体投标）</w:t>
      </w:r>
    </w:p>
    <w:p>
      <w:pPr>
        <w:snapToGrid w:val="0"/>
        <w:spacing w:line="360" w:lineRule="auto"/>
        <w:rPr>
          <w:rFonts w:hint="eastAsia" w:ascii="宋体" w:hAnsi="宋体" w:cs="宋体"/>
          <w:kern w:val="0"/>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kern w:val="0"/>
          <w:szCs w:val="21"/>
          <w:lang w:val="zh-CN"/>
        </w:rPr>
        <w:t>：</w:t>
      </w:r>
    </w:p>
    <w:p>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特此告知。</w:t>
      </w:r>
    </w:p>
    <w:p>
      <w:pPr>
        <w:snapToGrid w:val="0"/>
        <w:spacing w:line="360" w:lineRule="auto"/>
        <w:rPr>
          <w:rFonts w:hint="eastAsia" w:ascii="宋体" w:hAnsi="宋体" w:cs="宋体"/>
          <w:kern w:val="0"/>
          <w:szCs w:val="21"/>
          <w:lang w:val="zh-CN"/>
        </w:rPr>
      </w:pP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投标人名称(电子签名)：</w:t>
      </w:r>
    </w:p>
    <w:p>
      <w:pPr>
        <w:snapToGrid w:val="0"/>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签发日期：  年  月   日</w:t>
      </w:r>
    </w:p>
    <w:p>
      <w:pPr>
        <w:snapToGrid w:val="0"/>
        <w:spacing w:line="360" w:lineRule="auto"/>
        <w:rPr>
          <w:rFonts w:hint="eastAsia" w:ascii="宋体" w:hAnsi="宋体" w:cs="宋体"/>
          <w:szCs w:val="21"/>
        </w:rPr>
      </w:pPr>
    </w:p>
    <w:p>
      <w:pPr>
        <w:jc w:val="center"/>
        <w:rPr>
          <w:rFonts w:hint="eastAsia" w:ascii="宋体" w:hAnsi="宋体" w:cs="宋体"/>
          <w:b/>
          <w:kern w:val="0"/>
          <w:szCs w:val="21"/>
        </w:rPr>
      </w:pPr>
      <w:r>
        <w:rPr>
          <w:rFonts w:hint="eastAsia" w:ascii="宋体" w:hAnsi="宋体" w:cs="宋体"/>
          <w:b/>
          <w:kern w:val="0"/>
          <w:szCs w:val="21"/>
          <w:lang w:val="zh-CN"/>
        </w:rPr>
        <w:t>授权委托书（适用于联合体投标）</w:t>
      </w:r>
    </w:p>
    <w:p>
      <w:pPr>
        <w:snapToGrid w:val="0"/>
        <w:spacing w:line="360" w:lineRule="auto"/>
        <w:rPr>
          <w:rFonts w:hint="eastAsia" w:ascii="宋体" w:hAnsi="宋体" w:cs="宋体"/>
          <w:kern w:val="0"/>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kern w:val="0"/>
          <w:szCs w:val="21"/>
          <w:lang w:val="zh-CN"/>
        </w:rPr>
        <w:t>：</w:t>
      </w:r>
    </w:p>
    <w:p>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pPr>
        <w:snapToGrid w:val="0"/>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特此告知。</w:t>
      </w:r>
    </w:p>
    <w:p>
      <w:pPr>
        <w:jc w:val="center"/>
        <w:rPr>
          <w:rFonts w:hint="eastAsia" w:ascii="宋体" w:hAnsi="宋体" w:cs="宋体"/>
          <w:b/>
          <w:kern w:val="0"/>
          <w:szCs w:val="21"/>
        </w:rPr>
      </w:pPr>
    </w:p>
    <w:p>
      <w:pPr>
        <w:rPr>
          <w:rFonts w:hint="eastAsia" w:ascii="宋体" w:hAnsi="宋体" w:cs="宋体"/>
          <w:szCs w:val="21"/>
        </w:rPr>
      </w:pPr>
    </w:p>
    <w:p>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日期：  年  月   日</w:t>
      </w:r>
    </w:p>
    <w:p>
      <w:pPr>
        <w:snapToGrid w:val="0"/>
        <w:spacing w:line="360" w:lineRule="auto"/>
        <w:rPr>
          <w:rFonts w:hint="eastAsia" w:ascii="宋体" w:hAnsi="宋体" w:cs="宋体"/>
          <w:kern w:val="0"/>
          <w:szCs w:val="21"/>
          <w:lang w:val="zh-CN"/>
        </w:rPr>
      </w:pPr>
    </w:p>
    <w:p>
      <w:pPr>
        <w:rPr>
          <w:rFonts w:hint="eastAsia" w:ascii="宋体" w:hAnsi="宋体" w:cs="宋体"/>
          <w:b/>
          <w:kern w:val="0"/>
          <w:szCs w:val="21"/>
          <w:lang w:val="zh-CN"/>
        </w:rPr>
      </w:pPr>
      <w:r>
        <w:rPr>
          <w:rFonts w:hint="eastAsia" w:ascii="宋体" w:hAnsi="宋体" w:cs="宋体"/>
          <w:b/>
          <w:kern w:val="0"/>
          <w:szCs w:val="21"/>
          <w:lang w:val="zh-CN"/>
        </w:rPr>
        <w:br w:type="page"/>
      </w:r>
    </w:p>
    <w:p>
      <w:pPr>
        <w:autoSpaceDE w:val="0"/>
        <w:autoSpaceDN w:val="0"/>
        <w:spacing w:line="360" w:lineRule="auto"/>
        <w:jc w:val="center"/>
        <w:rPr>
          <w:rFonts w:hint="eastAsia"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pPr>
        <w:pStyle w:val="149"/>
        <w:spacing w:line="360" w:lineRule="auto"/>
        <w:rPr>
          <w:rFonts w:hint="eastAsia"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keepNext w:val="0"/>
              <w:keepLines w:val="0"/>
              <w:suppressLineNumbers w:val="0"/>
              <w:adjustRightInd w:val="0"/>
              <w:spacing w:before="0" w:beforeAutospacing="0" w:after="0" w:afterAutospacing="0" w:line="360" w:lineRule="auto"/>
              <w:ind w:left="0" w:right="0"/>
              <w:rPr>
                <w:rFonts w:hint="eastAsia" w:hAnsi="宋体" w:cs="宋体"/>
                <w:bCs/>
              </w:rPr>
            </w:pPr>
            <w:r>
              <w:rPr>
                <w:rFonts w:hint="eastAsia" w:hAnsi="宋体" w:cs="宋体"/>
                <w:bCs/>
              </w:rPr>
              <w:t>正面：                                 反面：</w:t>
            </w:r>
          </w:p>
          <w:p>
            <w:pPr>
              <w:pStyle w:val="149"/>
              <w:keepNext w:val="0"/>
              <w:keepLines w:val="0"/>
              <w:suppressLineNumbers w:val="0"/>
              <w:adjustRightInd w:val="0"/>
              <w:spacing w:before="0" w:beforeAutospacing="0" w:after="0" w:afterAutospacing="0" w:line="360" w:lineRule="auto"/>
              <w:ind w:left="0" w:right="0"/>
              <w:rPr>
                <w:rFonts w:hint="eastAsia" w:hAnsi="宋体" w:cs="宋体"/>
                <w:bCs/>
              </w:rPr>
            </w:pPr>
          </w:p>
        </w:tc>
      </w:tr>
    </w:tbl>
    <w:p>
      <w:pPr>
        <w:snapToGrid w:val="0"/>
        <w:spacing w:line="360" w:lineRule="auto"/>
        <w:ind w:firstLine="576"/>
        <w:jc w:val="center"/>
        <w:rPr>
          <w:rFonts w:hint="eastAsia" w:ascii="宋体" w:hAnsi="宋体" w:cs="宋体"/>
          <w:kern w:val="0"/>
          <w:szCs w:val="21"/>
          <w:lang w:val="zh-CN"/>
        </w:rPr>
      </w:pPr>
    </w:p>
    <w:p>
      <w:pPr>
        <w:snapToGrid w:val="0"/>
        <w:spacing w:line="360" w:lineRule="auto"/>
        <w:ind w:firstLine="4410" w:firstLineChars="2100"/>
        <w:rPr>
          <w:rFonts w:hint="eastAsia" w:ascii="宋体" w:hAnsi="宋体" w:eastAsia="宋体" w:cs="宋体"/>
          <w:kern w:val="0"/>
          <w:szCs w:val="21"/>
          <w:lang w:val="zh-CN"/>
        </w:rPr>
      </w:pPr>
      <w:r>
        <w:rPr>
          <w:rFonts w:hint="eastAsia" w:ascii="宋体" w:hAnsi="宋体" w:eastAsia="宋体" w:cs="宋体"/>
          <w:kern w:val="0"/>
          <w:szCs w:val="21"/>
          <w:lang w:val="zh-CN"/>
        </w:rPr>
        <w:t>投标人名称(电子签名)：</w:t>
      </w:r>
    </w:p>
    <w:p>
      <w:pPr>
        <w:snapToGrid w:val="0"/>
        <w:spacing w:line="360" w:lineRule="auto"/>
        <w:ind w:firstLine="4410" w:firstLineChars="2100"/>
        <w:rPr>
          <w:rFonts w:hint="eastAsia" w:ascii="宋体" w:hAnsi="宋体" w:eastAsia="宋体" w:cs="宋体"/>
          <w:kern w:val="0"/>
          <w:szCs w:val="21"/>
          <w:lang w:val="zh-CN"/>
        </w:rPr>
      </w:pPr>
      <w:r>
        <w:rPr>
          <w:rFonts w:hint="eastAsia" w:ascii="宋体" w:hAnsi="宋体" w:eastAsia="宋体" w:cs="宋体"/>
          <w:kern w:val="0"/>
          <w:szCs w:val="21"/>
          <w:lang w:val="zh-CN"/>
        </w:rPr>
        <w:t>日期：  年  月  日</w:t>
      </w:r>
    </w:p>
    <w:p>
      <w:pPr>
        <w:jc w:val="center"/>
        <w:rPr>
          <w:rFonts w:hint="eastAsia" w:ascii="宋体" w:hAnsi="宋体" w:cs="宋体"/>
          <w:b/>
          <w:kern w:val="0"/>
          <w:szCs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三、分包意向协议（如果有）</w:t>
      </w:r>
    </w:p>
    <w:p>
      <w:pPr>
        <w:widowControl/>
        <w:spacing w:line="360" w:lineRule="auto"/>
        <w:ind w:firstLine="105" w:firstLineChars="50"/>
        <w:jc w:val="left"/>
        <w:rPr>
          <w:rFonts w:hint="eastAsia" w:ascii="宋体" w:hAnsi="宋体" w:cs="宋体"/>
          <w:szCs w:val="21"/>
        </w:rPr>
      </w:pPr>
      <w:bookmarkStart w:id="401" w:name="_Hlk101169080"/>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bookmarkEnd w:id="401"/>
    <w:p>
      <w:pPr>
        <w:snapToGrid w:val="0"/>
        <w:spacing w:line="360" w:lineRule="auto"/>
        <w:rPr>
          <w:rFonts w:hint="eastAsia" w:ascii="宋体" w:hAnsi="宋体" w:cs="宋体"/>
          <w:kern w:val="0"/>
          <w:szCs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四、符合性审查资料</w:t>
      </w:r>
    </w:p>
    <w:p>
      <w:pPr>
        <w:jc w:val="center"/>
        <w:rPr>
          <w:rFonts w:hint="eastAsia"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cs="宋体"/>
                <w:b/>
                <w:szCs w:val="21"/>
              </w:rPr>
            </w:pPr>
            <w:r>
              <w:rPr>
                <w:rFonts w:hint="eastAsia" w:ascii="宋体" w:hAnsi="宋体" w:cs="宋体"/>
                <w:b/>
                <w:szCs w:val="21"/>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cs="宋体"/>
                <w:b/>
                <w:szCs w:val="21"/>
              </w:rPr>
            </w:pPr>
            <w:r>
              <w:rPr>
                <w:rFonts w:hint="eastAsia" w:ascii="宋体" w:hAnsi="宋体" w:cs="宋体"/>
                <w:b/>
                <w:szCs w:val="21"/>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cs="宋体"/>
                <w:b/>
                <w:szCs w:val="21"/>
              </w:rPr>
            </w:pPr>
            <w:r>
              <w:rPr>
                <w:rFonts w:hint="eastAsia" w:ascii="宋体" w:hAnsi="宋体" w:cs="宋体"/>
                <w:b/>
                <w:szCs w:val="21"/>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cs="宋体"/>
                <w:b/>
                <w:szCs w:val="21"/>
              </w:rPr>
            </w:pPr>
            <w:r>
              <w:rPr>
                <w:rFonts w:hint="eastAsia" w:ascii="宋体" w:hAnsi="宋体" w:cs="宋体"/>
                <w:b/>
                <w:szCs w:val="21"/>
              </w:rPr>
              <w:t>投标文件中的</w:t>
            </w:r>
          </w:p>
          <w:p>
            <w:pPr>
              <w:keepNext w:val="0"/>
              <w:keepLines w:val="0"/>
              <w:suppressLineNumbers w:val="0"/>
              <w:snapToGrid w:val="0"/>
              <w:spacing w:before="0" w:beforeAutospacing="0" w:after="0" w:afterAutospacing="0" w:line="240" w:lineRule="atLeast"/>
              <w:ind w:left="0" w:right="0"/>
              <w:jc w:val="center"/>
              <w:rPr>
                <w:rFonts w:hint="eastAsia" w:ascii="宋体" w:hAnsi="宋体" w:cs="宋体"/>
                <w:b/>
                <w:szCs w:val="21"/>
              </w:rPr>
            </w:pPr>
            <w:r>
              <w:rPr>
                <w:rFonts w:hint="eastAsia" w:ascii="宋体" w:hAnsi="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49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需要使用电子签名或者签字盖章的投标文件的组成部分</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见投标文件</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2</w:t>
            </w:r>
          </w:p>
        </w:tc>
        <w:tc>
          <w:tcPr>
            <w:tcW w:w="49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投标函</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3</w:t>
            </w:r>
          </w:p>
        </w:tc>
        <w:tc>
          <w:tcPr>
            <w:tcW w:w="49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napToGrid w:val="0"/>
                <w:szCs w:val="21"/>
              </w:rPr>
              <w:t>其他实质性要求1：</w:t>
            </w:r>
          </w:p>
        </w:tc>
        <w:tc>
          <w:tcPr>
            <w:tcW w:w="2551" w:type="dxa"/>
            <w:vMerge w:val="restart"/>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4</w:t>
            </w:r>
          </w:p>
        </w:tc>
        <w:tc>
          <w:tcPr>
            <w:tcW w:w="49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napToGrid w:val="0"/>
                <w:szCs w:val="21"/>
              </w:rPr>
              <w:t>其他实质性要求2：</w:t>
            </w:r>
          </w:p>
        </w:tc>
        <w:tc>
          <w:tcPr>
            <w:tcW w:w="2551" w:type="dxa"/>
            <w:vMerge w:val="continue"/>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kern w:val="0"/>
                <w:szCs w:val="21"/>
              </w:rPr>
              <w:t>……</w:t>
            </w:r>
          </w:p>
        </w:tc>
        <w:tc>
          <w:tcPr>
            <w:tcW w:w="4991"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napToGrid w:val="0"/>
                <w:szCs w:val="21"/>
              </w:rPr>
              <w:t>其他实质性要求</w:t>
            </w:r>
            <w:r>
              <w:rPr>
                <w:rFonts w:hint="eastAsia" w:ascii="宋体" w:hAnsi="宋体" w:cs="宋体"/>
                <w:kern w:val="0"/>
                <w:szCs w:val="21"/>
              </w:rPr>
              <w:t>……</w:t>
            </w:r>
            <w:r>
              <w:rPr>
                <w:rFonts w:hint="eastAsia" w:ascii="宋体" w:hAnsi="宋体" w:cs="宋体"/>
                <w:snapToGrid w:val="0"/>
                <w:szCs w:val="21"/>
              </w:rPr>
              <w:t>：</w:t>
            </w:r>
          </w:p>
        </w:tc>
        <w:tc>
          <w:tcPr>
            <w:tcW w:w="2551" w:type="dxa"/>
            <w:vMerge w:val="continue"/>
            <w:vAlign w:val="center"/>
          </w:tcPr>
          <w:p>
            <w:pPr>
              <w:keepNext w:val="0"/>
              <w:keepLines w:val="0"/>
              <w:suppressLineNumbers w:val="0"/>
              <w:spacing w:before="0" w:beforeAutospacing="0" w:after="0" w:afterAutospacing="0"/>
              <w:ind w:left="0" w:right="0"/>
              <w:rPr>
                <w:rFonts w:hint="eastAsia" w:ascii="宋体" w:hAnsi="宋体" w:cs="宋体"/>
                <w:szCs w:val="21"/>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right="420"/>
        <w:rPr>
          <w:rFonts w:hint="eastAsia" w:ascii="宋体" w:hAnsi="宋体" w:cs="宋体"/>
          <w:szCs w:val="21"/>
        </w:rPr>
      </w:pPr>
      <w:r>
        <w:rPr>
          <w:rFonts w:hint="eastAsia" w:ascii="宋体" w:hAnsi="宋体" w:cs="宋体"/>
          <w:szCs w:val="21"/>
        </w:rPr>
        <w:t>注：1.按本格式和要求提供。</w:t>
      </w:r>
    </w:p>
    <w:p>
      <w:pPr>
        <w:spacing w:line="360" w:lineRule="auto"/>
        <w:ind w:right="420"/>
        <w:rPr>
          <w:rFonts w:hint="eastAsia" w:ascii="宋体" w:hAnsi="宋体" w:cs="宋体"/>
          <w:szCs w:val="21"/>
        </w:rPr>
      </w:pPr>
      <w:r>
        <w:rPr>
          <w:rFonts w:hint="eastAsia" w:ascii="宋体" w:hAnsi="宋体" w:cs="宋体"/>
          <w:szCs w:val="21"/>
        </w:rPr>
        <w:t>2.招标文件中实质性要求必须明确响应。</w:t>
      </w:r>
    </w:p>
    <w:p>
      <w:pPr>
        <w:pStyle w:val="79"/>
        <w:ind w:firstLine="420"/>
        <w:rPr>
          <w:rFonts w:hint="eastAsia"/>
          <w:sz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2"/>
        <w:rPr>
          <w:rFonts w:hint="eastAsia" w:ascii="宋体" w:hAnsi="宋体" w:cs="宋体"/>
          <w:szCs w:val="21"/>
        </w:rPr>
      </w:pPr>
      <w:r>
        <w:rPr>
          <w:rFonts w:hint="eastAsia" w:ascii="宋体" w:hAnsi="宋体" w:cs="宋体"/>
          <w:b/>
          <w:kern w:val="0"/>
          <w:szCs w:val="21"/>
        </w:rPr>
        <w:t>五、评标标准相应的商务技术资料</w:t>
      </w:r>
    </w:p>
    <w:p>
      <w:pPr>
        <w:snapToGrid w:val="0"/>
        <w:spacing w:line="360" w:lineRule="auto"/>
        <w:jc w:val="left"/>
        <w:rPr>
          <w:rFonts w:hint="eastAsia"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Cs/>
                <w:szCs w:val="21"/>
              </w:rPr>
            </w:pPr>
            <w:r>
              <w:rPr>
                <w:rFonts w:hint="eastAsia" w:cs="仿宋_GB2312" w:asciiTheme="minorEastAsia" w:hAnsiTheme="minorEastAsia" w:eastAsiaTheme="minorEastAsia"/>
                <w:bCs/>
                <w:szCs w:val="21"/>
              </w:rPr>
              <w:t>序号</w:t>
            </w:r>
          </w:p>
        </w:tc>
        <w:tc>
          <w:tcPr>
            <w:tcW w:w="5465"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r>
              <w:rPr>
                <w:rFonts w:hint="eastAsia" w:cs="仿宋_GB2312" w:asciiTheme="minorEastAsia" w:hAnsiTheme="minorEastAsia" w:eastAsiaTheme="minorEastAsia"/>
                <w:bCs/>
                <w:szCs w:val="21"/>
              </w:rPr>
              <w:t>投标文件中评标标准相应的商务技术资料目录*</w:t>
            </w:r>
          </w:p>
        </w:tc>
        <w:tc>
          <w:tcPr>
            <w:tcW w:w="30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cs="宋体"/>
                <w:bCs/>
                <w:szCs w:val="21"/>
              </w:rPr>
            </w:pPr>
            <w:r>
              <w:rPr>
                <w:rFonts w:hint="eastAsia" w:ascii="宋体" w:hAnsi="宋体" w:cs="宋体"/>
                <w:bCs/>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1</w:t>
            </w:r>
          </w:p>
        </w:tc>
        <w:tc>
          <w:tcPr>
            <w:tcW w:w="5465"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p>
        </w:tc>
        <w:tc>
          <w:tcPr>
            <w:tcW w:w="3046" w:type="dxa"/>
            <w:vAlign w:val="center"/>
          </w:tcPr>
          <w:p>
            <w:pPr>
              <w:keepNext w:val="0"/>
              <w:keepLines w:val="0"/>
              <w:suppressLineNumbers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bCs/>
                <w:szCs w:val="21"/>
              </w:rPr>
              <w:t>2</w:t>
            </w:r>
          </w:p>
        </w:tc>
        <w:tc>
          <w:tcPr>
            <w:tcW w:w="5465"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p>
        </w:tc>
        <w:tc>
          <w:tcPr>
            <w:tcW w:w="3046" w:type="dxa"/>
            <w:vAlign w:val="center"/>
          </w:tcPr>
          <w:p>
            <w:pPr>
              <w:keepNext w:val="0"/>
              <w:keepLines w:val="0"/>
              <w:suppressLineNumbers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r>
              <w:rPr>
                <w:rFonts w:hint="eastAsia" w:ascii="宋体" w:hAnsi="宋体" w:cs="宋体"/>
                <w:kern w:val="0"/>
                <w:szCs w:val="21"/>
              </w:rPr>
              <w:t>……</w:t>
            </w:r>
          </w:p>
        </w:tc>
        <w:tc>
          <w:tcPr>
            <w:tcW w:w="5465"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cs="宋体"/>
                <w:bCs/>
                <w:szCs w:val="21"/>
              </w:rPr>
            </w:pPr>
          </w:p>
        </w:tc>
        <w:tc>
          <w:tcPr>
            <w:tcW w:w="3046" w:type="dxa"/>
            <w:vAlign w:val="center"/>
          </w:tcPr>
          <w:p>
            <w:pPr>
              <w:keepNext w:val="0"/>
              <w:keepLines w:val="0"/>
              <w:suppressLineNumbers w:val="0"/>
              <w:spacing w:before="0" w:beforeAutospacing="0" w:after="0" w:afterAutospacing="0"/>
              <w:ind w:left="0" w:right="0"/>
              <w:jc w:val="center"/>
              <w:rPr>
                <w:rFonts w:hint="eastAsia" w:ascii="宋体" w:hAnsi="宋体" w:cs="宋体"/>
                <w:bCs/>
                <w:szCs w:val="21"/>
              </w:rPr>
            </w:pPr>
            <w:r>
              <w:rPr>
                <w:rFonts w:hint="eastAsia" w:ascii="宋体" w:hAnsi="宋体" w:cs="宋体"/>
                <w:bCs/>
                <w:szCs w:val="21"/>
              </w:rPr>
              <w:t>见投标文件第</w:t>
            </w:r>
            <w:r>
              <w:rPr>
                <w:rFonts w:hint="eastAsia" w:ascii="宋体" w:hAnsi="宋体" w:cs="宋体"/>
                <w:bCs/>
                <w:szCs w:val="21"/>
                <w:u w:val="single"/>
              </w:rPr>
              <w:t xml:space="preserve">  </w:t>
            </w:r>
            <w:r>
              <w:rPr>
                <w:rFonts w:hint="eastAsia" w:ascii="宋体" w:hAnsi="宋体" w:cs="宋体"/>
                <w:bCs/>
                <w:szCs w:val="21"/>
              </w:rPr>
              <w:t>页</w:t>
            </w:r>
          </w:p>
        </w:tc>
      </w:tr>
    </w:tbl>
    <w:p>
      <w:pPr>
        <w:pStyle w:val="79"/>
        <w:ind w:firstLine="420"/>
        <w:rPr>
          <w:rFonts w:hint="eastAsia"/>
          <w:sz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jc w:val="cente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cs="宋体"/>
          <w:b/>
          <w:kern w:val="0"/>
          <w:szCs w:val="21"/>
        </w:rPr>
        <w:t>六、</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62"/>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规格型号</w:t>
            </w:r>
          </w:p>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jc w:val="center"/>
        <w:rPr>
          <w:rFonts w:ascii="宋体" w:hAnsi="宋体" w:eastAsia="宋体" w:cs="宋体"/>
          <w:b/>
          <w:kern w:val="0"/>
          <w:szCs w:val="21"/>
        </w:rPr>
      </w:pPr>
    </w:p>
    <w:p>
      <w:pPr>
        <w:jc w:val="both"/>
        <w:rPr>
          <w:rFonts w:ascii="宋体" w:hAnsi="宋体" w:eastAsia="宋体" w:cs="宋体"/>
          <w:b/>
          <w:kern w:val="0"/>
          <w:szCs w:val="21"/>
        </w:rPr>
      </w:pPr>
      <w:r>
        <w:rPr>
          <w:rFonts w:hint="eastAsia" w:ascii="宋体" w:hAnsi="宋体" w:eastAsia="宋体" w:cs="宋体"/>
          <w:b/>
          <w:kern w:val="0"/>
          <w:szCs w:val="21"/>
        </w:rPr>
        <w:t>附：产品技术支持材料</w:t>
      </w:r>
    </w:p>
    <w:p>
      <w:pPr>
        <w:jc w:val="center"/>
        <w:rPr>
          <w:rFonts w:hint="eastAsia" w:ascii="宋体" w:hAnsi="宋体" w:cs="宋体"/>
          <w:b/>
          <w:kern w:val="0"/>
          <w:szCs w:val="21"/>
        </w:rPr>
      </w:pPr>
    </w:p>
    <w:p>
      <w:pPr>
        <w:jc w:val="center"/>
        <w:rPr>
          <w:rFonts w:hint="eastAsia" w:ascii="宋体" w:hAnsi="宋体" w:cs="宋体"/>
          <w:b/>
          <w:kern w:val="0"/>
          <w:szCs w:val="21"/>
        </w:rPr>
      </w:pPr>
    </w:p>
    <w:p>
      <w:pPr>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七、商务技术偏离表</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3744"/>
        <w:gridCol w:w="360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5" w:type="pct"/>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序号</w:t>
            </w:r>
          </w:p>
        </w:tc>
        <w:tc>
          <w:tcPr>
            <w:tcW w:w="1946" w:type="pct"/>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招标文件章节及具体内容</w:t>
            </w:r>
          </w:p>
        </w:tc>
        <w:tc>
          <w:tcPr>
            <w:tcW w:w="1874" w:type="pct"/>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投标文件章节及具体内容</w:t>
            </w:r>
          </w:p>
        </w:tc>
        <w:tc>
          <w:tcPr>
            <w:tcW w:w="674" w:type="pct"/>
          </w:tcPr>
          <w:p>
            <w:pPr>
              <w:keepNext w:val="0"/>
              <w:keepLines w:val="0"/>
              <w:suppressLineNumbers w:val="0"/>
              <w:spacing w:before="0" w:beforeAutospacing="0" w:after="0" w:afterAutospacing="0"/>
              <w:ind w:left="0" w:right="0"/>
              <w:jc w:val="center"/>
              <w:rPr>
                <w:rFonts w:hint="eastAsia"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5" w:type="pct"/>
          </w:tcPr>
          <w:p>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1</w:t>
            </w:r>
          </w:p>
        </w:tc>
        <w:tc>
          <w:tcPr>
            <w:tcW w:w="1946"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18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6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5" w:type="pct"/>
          </w:tcPr>
          <w:p>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2</w:t>
            </w:r>
          </w:p>
        </w:tc>
        <w:tc>
          <w:tcPr>
            <w:tcW w:w="1946"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18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6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05" w:type="pct"/>
          </w:tcPr>
          <w:p>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kern w:val="0"/>
                <w:szCs w:val="21"/>
              </w:rPr>
              <w:t>……</w:t>
            </w:r>
          </w:p>
        </w:tc>
        <w:tc>
          <w:tcPr>
            <w:tcW w:w="1946"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18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c>
          <w:tcPr>
            <w:tcW w:w="674" w:type="pct"/>
          </w:tcPr>
          <w:p>
            <w:pPr>
              <w:keepNext w:val="0"/>
              <w:keepLines w:val="0"/>
              <w:suppressLineNumbers w:val="0"/>
              <w:spacing w:before="0" w:beforeAutospacing="0" w:after="0" w:afterAutospacing="0"/>
              <w:ind w:left="0" w:right="0"/>
              <w:jc w:val="center"/>
              <w:rPr>
                <w:rFonts w:hint="eastAsia" w:ascii="宋体" w:hAnsi="宋体" w:cs="宋体"/>
                <w:b/>
                <w:kern w:val="0"/>
                <w:szCs w:val="21"/>
              </w:rPr>
            </w:pPr>
          </w:p>
        </w:tc>
      </w:tr>
    </w:tbl>
    <w:p>
      <w:pPr>
        <w:jc w:val="left"/>
        <w:rPr>
          <w:rFonts w:hint="eastAsia"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jc w:val="center"/>
        <w:rPr>
          <w:rFonts w:hint="eastAsia" w:ascii="宋体" w:hAnsi="宋体" w:cs="宋体"/>
          <w:b/>
          <w:kern w:val="0"/>
          <w:szCs w:val="21"/>
        </w:rPr>
      </w:pPr>
    </w:p>
    <w:p>
      <w:pPr>
        <w:spacing w:line="360" w:lineRule="auto"/>
        <w:ind w:right="420"/>
        <w:rPr>
          <w:rFonts w:hint="eastAsia" w:ascii="宋体" w:hAnsi="宋体" w:cs="宋体"/>
          <w:szCs w:val="21"/>
        </w:rPr>
      </w:pPr>
      <w:r>
        <w:rPr>
          <w:rFonts w:hint="eastAsia" w:ascii="宋体" w:hAnsi="宋体" w:cs="宋体"/>
          <w:szCs w:val="21"/>
        </w:rPr>
        <w:t>注：1.按本格式和要求提供。</w:t>
      </w:r>
    </w:p>
    <w:p>
      <w:pPr>
        <w:spacing w:line="360" w:lineRule="auto"/>
        <w:ind w:right="420"/>
        <w:rPr>
          <w:rFonts w:hint="eastAsia" w:ascii="宋体" w:hAnsi="宋体" w:cs="宋体"/>
          <w:szCs w:val="21"/>
        </w:rPr>
      </w:pPr>
      <w:r>
        <w:rPr>
          <w:rFonts w:hint="eastAsia" w:ascii="宋体" w:hAnsi="宋体" w:cs="宋体"/>
          <w:szCs w:val="21"/>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cs="宋体"/>
          <w:szCs w:val="21"/>
        </w:rPr>
      </w:pPr>
      <w:r>
        <w:rPr>
          <w:rFonts w:hint="eastAsia" w:ascii="宋体" w:hAnsi="宋体" w:cs="宋体"/>
          <w:szCs w:val="21"/>
        </w:rPr>
        <w:t>3.投标人须保证：除商务技术偏离表列出的偏离外，投标人响应招标文件的全部非实质性要求。</w:t>
      </w:r>
    </w:p>
    <w:p>
      <w:pPr>
        <w:pStyle w:val="79"/>
        <w:ind w:firstLine="420"/>
        <w:rPr>
          <w:rFonts w:hint="eastAsia"/>
          <w:sz w:val="21"/>
        </w:rPr>
      </w:pPr>
    </w:p>
    <w:p>
      <w:pPr>
        <w:rPr>
          <w:rFonts w:hint="eastAsia" w:ascii="宋体" w:hAnsi="宋体" w:cs="宋体"/>
          <w:b/>
          <w:bCs/>
          <w:szCs w:val="21"/>
        </w:rPr>
      </w:pPr>
    </w:p>
    <w:p>
      <w:pPr>
        <w:widowControl/>
        <w:adjustRightInd/>
        <w:jc w:val="left"/>
        <w:rPr>
          <w:rFonts w:hint="eastAsia" w:ascii="宋体" w:hAnsi="宋体" w:cs="宋体"/>
          <w:b/>
          <w:bCs/>
          <w:szCs w:val="21"/>
        </w:rPr>
      </w:pPr>
      <w:r>
        <w:rPr>
          <w:rFonts w:ascii="宋体" w:hAnsi="宋体" w:cs="宋体"/>
          <w:b/>
          <w:bCs/>
          <w:szCs w:val="21"/>
        </w:rPr>
        <w:br w:type="page"/>
      </w:r>
    </w:p>
    <w:p>
      <w:pPr>
        <w:snapToGrid w:val="0"/>
        <w:spacing w:line="360" w:lineRule="auto"/>
        <w:jc w:val="center"/>
        <w:outlineLvl w:val="2"/>
        <w:rPr>
          <w:rFonts w:hint="eastAsia" w:ascii="宋体" w:hAnsi="宋体" w:cs="宋体"/>
          <w:b/>
          <w:kern w:val="0"/>
          <w:szCs w:val="21"/>
        </w:rPr>
      </w:pPr>
      <w:r>
        <w:rPr>
          <w:rFonts w:hint="eastAsia" w:ascii="宋体" w:hAnsi="宋体" w:cs="宋体"/>
          <w:b/>
          <w:bCs/>
          <w:szCs w:val="21"/>
        </w:rPr>
        <w:t>八</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pPr>
        <w:snapToGrid w:val="0"/>
        <w:spacing w:line="360" w:lineRule="auto"/>
        <w:rPr>
          <w:rFonts w:hint="eastAsia" w:ascii="宋体" w:hAnsi="宋体" w:cs="宋体"/>
          <w:szCs w:val="21"/>
        </w:rPr>
      </w:pPr>
    </w:p>
    <w:p>
      <w:pPr>
        <w:snapToGrid w:val="0"/>
        <w:spacing w:line="360" w:lineRule="auto"/>
        <w:rPr>
          <w:rFonts w:hint="eastAsia" w:ascii="宋体" w:hAnsi="宋体" w:cs="宋体"/>
          <w:kern w:val="0"/>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kern w:val="0"/>
          <w:szCs w:val="21"/>
          <w:lang w:val="zh-CN"/>
        </w:rPr>
        <w:t>：</w:t>
      </w:r>
    </w:p>
    <w:p>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好处；</w:t>
      </w:r>
    </w:p>
    <w:p>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pPr>
        <w:autoSpaceDE w:val="0"/>
        <w:autoSpaceDN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cs="宋体"/>
          <w:kern w:val="0"/>
          <w:szCs w:val="21"/>
          <w:lang w:val="zh-CN"/>
        </w:rPr>
      </w:pPr>
    </w:p>
    <w:p>
      <w:pPr>
        <w:autoSpaceDE w:val="0"/>
        <w:autoSpaceDN w:val="0"/>
        <w:spacing w:line="360" w:lineRule="auto"/>
        <w:ind w:left="2"/>
        <w:jc w:val="left"/>
        <w:rPr>
          <w:rFonts w:hint="eastAsia" w:ascii="宋体" w:hAnsi="宋体" w:cs="宋体"/>
          <w:kern w:val="0"/>
          <w:szCs w:val="21"/>
          <w:lang w:val="zh-CN"/>
        </w:rPr>
      </w:pPr>
    </w:p>
    <w:p>
      <w:pPr>
        <w:autoSpaceDE w:val="0"/>
        <w:autoSpaceDN w:val="0"/>
        <w:spacing w:line="360" w:lineRule="auto"/>
        <w:ind w:left="2"/>
        <w:jc w:val="left"/>
        <w:rPr>
          <w:rFonts w:hint="eastAsia" w:ascii="宋体" w:hAnsi="宋体" w:cs="宋体"/>
          <w:kern w:val="0"/>
          <w:szCs w:val="21"/>
          <w:lang w:val="zh-CN"/>
        </w:rPr>
      </w:pPr>
    </w:p>
    <w:p>
      <w:pPr>
        <w:spacing w:line="360" w:lineRule="auto"/>
        <w:ind w:left="4620" w:leftChars="2200"/>
        <w:rPr>
          <w:rFonts w:hint="eastAsia" w:ascii="宋体" w:hAnsi="宋体" w:eastAsia="宋体" w:cs="宋体"/>
          <w:kern w:val="0"/>
          <w:szCs w:val="21"/>
          <w:lang w:val="zh-CN"/>
        </w:rPr>
      </w:pPr>
      <w:r>
        <w:rPr>
          <w:rFonts w:hint="eastAsia" w:ascii="宋体" w:hAnsi="宋体" w:eastAsia="宋体" w:cs="宋体"/>
          <w:kern w:val="0"/>
          <w:szCs w:val="21"/>
          <w:lang w:val="zh-CN"/>
        </w:rPr>
        <w:t>投标人名称（电子签名）：</w:t>
      </w:r>
    </w:p>
    <w:p>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pacing w:line="360" w:lineRule="auto"/>
        <w:jc w:val="center"/>
        <w:rPr>
          <w:rFonts w:hint="eastAsia" w:ascii="宋体" w:hAnsi="宋体" w:cs="宋体"/>
          <w:b/>
          <w:bCs/>
          <w:szCs w:val="21"/>
        </w:rPr>
      </w:pPr>
    </w:p>
    <w:p>
      <w:pPr>
        <w:spacing w:line="360" w:lineRule="auto"/>
        <w:ind w:right="420"/>
        <w:rPr>
          <w:rFonts w:hint="eastAsia" w:ascii="宋体" w:hAnsi="宋体" w:cs="宋体"/>
          <w:szCs w:val="21"/>
        </w:rPr>
      </w:pPr>
      <w:r>
        <w:rPr>
          <w:rFonts w:hint="eastAsia" w:ascii="宋体" w:hAnsi="宋体" w:cs="宋体"/>
          <w:szCs w:val="21"/>
        </w:rPr>
        <w:t>注：按本格式和要求提供。</w:t>
      </w:r>
    </w:p>
    <w:p>
      <w:pPr>
        <w:spacing w:line="360" w:lineRule="auto"/>
        <w:jc w:val="center"/>
        <w:rPr>
          <w:rFonts w:hint="eastAsia" w:ascii="宋体" w:hAnsi="宋体" w:cs="宋体"/>
          <w:b/>
          <w:bCs/>
          <w:szCs w:val="21"/>
        </w:rPr>
        <w:sectPr>
          <w:headerReference r:id="rId4" w:type="first"/>
          <w:footerReference r:id="rId6" w:type="first"/>
          <w:headerReference r:id="rId3" w:type="default"/>
          <w:footerReference r:id="rId5" w:type="default"/>
          <w:pgSz w:w="11906" w:h="16838"/>
          <w:pgMar w:top="1247" w:right="1247" w:bottom="1247" w:left="1247" w:header="851" w:footer="992" w:gutter="0"/>
          <w:cols w:space="720" w:num="1"/>
          <w:titlePg/>
          <w:docGrid w:linePitch="312" w:charSpace="0"/>
        </w:sectPr>
      </w:pPr>
    </w:p>
    <w:p>
      <w:pPr>
        <w:snapToGrid w:val="0"/>
        <w:spacing w:line="360" w:lineRule="auto"/>
        <w:jc w:val="center"/>
        <w:outlineLvl w:val="1"/>
        <w:rPr>
          <w:rFonts w:hint="eastAsia" w:ascii="宋体" w:hAnsi="宋体" w:cs="宋体"/>
          <w:b/>
          <w:kern w:val="0"/>
          <w:szCs w:val="21"/>
        </w:rPr>
      </w:pPr>
      <w:r>
        <w:rPr>
          <w:rFonts w:hint="eastAsia" w:ascii="宋体" w:hAnsi="宋体" w:cs="宋体"/>
          <w:b/>
          <w:kern w:val="0"/>
          <w:szCs w:val="21"/>
        </w:rPr>
        <w:t>报价文件部分</w:t>
      </w:r>
    </w:p>
    <w:p>
      <w:pPr>
        <w:spacing w:line="360" w:lineRule="auto"/>
        <w:jc w:val="center"/>
        <w:rPr>
          <w:rFonts w:hint="eastAsia" w:ascii="宋体" w:hAnsi="宋体" w:cs="宋体"/>
          <w:b/>
          <w:kern w:val="0"/>
          <w:szCs w:val="21"/>
        </w:rPr>
      </w:pPr>
      <w:r>
        <w:rPr>
          <w:rFonts w:hint="eastAsia" w:ascii="宋体" w:hAnsi="宋体" w:cs="宋体"/>
          <w:b/>
          <w:kern w:val="0"/>
          <w:szCs w:val="21"/>
        </w:rPr>
        <w:t>目录</w:t>
      </w:r>
    </w:p>
    <w:p>
      <w:pPr>
        <w:numPr>
          <w:ilvl w:val="0"/>
          <w:numId w:val="7"/>
        </w:numPr>
        <w:snapToGrid w:val="0"/>
        <w:spacing w:line="360" w:lineRule="auto"/>
        <w:jc w:val="center"/>
        <w:rPr>
          <w:rFonts w:hint="eastAsia" w:ascii="宋体" w:hAnsi="宋体" w:cs="宋体"/>
          <w:szCs w:val="21"/>
        </w:rPr>
      </w:pPr>
      <w:r>
        <w:rPr>
          <w:rFonts w:hint="eastAsia" w:ascii="宋体" w:hAnsi="宋体" w:cs="宋体"/>
          <w:szCs w:val="21"/>
        </w:rPr>
        <w:t>开标一览表（报价表）………………………………………………………（页码）</w:t>
      </w:r>
    </w:p>
    <w:p>
      <w:pPr>
        <w:pStyle w:val="693"/>
        <w:keepNext w:val="0"/>
        <w:pageBreakBefore w:val="0"/>
        <w:tabs>
          <w:tab w:val="clear" w:pos="720"/>
        </w:tabs>
        <w:snapToGrid w:val="0"/>
        <w:spacing w:before="120" w:after="120"/>
        <w:jc w:val="both"/>
        <w:outlineLvl w:val="9"/>
        <w:rPr>
          <w:rFonts w:hint="eastAsia" w:ascii="宋体" w:hAnsi="宋体" w:eastAsia="宋体" w:cs="宋体"/>
          <w:kern w:val="2"/>
          <w:sz w:val="21"/>
          <w:szCs w:val="21"/>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outlineLvl w:val="2"/>
        <w:rPr>
          <w:rFonts w:hint="eastAsia" w:ascii="宋体" w:hAnsi="宋体" w:eastAsia="宋体" w:cs="宋体"/>
          <w:kern w:val="2"/>
          <w:sz w:val="21"/>
          <w:szCs w:val="21"/>
        </w:rPr>
      </w:pPr>
      <w:r>
        <w:rPr>
          <w:rFonts w:hint="eastAsia" w:ascii="宋体" w:hAnsi="宋体" w:eastAsia="宋体" w:cs="宋体"/>
          <w:kern w:val="2"/>
          <w:sz w:val="21"/>
          <w:szCs w:val="21"/>
        </w:rPr>
        <w:t>（1）开标一览表（报价表）</w:t>
      </w:r>
    </w:p>
    <w:p>
      <w:pPr>
        <w:snapToGrid w:val="0"/>
        <w:spacing w:line="360" w:lineRule="auto"/>
        <w:rPr>
          <w:rFonts w:hint="eastAsia" w:ascii="宋体" w:hAnsi="宋体" w:cs="宋体"/>
          <w:kern w:val="0"/>
          <w:szCs w:val="21"/>
        </w:rPr>
      </w:pPr>
      <w:r>
        <w:rPr>
          <w:rFonts w:hint="eastAsia" w:ascii="宋体" w:hAnsi="宋体" w:cs="宋体"/>
          <w:szCs w:val="21"/>
          <w:lang w:eastAsia="zh-CN"/>
        </w:rPr>
        <w:t>杭州职业技术学院</w:t>
      </w:r>
      <w:r>
        <w:rPr>
          <w:rFonts w:hint="eastAsia" w:ascii="宋体" w:hAnsi="宋体" w:cs="宋体"/>
          <w:szCs w:val="21"/>
        </w:rPr>
        <w:t>、</w:t>
      </w:r>
      <w:r>
        <w:rPr>
          <w:rFonts w:hint="eastAsia" w:ascii="宋体" w:hAnsi="宋体" w:cs="宋体"/>
          <w:szCs w:val="21"/>
          <w:lang w:eastAsia="zh-CN"/>
        </w:rPr>
        <w:t>浙江求是招标代理有限公司</w:t>
      </w:r>
      <w:r>
        <w:rPr>
          <w:rFonts w:hint="eastAsia" w:ascii="宋体" w:hAnsi="宋体" w:cs="宋体"/>
          <w:kern w:val="0"/>
          <w:szCs w:val="21"/>
          <w:lang w:val="zh-CN"/>
        </w:rPr>
        <w:t>：</w:t>
      </w:r>
    </w:p>
    <w:p>
      <w:pPr>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新能源汽车关键零部件实训室</w:t>
      </w:r>
      <w:r>
        <w:rPr>
          <w:rFonts w:hint="eastAsia" w:ascii="宋体" w:hAnsi="宋体" w:cs="宋体"/>
          <w:kern w:val="0"/>
          <w:szCs w:val="21"/>
          <w:lang w:val="zh-CN"/>
        </w:rPr>
        <w:t>【招标编号：</w:t>
      </w:r>
      <w:r>
        <w:rPr>
          <w:rFonts w:hint="eastAsia" w:ascii="宋体" w:hAnsi="宋体" w:cs="宋体"/>
          <w:szCs w:val="21"/>
          <w:lang w:eastAsia="zh-CN"/>
        </w:rPr>
        <w:t>HZY-HF-2025046</w:t>
      </w:r>
      <w:r>
        <w:rPr>
          <w:rFonts w:hint="eastAsia" w:ascii="宋体" w:hAnsi="宋体" w:cs="宋体"/>
          <w:szCs w:val="21"/>
        </w:rPr>
        <w:t>】的实施</w:t>
      </w:r>
      <w:r>
        <w:rPr>
          <w:rFonts w:hint="eastAsia" w:ascii="宋体" w:hAnsi="宋体" w:cs="宋体"/>
          <w:kern w:val="0"/>
          <w:szCs w:val="21"/>
          <w:lang w:val="zh-CN"/>
        </w:rPr>
        <w:t>。</w:t>
      </w:r>
    </w:p>
    <w:p>
      <w:pPr>
        <w:spacing w:line="360" w:lineRule="auto"/>
        <w:jc w:val="center"/>
        <w:rPr>
          <w:rFonts w:ascii="宋体" w:hAnsi="宋体" w:eastAsia="宋体" w:cs="宋体"/>
          <w:b/>
          <w:kern w:val="0"/>
          <w:szCs w:val="21"/>
          <w:lang w:val="zh-CN"/>
        </w:rPr>
      </w:pPr>
      <w:r>
        <w:rPr>
          <w:rFonts w:hint="eastAsia" w:ascii="宋体" w:hAnsi="宋体" w:eastAsia="宋体" w:cs="宋体"/>
          <w:b/>
          <w:kern w:val="0"/>
          <w:szCs w:val="21"/>
          <w:lang w:val="zh-CN"/>
        </w:rPr>
        <w:t>开标一览表（报价表）(单位均为人民币元)</w:t>
      </w:r>
    </w:p>
    <w:tbl>
      <w:tblPr>
        <w:tblStyle w:val="6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073"/>
        <w:gridCol w:w="1285"/>
        <w:gridCol w:w="1117"/>
        <w:gridCol w:w="835"/>
        <w:gridCol w:w="1008"/>
        <w:gridCol w:w="1060"/>
        <w:gridCol w:w="1168"/>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序号</w:t>
            </w:r>
          </w:p>
        </w:tc>
        <w:tc>
          <w:tcPr>
            <w:tcW w:w="558"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名称</w:t>
            </w:r>
          </w:p>
        </w:tc>
        <w:tc>
          <w:tcPr>
            <w:tcW w:w="668"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品牌</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（如果有）</w:t>
            </w:r>
          </w:p>
        </w:tc>
        <w:tc>
          <w:tcPr>
            <w:tcW w:w="580"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规格型号</w:t>
            </w:r>
          </w:p>
        </w:tc>
        <w:tc>
          <w:tcPr>
            <w:tcW w:w="434"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数量</w:t>
            </w:r>
          </w:p>
        </w:tc>
        <w:tc>
          <w:tcPr>
            <w:tcW w:w="524"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产地</w:t>
            </w: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单价</w:t>
            </w: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合计</w:t>
            </w:r>
          </w:p>
        </w:tc>
        <w:tc>
          <w:tcPr>
            <w:tcW w:w="731" w:type="pc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备注</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1</w:t>
            </w:r>
          </w:p>
        </w:tc>
        <w:tc>
          <w:tcPr>
            <w:tcW w:w="55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66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8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43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2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73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2</w:t>
            </w:r>
          </w:p>
        </w:tc>
        <w:tc>
          <w:tcPr>
            <w:tcW w:w="55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66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8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43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2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73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r>
              <w:rPr>
                <w:rFonts w:hint="eastAsia" w:ascii="宋体" w:hAnsi="宋体" w:eastAsia="宋体" w:cs="宋体"/>
                <w:szCs w:val="21"/>
              </w:rPr>
              <w:t>…</w:t>
            </w:r>
          </w:p>
        </w:tc>
        <w:tc>
          <w:tcPr>
            <w:tcW w:w="55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66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8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43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2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73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55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66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8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43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2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73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43"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55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668"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80"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43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24"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szCs w:val="21"/>
              </w:rPr>
            </w:pPr>
          </w:p>
        </w:tc>
        <w:tc>
          <w:tcPr>
            <w:tcW w:w="55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607"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c>
          <w:tcPr>
            <w:tcW w:w="731" w:type="pc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50" w:type="pct"/>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投标报价（小写）</w:t>
            </w:r>
          </w:p>
        </w:tc>
        <w:tc>
          <w:tcPr>
            <w:tcW w:w="2849" w:type="pct"/>
            <w:gridSpan w:val="5"/>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50" w:type="pct"/>
            <w:gridSpan w:val="4"/>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szCs w:val="21"/>
              </w:rPr>
            </w:pPr>
            <w:r>
              <w:rPr>
                <w:rFonts w:hint="eastAsia" w:ascii="宋体" w:hAnsi="宋体" w:eastAsia="宋体" w:cs="宋体"/>
                <w:b/>
                <w:szCs w:val="21"/>
              </w:rPr>
              <w:t>投标报价（大写）</w:t>
            </w:r>
          </w:p>
        </w:tc>
        <w:tc>
          <w:tcPr>
            <w:tcW w:w="2849" w:type="pct"/>
            <w:gridSpan w:val="5"/>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Cs w:val="21"/>
              </w:rPr>
            </w:pPr>
          </w:p>
        </w:tc>
      </w:tr>
    </w:tbl>
    <w:p>
      <w:pPr>
        <w:snapToGrid w:val="0"/>
        <w:spacing w:line="360" w:lineRule="auto"/>
        <w:ind w:left="480"/>
        <w:rPr>
          <w:rFonts w:hint="eastAsia" w:ascii="宋体" w:hAnsi="宋体" w:cs="宋体"/>
          <w:b/>
          <w:kern w:val="0"/>
          <w:szCs w:val="21"/>
          <w:lang w:val="zh-CN"/>
        </w:rPr>
      </w:pPr>
      <w:r>
        <w:rPr>
          <w:rFonts w:hint="eastAsia" w:ascii="宋体" w:hAnsi="宋体" w:cs="宋体"/>
          <w:b/>
          <w:kern w:val="0"/>
          <w:szCs w:val="21"/>
          <w:lang w:val="zh-CN"/>
        </w:rPr>
        <w:t>注：</w:t>
      </w:r>
    </w:p>
    <w:p>
      <w:pPr>
        <w:spacing w:line="360" w:lineRule="auto"/>
        <w:ind w:left="-2" w:leftChars="-1" w:firstLine="420" w:firstLineChars="200"/>
        <w:rPr>
          <w:rFonts w:hint="eastAsia"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kern w:val="0"/>
          <w:szCs w:val="21"/>
          <w:lang w:val="zh-CN"/>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pPr>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20" w:firstLineChars="200"/>
        <w:jc w:val="left"/>
        <w:rPr>
          <w:rFonts w:hint="eastAsia" w:ascii="宋体" w:hAnsi="宋体" w:cs="宋体"/>
          <w:kern w:val="0"/>
          <w:szCs w:val="21"/>
          <w:lang w:val="zh-CN"/>
        </w:rPr>
      </w:pPr>
    </w:p>
    <w:p>
      <w:pPr>
        <w:spacing w:line="360" w:lineRule="auto"/>
        <w:ind w:firstLine="422" w:firstLineChars="200"/>
        <w:rPr>
          <w:rFonts w:hint="eastAsia" w:ascii="宋体" w:hAnsi="宋体" w:cs="宋体"/>
          <w:b/>
          <w:kern w:val="0"/>
          <w:szCs w:val="21"/>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21"/>
          <w:szCs w:val="21"/>
        </w:rPr>
      </w:pPr>
    </w:p>
    <w:p>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21"/>
          <w:szCs w:val="21"/>
        </w:rPr>
        <w:sectPr>
          <w:pgSz w:w="11906" w:h="16838"/>
          <w:pgMar w:top="1247" w:right="1247" w:bottom="1247" w:left="1247"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b w:val="0"/>
          <w:sz w:val="21"/>
          <w:szCs w:val="21"/>
        </w:rPr>
      </w:pPr>
    </w:p>
    <w:p>
      <w:pPr>
        <w:pStyle w:val="3"/>
        <w:keepNext w:val="0"/>
        <w:keepLines w:val="0"/>
        <w:pageBreakBefore/>
        <w:widowControl/>
        <w:spacing w:before="100" w:beforeAutospacing="1" w:after="100" w:afterAutospacing="1" w:line="360" w:lineRule="auto"/>
        <w:ind w:left="430" w:hanging="430" w:hangingChars="204"/>
        <w:rPr>
          <w:rFonts w:hint="eastAsia" w:ascii="宋体" w:hAnsi="宋体" w:cs="宋体"/>
          <w:sz w:val="21"/>
          <w:szCs w:val="21"/>
        </w:rPr>
      </w:pPr>
      <w:bookmarkStart w:id="402" w:name="_Toc465665161"/>
      <w:r>
        <w:rPr>
          <w:rFonts w:hint="eastAsia" w:ascii="宋体" w:hAnsi="宋体" w:cs="宋体"/>
          <w:sz w:val="21"/>
          <w:szCs w:val="21"/>
        </w:rPr>
        <w:t>附件</w:t>
      </w:r>
      <w:bookmarkEnd w:id="402"/>
    </w:p>
    <w:p>
      <w:pPr>
        <w:snapToGrid w:val="0"/>
        <w:spacing w:line="360" w:lineRule="auto"/>
        <w:jc w:val="center"/>
        <w:outlineLvl w:val="0"/>
        <w:rPr>
          <w:rFonts w:hint="eastAsia" w:ascii="宋体" w:hAnsi="宋体" w:cs="宋体"/>
          <w:b/>
          <w:spacing w:val="6"/>
          <w:szCs w:val="21"/>
        </w:rPr>
      </w:pPr>
      <w:r>
        <w:rPr>
          <w:rFonts w:hint="eastAsia" w:ascii="宋体" w:hAnsi="宋体" w:cs="宋体"/>
          <w:b/>
          <w:spacing w:val="6"/>
          <w:szCs w:val="21"/>
        </w:rPr>
        <w:t>附件1：</w:t>
      </w:r>
      <w:bookmarkStart w:id="403" w:name="OLE_LINK14"/>
      <w:bookmarkStart w:id="404" w:name="OLE_LINK13"/>
      <w:r>
        <w:rPr>
          <w:rFonts w:hint="eastAsia" w:ascii="宋体" w:hAnsi="宋体" w:cs="宋体"/>
          <w:b/>
          <w:spacing w:val="6"/>
          <w:szCs w:val="21"/>
        </w:rPr>
        <w:t>残疾人福利性单位声明函</w:t>
      </w:r>
    </w:p>
    <w:bookmarkEnd w:id="403"/>
    <w:bookmarkEnd w:id="404"/>
    <w:p>
      <w:pPr>
        <w:spacing w:line="360" w:lineRule="auto"/>
        <w:rPr>
          <w:rFonts w:hint="eastAsia" w:ascii="宋体" w:hAnsi="宋体" w:cs="宋体"/>
          <w:b/>
          <w:spacing w:val="6"/>
          <w:szCs w:val="21"/>
        </w:rPr>
      </w:pPr>
    </w:p>
    <w:p>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lang w:eastAsia="zh-CN"/>
        </w:rPr>
        <w:t>杭州职业技术学院</w:t>
      </w:r>
      <w:r>
        <w:rPr>
          <w:rFonts w:hint="eastAsia" w:ascii="宋体" w:hAnsi="宋体" w:cs="宋体"/>
          <w:szCs w:val="21"/>
        </w:rPr>
        <w:t>_单位的_</w:t>
      </w:r>
      <w:r>
        <w:rPr>
          <w:rFonts w:hint="eastAsia" w:ascii="宋体" w:hAnsi="宋体" w:cs="宋体"/>
          <w:szCs w:val="21"/>
          <w:u w:val="single"/>
          <w:lang w:eastAsia="zh-CN"/>
        </w:rPr>
        <w:t>新能源汽车关键零部件实训室</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hint="eastAsia" w:ascii="宋体" w:hAnsi="宋体" w:cs="宋体"/>
          <w:szCs w:val="21"/>
        </w:rPr>
      </w:pPr>
    </w:p>
    <w:p>
      <w:pPr>
        <w:spacing w:line="360" w:lineRule="auto"/>
        <w:ind w:left="4620" w:leftChars="2200"/>
        <w:rPr>
          <w:rFonts w:hint="eastAsia" w:ascii="宋体" w:hAnsi="宋体" w:eastAsia="宋体" w:cs="宋体"/>
          <w:kern w:val="0"/>
          <w:szCs w:val="21"/>
          <w:lang w:val="zh-CN"/>
        </w:rPr>
      </w:pPr>
    </w:p>
    <w:p>
      <w:pPr>
        <w:spacing w:line="360" w:lineRule="auto"/>
        <w:ind w:left="4620" w:leftChars="2200"/>
        <w:rPr>
          <w:rFonts w:hint="eastAsia" w:ascii="宋体" w:hAnsi="宋体" w:eastAsia="宋体" w:cs="宋体"/>
          <w:kern w:val="0"/>
          <w:szCs w:val="21"/>
          <w:lang w:val="zh-CN"/>
        </w:rPr>
      </w:pPr>
      <w:r>
        <w:rPr>
          <w:rFonts w:hint="eastAsia" w:ascii="宋体" w:hAnsi="宋体" w:eastAsia="宋体" w:cs="宋体"/>
          <w:kern w:val="0"/>
          <w:szCs w:val="21"/>
          <w:lang w:val="zh-CN"/>
        </w:rPr>
        <w:t>投标人名称（电子签名）：</w:t>
      </w:r>
    </w:p>
    <w:p>
      <w:pPr>
        <w:spacing w:line="360" w:lineRule="auto"/>
        <w:ind w:left="4620" w:leftChars="2200"/>
        <w:rPr>
          <w:rFonts w:hint="eastAsia" w:ascii="宋体" w:hAnsi="宋体" w:eastAsia="宋体" w:cs="宋体"/>
          <w:kern w:val="0"/>
          <w:szCs w:val="21"/>
          <w:lang w:val="zh-CN"/>
        </w:rPr>
      </w:pPr>
      <w:r>
        <w:rPr>
          <w:rFonts w:hint="eastAsia" w:ascii="宋体" w:hAnsi="宋体" w:eastAsia="宋体" w:cs="宋体"/>
          <w:kern w:val="0"/>
          <w:szCs w:val="21"/>
          <w:lang w:val="zh-CN"/>
        </w:rPr>
        <w:t>日  期：</w:t>
      </w:r>
    </w:p>
    <w:p>
      <w:pPr>
        <w:widowControl/>
        <w:adjustRightInd/>
        <w:jc w:val="left"/>
        <w:rPr>
          <w:rFonts w:hint="eastAsia" w:ascii="宋体" w:hAnsi="宋体" w:cs="宋体"/>
          <w:szCs w:val="21"/>
        </w:rPr>
      </w:pPr>
      <w:r>
        <w:rPr>
          <w:rFonts w:hint="eastAsia" w:ascii="宋体" w:hAnsi="宋体" w:cs="宋体"/>
          <w:szCs w:val="21"/>
        </w:rPr>
        <w:br w:type="page"/>
      </w:r>
    </w:p>
    <w:p>
      <w:pPr>
        <w:snapToGrid w:val="0"/>
        <w:spacing w:line="360" w:lineRule="auto"/>
        <w:jc w:val="center"/>
        <w:outlineLvl w:val="0"/>
        <w:rPr>
          <w:rFonts w:hint="eastAsia" w:ascii="宋体" w:hAnsi="宋体" w:cs="宋体"/>
          <w:b/>
          <w:spacing w:val="6"/>
          <w:szCs w:val="21"/>
        </w:rPr>
      </w:pPr>
      <w:r>
        <w:rPr>
          <w:rFonts w:hint="eastAsia" w:ascii="宋体" w:hAnsi="宋体" w:cs="宋体"/>
          <w:b/>
          <w:spacing w:val="6"/>
          <w:szCs w:val="21"/>
        </w:rPr>
        <w:t>附件2：质疑函范本及制作说明</w:t>
      </w:r>
    </w:p>
    <w:p>
      <w:pPr>
        <w:spacing w:line="360" w:lineRule="auto"/>
        <w:jc w:val="center"/>
        <w:rPr>
          <w:rFonts w:hint="eastAsia" w:ascii="宋体" w:hAnsi="宋体" w:cs="宋体"/>
          <w:b/>
          <w:spacing w:val="6"/>
          <w:szCs w:val="21"/>
        </w:rPr>
      </w:pPr>
      <w:r>
        <w:rPr>
          <w:rFonts w:hint="eastAsia" w:ascii="宋体" w:hAnsi="宋体" w:cs="宋体"/>
          <w:b/>
          <w:spacing w:val="6"/>
          <w:szCs w:val="21"/>
        </w:rPr>
        <w:t>质疑函范本</w:t>
      </w:r>
    </w:p>
    <w:p>
      <w:pPr>
        <w:snapToGrid w:val="0"/>
        <w:spacing w:before="240" w:beforeLines="100" w:line="360" w:lineRule="auto"/>
        <w:rPr>
          <w:rFonts w:hint="eastAsia" w:ascii="宋体" w:hAnsi="宋体" w:cs="宋体"/>
          <w:bCs/>
          <w:szCs w:val="21"/>
        </w:rPr>
      </w:pPr>
      <w:r>
        <w:rPr>
          <w:rFonts w:hint="eastAsia" w:ascii="宋体" w:hAnsi="宋体" w:cs="宋体"/>
          <w:bCs/>
          <w:szCs w:val="21"/>
        </w:rPr>
        <w:t>一、质疑供应商基本信息</w:t>
      </w:r>
    </w:p>
    <w:p>
      <w:pPr>
        <w:snapToGrid w:val="0"/>
        <w:spacing w:line="360"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pPr>
        <w:snapToGrid w:val="0"/>
        <w:spacing w:line="360" w:lineRule="auto"/>
        <w:rPr>
          <w:rFonts w:hint="eastAsia"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pPr>
        <w:snapToGrid w:val="0"/>
        <w:spacing w:line="360" w:lineRule="auto"/>
        <w:rPr>
          <w:rFonts w:hint="eastAsia" w:ascii="宋体" w:hAnsi="宋体" w:cs="宋体"/>
          <w:bCs/>
          <w:szCs w:val="21"/>
        </w:rPr>
      </w:pPr>
      <w:r>
        <w:rPr>
          <w:rFonts w:hint="eastAsia" w:ascii="宋体" w:hAnsi="宋体" w:cs="宋体"/>
          <w:bCs/>
          <w:szCs w:val="21"/>
        </w:rPr>
        <w:t>二、质疑项目基本情况</w:t>
      </w:r>
    </w:p>
    <w:p>
      <w:pPr>
        <w:snapToGrid w:val="0"/>
        <w:spacing w:line="360"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pPr>
        <w:snapToGrid w:val="0"/>
        <w:spacing w:line="360" w:lineRule="auto"/>
        <w:rPr>
          <w:rFonts w:hint="eastAsia" w:ascii="宋体" w:hAnsi="宋体" w:cs="宋体"/>
          <w:bCs/>
          <w:szCs w:val="21"/>
        </w:rPr>
      </w:pPr>
      <w:r>
        <w:rPr>
          <w:rFonts w:hint="eastAsia" w:ascii="宋体" w:hAnsi="宋体" w:cs="宋体"/>
          <w:bCs/>
          <w:szCs w:val="21"/>
        </w:rPr>
        <w:t>三、质疑事项具体内容</w:t>
      </w:r>
    </w:p>
    <w:p>
      <w:pPr>
        <w:snapToGrid w:val="0"/>
        <w:spacing w:line="360"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pPr>
        <w:snapToGrid w:val="0"/>
        <w:spacing w:line="360" w:lineRule="auto"/>
        <w:rPr>
          <w:rFonts w:hint="eastAsia" w:ascii="宋体" w:hAnsi="宋体" w:cs="宋体"/>
          <w:szCs w:val="21"/>
        </w:rPr>
      </w:pP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u w:val="dotted"/>
        </w:rPr>
        <w:t xml:space="preserve">                                                     </w:t>
      </w:r>
    </w:p>
    <w:p>
      <w:pPr>
        <w:snapToGrid w:val="0"/>
        <w:spacing w:line="360" w:lineRule="auto"/>
        <w:rPr>
          <w:rFonts w:hint="eastAsia" w:ascii="宋体" w:hAnsi="宋体" w:cs="宋体"/>
          <w:szCs w:val="21"/>
          <w:u w:val="dotted"/>
        </w:rPr>
      </w:pPr>
      <w:r>
        <w:rPr>
          <w:rFonts w:hint="eastAsia" w:ascii="宋体" w:hAnsi="宋体" w:cs="宋体"/>
          <w:szCs w:val="21"/>
        </w:rPr>
        <w:t>质疑事项2</w:t>
      </w:r>
    </w:p>
    <w:p>
      <w:pPr>
        <w:snapToGrid w:val="0"/>
        <w:spacing w:line="360" w:lineRule="auto"/>
        <w:rPr>
          <w:rFonts w:hint="eastAsia" w:ascii="宋体" w:hAnsi="宋体" w:cs="宋体"/>
          <w:szCs w:val="21"/>
        </w:rPr>
      </w:pPr>
      <w:r>
        <w:rPr>
          <w:rFonts w:hint="eastAsia" w:ascii="宋体" w:hAnsi="宋体" w:cs="宋体"/>
          <w:szCs w:val="21"/>
        </w:rPr>
        <w:t>……</w:t>
      </w:r>
    </w:p>
    <w:p>
      <w:pPr>
        <w:snapToGrid w:val="0"/>
        <w:spacing w:line="360" w:lineRule="auto"/>
        <w:rPr>
          <w:rFonts w:hint="eastAsia" w:ascii="宋体" w:hAnsi="宋体" w:cs="宋体"/>
          <w:bCs/>
          <w:szCs w:val="21"/>
        </w:rPr>
      </w:pPr>
      <w:r>
        <w:rPr>
          <w:rFonts w:hint="eastAsia" w:ascii="宋体" w:hAnsi="宋体" w:cs="宋体"/>
          <w:bCs/>
          <w:szCs w:val="21"/>
        </w:rPr>
        <w:t>四、与质疑事项相关的质疑请求</w:t>
      </w:r>
    </w:p>
    <w:p>
      <w:pPr>
        <w:snapToGrid w:val="0"/>
        <w:spacing w:line="360"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 xml:space="preserve">签字(签章)：                   公章：                      </w:t>
      </w:r>
    </w:p>
    <w:p>
      <w:pPr>
        <w:spacing w:line="360" w:lineRule="auto"/>
        <w:rPr>
          <w:rFonts w:hint="eastAsia" w:ascii="宋体" w:hAnsi="宋体" w:cs="宋体"/>
          <w:szCs w:val="21"/>
        </w:rPr>
      </w:pPr>
      <w:r>
        <w:rPr>
          <w:rFonts w:hint="eastAsia" w:ascii="宋体" w:hAnsi="宋体" w:cs="宋体"/>
          <w:szCs w:val="21"/>
        </w:rPr>
        <w:t xml:space="preserve">日期：    </w:t>
      </w:r>
    </w:p>
    <w:p>
      <w:pPr>
        <w:spacing w:line="360" w:lineRule="auto"/>
        <w:rPr>
          <w:rFonts w:hint="eastAsia"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adjustRightInd/>
        <w:jc w:val="left"/>
        <w:rPr>
          <w:rFonts w:hint="eastAsia" w:ascii="宋体" w:hAnsi="宋体" w:cs="宋体"/>
          <w:b/>
          <w:spacing w:val="6"/>
          <w:szCs w:val="21"/>
        </w:rPr>
      </w:pPr>
      <w:r>
        <w:rPr>
          <w:rFonts w:hint="eastAsia" w:ascii="宋体" w:hAnsi="宋体" w:cs="宋体"/>
          <w:b/>
          <w:spacing w:val="6"/>
          <w:szCs w:val="21"/>
        </w:rPr>
        <w:br w:type="page"/>
      </w:r>
    </w:p>
    <w:p>
      <w:pPr>
        <w:snapToGrid w:val="0"/>
        <w:spacing w:line="360" w:lineRule="auto"/>
        <w:jc w:val="center"/>
        <w:outlineLvl w:val="0"/>
        <w:rPr>
          <w:rFonts w:hint="eastAsia" w:ascii="宋体" w:hAnsi="宋体" w:cs="宋体"/>
          <w:b/>
          <w:spacing w:val="6"/>
          <w:szCs w:val="21"/>
        </w:rPr>
      </w:pPr>
      <w:r>
        <w:rPr>
          <w:rFonts w:hint="eastAsia" w:ascii="宋体" w:hAnsi="宋体" w:cs="宋体"/>
          <w:b/>
          <w:spacing w:val="6"/>
          <w:szCs w:val="21"/>
        </w:rPr>
        <w:t>附件3：投诉书范本及制作说明</w:t>
      </w:r>
    </w:p>
    <w:p>
      <w:pPr>
        <w:spacing w:line="360" w:lineRule="auto"/>
        <w:jc w:val="center"/>
        <w:rPr>
          <w:rFonts w:hint="eastAsia" w:ascii="宋体" w:hAnsi="宋体" w:cs="宋体"/>
          <w:b/>
          <w:szCs w:val="21"/>
        </w:rPr>
      </w:pPr>
    </w:p>
    <w:p>
      <w:pPr>
        <w:spacing w:line="360" w:lineRule="auto"/>
        <w:jc w:val="center"/>
        <w:rPr>
          <w:rFonts w:hint="eastAsia" w:ascii="宋体" w:hAnsi="宋体" w:cs="宋体"/>
          <w:b/>
          <w:spacing w:val="6"/>
          <w:szCs w:val="21"/>
        </w:rPr>
      </w:pPr>
      <w:r>
        <w:rPr>
          <w:rFonts w:hint="eastAsia" w:ascii="宋体" w:hAnsi="宋体" w:cs="宋体"/>
          <w:b/>
          <w:spacing w:val="6"/>
          <w:szCs w:val="21"/>
        </w:rPr>
        <w:t>投诉书范本</w:t>
      </w:r>
    </w:p>
    <w:p>
      <w:pPr>
        <w:spacing w:line="360" w:lineRule="auto"/>
        <w:rPr>
          <w:rFonts w:hint="eastAsia" w:ascii="宋体" w:hAnsi="宋体" w:cs="宋体"/>
          <w:szCs w:val="21"/>
        </w:rPr>
      </w:pPr>
      <w:r>
        <w:rPr>
          <w:rFonts w:hint="eastAsia" w:ascii="宋体" w:hAnsi="宋体" w:cs="宋体"/>
          <w:szCs w:val="21"/>
        </w:rPr>
        <w:t>一、投诉相关主体基本情况</w:t>
      </w:r>
    </w:p>
    <w:p>
      <w:pPr>
        <w:spacing w:line="360" w:lineRule="auto"/>
        <w:rPr>
          <w:rFonts w:hint="eastAsia"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tabs>
          <w:tab w:val="left" w:pos="6510"/>
        </w:tabs>
        <w:spacing w:line="360" w:lineRule="auto"/>
        <w:jc w:val="left"/>
        <w:rPr>
          <w:rFonts w:hint="eastAsia"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pPr>
        <w:tabs>
          <w:tab w:val="left" w:pos="6510"/>
        </w:tabs>
        <w:spacing w:line="360" w:lineRule="auto"/>
        <w:rPr>
          <w:rFonts w:hint="eastAsia"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被投诉人2</w:t>
      </w:r>
    </w:p>
    <w:p>
      <w:pPr>
        <w:spacing w:line="360" w:lineRule="auto"/>
        <w:rPr>
          <w:rFonts w:hint="eastAsia" w:ascii="宋体" w:hAnsi="宋体" w:cs="宋体"/>
          <w:szCs w:val="21"/>
          <w:u w:val="dotted"/>
        </w:rPr>
      </w:pPr>
      <w:r>
        <w:rPr>
          <w:rFonts w:hint="eastAsia" w:ascii="宋体" w:hAnsi="宋体" w:cs="宋体"/>
          <w:szCs w:val="21"/>
        </w:rPr>
        <w:t>……</w:t>
      </w:r>
    </w:p>
    <w:p>
      <w:pPr>
        <w:spacing w:line="360" w:lineRule="auto"/>
        <w:rPr>
          <w:rFonts w:hint="eastAsia"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rPr>
      </w:pPr>
      <w:r>
        <w:rPr>
          <w:rFonts w:hint="eastAsia" w:ascii="宋体" w:hAnsi="宋体" w:cs="宋体"/>
          <w:szCs w:val="21"/>
        </w:rPr>
        <w:t>二、投诉项目基本情况</w:t>
      </w:r>
    </w:p>
    <w:p>
      <w:pPr>
        <w:spacing w:line="360" w:lineRule="auto"/>
        <w:rPr>
          <w:rFonts w:hint="eastAsia"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pPr>
        <w:spacing w:line="360" w:lineRule="auto"/>
        <w:rPr>
          <w:rFonts w:hint="eastAsia"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三、质疑基本情况</w:t>
      </w:r>
    </w:p>
    <w:p>
      <w:pPr>
        <w:spacing w:line="360" w:lineRule="auto"/>
        <w:ind w:firstLine="420" w:firstLineChars="200"/>
        <w:rPr>
          <w:rFonts w:hint="eastAsia"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ind w:firstLine="315" w:firstLineChars="150"/>
        <w:rPr>
          <w:rFonts w:hint="eastAsia"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pPr>
        <w:spacing w:line="360" w:lineRule="auto"/>
        <w:rPr>
          <w:rFonts w:hint="eastAsia" w:ascii="宋体" w:hAnsi="宋体" w:cs="宋体"/>
          <w:szCs w:val="21"/>
        </w:rPr>
      </w:pPr>
      <w:r>
        <w:rPr>
          <w:rFonts w:hint="eastAsia" w:ascii="宋体" w:hAnsi="宋体" w:cs="宋体"/>
          <w:szCs w:val="21"/>
        </w:rPr>
        <w:t>四、投诉事项具体内容</w:t>
      </w:r>
    </w:p>
    <w:p>
      <w:pPr>
        <w:spacing w:line="360" w:lineRule="auto"/>
        <w:rPr>
          <w:rFonts w:hint="eastAsia"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p>
    <w:p>
      <w:pPr>
        <w:spacing w:line="360" w:lineRule="auto"/>
        <w:rPr>
          <w:rFonts w:hint="eastAsia"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pPr>
        <w:spacing w:line="360" w:lineRule="auto"/>
        <w:rPr>
          <w:rFonts w:hint="eastAsia" w:ascii="宋体" w:hAnsi="宋体" w:cs="宋体"/>
          <w:szCs w:val="21"/>
          <w:u w:val="dotted"/>
        </w:rPr>
      </w:pPr>
      <w:r>
        <w:rPr>
          <w:rFonts w:hint="eastAsia" w:ascii="宋体" w:hAnsi="宋体" w:cs="宋体"/>
          <w:szCs w:val="21"/>
          <w:u w:val="dotted"/>
        </w:rPr>
        <w:t xml:space="preserve">                                                      </w:t>
      </w:r>
    </w:p>
    <w:p>
      <w:pPr>
        <w:spacing w:line="360" w:lineRule="auto"/>
        <w:rPr>
          <w:rFonts w:hint="eastAsia" w:ascii="宋体" w:hAnsi="宋体" w:cs="宋体"/>
          <w:szCs w:val="21"/>
        </w:rPr>
      </w:pPr>
      <w:r>
        <w:rPr>
          <w:rFonts w:hint="eastAsia" w:ascii="宋体" w:hAnsi="宋体" w:cs="宋体"/>
          <w:szCs w:val="21"/>
        </w:rPr>
        <w:t>投诉事项2</w:t>
      </w:r>
    </w:p>
    <w:p>
      <w:pPr>
        <w:spacing w:line="360" w:lineRule="auto"/>
        <w:rPr>
          <w:rFonts w:hint="eastAsia" w:ascii="宋体" w:hAnsi="宋体" w:cs="宋体"/>
          <w:szCs w:val="21"/>
          <w:u w:val="dotted"/>
        </w:rPr>
      </w:pP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五、与投诉事项相关的投诉请求</w:t>
      </w:r>
    </w:p>
    <w:p>
      <w:pPr>
        <w:spacing w:line="360" w:lineRule="auto"/>
        <w:rPr>
          <w:rFonts w:hint="eastAsia"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 xml:space="preserve">签字(签章)：                   公章：                      </w:t>
      </w:r>
    </w:p>
    <w:p>
      <w:pPr>
        <w:spacing w:line="360" w:lineRule="auto"/>
        <w:rPr>
          <w:rFonts w:hint="eastAsia" w:ascii="宋体" w:hAnsi="宋体" w:cs="宋体"/>
          <w:szCs w:val="21"/>
        </w:rPr>
      </w:pPr>
      <w:r>
        <w:rPr>
          <w:rFonts w:hint="eastAsia" w:ascii="宋体" w:hAnsi="宋体" w:cs="宋体"/>
          <w:szCs w:val="21"/>
        </w:rPr>
        <w:t xml:space="preserve">日期：    </w:t>
      </w:r>
    </w:p>
    <w:p>
      <w:pPr>
        <w:spacing w:line="360" w:lineRule="auto"/>
        <w:rPr>
          <w:rFonts w:hint="eastAsia"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hint="eastAsia"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widowControl/>
        <w:adjustRightInd/>
        <w:jc w:val="left"/>
        <w:rPr>
          <w:rFonts w:hint="eastAsia" w:ascii="宋体" w:hAnsi="宋体" w:cs="宋体"/>
          <w:b/>
          <w:spacing w:val="6"/>
          <w:szCs w:val="21"/>
        </w:rPr>
      </w:pPr>
      <w:r>
        <w:rPr>
          <w:rFonts w:hint="eastAsia" w:ascii="宋体" w:hAnsi="宋体" w:cs="宋体"/>
          <w:b/>
          <w:spacing w:val="6"/>
          <w:szCs w:val="21"/>
        </w:rPr>
        <w:br w:type="page"/>
      </w:r>
    </w:p>
    <w:p>
      <w:pPr>
        <w:snapToGrid w:val="0"/>
        <w:spacing w:line="360" w:lineRule="auto"/>
        <w:jc w:val="center"/>
        <w:outlineLvl w:val="0"/>
        <w:rPr>
          <w:rFonts w:hint="eastAsia"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pacing w:line="360" w:lineRule="auto"/>
        <w:rPr>
          <w:rFonts w:hint="eastAsia" w:ascii="宋体" w:hAnsi="宋体" w:cs="宋体"/>
          <w:szCs w:val="21"/>
          <w:u w:val="single"/>
        </w:rPr>
      </w:pPr>
    </w:p>
    <w:p>
      <w:pPr>
        <w:spacing w:line="360" w:lineRule="auto"/>
        <w:rPr>
          <w:rFonts w:hint="eastAsia" w:ascii="宋体" w:hAnsi="宋体" w:cs="宋体"/>
          <w:szCs w:val="21"/>
        </w:rPr>
      </w:pPr>
      <w:r>
        <w:rPr>
          <w:rFonts w:hint="eastAsia" w:ascii="宋体" w:hAnsi="宋体" w:cs="宋体"/>
          <w:szCs w:val="21"/>
          <w:u w:val="single"/>
          <w:lang w:eastAsia="zh-CN"/>
        </w:rPr>
        <w:t>杭州职业技术学院</w:t>
      </w:r>
      <w:r>
        <w:rPr>
          <w:rFonts w:hint="eastAsia" w:ascii="宋体" w:hAnsi="宋体" w:cs="宋体"/>
          <w:szCs w:val="21"/>
          <w:u w:val="single"/>
        </w:rPr>
        <w:t>、</w:t>
      </w:r>
      <w:r>
        <w:rPr>
          <w:rFonts w:hint="eastAsia" w:ascii="宋体" w:hAnsi="宋体" w:cs="宋体"/>
          <w:szCs w:val="21"/>
          <w:u w:val="single"/>
          <w:lang w:eastAsia="zh-CN"/>
        </w:rPr>
        <w:t>浙江求是招标代理有限公司</w:t>
      </w:r>
      <w:r>
        <w:rPr>
          <w:rFonts w:hint="eastAsia" w:ascii="宋体" w:hAnsi="宋体" w:cs="宋体"/>
          <w:szCs w:val="21"/>
          <w:u w:val="single"/>
        </w:rPr>
        <w:t>：</w:t>
      </w:r>
    </w:p>
    <w:p>
      <w:pPr>
        <w:spacing w:line="360" w:lineRule="auto"/>
        <w:ind w:firstLine="420" w:firstLineChars="200"/>
        <w:rPr>
          <w:rFonts w:hint="eastAsia"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pPr>
        <w:spacing w:line="360" w:lineRule="auto"/>
        <w:ind w:firstLine="420" w:firstLineChars="200"/>
        <w:rPr>
          <w:rFonts w:hint="eastAsia" w:ascii="宋体" w:hAnsi="宋体" w:cs="宋体"/>
          <w:szCs w:val="21"/>
        </w:rPr>
      </w:pPr>
      <w:r>
        <w:rPr>
          <w:rFonts w:hint="eastAsia" w:ascii="宋体" w:hAnsi="宋体" w:cs="宋体"/>
          <w:szCs w:val="21"/>
        </w:rPr>
        <w:t>特此说明。</w:t>
      </w:r>
    </w:p>
    <w:p>
      <w:pPr>
        <w:spacing w:line="360" w:lineRule="auto"/>
        <w:ind w:firstLine="494"/>
        <w:rPr>
          <w:rFonts w:hint="eastAsia" w:ascii="宋体" w:hAnsi="宋体" w:cs="宋体"/>
          <w:szCs w:val="21"/>
        </w:rPr>
      </w:pPr>
    </w:p>
    <w:p>
      <w:pPr>
        <w:spacing w:line="360" w:lineRule="auto"/>
        <w:ind w:firstLine="494"/>
        <w:rPr>
          <w:rFonts w:hint="eastAsia" w:ascii="宋体" w:hAnsi="宋体" w:cs="宋体"/>
          <w:szCs w:val="21"/>
        </w:rPr>
      </w:pPr>
    </w:p>
    <w:p>
      <w:pPr>
        <w:spacing w:line="360" w:lineRule="auto"/>
        <w:ind w:firstLine="494"/>
        <w:rPr>
          <w:rFonts w:hint="eastAsia" w:ascii="宋体" w:hAnsi="宋体" w:cs="宋体"/>
          <w:szCs w:val="21"/>
        </w:rPr>
      </w:pPr>
    </w:p>
    <w:p>
      <w:pPr>
        <w:spacing w:line="360" w:lineRule="auto"/>
        <w:ind w:right="480" w:firstLine="3570" w:firstLineChars="1700"/>
        <w:rPr>
          <w:rFonts w:hint="eastAsia" w:ascii="宋体" w:hAnsi="宋体" w:cs="宋体"/>
          <w:szCs w:val="21"/>
        </w:rPr>
      </w:pPr>
      <w:r>
        <w:rPr>
          <w:rFonts w:hint="eastAsia" w:ascii="宋体" w:hAnsi="宋体" w:cs="宋体"/>
          <w:szCs w:val="21"/>
        </w:rPr>
        <w:t>投标单位（法定名称章）：</w:t>
      </w:r>
    </w:p>
    <w:p>
      <w:pPr>
        <w:ind w:right="1440" w:firstLine="494"/>
        <w:jc w:val="center"/>
        <w:rPr>
          <w:rFonts w:hint="eastAsia" w:ascii="宋体" w:hAnsi="宋体" w:cs="宋体"/>
          <w:szCs w:val="21"/>
        </w:rPr>
      </w:pPr>
      <w:r>
        <w:rPr>
          <w:rFonts w:hint="eastAsia" w:ascii="宋体" w:hAnsi="宋体" w:cs="宋体"/>
          <w:szCs w:val="21"/>
        </w:rPr>
        <w:t xml:space="preserve">                              日期：       年     月     日</w:t>
      </w:r>
    </w:p>
    <w:p>
      <w:pPr>
        <w:rPr>
          <w:rFonts w:hint="eastAsia" w:ascii="宋体" w:hAnsi="宋体" w:cs="宋体"/>
          <w:szCs w:val="21"/>
        </w:rPr>
      </w:pPr>
      <w:r>
        <w:rPr>
          <w:rFonts w:hint="eastAsia" w:ascii="宋体" w:hAnsi="宋体" w:cs="宋体"/>
          <w:b/>
          <w:bCs/>
          <w:szCs w:val="21"/>
        </w:rPr>
        <w:t>附：</w:t>
      </w:r>
    </w:p>
    <w:p>
      <w:pPr>
        <w:spacing w:line="360" w:lineRule="auto"/>
        <w:rPr>
          <w:rFonts w:hint="eastAsia" w:ascii="宋体" w:hAnsi="宋体" w:cs="宋体"/>
          <w:bCs/>
          <w:szCs w:val="21"/>
        </w:rPr>
      </w:pPr>
      <w:r>
        <w:rPr>
          <w:rFonts w:hint="eastAsia"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Cs w:val="21"/>
        </w:rPr>
        <w:t>投标单位法定名称章（印模）                投标单位“XX专用章”（印模）</w:t>
      </w: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widowControl/>
        <w:adjustRightInd/>
        <w:jc w:val="left"/>
        <w:rPr>
          <w:rFonts w:hint="eastAsia" w:ascii="宋体" w:hAnsi="宋体" w:cs="宋体"/>
          <w:b/>
          <w:kern w:val="0"/>
          <w:szCs w:val="21"/>
        </w:rPr>
      </w:pPr>
      <w:r>
        <w:rPr>
          <w:rFonts w:hint="eastAsia" w:ascii="宋体" w:hAnsi="宋体" w:cs="宋体"/>
          <w:b/>
          <w:kern w:val="0"/>
          <w:szCs w:val="21"/>
        </w:rPr>
        <w:br w:type="page"/>
      </w:r>
    </w:p>
    <w:p>
      <w:pPr>
        <w:snapToGrid w:val="0"/>
        <w:spacing w:line="360" w:lineRule="auto"/>
        <w:jc w:val="center"/>
        <w:outlineLvl w:val="0"/>
        <w:rPr>
          <w:rFonts w:hint="eastAsia" w:ascii="宋体" w:hAnsi="宋体" w:cs="宋体"/>
          <w:b/>
          <w:kern w:val="0"/>
          <w:szCs w:val="21"/>
        </w:rPr>
      </w:pPr>
      <w:r>
        <w:rPr>
          <w:rFonts w:hint="eastAsia" w:ascii="宋体" w:hAnsi="宋体" w:cs="宋体"/>
          <w:b/>
          <w:kern w:val="0"/>
          <w:szCs w:val="21"/>
        </w:rPr>
        <w:t>附件</w:t>
      </w:r>
      <w:r>
        <w:rPr>
          <w:rFonts w:ascii="宋体" w:hAnsi="宋体" w:cs="宋体"/>
          <w:b/>
          <w:kern w:val="0"/>
          <w:szCs w:val="21"/>
        </w:rPr>
        <w:t>5</w:t>
      </w:r>
      <w:r>
        <w:rPr>
          <w:rFonts w:hint="eastAsia" w:ascii="宋体" w:hAnsi="宋体" w:cs="宋体"/>
          <w:b/>
          <w:kern w:val="0"/>
          <w:szCs w:val="21"/>
        </w:rPr>
        <w:t>：联合协议</w:t>
      </w:r>
    </w:p>
    <w:p>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w:t>
      </w:r>
      <w:r>
        <w:rPr>
          <w:rFonts w:hint="eastAsia" w:ascii="宋体" w:hAnsi="宋体" w:cs="宋体"/>
          <w:kern w:val="0"/>
          <w:szCs w:val="21"/>
          <w:lang w:val="zh-CN"/>
        </w:rPr>
        <w:t xml:space="preserve">投标。 </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三、本次联合投标中，分工如下：</w:t>
      </w:r>
    </w:p>
    <w:p>
      <w:pPr>
        <w:snapToGrid w:val="0"/>
        <w:spacing w:line="360" w:lineRule="auto"/>
        <w:ind w:firstLine="576"/>
        <w:rPr>
          <w:rFonts w:hint="eastAsia" w:ascii="宋体" w:hAnsi="宋体" w:cs="宋体"/>
          <w:kern w:val="0"/>
          <w:szCs w:val="21"/>
          <w:lang w:val="zh-CN"/>
        </w:rPr>
      </w:pPr>
      <w:bookmarkStart w:id="405"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w:t>
      </w:r>
    </w:p>
    <w:bookmarkEnd w:id="405"/>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四、联合体成员中小企业合同份额。</w:t>
      </w:r>
    </w:p>
    <w:p>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napToGrid w:val="0"/>
        <w:spacing w:line="360" w:lineRule="auto"/>
        <w:ind w:firstLine="576"/>
        <w:rPr>
          <w:rFonts w:hint="eastAsia"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right="960"/>
        <w:jc w:val="center"/>
        <w:rPr>
          <w:rFonts w:hint="eastAsia" w:ascii="宋体" w:hAnsi="宋体" w:cs="宋体"/>
          <w:kern w:val="0"/>
          <w:szCs w:val="21"/>
          <w:lang w:val="zh-CN"/>
        </w:rPr>
      </w:pPr>
      <w:r>
        <w:rPr>
          <w:rFonts w:hint="eastAsia" w:ascii="宋体" w:hAnsi="宋体" w:cs="宋体"/>
          <w:kern w:val="0"/>
          <w:szCs w:val="21"/>
          <w:lang w:val="zh-CN"/>
        </w:rPr>
        <w:t xml:space="preserve">                   ……</w:t>
      </w:r>
    </w:p>
    <w:p>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日期：  年  月   日</w:t>
      </w:r>
    </w:p>
    <w:p>
      <w:pPr>
        <w:spacing w:line="360" w:lineRule="auto"/>
        <w:ind w:right="420"/>
        <w:rPr>
          <w:rFonts w:hint="eastAsia" w:ascii="宋体" w:hAnsi="宋体" w:cs="宋体"/>
          <w:szCs w:val="21"/>
        </w:rPr>
      </w:pPr>
      <w:r>
        <w:rPr>
          <w:rFonts w:hint="eastAsia" w:ascii="宋体" w:hAnsi="宋体" w:cs="宋体"/>
          <w:szCs w:val="21"/>
        </w:rPr>
        <w:t>注：按本格式和要求提供。</w:t>
      </w:r>
    </w:p>
    <w:p>
      <w:pPr>
        <w:widowControl/>
        <w:adjustRightInd/>
        <w:jc w:val="left"/>
        <w:rPr>
          <w:rFonts w:hint="eastAsia" w:ascii="宋体" w:hAnsi="宋体" w:cs="宋体"/>
          <w:b/>
          <w:spacing w:val="6"/>
          <w:szCs w:val="21"/>
        </w:rPr>
      </w:pPr>
      <w:r>
        <w:rPr>
          <w:rFonts w:hint="eastAsia" w:ascii="宋体" w:hAnsi="宋体" w:cs="宋体"/>
          <w:b/>
          <w:spacing w:val="6"/>
          <w:szCs w:val="21"/>
        </w:rPr>
        <w:br w:type="page"/>
      </w:r>
    </w:p>
    <w:p>
      <w:pPr>
        <w:snapToGrid w:val="0"/>
        <w:spacing w:line="360" w:lineRule="auto"/>
        <w:jc w:val="center"/>
        <w:outlineLvl w:val="0"/>
        <w:rPr>
          <w:rFonts w:hint="eastAsia" w:ascii="宋体" w:hAnsi="宋体" w:cs="宋体"/>
          <w:b/>
          <w:kern w:val="0"/>
          <w:szCs w:val="21"/>
        </w:rPr>
      </w:pPr>
      <w:r>
        <w:rPr>
          <w:rFonts w:hint="eastAsia" w:ascii="宋体" w:hAnsi="宋体" w:cs="宋体"/>
          <w:b/>
          <w:kern w:val="0"/>
          <w:szCs w:val="21"/>
        </w:rPr>
        <w:t>附件</w:t>
      </w:r>
      <w:r>
        <w:rPr>
          <w:rFonts w:ascii="宋体" w:hAnsi="宋体" w:cs="宋体"/>
          <w:b/>
          <w:kern w:val="0"/>
          <w:szCs w:val="21"/>
        </w:rPr>
        <w:t>6</w:t>
      </w:r>
      <w:r>
        <w:rPr>
          <w:rFonts w:hint="eastAsia" w:ascii="宋体" w:hAnsi="宋体" w:cs="宋体"/>
          <w:b/>
          <w:kern w:val="0"/>
          <w:szCs w:val="21"/>
        </w:rPr>
        <w:t>：分包意向协议</w:t>
      </w:r>
    </w:p>
    <w:p>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新能源汽车关键零部件实训室</w:t>
      </w:r>
      <w:r>
        <w:rPr>
          <w:rFonts w:hint="eastAsia" w:ascii="宋体" w:hAnsi="宋体" w:cs="宋体"/>
          <w:szCs w:val="21"/>
        </w:rPr>
        <w:t>【招标编号：</w:t>
      </w:r>
      <w:r>
        <w:rPr>
          <w:rFonts w:hint="eastAsia" w:ascii="宋体" w:hAnsi="宋体" w:cs="宋体"/>
          <w:szCs w:val="21"/>
          <w:lang w:eastAsia="zh-CN"/>
        </w:rPr>
        <w:t>HZY-HF-2025046</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b/>
          <w:bCs/>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snapToGrid w:val="0"/>
        <w:spacing w:line="360" w:lineRule="auto"/>
        <w:ind w:firstLine="576"/>
        <w:rPr>
          <w:rFonts w:hint="eastAsia" w:ascii="宋体" w:hAnsi="宋体" w:cs="宋体"/>
          <w:kern w:val="0"/>
          <w:szCs w:val="21"/>
        </w:rPr>
      </w:pPr>
      <w:r>
        <w:rPr>
          <w:rFonts w:hint="eastAsia" w:ascii="宋体" w:hAnsi="宋体" w:cs="宋体"/>
          <w:kern w:val="0"/>
          <w:szCs w:val="21"/>
        </w:rPr>
        <w:t>……</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pPr>
        <w:snapToGrid w:val="0"/>
        <w:spacing w:line="360" w:lineRule="auto"/>
        <w:ind w:firstLine="576"/>
        <w:rPr>
          <w:rFonts w:hint="eastAsia"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406"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406"/>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pPr>
        <w:snapToGrid w:val="0"/>
        <w:spacing w:line="360" w:lineRule="auto"/>
        <w:ind w:firstLine="576"/>
        <w:rPr>
          <w:rFonts w:hint="eastAsia" w:ascii="宋体" w:hAnsi="宋体" w:cs="宋体"/>
          <w:szCs w:val="21"/>
          <w:u w:val="single"/>
        </w:rPr>
      </w:pPr>
      <w:r>
        <w:rPr>
          <w:rFonts w:hint="eastAsia" w:ascii="宋体" w:hAnsi="宋体" w:cs="宋体"/>
          <w:szCs w:val="21"/>
          <w:u w:val="single"/>
        </w:rPr>
        <w:t xml:space="preserve">                                                                                  </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四、质量</w:t>
      </w:r>
    </w:p>
    <w:p>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pPr>
        <w:snapToGrid w:val="0"/>
        <w:spacing w:line="360" w:lineRule="auto"/>
        <w:ind w:left="573" w:leftChars="273"/>
        <w:rPr>
          <w:rFonts w:hint="eastAsia"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分包供应商名称(电子签名/公章)：</w:t>
      </w:r>
    </w:p>
    <w:p>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right="420"/>
        <w:rPr>
          <w:rFonts w:hint="eastAsia" w:ascii="宋体" w:hAnsi="宋体" w:cs="宋体"/>
          <w:szCs w:val="21"/>
        </w:rPr>
      </w:pPr>
      <w:r>
        <w:rPr>
          <w:rFonts w:hint="eastAsia" w:ascii="宋体" w:hAnsi="宋体" w:cs="宋体"/>
          <w:szCs w:val="21"/>
        </w:rPr>
        <w:t>注：按本格式和要求提供。</w:t>
      </w: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autoSpaceDE w:val="0"/>
        <w:autoSpaceDN w:val="0"/>
        <w:jc w:val="center"/>
        <w:rPr>
          <w:rFonts w:hint="eastAsia" w:ascii="宋体" w:hAnsi="宋体" w:cs="宋体"/>
          <w:b/>
          <w:spacing w:val="6"/>
          <w:szCs w:val="21"/>
        </w:rPr>
      </w:pPr>
    </w:p>
    <w:p>
      <w:pPr>
        <w:spacing w:line="360" w:lineRule="auto"/>
        <w:jc w:val="both"/>
        <w:rPr>
          <w:rFonts w:hint="eastAsia" w:ascii="宋体" w:hAnsi="宋体" w:cs="宋体"/>
          <w:szCs w:val="21"/>
          <w:u w:val="singl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7" w:name="_Toc131845147"/>
    <w:bookmarkStart w:id="408" w:name="_Toc36110187"/>
    <w:bookmarkStart w:id="409" w:name="_Toc91899912"/>
    <w:bookmarkStart w:id="410" w:name="_Toc164085800"/>
    <w:r>
      <w:rPr>
        <w:rFonts w:hint="eastAsia" w:ascii="仿宋_GB2312" w:eastAsia="仿宋_GB2312"/>
        <w:kern w:val="0"/>
        <w:szCs w:val="21"/>
      </w:rPr>
      <w:t xml:space="preserve"> 页</w:t>
    </w:r>
    <w:bookmarkEnd w:id="407"/>
    <w:bookmarkEnd w:id="408"/>
    <w:bookmarkEnd w:id="409"/>
    <w:bookmarkEnd w:id="41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7461A"/>
    <w:multiLevelType w:val="singleLevel"/>
    <w:tmpl w:val="A217461A"/>
    <w:lvl w:ilvl="0" w:tentative="0">
      <w:start w:val="1"/>
      <w:numFmt w:val="decimal"/>
      <w:suff w:val="space"/>
      <w:lvlText w:val="%1."/>
      <w:lvlJc w:val="left"/>
    </w:lvl>
  </w:abstractNum>
  <w:abstractNum w:abstractNumId="1">
    <w:nsid w:val="A5DDBBB6"/>
    <w:multiLevelType w:val="singleLevel"/>
    <w:tmpl w:val="A5DDBBB6"/>
    <w:lvl w:ilvl="0" w:tentative="0">
      <w:start w:val="1"/>
      <w:numFmt w:val="decimal"/>
      <w:suff w:val="nothing"/>
      <w:lvlText w:val="%1、"/>
      <w:lvlJc w:val="left"/>
    </w:lvl>
  </w:abstractNum>
  <w:abstractNum w:abstractNumId="2">
    <w:nsid w:val="CF13A496"/>
    <w:multiLevelType w:val="singleLevel"/>
    <w:tmpl w:val="CF13A496"/>
    <w:lvl w:ilvl="0" w:tentative="0">
      <w:start w:val="1"/>
      <w:numFmt w:val="decimal"/>
      <w:suff w:val="nothing"/>
      <w:lvlText w:val="（%1）"/>
      <w:lvlJc w:val="left"/>
    </w:lvl>
  </w:abstractNum>
  <w:abstractNum w:abstractNumId="3">
    <w:nsid w:val="0ADD20F6"/>
    <w:multiLevelType w:val="singleLevel"/>
    <w:tmpl w:val="0ADD20F6"/>
    <w:lvl w:ilvl="0" w:tentative="0">
      <w:start w:val="11"/>
      <w:numFmt w:val="chineseCounting"/>
      <w:suff w:val="nothing"/>
      <w:lvlText w:val="%1、"/>
      <w:lvlJc w:val="left"/>
      <w:rPr>
        <w:rFonts w:hint="eastAsia" w:cs="Times New Roman"/>
      </w:rPr>
    </w:lvl>
  </w:abstractNum>
  <w:abstractNum w:abstractNumId="4">
    <w:nsid w:val="228554E1"/>
    <w:multiLevelType w:val="singleLevel"/>
    <w:tmpl w:val="228554E1"/>
    <w:lvl w:ilvl="0" w:tentative="0">
      <w:start w:val="1"/>
      <w:numFmt w:val="decimal"/>
      <w:suff w:val="nothing"/>
      <w:lvlText w:val="（%1）"/>
      <w:lvlJc w:val="left"/>
    </w:lvl>
  </w:abstractNum>
  <w:abstractNum w:abstractNumId="5">
    <w:nsid w:val="44ED1B9F"/>
    <w:multiLevelType w:val="singleLevel"/>
    <w:tmpl w:val="44ED1B9F"/>
    <w:lvl w:ilvl="0" w:tentative="0">
      <w:start w:val="1"/>
      <w:numFmt w:val="chineseCounting"/>
      <w:suff w:val="nothing"/>
      <w:lvlText w:val="%1、"/>
      <w:lvlJc w:val="left"/>
      <w:rPr>
        <w:rFonts w:hint="eastAsia"/>
      </w:rPr>
    </w:lvl>
  </w:abstractNum>
  <w:abstractNum w:abstractNumId="6">
    <w:nsid w:val="7E193E54"/>
    <w:multiLevelType w:val="singleLevel"/>
    <w:tmpl w:val="7E193E54"/>
    <w:lvl w:ilvl="0" w:tentative="0">
      <w:start w:val="1"/>
      <w:numFmt w:val="decimal"/>
      <w:suff w:val="space"/>
      <w:lvlText w:val="%1."/>
      <w:lvlJc w:val="left"/>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蒋晗">
    <w15:presenceInfo w15:providerId="None" w15:userId="蒋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71A"/>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40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5F9"/>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44F"/>
    <w:rsid w:val="000A752E"/>
    <w:rsid w:val="000B0E04"/>
    <w:rsid w:val="000B268D"/>
    <w:rsid w:val="000B291B"/>
    <w:rsid w:val="000B41D6"/>
    <w:rsid w:val="000B456C"/>
    <w:rsid w:val="000B45B9"/>
    <w:rsid w:val="000B47CE"/>
    <w:rsid w:val="000B4B56"/>
    <w:rsid w:val="000B4C62"/>
    <w:rsid w:val="000B541D"/>
    <w:rsid w:val="000B54C1"/>
    <w:rsid w:val="000B5553"/>
    <w:rsid w:val="000B58F5"/>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1D"/>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898"/>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E9C"/>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EC"/>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277"/>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806"/>
    <w:rsid w:val="001F6A92"/>
    <w:rsid w:val="001F77E8"/>
    <w:rsid w:val="0020022C"/>
    <w:rsid w:val="0020109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730"/>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F2E"/>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A2"/>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A87"/>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4ED6"/>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9F3"/>
    <w:rsid w:val="003A7E2B"/>
    <w:rsid w:val="003A7E40"/>
    <w:rsid w:val="003B0336"/>
    <w:rsid w:val="003B0A3A"/>
    <w:rsid w:val="003B0A6B"/>
    <w:rsid w:val="003B0D79"/>
    <w:rsid w:val="003B2930"/>
    <w:rsid w:val="003B31A7"/>
    <w:rsid w:val="003B3C0B"/>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1EF5"/>
    <w:rsid w:val="00492503"/>
    <w:rsid w:val="004925C8"/>
    <w:rsid w:val="00492AF9"/>
    <w:rsid w:val="00492B76"/>
    <w:rsid w:val="00492BBE"/>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35"/>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E65"/>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655"/>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B1"/>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5A6D"/>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283"/>
    <w:rsid w:val="005E1AB4"/>
    <w:rsid w:val="005E1F81"/>
    <w:rsid w:val="005E255B"/>
    <w:rsid w:val="005E2CF7"/>
    <w:rsid w:val="005E37FD"/>
    <w:rsid w:val="005E4388"/>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6E6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92D"/>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A10"/>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B59"/>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E8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0D1"/>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DF"/>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3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B7E"/>
    <w:rsid w:val="008D4D7C"/>
    <w:rsid w:val="008D5432"/>
    <w:rsid w:val="008D54C0"/>
    <w:rsid w:val="008D5558"/>
    <w:rsid w:val="008D5806"/>
    <w:rsid w:val="008D5ED9"/>
    <w:rsid w:val="008D7247"/>
    <w:rsid w:val="008D7567"/>
    <w:rsid w:val="008D7830"/>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150"/>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37"/>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444"/>
    <w:rsid w:val="009836AA"/>
    <w:rsid w:val="009846BF"/>
    <w:rsid w:val="009851F5"/>
    <w:rsid w:val="0098534B"/>
    <w:rsid w:val="00986019"/>
    <w:rsid w:val="00986281"/>
    <w:rsid w:val="00986C2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329"/>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9F4"/>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6DC"/>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4DD"/>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4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B4B"/>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0F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152"/>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90A"/>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2B1"/>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2D6"/>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430"/>
    <w:rsid w:val="00BE35C0"/>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A4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0D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21D"/>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7B7"/>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092C"/>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CDE"/>
    <w:rsid w:val="00E14D76"/>
    <w:rsid w:val="00E15183"/>
    <w:rsid w:val="00E155F5"/>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18D"/>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865"/>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3CB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4F0"/>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857"/>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0FA"/>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191"/>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55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4CBE"/>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899"/>
    <w:rsid w:val="00FB2BF5"/>
    <w:rsid w:val="00FB2F8E"/>
    <w:rsid w:val="00FB30C3"/>
    <w:rsid w:val="00FB39B0"/>
    <w:rsid w:val="00FB5138"/>
    <w:rsid w:val="00FB547F"/>
    <w:rsid w:val="00FB5A71"/>
    <w:rsid w:val="00FB63F6"/>
    <w:rsid w:val="00FB6950"/>
    <w:rsid w:val="00FB7823"/>
    <w:rsid w:val="00FC05B2"/>
    <w:rsid w:val="00FC08B3"/>
    <w:rsid w:val="00FC09D7"/>
    <w:rsid w:val="00FC0ABE"/>
    <w:rsid w:val="00FC1269"/>
    <w:rsid w:val="00FC22D0"/>
    <w:rsid w:val="00FC38D4"/>
    <w:rsid w:val="00FC391E"/>
    <w:rsid w:val="00FC39B3"/>
    <w:rsid w:val="00FC3BB7"/>
    <w:rsid w:val="00FC3DB8"/>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6601E"/>
    <w:rsid w:val="019F7441"/>
    <w:rsid w:val="01B37585"/>
    <w:rsid w:val="01D55165"/>
    <w:rsid w:val="01DF6BF8"/>
    <w:rsid w:val="01EC2C57"/>
    <w:rsid w:val="01F66ABD"/>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262C6B"/>
    <w:rsid w:val="06493CA7"/>
    <w:rsid w:val="065A6178"/>
    <w:rsid w:val="066F1CF3"/>
    <w:rsid w:val="06871610"/>
    <w:rsid w:val="06930BB8"/>
    <w:rsid w:val="06F92297"/>
    <w:rsid w:val="07245D42"/>
    <w:rsid w:val="07264C62"/>
    <w:rsid w:val="0779354C"/>
    <w:rsid w:val="07BA233A"/>
    <w:rsid w:val="08061376"/>
    <w:rsid w:val="08452D77"/>
    <w:rsid w:val="086401F8"/>
    <w:rsid w:val="08751CAA"/>
    <w:rsid w:val="087E4C40"/>
    <w:rsid w:val="08A871D0"/>
    <w:rsid w:val="08D66AD6"/>
    <w:rsid w:val="08DA33A3"/>
    <w:rsid w:val="08E80F13"/>
    <w:rsid w:val="08E87F44"/>
    <w:rsid w:val="09335624"/>
    <w:rsid w:val="093C394F"/>
    <w:rsid w:val="0944690F"/>
    <w:rsid w:val="09535675"/>
    <w:rsid w:val="095F057D"/>
    <w:rsid w:val="09642282"/>
    <w:rsid w:val="09711984"/>
    <w:rsid w:val="09733572"/>
    <w:rsid w:val="09750C0F"/>
    <w:rsid w:val="09772C16"/>
    <w:rsid w:val="098353B5"/>
    <w:rsid w:val="09A92330"/>
    <w:rsid w:val="09B06B87"/>
    <w:rsid w:val="09C13146"/>
    <w:rsid w:val="09E04166"/>
    <w:rsid w:val="0A1C0718"/>
    <w:rsid w:val="0A3E7710"/>
    <w:rsid w:val="0A5151D8"/>
    <w:rsid w:val="0A516F86"/>
    <w:rsid w:val="0A5B7E63"/>
    <w:rsid w:val="0A73594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AE09D7"/>
    <w:rsid w:val="0FBF3FD2"/>
    <w:rsid w:val="0FBF7FF3"/>
    <w:rsid w:val="10646583"/>
    <w:rsid w:val="107D4B15"/>
    <w:rsid w:val="108A3C80"/>
    <w:rsid w:val="10C26171"/>
    <w:rsid w:val="10F33360"/>
    <w:rsid w:val="10FC16EA"/>
    <w:rsid w:val="110F1D40"/>
    <w:rsid w:val="11266F33"/>
    <w:rsid w:val="115B4B8E"/>
    <w:rsid w:val="118963A1"/>
    <w:rsid w:val="11C6522A"/>
    <w:rsid w:val="11E104CC"/>
    <w:rsid w:val="11E20309"/>
    <w:rsid w:val="12255233"/>
    <w:rsid w:val="12530213"/>
    <w:rsid w:val="127723A9"/>
    <w:rsid w:val="12862074"/>
    <w:rsid w:val="12883966"/>
    <w:rsid w:val="129E45B4"/>
    <w:rsid w:val="12D81596"/>
    <w:rsid w:val="13072A44"/>
    <w:rsid w:val="13160D6D"/>
    <w:rsid w:val="13525B1D"/>
    <w:rsid w:val="135F4BE2"/>
    <w:rsid w:val="139B1A0A"/>
    <w:rsid w:val="139D25C7"/>
    <w:rsid w:val="13BF3CE4"/>
    <w:rsid w:val="13C77A9D"/>
    <w:rsid w:val="141008D8"/>
    <w:rsid w:val="14125FE6"/>
    <w:rsid w:val="144E749D"/>
    <w:rsid w:val="146D271E"/>
    <w:rsid w:val="149503B7"/>
    <w:rsid w:val="14982588"/>
    <w:rsid w:val="149A5AD9"/>
    <w:rsid w:val="14A7619D"/>
    <w:rsid w:val="14C447F8"/>
    <w:rsid w:val="150536C3"/>
    <w:rsid w:val="150C1963"/>
    <w:rsid w:val="151447A0"/>
    <w:rsid w:val="154A6454"/>
    <w:rsid w:val="156F0C08"/>
    <w:rsid w:val="15762120"/>
    <w:rsid w:val="16A8729C"/>
    <w:rsid w:val="16B33777"/>
    <w:rsid w:val="16BC70A7"/>
    <w:rsid w:val="16C6339E"/>
    <w:rsid w:val="172F2D79"/>
    <w:rsid w:val="17557BEF"/>
    <w:rsid w:val="17D349C1"/>
    <w:rsid w:val="18244F26"/>
    <w:rsid w:val="1830729E"/>
    <w:rsid w:val="18441ED8"/>
    <w:rsid w:val="1852128A"/>
    <w:rsid w:val="1870062C"/>
    <w:rsid w:val="18817102"/>
    <w:rsid w:val="18830A15"/>
    <w:rsid w:val="18852B28"/>
    <w:rsid w:val="188B5321"/>
    <w:rsid w:val="18A25B7A"/>
    <w:rsid w:val="19932372"/>
    <w:rsid w:val="19A20DD5"/>
    <w:rsid w:val="19AE03F1"/>
    <w:rsid w:val="19C30947"/>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52890"/>
    <w:rsid w:val="1CCB5193"/>
    <w:rsid w:val="1D061E52"/>
    <w:rsid w:val="1D0E1856"/>
    <w:rsid w:val="1D211898"/>
    <w:rsid w:val="1D266CE1"/>
    <w:rsid w:val="1D3963AF"/>
    <w:rsid w:val="1D6A673C"/>
    <w:rsid w:val="1D9247AE"/>
    <w:rsid w:val="1DB567EC"/>
    <w:rsid w:val="1DF51A98"/>
    <w:rsid w:val="1E051CD9"/>
    <w:rsid w:val="1E3D060F"/>
    <w:rsid w:val="1E3F5F7E"/>
    <w:rsid w:val="1E3F7D2E"/>
    <w:rsid w:val="1E4134E4"/>
    <w:rsid w:val="1E5062B3"/>
    <w:rsid w:val="1E523514"/>
    <w:rsid w:val="1E714A66"/>
    <w:rsid w:val="1E802593"/>
    <w:rsid w:val="1E8B6156"/>
    <w:rsid w:val="1EA703CC"/>
    <w:rsid w:val="1EB7330C"/>
    <w:rsid w:val="1EC51899"/>
    <w:rsid w:val="1F0A0FF3"/>
    <w:rsid w:val="1F4E5D32"/>
    <w:rsid w:val="1F5771FF"/>
    <w:rsid w:val="1FD52574"/>
    <w:rsid w:val="1FE868A9"/>
    <w:rsid w:val="20034907"/>
    <w:rsid w:val="20173E4B"/>
    <w:rsid w:val="204E48BC"/>
    <w:rsid w:val="208921B3"/>
    <w:rsid w:val="20973DEB"/>
    <w:rsid w:val="20B26522"/>
    <w:rsid w:val="20B44310"/>
    <w:rsid w:val="20BB18EA"/>
    <w:rsid w:val="211116EB"/>
    <w:rsid w:val="216133FC"/>
    <w:rsid w:val="21D56769"/>
    <w:rsid w:val="21E52EF3"/>
    <w:rsid w:val="21FB5D7B"/>
    <w:rsid w:val="22015E94"/>
    <w:rsid w:val="220B1C3D"/>
    <w:rsid w:val="221D1D20"/>
    <w:rsid w:val="22334A87"/>
    <w:rsid w:val="22BE6801"/>
    <w:rsid w:val="22D3360B"/>
    <w:rsid w:val="23085827"/>
    <w:rsid w:val="231F6686"/>
    <w:rsid w:val="233500BF"/>
    <w:rsid w:val="23377FF7"/>
    <w:rsid w:val="236B425F"/>
    <w:rsid w:val="23836192"/>
    <w:rsid w:val="23901F29"/>
    <w:rsid w:val="239C0061"/>
    <w:rsid w:val="23B908A4"/>
    <w:rsid w:val="23B95705"/>
    <w:rsid w:val="23E95BEF"/>
    <w:rsid w:val="23FD0064"/>
    <w:rsid w:val="24532873"/>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51CC1"/>
    <w:rsid w:val="26EA4592"/>
    <w:rsid w:val="27044A29"/>
    <w:rsid w:val="271D34C8"/>
    <w:rsid w:val="27321A96"/>
    <w:rsid w:val="276142BF"/>
    <w:rsid w:val="27783712"/>
    <w:rsid w:val="27907362"/>
    <w:rsid w:val="28036175"/>
    <w:rsid w:val="28333E1D"/>
    <w:rsid w:val="28454BD6"/>
    <w:rsid w:val="28455253"/>
    <w:rsid w:val="28551971"/>
    <w:rsid w:val="285B1C53"/>
    <w:rsid w:val="289F7086"/>
    <w:rsid w:val="28C32028"/>
    <w:rsid w:val="28CC490F"/>
    <w:rsid w:val="28DE40AA"/>
    <w:rsid w:val="29121C13"/>
    <w:rsid w:val="29345E77"/>
    <w:rsid w:val="294C65AD"/>
    <w:rsid w:val="29796F90"/>
    <w:rsid w:val="29806583"/>
    <w:rsid w:val="298B3C4C"/>
    <w:rsid w:val="2998358C"/>
    <w:rsid w:val="29F26D24"/>
    <w:rsid w:val="2A15033F"/>
    <w:rsid w:val="2A1662C1"/>
    <w:rsid w:val="2A1C7367"/>
    <w:rsid w:val="2A2815FA"/>
    <w:rsid w:val="2A6D6092"/>
    <w:rsid w:val="2A7D76B4"/>
    <w:rsid w:val="2B437463"/>
    <w:rsid w:val="2B7807EE"/>
    <w:rsid w:val="2B995B62"/>
    <w:rsid w:val="2BA50BF7"/>
    <w:rsid w:val="2BBF00EC"/>
    <w:rsid w:val="2BC37CFD"/>
    <w:rsid w:val="2BD5237F"/>
    <w:rsid w:val="2BE536CE"/>
    <w:rsid w:val="2BE758D9"/>
    <w:rsid w:val="2BF346BB"/>
    <w:rsid w:val="2C09049E"/>
    <w:rsid w:val="2C0A653C"/>
    <w:rsid w:val="2C191F85"/>
    <w:rsid w:val="2C1A1476"/>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662D8E"/>
    <w:rsid w:val="2F750BAF"/>
    <w:rsid w:val="2F946CCB"/>
    <w:rsid w:val="2FD25781"/>
    <w:rsid w:val="2FDC745C"/>
    <w:rsid w:val="2FFD7934"/>
    <w:rsid w:val="3049169C"/>
    <w:rsid w:val="306E6C8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6767C3"/>
    <w:rsid w:val="34950E68"/>
    <w:rsid w:val="34986E94"/>
    <w:rsid w:val="34AF62C9"/>
    <w:rsid w:val="34CB4388"/>
    <w:rsid w:val="34FA6E12"/>
    <w:rsid w:val="354D7158"/>
    <w:rsid w:val="358D5588"/>
    <w:rsid w:val="360D22ED"/>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37515E"/>
    <w:rsid w:val="38586797"/>
    <w:rsid w:val="385D15DF"/>
    <w:rsid w:val="386046B4"/>
    <w:rsid w:val="38BC0149"/>
    <w:rsid w:val="38D87D1C"/>
    <w:rsid w:val="391A4E98"/>
    <w:rsid w:val="39636459"/>
    <w:rsid w:val="396B7F6C"/>
    <w:rsid w:val="39783C80"/>
    <w:rsid w:val="39840B67"/>
    <w:rsid w:val="39B417A9"/>
    <w:rsid w:val="39FC5695"/>
    <w:rsid w:val="3A006D8E"/>
    <w:rsid w:val="3A3651E5"/>
    <w:rsid w:val="3A744481"/>
    <w:rsid w:val="3A8C7BEF"/>
    <w:rsid w:val="3A906246"/>
    <w:rsid w:val="3AF86E26"/>
    <w:rsid w:val="3B181276"/>
    <w:rsid w:val="3B2349B7"/>
    <w:rsid w:val="3B3779FE"/>
    <w:rsid w:val="3B616CFF"/>
    <w:rsid w:val="3B6259F6"/>
    <w:rsid w:val="3B976654"/>
    <w:rsid w:val="3BC01EFC"/>
    <w:rsid w:val="3BCA786A"/>
    <w:rsid w:val="3BD31E2F"/>
    <w:rsid w:val="3BF15831"/>
    <w:rsid w:val="3C105946"/>
    <w:rsid w:val="3C471448"/>
    <w:rsid w:val="3C5A58BF"/>
    <w:rsid w:val="3C5F759A"/>
    <w:rsid w:val="3C6C525A"/>
    <w:rsid w:val="3CCE23CB"/>
    <w:rsid w:val="3CD17D17"/>
    <w:rsid w:val="3D3C7F39"/>
    <w:rsid w:val="3D440F09"/>
    <w:rsid w:val="3D4504A0"/>
    <w:rsid w:val="3D8734BB"/>
    <w:rsid w:val="3D9A11D4"/>
    <w:rsid w:val="3DA16D89"/>
    <w:rsid w:val="3DA364BE"/>
    <w:rsid w:val="3DD82F3F"/>
    <w:rsid w:val="3DE041CB"/>
    <w:rsid w:val="3E0D48F6"/>
    <w:rsid w:val="3E1868B4"/>
    <w:rsid w:val="3E377251"/>
    <w:rsid w:val="3E42664B"/>
    <w:rsid w:val="3E5A7334"/>
    <w:rsid w:val="3E6D18D9"/>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10446"/>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F75F2C"/>
    <w:rsid w:val="460E7DA5"/>
    <w:rsid w:val="462F1B6A"/>
    <w:rsid w:val="46422483"/>
    <w:rsid w:val="4659254A"/>
    <w:rsid w:val="465B0637"/>
    <w:rsid w:val="465E3F0D"/>
    <w:rsid w:val="466A16E6"/>
    <w:rsid w:val="46893F2B"/>
    <w:rsid w:val="468C04BD"/>
    <w:rsid w:val="46C4686E"/>
    <w:rsid w:val="47745A86"/>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B6B18"/>
    <w:rsid w:val="4AFD7C19"/>
    <w:rsid w:val="4B0567D1"/>
    <w:rsid w:val="4B236AAE"/>
    <w:rsid w:val="4B707271"/>
    <w:rsid w:val="4B9739F7"/>
    <w:rsid w:val="4BEE2503"/>
    <w:rsid w:val="4C0F3FD0"/>
    <w:rsid w:val="4C245A30"/>
    <w:rsid w:val="4CB6685F"/>
    <w:rsid w:val="4CC367FE"/>
    <w:rsid w:val="4CE4545C"/>
    <w:rsid w:val="4D077F3C"/>
    <w:rsid w:val="4D123355"/>
    <w:rsid w:val="4D2A3B31"/>
    <w:rsid w:val="4D312C52"/>
    <w:rsid w:val="4D905305"/>
    <w:rsid w:val="4D964A72"/>
    <w:rsid w:val="4D9C1254"/>
    <w:rsid w:val="4DE86773"/>
    <w:rsid w:val="4DF44824"/>
    <w:rsid w:val="4E1D6419"/>
    <w:rsid w:val="4E6F6FA8"/>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17744"/>
    <w:rsid w:val="53544462"/>
    <w:rsid w:val="5397158E"/>
    <w:rsid w:val="53B10C4A"/>
    <w:rsid w:val="54013861"/>
    <w:rsid w:val="54487265"/>
    <w:rsid w:val="544D6070"/>
    <w:rsid w:val="54574766"/>
    <w:rsid w:val="54605E1E"/>
    <w:rsid w:val="54977258"/>
    <w:rsid w:val="54B3506A"/>
    <w:rsid w:val="54B4230F"/>
    <w:rsid w:val="54CA0D16"/>
    <w:rsid w:val="54D45DB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68B6949"/>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CB05B2"/>
    <w:rsid w:val="59F80043"/>
    <w:rsid w:val="5A09252F"/>
    <w:rsid w:val="5A0B2778"/>
    <w:rsid w:val="5A2A7C7B"/>
    <w:rsid w:val="5A2F12D9"/>
    <w:rsid w:val="5A3E2560"/>
    <w:rsid w:val="5A4D61FF"/>
    <w:rsid w:val="5A5D3B6E"/>
    <w:rsid w:val="5A637A76"/>
    <w:rsid w:val="5A6D33BA"/>
    <w:rsid w:val="5A792B1F"/>
    <w:rsid w:val="5A874767"/>
    <w:rsid w:val="5AA17199"/>
    <w:rsid w:val="5AA85BE2"/>
    <w:rsid w:val="5AAD6F28"/>
    <w:rsid w:val="5AD63A24"/>
    <w:rsid w:val="5B060C94"/>
    <w:rsid w:val="5B2E1A1D"/>
    <w:rsid w:val="5B843A1C"/>
    <w:rsid w:val="5B865931"/>
    <w:rsid w:val="5B873E3F"/>
    <w:rsid w:val="5C02690E"/>
    <w:rsid w:val="5C196DA7"/>
    <w:rsid w:val="5C2A048C"/>
    <w:rsid w:val="5C335AB8"/>
    <w:rsid w:val="5C670645"/>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03F78"/>
    <w:rsid w:val="60FA2EE8"/>
    <w:rsid w:val="610538E1"/>
    <w:rsid w:val="61054A27"/>
    <w:rsid w:val="610A52BC"/>
    <w:rsid w:val="611D2366"/>
    <w:rsid w:val="61421856"/>
    <w:rsid w:val="615227C4"/>
    <w:rsid w:val="61654E3F"/>
    <w:rsid w:val="6182292A"/>
    <w:rsid w:val="619F7F92"/>
    <w:rsid w:val="61F94C26"/>
    <w:rsid w:val="62000E56"/>
    <w:rsid w:val="62075FE3"/>
    <w:rsid w:val="62346C88"/>
    <w:rsid w:val="624F3E49"/>
    <w:rsid w:val="62632286"/>
    <w:rsid w:val="626524C3"/>
    <w:rsid w:val="62885958"/>
    <w:rsid w:val="62C51434"/>
    <w:rsid w:val="62F40B65"/>
    <w:rsid w:val="62FC2CFE"/>
    <w:rsid w:val="63024505"/>
    <w:rsid w:val="63497ED5"/>
    <w:rsid w:val="635600A5"/>
    <w:rsid w:val="635B1DB5"/>
    <w:rsid w:val="63711FED"/>
    <w:rsid w:val="63880DDC"/>
    <w:rsid w:val="638D750D"/>
    <w:rsid w:val="639A641D"/>
    <w:rsid w:val="63AC6CC0"/>
    <w:rsid w:val="64055776"/>
    <w:rsid w:val="64240056"/>
    <w:rsid w:val="643E143A"/>
    <w:rsid w:val="64491666"/>
    <w:rsid w:val="648B6EEF"/>
    <w:rsid w:val="649D4990"/>
    <w:rsid w:val="64B4350F"/>
    <w:rsid w:val="64C158BF"/>
    <w:rsid w:val="64CE2EAA"/>
    <w:rsid w:val="653C3090"/>
    <w:rsid w:val="65854376"/>
    <w:rsid w:val="658767BE"/>
    <w:rsid w:val="65892531"/>
    <w:rsid w:val="66195831"/>
    <w:rsid w:val="662E75B1"/>
    <w:rsid w:val="66342C2E"/>
    <w:rsid w:val="663E784C"/>
    <w:rsid w:val="66836460"/>
    <w:rsid w:val="668B6A45"/>
    <w:rsid w:val="66F25360"/>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EE1271"/>
    <w:rsid w:val="69FD55B8"/>
    <w:rsid w:val="6A0B1C62"/>
    <w:rsid w:val="6A2406C8"/>
    <w:rsid w:val="6A244C92"/>
    <w:rsid w:val="6ADE0BD1"/>
    <w:rsid w:val="6AE96859"/>
    <w:rsid w:val="6B147746"/>
    <w:rsid w:val="6B24787C"/>
    <w:rsid w:val="6B573233"/>
    <w:rsid w:val="6B5B6274"/>
    <w:rsid w:val="6B935D53"/>
    <w:rsid w:val="6BE0108D"/>
    <w:rsid w:val="6C196F71"/>
    <w:rsid w:val="6C226FCB"/>
    <w:rsid w:val="6C31226F"/>
    <w:rsid w:val="6C552F0B"/>
    <w:rsid w:val="6C8C67B7"/>
    <w:rsid w:val="6C9D744C"/>
    <w:rsid w:val="6D167928"/>
    <w:rsid w:val="6D26299B"/>
    <w:rsid w:val="6D4772EC"/>
    <w:rsid w:val="6D8E4F15"/>
    <w:rsid w:val="6D9078AF"/>
    <w:rsid w:val="6DAA3FEF"/>
    <w:rsid w:val="6DB82A73"/>
    <w:rsid w:val="6DBE0F5A"/>
    <w:rsid w:val="6DC0172B"/>
    <w:rsid w:val="6DCB690C"/>
    <w:rsid w:val="6DD41A5B"/>
    <w:rsid w:val="6DDEB12A"/>
    <w:rsid w:val="6DF43C2E"/>
    <w:rsid w:val="6DF51CA3"/>
    <w:rsid w:val="6E8335BD"/>
    <w:rsid w:val="6E8E12EF"/>
    <w:rsid w:val="6E972936"/>
    <w:rsid w:val="6ED446C5"/>
    <w:rsid w:val="6F2A7D94"/>
    <w:rsid w:val="6F2D45E9"/>
    <w:rsid w:val="6F6049BF"/>
    <w:rsid w:val="6F7B35A7"/>
    <w:rsid w:val="6F8331F1"/>
    <w:rsid w:val="6FA930A5"/>
    <w:rsid w:val="6FAE1A09"/>
    <w:rsid w:val="6FB165FF"/>
    <w:rsid w:val="6FD75BF8"/>
    <w:rsid w:val="707723D0"/>
    <w:rsid w:val="70F5661B"/>
    <w:rsid w:val="71360107"/>
    <w:rsid w:val="713B688E"/>
    <w:rsid w:val="71A30B93"/>
    <w:rsid w:val="71D43752"/>
    <w:rsid w:val="71F1796A"/>
    <w:rsid w:val="72154626"/>
    <w:rsid w:val="72262B5D"/>
    <w:rsid w:val="72283FF7"/>
    <w:rsid w:val="722E7212"/>
    <w:rsid w:val="723A0474"/>
    <w:rsid w:val="725923E4"/>
    <w:rsid w:val="72864BF7"/>
    <w:rsid w:val="729023FC"/>
    <w:rsid w:val="73BF7701"/>
    <w:rsid w:val="73C0646E"/>
    <w:rsid w:val="73DB2866"/>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0C31AA"/>
    <w:rsid w:val="761D08E0"/>
    <w:rsid w:val="764E3D8F"/>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2F28"/>
    <w:rsid w:val="79316829"/>
    <w:rsid w:val="797E66A9"/>
    <w:rsid w:val="798518A4"/>
    <w:rsid w:val="79A97383"/>
    <w:rsid w:val="79BA116F"/>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9932BE"/>
    <w:rsid w:val="7CE27788"/>
    <w:rsid w:val="7D0C32F1"/>
    <w:rsid w:val="7D0F408D"/>
    <w:rsid w:val="7D491C6C"/>
    <w:rsid w:val="7D5429C0"/>
    <w:rsid w:val="7D6E6D43"/>
    <w:rsid w:val="7DA71A0B"/>
    <w:rsid w:val="7DB57A34"/>
    <w:rsid w:val="7DD86F60"/>
    <w:rsid w:val="7DE60973"/>
    <w:rsid w:val="7DEF0916"/>
    <w:rsid w:val="7E1E5218"/>
    <w:rsid w:val="7E9A4E1F"/>
    <w:rsid w:val="7EA7723A"/>
    <w:rsid w:val="7ECB1729"/>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6">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6"/>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autoRedefine/>
    <w:qFormat/>
    <w:uiPriority w:val="0"/>
    <w:rPr>
      <w:b/>
      <w:bCs/>
    </w:rPr>
  </w:style>
  <w:style w:type="paragraph" w:styleId="60">
    <w:name w:val="Body Text First Indent"/>
    <w:basedOn w:val="24"/>
    <w:link w:val="321"/>
    <w:autoRedefine/>
    <w:qFormat/>
    <w:uiPriority w:val="0"/>
    <w:pPr>
      <w:ind w:firstLine="420"/>
    </w:pPr>
    <w:rPr>
      <w:rFonts w:hAnsi="Calibri" w:cs="Times New Roman"/>
      <w:snapToGrid/>
      <w:szCs w:val="20"/>
    </w:rPr>
  </w:style>
  <w:style w:type="paragraph" w:styleId="61">
    <w:name w:val="Body Text First Indent 2"/>
    <w:basedOn w:val="2"/>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basedOn w:val="69"/>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69"/>
    <w:autoRedefine/>
    <w:qFormat/>
    <w:uiPriority w:val="0"/>
    <w:rPr>
      <w:rFonts w:hint="eastAsia" w:ascii="仿宋_GB2312" w:eastAsia="仿宋_GB2312" w:cs="仿宋_GB2312"/>
      <w:color w:val="000000"/>
      <w:sz w:val="22"/>
      <w:szCs w:val="22"/>
      <w:u w:val="none"/>
    </w:rPr>
  </w:style>
  <w:style w:type="character" w:customStyle="1" w:styleId="147">
    <w:name w:val="标题 6 字符"/>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4"/>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0"/>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69"/>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2"/>
    <w:autoRedefine/>
    <w:qFormat/>
    <w:uiPriority w:val="0"/>
    <w:rPr>
      <w:kern w:val="2"/>
      <w:sz w:val="21"/>
    </w:rPr>
  </w:style>
  <w:style w:type="character" w:customStyle="1" w:styleId="331">
    <w:name w:val="font31"/>
    <w:basedOn w:val="69"/>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autoRedefine/>
    <w:qFormat/>
    <w:uiPriority w:val="0"/>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6"/>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5"/>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9"/>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Char"/>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F0CE0-3A7C-4315-9169-5208042A427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105</Pages>
  <Words>3738</Words>
  <Characters>4152</Characters>
  <Lines>1</Lines>
  <Paragraphs>1</Paragraphs>
  <TotalTime>5</TotalTime>
  <ScaleCrop>false</ScaleCrop>
  <LinksUpToDate>false</LinksUpToDate>
  <CharactersWithSpaces>4392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蒋晗</cp:lastModifiedBy>
  <cp:lastPrinted>2021-12-29T19:06:00Z</cp:lastPrinted>
  <dcterms:modified xsi:type="dcterms:W3CDTF">2025-06-18T02:35:12Z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11AEC0E746244748A831110B524E9D18_13</vt:lpwstr>
  </property>
  <property fmtid="{D5CDD505-2E9C-101B-9397-08002B2CF9AE}" pid="5" name="KSOTemplateDocerSaveRecord">
    <vt:lpwstr>eyJoZGlkIjoiYzZhZmJlNjIxOTc2NjIxNDYyYWE4YTdjNDUyMzM5YjgiLCJ1c2VySWQiOiI2NDQ2NDMyODYifQ==</vt:lpwstr>
  </property>
</Properties>
</file>