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_GB2312" w:hAnsi="仿宋" w:eastAsia="仿宋_GB2312" w:cs="仿宋_GB2312"/>
          <w:b/>
          <w:sz w:val="48"/>
          <w:szCs w:val="48"/>
        </w:rPr>
      </w:pPr>
    </w:p>
    <w:p>
      <w:pPr>
        <w:adjustRightInd/>
        <w:spacing w:line="360" w:lineRule="auto"/>
        <w:jc w:val="center"/>
        <w:rPr>
          <w:rFonts w:ascii="仿宋" w:hAnsi="仿宋" w:eastAsia="仿宋" w:cs="仿宋_GB2312"/>
          <w:b/>
          <w:sz w:val="44"/>
          <w:szCs w:val="44"/>
        </w:rPr>
      </w:pPr>
      <w:r>
        <w:rPr>
          <w:rFonts w:hint="eastAsia" w:ascii="仿宋" w:hAnsi="仿宋" w:eastAsia="仿宋" w:cs="仿宋"/>
          <w:b/>
          <w:bCs/>
          <w:color w:val="000000"/>
          <w:kern w:val="0"/>
          <w:sz w:val="36"/>
          <w:szCs w:val="36"/>
          <w:lang w:bidi="ar"/>
        </w:rPr>
        <w:t>杭州市临安区锦城街道新城幼儿园木制品家具采购</w:t>
      </w:r>
      <w:r>
        <w:rPr>
          <w:rFonts w:ascii="仿宋" w:hAnsi="仿宋" w:eastAsia="仿宋" w:cs="仿宋_GB2312"/>
          <w:b/>
          <w:sz w:val="44"/>
          <w:szCs w:val="44"/>
        </w:rPr>
        <w:t xml:space="preserve"> </w:t>
      </w:r>
    </w:p>
    <w:p>
      <w:pPr>
        <w:adjustRightInd/>
        <w:spacing w:line="360" w:lineRule="auto"/>
        <w:jc w:val="center"/>
        <w:rPr>
          <w:rFonts w:hint="eastAsia" w:ascii="仿宋" w:hAnsi="仿宋" w:eastAsia="仿宋" w:cs="仿宋_GB2312"/>
          <w:b/>
          <w:sz w:val="44"/>
          <w:szCs w:val="44"/>
          <w:lang w:val="en-US" w:eastAsia="zh-CN"/>
        </w:rPr>
      </w:pPr>
    </w:p>
    <w:p>
      <w:pPr>
        <w:adjustRightInd/>
        <w:spacing w:line="360" w:lineRule="auto"/>
        <w:jc w:val="center"/>
        <w:rPr>
          <w:rFonts w:hint="default" w:ascii="仿宋" w:hAnsi="仿宋" w:eastAsia="仿宋" w:cs="仿宋_GB2312"/>
          <w:b/>
          <w:sz w:val="44"/>
          <w:szCs w:val="44"/>
          <w:lang w:val="en-US" w:eastAsia="zh-CN"/>
        </w:rPr>
      </w:pPr>
      <w:r>
        <w:rPr>
          <w:rFonts w:hint="eastAsia" w:ascii="仿宋" w:hAnsi="仿宋" w:eastAsia="仿宋" w:cs="仿宋_GB2312"/>
          <w:b/>
          <w:sz w:val="44"/>
          <w:szCs w:val="44"/>
          <w:lang w:val="en-US" w:eastAsia="zh-CN"/>
        </w:rPr>
        <w:t>招标文件</w:t>
      </w: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（电子招投标）</w:t>
      </w:r>
    </w:p>
    <w:p>
      <w:pPr>
        <w:snapToGrid w:val="0"/>
        <w:spacing w:line="360" w:lineRule="auto"/>
        <w:jc w:val="center"/>
        <w:rPr>
          <w:rFonts w:hint="eastAsia" w:ascii="仿宋" w:hAnsi="仿宋" w:eastAsia="仿宋" w:cs="仿宋_GB2312"/>
          <w:sz w:val="30"/>
          <w:szCs w:val="30"/>
        </w:rPr>
      </w:pPr>
    </w:p>
    <w:p>
      <w:pPr>
        <w:snapToGrid w:val="0"/>
        <w:spacing w:line="360" w:lineRule="auto"/>
        <w:jc w:val="center"/>
        <w:rPr>
          <w:rFonts w:ascii="仿宋" w:hAnsi="仿宋" w:eastAsia="仿宋" w:cs="仿宋_GB2312"/>
          <w:color w:val="000000" w:themeColor="text1"/>
          <w:sz w:val="30"/>
          <w:szCs w:val="30"/>
          <w14:textFill>
            <w14:solidFill>
              <w14:schemeClr w14:val="tx1"/>
            </w14:solidFill>
          </w14:textFill>
        </w:rPr>
      </w:pPr>
      <w:r>
        <w:rPr>
          <w:rFonts w:hint="eastAsia" w:ascii="仿宋" w:hAnsi="仿宋" w:eastAsia="仿宋" w:cs="仿宋_GB2312"/>
          <w:sz w:val="30"/>
          <w:szCs w:val="30"/>
        </w:rPr>
        <w:t>项目编号</w:t>
      </w:r>
      <w:r>
        <w:rPr>
          <w:rFonts w:ascii="仿宋" w:hAnsi="仿宋" w:eastAsia="仿宋" w:cs="仿宋_GB2312"/>
          <w:sz w:val="30"/>
          <w:szCs w:val="30"/>
        </w:rPr>
        <w:t>:</w:t>
      </w:r>
      <w:r>
        <w:rPr>
          <w:rFonts w:hint="eastAsia" w:ascii="仿宋" w:hAnsi="仿宋" w:eastAsia="仿宋" w:cs="仿宋_GB2312"/>
          <w:sz w:val="30"/>
          <w:szCs w:val="30"/>
        </w:rPr>
        <w:t>[2022]575号</w:t>
      </w:r>
    </w:p>
    <w:p>
      <w:pPr>
        <w:adjustRightInd/>
        <w:spacing w:line="360" w:lineRule="auto"/>
        <w:rPr>
          <w:rFonts w:ascii="仿宋" w:hAnsi="仿宋" w:eastAsia="仿宋" w:cs="仿宋_GB2312"/>
          <w:sz w:val="28"/>
          <w:szCs w:val="20"/>
        </w:rPr>
      </w:pPr>
    </w:p>
    <w:p>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pPr>
        <w:spacing w:line="360" w:lineRule="auto"/>
        <w:jc w:val="center"/>
        <w:rPr>
          <w:rFonts w:ascii="仿宋" w:hAnsi="仿宋" w:eastAsia="仿宋" w:cs="仿宋_GB2312"/>
          <w:b/>
          <w:sz w:val="44"/>
          <w:szCs w:val="44"/>
        </w:rPr>
      </w:pPr>
    </w:p>
    <w:p>
      <w:pPr>
        <w:spacing w:line="360" w:lineRule="auto"/>
        <w:jc w:val="both"/>
        <w:rPr>
          <w:rFonts w:ascii="仿宋" w:hAnsi="仿宋" w:eastAsia="仿宋" w:cs="仿宋_GB2312"/>
          <w:sz w:val="24"/>
        </w:rPr>
      </w:pPr>
    </w:p>
    <w:p>
      <w:pPr>
        <w:spacing w:line="360" w:lineRule="auto"/>
        <w:rPr>
          <w:rFonts w:ascii="仿宋" w:hAnsi="仿宋" w:eastAsia="仿宋" w:cs="仿宋_GB2312"/>
          <w:sz w:val="32"/>
          <w:szCs w:val="32"/>
        </w:rPr>
      </w:pPr>
    </w:p>
    <w:p>
      <w:pPr>
        <w:spacing w:line="500" w:lineRule="exact"/>
        <w:ind w:right="532"/>
        <w:jc w:val="center"/>
      </w:pPr>
      <w:r>
        <w:rPr>
          <w:rFonts w:hint="eastAsia" w:ascii="仿宋" w:hAnsi="仿宋" w:eastAsia="仿宋" w:cs="仿宋"/>
          <w:color w:val="000000"/>
          <w:sz w:val="32"/>
          <w:szCs w:val="32"/>
        </w:rPr>
        <w:t>采购人：杭州市临安区人民政府锦城街道办事处</w:t>
      </w:r>
    </w:p>
    <w:p>
      <w:pPr>
        <w:spacing w:line="500" w:lineRule="exact"/>
        <w:ind w:right="532"/>
        <w:jc w:val="center"/>
        <w:rPr>
          <w:rFonts w:ascii="仿宋" w:hAnsi="仿宋" w:eastAsia="仿宋" w:cs="仿宋"/>
          <w:color w:val="000000"/>
          <w:sz w:val="32"/>
          <w:szCs w:val="32"/>
        </w:rPr>
      </w:pPr>
      <w:r>
        <w:rPr>
          <w:rFonts w:hint="eastAsia" w:ascii="仿宋" w:hAnsi="仿宋" w:eastAsia="仿宋" w:cs="仿宋"/>
          <w:color w:val="000000"/>
          <w:sz w:val="32"/>
          <w:szCs w:val="32"/>
        </w:rPr>
        <w:t>采购机构：浙江华夏工程管理有限公司</w:t>
      </w:r>
    </w:p>
    <w:p>
      <w:pPr>
        <w:spacing w:line="500" w:lineRule="exact"/>
        <w:ind w:right="532"/>
        <w:jc w:val="center"/>
        <w:rPr>
          <w:rFonts w:ascii="仿宋" w:hAnsi="仿宋" w:eastAsia="仿宋" w:cs="仿宋"/>
          <w:color w:val="000000"/>
          <w:sz w:val="32"/>
          <w:szCs w:val="32"/>
        </w:rPr>
      </w:pPr>
    </w:p>
    <w:p>
      <w:pPr>
        <w:pStyle w:val="32"/>
        <w:spacing w:before="120" w:after="120"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二〇二二年四月</w:t>
      </w:r>
    </w:p>
    <w:p>
      <w:pPr>
        <w:spacing w:line="360" w:lineRule="auto"/>
        <w:jc w:val="center"/>
        <w:rPr>
          <w:rFonts w:ascii="仿宋" w:hAnsi="仿宋" w:eastAsia="仿宋" w:cs="仿宋_GB2312"/>
          <w:sz w:val="24"/>
        </w:rPr>
        <w:sectPr>
          <w:headerReference r:id="rId4" w:type="first"/>
          <w:headerReference r:id="rId3" w:type="default"/>
          <w:footerReference r:id="rId5" w:type="even"/>
          <w:pgSz w:w="11906" w:h="16838"/>
          <w:pgMar w:top="680" w:right="1418" w:bottom="468" w:left="1418" w:header="851" w:footer="992" w:gutter="0"/>
          <w:cols w:space="720" w:num="1"/>
          <w:titlePg/>
          <w:docGrid w:linePitch="312" w:charSpace="0"/>
        </w:sectPr>
      </w:pPr>
    </w:p>
    <w:p>
      <w:pPr>
        <w:pStyle w:val="24"/>
      </w:pPr>
    </w:p>
    <w:p>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sdt>
      <w:sdtPr>
        <w:rPr>
          <w:rFonts w:ascii="宋体" w:hAnsi="宋体"/>
        </w:rPr>
        <w:id w:val="147475265"/>
        <w15:color w:val="DBDBDB"/>
        <w:docPartObj>
          <w:docPartGallery w:val="Table of Contents"/>
          <w:docPartUnique/>
        </w:docPartObj>
      </w:sdtPr>
      <w:sdtEndPr>
        <w:rPr>
          <w:rFonts w:ascii="仿宋" w:hAnsi="仿宋" w:eastAsia="仿宋" w:cs="仿宋_GB2312"/>
          <w:szCs w:val="32"/>
        </w:rPr>
      </w:sdtEndPr>
      <w:sdtContent>
        <w:p>
          <w:pPr>
            <w:jc w:val="center"/>
          </w:pPr>
        </w:p>
        <w:p>
          <w:pPr>
            <w:pStyle w:val="967"/>
            <w:tabs>
              <w:tab w:val="right" w:leader="dot" w:pos="9070"/>
            </w:tabs>
            <w:spacing w:line="360" w:lineRule="auto"/>
            <w:rPr>
              <w:rFonts w:ascii="仿宋" w:hAnsi="仿宋" w:eastAsia="仿宋" w:cs="仿宋"/>
              <w:sz w:val="28"/>
              <w:szCs w:val="28"/>
            </w:rPr>
          </w:pPr>
          <w:r>
            <w:rPr>
              <w:rFonts w:ascii="仿宋" w:hAnsi="仿宋" w:eastAsia="仿宋" w:cs="仿宋_GB2312"/>
              <w:sz w:val="32"/>
              <w:szCs w:val="32"/>
            </w:rPr>
            <w:fldChar w:fldCharType="begin"/>
          </w:r>
          <w:r>
            <w:rPr>
              <w:rFonts w:ascii="仿宋" w:hAnsi="仿宋" w:eastAsia="仿宋" w:cs="仿宋_GB2312"/>
              <w:sz w:val="32"/>
              <w:szCs w:val="32"/>
            </w:rPr>
            <w:instrText xml:space="preserve">TOC \o "1-1" \h \u </w:instrText>
          </w:r>
          <w:r>
            <w:rPr>
              <w:rFonts w:ascii="仿宋" w:hAnsi="仿宋" w:eastAsia="仿宋" w:cs="仿宋_GB2312"/>
              <w:sz w:val="32"/>
              <w:szCs w:val="32"/>
            </w:rPr>
            <w:fldChar w:fldCharType="separate"/>
          </w:r>
          <w:r>
            <w:fldChar w:fldCharType="begin"/>
          </w:r>
          <w:r>
            <w:instrText xml:space="preserve"> HYPERLINK \l "_Toc6804" </w:instrText>
          </w:r>
          <w:r>
            <w:fldChar w:fldCharType="separate"/>
          </w:r>
          <w:r>
            <w:rPr>
              <w:rFonts w:hint="eastAsia" w:ascii="仿宋" w:hAnsi="仿宋" w:eastAsia="仿宋" w:cs="仿宋"/>
              <w:sz w:val="28"/>
              <w:szCs w:val="28"/>
            </w:rPr>
            <w:t>第一部分 招标公告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_Toc6804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67"/>
            <w:tabs>
              <w:tab w:val="right" w:leader="dot" w:pos="9070"/>
            </w:tabs>
            <w:spacing w:line="360" w:lineRule="auto"/>
            <w:rPr>
              <w:rFonts w:ascii="仿宋" w:hAnsi="仿宋" w:eastAsia="仿宋" w:cs="仿宋"/>
              <w:sz w:val="28"/>
              <w:szCs w:val="28"/>
            </w:rPr>
          </w:pPr>
          <w:r>
            <w:fldChar w:fldCharType="begin"/>
          </w:r>
          <w:r>
            <w:instrText xml:space="preserve"> HYPERLINK \l "_Toc10690" </w:instrText>
          </w:r>
          <w:r>
            <w:fldChar w:fldCharType="separate"/>
          </w:r>
          <w:r>
            <w:rPr>
              <w:rFonts w:hint="eastAsia" w:ascii="仿宋" w:hAnsi="仿宋" w:eastAsia="仿宋" w:cs="仿宋"/>
              <w:sz w:val="28"/>
              <w:szCs w:val="28"/>
            </w:rPr>
            <w:t>第二部分 投标人须知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_Toc10690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67"/>
            <w:tabs>
              <w:tab w:val="right" w:leader="dot" w:pos="9070"/>
            </w:tabs>
            <w:spacing w:line="360" w:lineRule="auto"/>
            <w:rPr>
              <w:rFonts w:ascii="仿宋" w:hAnsi="仿宋" w:eastAsia="仿宋" w:cs="仿宋"/>
              <w:sz w:val="28"/>
              <w:szCs w:val="28"/>
            </w:rPr>
          </w:pPr>
          <w:r>
            <w:fldChar w:fldCharType="begin"/>
          </w:r>
          <w:r>
            <w:instrText xml:space="preserve"> HYPERLINK \l "_Toc1766" </w:instrText>
          </w:r>
          <w:r>
            <w:fldChar w:fldCharType="separate"/>
          </w:r>
          <w:r>
            <w:rPr>
              <w:rFonts w:hint="eastAsia" w:ascii="仿宋" w:hAnsi="仿宋" w:eastAsia="仿宋" w:cs="仿宋"/>
              <w:sz w:val="28"/>
              <w:szCs w:val="28"/>
            </w:rPr>
            <w:t>第三部分 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_Toc1766 \h </w:instrText>
          </w:r>
          <w:r>
            <w:rPr>
              <w:rFonts w:hint="eastAsia" w:ascii="仿宋" w:hAnsi="仿宋" w:eastAsia="仿宋" w:cs="仿宋"/>
              <w:sz w:val="28"/>
              <w:szCs w:val="28"/>
            </w:rPr>
            <w:fldChar w:fldCharType="separate"/>
          </w:r>
          <w:r>
            <w:rPr>
              <w:rFonts w:hint="eastAsia" w:ascii="仿宋" w:hAnsi="仿宋" w:eastAsia="仿宋" w:cs="仿宋"/>
              <w:sz w:val="28"/>
              <w:szCs w:val="28"/>
            </w:rPr>
            <w:t>23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67"/>
            <w:tabs>
              <w:tab w:val="right" w:leader="dot" w:pos="9070"/>
            </w:tabs>
            <w:spacing w:line="360" w:lineRule="auto"/>
            <w:rPr>
              <w:rFonts w:ascii="仿宋" w:hAnsi="仿宋" w:eastAsia="仿宋" w:cs="仿宋"/>
              <w:sz w:val="28"/>
              <w:szCs w:val="28"/>
            </w:rPr>
          </w:pPr>
          <w:r>
            <w:fldChar w:fldCharType="begin"/>
          </w:r>
          <w:r>
            <w:instrText xml:space="preserve"> HYPERLINK \l "_Toc4040" </w:instrText>
          </w:r>
          <w:r>
            <w:fldChar w:fldCharType="separate"/>
          </w:r>
          <w:r>
            <w:rPr>
              <w:rFonts w:hint="eastAsia" w:ascii="仿宋" w:hAnsi="仿宋" w:eastAsia="仿宋" w:cs="仿宋"/>
              <w:sz w:val="28"/>
              <w:szCs w:val="28"/>
            </w:rPr>
            <w:t>第四部分 评标办法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_Toc4040 \h </w:instrText>
          </w:r>
          <w:r>
            <w:rPr>
              <w:rFonts w:hint="eastAsia" w:ascii="仿宋" w:hAnsi="仿宋" w:eastAsia="仿宋" w:cs="仿宋"/>
              <w:sz w:val="28"/>
              <w:szCs w:val="28"/>
            </w:rPr>
            <w:fldChar w:fldCharType="separate"/>
          </w:r>
          <w:r>
            <w:rPr>
              <w:rFonts w:hint="eastAsia" w:ascii="仿宋" w:hAnsi="仿宋" w:eastAsia="仿宋" w:cs="仿宋"/>
              <w:sz w:val="28"/>
              <w:szCs w:val="28"/>
            </w:rPr>
            <w:t>94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67"/>
            <w:tabs>
              <w:tab w:val="right" w:leader="dot" w:pos="9070"/>
            </w:tabs>
            <w:spacing w:line="360" w:lineRule="auto"/>
            <w:rPr>
              <w:rFonts w:ascii="仿宋" w:hAnsi="仿宋" w:eastAsia="仿宋" w:cs="仿宋"/>
              <w:sz w:val="28"/>
              <w:szCs w:val="28"/>
            </w:rPr>
          </w:pPr>
          <w:r>
            <w:fldChar w:fldCharType="begin"/>
          </w:r>
          <w:r>
            <w:instrText xml:space="preserve"> HYPERLINK \l "_Toc2586" </w:instrText>
          </w:r>
          <w:r>
            <w:fldChar w:fldCharType="separate"/>
          </w:r>
          <w:r>
            <w:rPr>
              <w:rFonts w:hint="eastAsia" w:ascii="仿宋" w:hAnsi="仿宋" w:eastAsia="仿宋" w:cs="仿宋"/>
              <w:sz w:val="28"/>
              <w:szCs w:val="28"/>
            </w:rPr>
            <w:t>第五部分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_Toc2586 \h </w:instrText>
          </w:r>
          <w:r>
            <w:rPr>
              <w:rFonts w:hint="eastAsia" w:ascii="仿宋" w:hAnsi="仿宋" w:eastAsia="仿宋" w:cs="仿宋"/>
              <w:sz w:val="28"/>
              <w:szCs w:val="28"/>
            </w:rPr>
            <w:fldChar w:fldCharType="separate"/>
          </w:r>
          <w:r>
            <w:rPr>
              <w:rFonts w:hint="eastAsia" w:ascii="仿宋" w:hAnsi="仿宋" w:eastAsia="仿宋" w:cs="仿宋"/>
              <w:sz w:val="28"/>
              <w:szCs w:val="28"/>
            </w:rPr>
            <w:t>100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67"/>
            <w:tabs>
              <w:tab w:val="right" w:leader="dot" w:pos="9070"/>
            </w:tabs>
            <w:spacing w:line="360" w:lineRule="auto"/>
          </w:pPr>
          <w:r>
            <w:fldChar w:fldCharType="begin"/>
          </w:r>
          <w:r>
            <w:instrText xml:space="preserve"> HYPERLINK \l "_Toc7933" </w:instrText>
          </w:r>
          <w:r>
            <w:fldChar w:fldCharType="separate"/>
          </w:r>
          <w:r>
            <w:rPr>
              <w:rFonts w:hint="eastAsia" w:ascii="仿宋" w:hAnsi="仿宋" w:eastAsia="仿宋" w:cs="仿宋"/>
              <w:sz w:val="28"/>
              <w:szCs w:val="28"/>
            </w:rPr>
            <w:t>第六部分 应提交的有关格式范例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_Toc7933 \h </w:instrText>
          </w:r>
          <w:r>
            <w:rPr>
              <w:rFonts w:hint="eastAsia" w:ascii="仿宋" w:hAnsi="仿宋" w:eastAsia="仿宋" w:cs="仿宋"/>
              <w:sz w:val="28"/>
              <w:szCs w:val="28"/>
            </w:rPr>
            <w:fldChar w:fldCharType="separate"/>
          </w:r>
          <w:r>
            <w:rPr>
              <w:rFonts w:hint="eastAsia" w:ascii="仿宋" w:hAnsi="仿宋" w:eastAsia="仿宋" w:cs="仿宋"/>
              <w:sz w:val="28"/>
              <w:szCs w:val="28"/>
            </w:rPr>
            <w:t>112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967"/>
            <w:tabs>
              <w:tab w:val="right" w:leader="dot" w:pos="9070"/>
            </w:tabs>
          </w:pPr>
        </w:p>
        <w:p>
          <w:pPr>
            <w:spacing w:line="360" w:lineRule="auto"/>
            <w:rPr>
              <w:rFonts w:ascii="仿宋" w:hAnsi="仿宋" w:eastAsia="仿宋" w:cs="仿宋_GB2312"/>
              <w:sz w:val="32"/>
              <w:szCs w:val="32"/>
            </w:rPr>
          </w:pPr>
          <w:r>
            <w:rPr>
              <w:rFonts w:ascii="仿宋" w:hAnsi="仿宋" w:eastAsia="仿宋" w:cs="仿宋_GB2312"/>
              <w:szCs w:val="32"/>
            </w:rPr>
            <w:fldChar w:fldCharType="end"/>
          </w:r>
        </w:p>
      </w:sdtContent>
    </w:sdt>
    <w:p>
      <w:pPr>
        <w:spacing w:line="360" w:lineRule="auto"/>
        <w:ind w:firstLine="549" w:firstLineChars="229"/>
        <w:rPr>
          <w:rFonts w:ascii="仿宋" w:hAnsi="仿宋" w:eastAsia="仿宋" w:cs="仿宋_GB2312"/>
          <w:sz w:val="24"/>
        </w:rPr>
      </w:pPr>
      <w:bookmarkStart w:id="0" w:name="_Toc91899869"/>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rPr>
          <w:rFonts w:ascii="仿宋" w:hAnsi="仿宋" w:eastAsia="仿宋" w:cs="仿宋_GB2312"/>
          <w:sz w:val="24"/>
        </w:rPr>
      </w:pPr>
    </w:p>
    <w:p>
      <w:pPr>
        <w:adjustRightInd/>
        <w:spacing w:line="360" w:lineRule="auto"/>
        <w:jc w:val="center"/>
        <w:outlineLvl w:val="0"/>
        <w:rPr>
          <w:rFonts w:ascii="仿宋_GB2312" w:hAnsi="仿宋" w:eastAsia="仿宋_GB2312" w:cs="仿宋_GB2312"/>
          <w:b/>
          <w:sz w:val="36"/>
          <w:szCs w:val="20"/>
        </w:rPr>
      </w:pPr>
      <w:bookmarkStart w:id="1" w:name="第一部分"/>
      <w:r>
        <w:rPr>
          <w:rFonts w:ascii="仿宋" w:hAnsi="仿宋" w:eastAsia="仿宋" w:cs="仿宋_GB2312"/>
          <w:b/>
          <w:sz w:val="36"/>
          <w:szCs w:val="36"/>
        </w:rPr>
        <w:br w:type="page"/>
      </w:r>
      <w:bookmarkEnd w:id="0"/>
      <w:bookmarkEnd w:id="1"/>
      <w:bookmarkStart w:id="2" w:name="_Hlt74649545"/>
      <w:bookmarkEnd w:id="2"/>
      <w:bookmarkStart w:id="3" w:name="_Hlt74729822"/>
      <w:bookmarkEnd w:id="3"/>
      <w:bookmarkStart w:id="4" w:name="_Hlt74728647"/>
      <w:bookmarkEnd w:id="4"/>
      <w:bookmarkStart w:id="5" w:name="_Hlt74707423"/>
      <w:bookmarkEnd w:id="5"/>
      <w:bookmarkStart w:id="6" w:name="_Toc6804"/>
      <w:bookmarkStart w:id="7" w:name="_Toc20554"/>
      <w:bookmarkStart w:id="8" w:name="第二部分"/>
      <w:bookmarkStart w:id="9" w:name="_Toc91899870"/>
      <w:bookmarkStart w:id="10" w:name="_Toc91899871"/>
      <w:r>
        <w:rPr>
          <w:rStyle w:val="286"/>
          <w:rFonts w:hint="eastAsia" w:ascii="仿宋" w:hAnsi="仿宋" w:eastAsia="仿宋" w:cs="仿宋"/>
        </w:rPr>
        <w:t>第一部分 招标公告</w:t>
      </w:r>
      <w:bookmarkEnd w:id="6"/>
      <w:bookmarkEnd w:id="7"/>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000000" w:themeColor="text1"/>
          <w:sz w:val="24"/>
          <w:u w:val="single"/>
          <w14:textFill>
            <w14:solidFill>
              <w14:schemeClr w14:val="tx1"/>
            </w14:solidFill>
          </w14:textFill>
        </w:rPr>
      </w:pPr>
      <w:r>
        <w:rPr>
          <w:rFonts w:hint="eastAsia" w:ascii="仿宋_GB2312" w:hAnsi="仿宋" w:eastAsia="仿宋_GB2312"/>
          <w:sz w:val="24"/>
          <w:u w:val="single"/>
        </w:rPr>
        <w:t>杭州市临安区锦城街道新城幼儿园木制品家具采购</w:t>
      </w:r>
      <w:r>
        <w:rPr>
          <w:rFonts w:hint="eastAsia" w:ascii="仿宋_GB2312" w:hAnsi="仿宋" w:eastAsia="仿宋_GB2312"/>
          <w:sz w:val="24"/>
        </w:rPr>
        <w:t>招</w:t>
      </w:r>
      <w:r>
        <w:rPr>
          <w:rFonts w:hint="eastAsia" w:ascii="仿宋_GB2312" w:hAnsi="仿宋" w:eastAsia="仿宋_GB2312"/>
          <w:color w:val="000000" w:themeColor="text1"/>
          <w:sz w:val="24"/>
          <w14:textFill>
            <w14:solidFill>
              <w14:schemeClr w14:val="tx1"/>
            </w14:solidFill>
          </w14:textFill>
        </w:rPr>
        <w:t>标项目的潜在投标人应在政采云平台（</w:t>
      </w:r>
      <w:r>
        <w:fldChar w:fldCharType="begin"/>
      </w:r>
      <w:r>
        <w:instrText xml:space="preserve"> HYPERLINK "https://www.zcygov.cn/）获取（下载）招标文件，并于2021年" </w:instrText>
      </w:r>
      <w:r>
        <w:fldChar w:fldCharType="separate"/>
      </w:r>
      <w:r>
        <w:rPr>
          <w:rStyle w:val="76"/>
          <w:rFonts w:ascii="仿宋_GB2312" w:hAnsi="仿宋" w:eastAsia="仿宋_GB2312" w:cs="Times New Roman"/>
          <w:snapToGrid/>
          <w:color w:val="000000" w:themeColor="text1"/>
          <w:kern w:val="2"/>
          <w:sz w:val="24"/>
          <w:szCs w:val="24"/>
          <w14:textFill>
            <w14:solidFill>
              <w14:schemeClr w14:val="tx1"/>
            </w14:solidFill>
          </w14:textFill>
        </w:rPr>
        <w:t>https://www.zcygov.cn/）获取（下载）招标文件，并于</w:t>
      </w:r>
      <w:r>
        <w:rPr>
          <w:rFonts w:hint="eastAsia" w:ascii="仿宋_GB2312" w:hAnsi="仿宋" w:eastAsia="仿宋_GB2312"/>
          <w:color w:val="000000" w:themeColor="text1"/>
          <w:sz w:val="24"/>
          <w:u w:val="single"/>
          <w14:textFill>
            <w14:solidFill>
              <w14:schemeClr w14:val="tx1"/>
            </w14:solidFill>
          </w14:textFill>
        </w:rPr>
        <w:t>2022</w:t>
      </w:r>
      <w:r>
        <w:rPr>
          <w:rFonts w:ascii="仿宋_GB2312" w:hAnsi="仿宋" w:eastAsia="仿宋_GB2312"/>
          <w:color w:val="000000" w:themeColor="text1"/>
          <w:sz w:val="24"/>
          <w:u w:val="single"/>
          <w14:textFill>
            <w14:solidFill>
              <w14:schemeClr w14:val="tx1"/>
            </w14:solidFill>
          </w14:textFill>
        </w:rPr>
        <w:t>年</w:t>
      </w:r>
      <w:r>
        <w:rPr>
          <w:rFonts w:hint="eastAsia" w:ascii="仿宋_GB2312" w:hAnsi="仿宋" w:eastAsia="仿宋_GB2312"/>
          <w:color w:val="000000" w:themeColor="text1"/>
          <w:sz w:val="24"/>
          <w:u w:val="single"/>
          <w14:textFill>
            <w14:solidFill>
              <w14:schemeClr w14:val="tx1"/>
            </w14:solidFill>
          </w14:textFill>
        </w:rPr>
        <w:t>05月</w:t>
      </w:r>
      <w:r>
        <w:rPr>
          <w:rFonts w:hint="eastAsia" w:ascii="仿宋_GB2312" w:hAnsi="仿宋" w:eastAsia="仿宋_GB2312"/>
          <w:color w:val="000000" w:themeColor="text1"/>
          <w:sz w:val="24"/>
          <w:u w:val="single"/>
          <w:lang w:val="en-US" w:eastAsia="zh-CN"/>
          <w14:textFill>
            <w14:solidFill>
              <w14:schemeClr w14:val="tx1"/>
            </w14:solidFill>
          </w14:textFill>
        </w:rPr>
        <w:t>19</w:t>
      </w:r>
      <w:r>
        <w:rPr>
          <w:rFonts w:hint="eastAsia" w:ascii="仿宋_GB2312" w:hAnsi="仿宋" w:eastAsia="仿宋_GB2312"/>
          <w:color w:val="000000" w:themeColor="text1"/>
          <w:sz w:val="24"/>
          <w:u w:val="single"/>
          <w14:textFill>
            <w14:solidFill>
              <w14:schemeClr w14:val="tx1"/>
            </w14:solidFill>
          </w14:textFill>
        </w:rPr>
        <w:t>日</w:t>
      </w:r>
      <w:r>
        <w:rPr>
          <w:rFonts w:hint="eastAsia" w:ascii="仿宋_GB2312" w:hAnsi="仿宋" w:eastAsia="仿宋_GB2312"/>
          <w:color w:val="000000" w:themeColor="text1"/>
          <w:sz w:val="24"/>
          <w:u w:val="single"/>
          <w:lang w:val="en-US" w:eastAsia="zh-CN"/>
          <w14:textFill>
            <w14:solidFill>
              <w14:schemeClr w14:val="tx1"/>
            </w14:solidFill>
          </w14:textFill>
        </w:rPr>
        <w:t>13</w:t>
      </w:r>
      <w:r>
        <w:rPr>
          <w:rFonts w:hint="eastAsia" w:ascii="仿宋_GB2312" w:hAnsi="仿宋" w:eastAsia="仿宋_GB2312"/>
          <w:color w:val="000000" w:themeColor="text1"/>
          <w:sz w:val="24"/>
          <w:u w:val="single"/>
          <w14:textFill>
            <w14:solidFill>
              <w14:schemeClr w14:val="tx1"/>
            </w14:solidFill>
          </w14:textFill>
        </w:rPr>
        <w:t>点</w:t>
      </w:r>
      <w:r>
        <w:rPr>
          <w:rFonts w:hint="eastAsia" w:ascii="仿宋_GB2312" w:hAnsi="仿宋" w:eastAsia="仿宋_GB2312"/>
          <w:color w:val="000000" w:themeColor="text1"/>
          <w:sz w:val="24"/>
          <w:u w:val="single"/>
          <w:lang w:val="en-US" w:eastAsia="zh-CN"/>
          <w14:textFill>
            <w14:solidFill>
              <w14:schemeClr w14:val="tx1"/>
            </w14:solidFill>
          </w14:textFill>
        </w:rPr>
        <w:t>30</w:t>
      </w:r>
      <w:r>
        <w:rPr>
          <w:rFonts w:hint="eastAsia" w:ascii="仿宋_GB2312" w:hAnsi="仿宋" w:eastAsia="仿宋_GB2312"/>
          <w:color w:val="000000" w:themeColor="text1"/>
          <w:sz w:val="24"/>
          <w:u w:val="single"/>
          <w14:textFill>
            <w14:solidFill>
              <w14:schemeClr w14:val="tx1"/>
            </w14:solidFill>
          </w14:textFill>
        </w:rPr>
        <w:t>分</w:t>
      </w:r>
      <w:r>
        <w:rPr>
          <w:rFonts w:hint="eastAsia" w:ascii="仿宋_GB2312" w:hAnsi="仿宋" w:eastAsia="仿宋_GB2312"/>
          <w:bCs/>
          <w:color w:val="000000" w:themeColor="text1"/>
          <w:sz w:val="24"/>
          <w:u w:val="single"/>
          <w14:textFill>
            <w14:solidFill>
              <w14:schemeClr w14:val="tx1"/>
            </w14:solidFill>
          </w14:textFill>
        </w:rPr>
        <w:t>00秒</w:t>
      </w:r>
      <w:r>
        <w:rPr>
          <w:rFonts w:hint="eastAsia" w:ascii="仿宋_GB2312" w:hAnsi="仿宋" w:eastAsia="仿宋_GB2312"/>
          <w:bCs/>
          <w:color w:val="000000" w:themeColor="text1"/>
          <w:sz w:val="24"/>
          <w:u w:val="single"/>
          <w14:textFill>
            <w14:solidFill>
              <w14:schemeClr w14:val="tx1"/>
            </w14:solidFill>
          </w14:textFill>
        </w:rPr>
        <w:fldChar w:fldCharType="end"/>
      </w:r>
      <w:r>
        <w:rPr>
          <w:rFonts w:hint="eastAsia" w:ascii="仿宋_GB2312" w:hAnsi="仿宋" w:eastAsia="仿宋_GB2312"/>
          <w:bCs/>
          <w:color w:val="000000" w:themeColor="text1"/>
          <w:sz w:val="24"/>
          <w14:textFill>
            <w14:solidFill>
              <w14:schemeClr w14:val="tx1"/>
            </w14:solidFill>
          </w14:textFill>
        </w:rPr>
        <w:t>（北京时间）前</w:t>
      </w:r>
      <w:r>
        <w:rPr>
          <w:rFonts w:hint="eastAsia" w:ascii="仿宋_GB2312" w:hAnsi="仿宋" w:eastAsia="仿宋_GB2312"/>
          <w:color w:val="000000" w:themeColor="text1"/>
          <w:sz w:val="24"/>
          <w14:textFill>
            <w14:solidFill>
              <w14:schemeClr w14:val="tx1"/>
            </w14:solidFill>
          </w14:textFill>
        </w:rPr>
        <w:t>递交（上传）投标文件。</w:t>
      </w:r>
    </w:p>
    <w:p>
      <w:pPr>
        <w:spacing w:line="360" w:lineRule="auto"/>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一、项目基本情况</w:t>
      </w:r>
      <w:r>
        <w:rPr>
          <w:rFonts w:ascii="仿宋_GB2312" w:hAnsi="仿宋" w:eastAsia="仿宋_GB2312"/>
          <w:b/>
          <w:color w:val="000000" w:themeColor="text1"/>
          <w:sz w:val="24"/>
          <w14:textFill>
            <w14:solidFill>
              <w14:schemeClr w14:val="tx1"/>
            </w14:solidFill>
          </w14:textFill>
        </w:rPr>
        <w:t xml:space="preserve">                                            </w:t>
      </w:r>
    </w:p>
    <w:p>
      <w:pPr>
        <w:spacing w:line="360" w:lineRule="auto"/>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b/>
          <w:color w:val="000000" w:themeColor="text1"/>
          <w:sz w:val="24"/>
          <w14:textFill>
            <w14:solidFill>
              <w14:schemeClr w14:val="tx1"/>
            </w14:solidFill>
          </w14:textFill>
        </w:rPr>
        <w:t>项目编号：</w:t>
      </w:r>
      <w:r>
        <w:rPr>
          <w:rFonts w:hint="eastAsia" w:ascii="仿宋_GB2312" w:hAnsi="仿宋" w:eastAsia="仿宋_GB2312"/>
          <w:b w:val="0"/>
          <w:bCs/>
          <w:color w:val="000000" w:themeColor="text1"/>
          <w:sz w:val="24"/>
          <w14:textFill>
            <w14:solidFill>
              <w14:schemeClr w14:val="tx1"/>
            </w14:solidFill>
          </w14:textFill>
        </w:rPr>
        <w:t>[2022]575号</w:t>
      </w:r>
    </w:p>
    <w:p>
      <w:pPr>
        <w:spacing w:line="360" w:lineRule="auto"/>
        <w:ind w:firstLine="480"/>
        <w:rPr>
          <w:rFonts w:ascii="仿宋_GB2312" w:hAnsi="仿宋" w:eastAsia="仿宋_GB2312"/>
          <w:sz w:val="24"/>
          <w:u w:val="none"/>
        </w:rPr>
      </w:pPr>
      <w:r>
        <w:rPr>
          <w:rFonts w:ascii="仿宋_GB2312" w:hAnsi="仿宋" w:eastAsia="仿宋_GB2312"/>
          <w:b/>
          <w:color w:val="000000" w:themeColor="text1"/>
          <w:sz w:val="24"/>
          <w14:textFill>
            <w14:solidFill>
              <w14:schemeClr w14:val="tx1"/>
            </w14:solidFill>
          </w14:textFill>
        </w:rPr>
        <w:t>项目名称：</w:t>
      </w:r>
      <w:r>
        <w:rPr>
          <w:rFonts w:hint="eastAsia" w:ascii="仿宋_GB2312" w:hAnsi="仿宋" w:eastAsia="仿宋_GB2312"/>
          <w:sz w:val="24"/>
          <w:u w:val="none"/>
        </w:rPr>
        <w:t>杭州市临安区锦城街道新城幼儿园木制品家具采购</w:t>
      </w:r>
    </w:p>
    <w:p>
      <w:pPr>
        <w:spacing w:line="360" w:lineRule="auto"/>
        <w:ind w:firstLine="480"/>
        <w:rPr>
          <w:rFonts w:ascii="仿宋_GB2312" w:hAnsi="仿宋" w:eastAsia="仿宋_GB2312"/>
          <w:color w:val="000000" w:themeColor="text1"/>
          <w:sz w:val="24"/>
          <w14:textFill>
            <w14:solidFill>
              <w14:schemeClr w14:val="tx1"/>
            </w14:solidFill>
          </w14:textFill>
        </w:rPr>
      </w:pPr>
      <w:r>
        <w:rPr>
          <w:rFonts w:ascii="仿宋_GB2312" w:hAnsi="仿宋" w:eastAsia="仿宋_GB2312"/>
          <w:b/>
          <w:color w:val="000000" w:themeColor="text1"/>
          <w:sz w:val="24"/>
          <w14:textFill>
            <w14:solidFill>
              <w14:schemeClr w14:val="tx1"/>
            </w14:solidFill>
          </w14:textFill>
        </w:rPr>
        <w:t>预算金额（元）：</w:t>
      </w:r>
      <w:r>
        <w:rPr>
          <w:rFonts w:hint="eastAsia" w:ascii="仿宋_GB2312" w:hAnsi="仿宋" w:eastAsia="仿宋_GB2312" w:cs="仿宋_GB2312"/>
          <w:color w:val="000000" w:themeColor="text1"/>
          <w:sz w:val="24"/>
          <w14:textFill>
            <w14:solidFill>
              <w14:schemeClr w14:val="tx1"/>
            </w14:solidFill>
          </w14:textFill>
        </w:rPr>
        <w:t>1278244元。</w:t>
      </w:r>
      <w:r>
        <w:rPr>
          <w:rFonts w:hint="eastAsia" w:ascii="仿宋_GB2312" w:hAnsi="仿宋" w:eastAsia="仿宋_GB2312"/>
          <w:color w:val="000000" w:themeColor="text1"/>
          <w:sz w:val="24"/>
          <w14:textFill>
            <w14:solidFill>
              <w14:schemeClr w14:val="tx1"/>
            </w14:solidFill>
          </w14:textFill>
        </w:rPr>
        <w:t xml:space="preserve"> </w:t>
      </w:r>
    </w:p>
    <w:p>
      <w:pPr>
        <w:spacing w:line="360" w:lineRule="auto"/>
        <w:ind w:firstLine="48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最高限价（元）：</w:t>
      </w:r>
      <w:r>
        <w:rPr>
          <w:rFonts w:hint="eastAsia" w:ascii="仿宋_GB2312" w:hAnsi="仿宋" w:eastAsia="仿宋_GB2312" w:cs="仿宋_GB2312"/>
          <w:color w:val="000000" w:themeColor="text1"/>
          <w:sz w:val="24"/>
          <w14:textFill>
            <w14:solidFill>
              <w14:schemeClr w14:val="tx1"/>
            </w14:solidFill>
          </w14:textFill>
        </w:rPr>
        <w:t>1278244元。</w:t>
      </w: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xml:space="preserve"> </w:t>
      </w:r>
    </w:p>
    <w:p>
      <w:pPr>
        <w:spacing w:line="360" w:lineRule="auto"/>
        <w:ind w:firstLine="482"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采购需求：</w:t>
      </w:r>
      <w:r>
        <w:rPr>
          <w:rFonts w:hint="eastAsia" w:ascii="仿宋_GB2312" w:hAnsi="仿宋" w:eastAsia="仿宋_GB2312"/>
          <w:sz w:val="24"/>
          <w:u w:val="single"/>
        </w:rPr>
        <w:t>杭州市临安区锦城街道新城幼儿园木制品家具采购</w:t>
      </w:r>
      <w:r>
        <w:rPr>
          <w:rFonts w:hint="eastAsia" w:ascii="仿宋_GB2312" w:hAnsi="仿宋" w:eastAsia="仿宋_GB2312"/>
          <w:bCs/>
          <w:color w:val="000000" w:themeColor="text1"/>
          <w:sz w:val="24"/>
          <w14:textFill>
            <w14:solidFill>
              <w14:schemeClr w14:val="tx1"/>
            </w14:solidFill>
          </w14:textFill>
        </w:rPr>
        <w:t>。主要内容详见招标</w:t>
      </w:r>
    </w:p>
    <w:p>
      <w:pPr>
        <w:spacing w:line="360" w:lineRule="auto"/>
        <w:rPr>
          <w:rFonts w:eastAsia="仿宋_GB2312"/>
        </w:rPr>
      </w:pPr>
      <w:r>
        <w:rPr>
          <w:rFonts w:hint="eastAsia" w:ascii="仿宋_GB2312" w:hAnsi="仿宋" w:eastAsia="仿宋_GB2312"/>
          <w:bCs/>
          <w:color w:val="000000" w:themeColor="text1"/>
          <w:sz w:val="24"/>
          <w14:textFill>
            <w14:solidFill>
              <w14:schemeClr w14:val="tx1"/>
            </w14:solidFill>
          </w14:textFill>
        </w:rPr>
        <w:t>文件第三部分采购需求。</w:t>
      </w:r>
    </w:p>
    <w:p>
      <w:pPr>
        <w:pStyle w:val="50"/>
        <w:adjustRightInd/>
        <w:spacing w:line="360" w:lineRule="auto"/>
        <w:ind w:left="0" w:leftChars="0" w:firstLine="482" w:firstLineChars="200"/>
        <w:rPr>
          <w:rFonts w:ascii="仿宋_GB2312" w:hAnsi="仿宋" w:eastAsia="仿宋_GB2312"/>
          <w:color w:val="000000" w:themeColor="text1"/>
          <w:highlight w:val="yellow"/>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合同履约期限：</w:t>
      </w:r>
      <w:r>
        <w:rPr>
          <w:rFonts w:hint="eastAsia" w:ascii="仿宋" w:hAnsi="仿宋" w:eastAsia="仿宋" w:cs="仿宋"/>
          <w:color w:val="000000" w:themeColor="text1"/>
          <w:sz w:val="24"/>
          <w:lang w:val="en-US" w:eastAsia="zh-CN"/>
          <w14:textFill>
            <w14:solidFill>
              <w14:schemeClr w14:val="tx1"/>
            </w14:solidFill>
          </w14:textFill>
        </w:rPr>
        <w:t>合同签订后30日历天内完成供货并安装完成</w:t>
      </w:r>
      <w:r>
        <w:rPr>
          <w:rFonts w:hint="eastAsia" w:ascii="仿宋" w:hAnsi="仿宋" w:eastAsia="仿宋" w:cs="仿宋"/>
          <w:color w:val="000000" w:themeColor="text1"/>
          <w:sz w:val="24"/>
          <w14:textFill>
            <w14:solidFill>
              <w14:schemeClr w14:val="tx1"/>
            </w14:solidFill>
          </w14:textFill>
        </w:rPr>
        <w:t>。</w:t>
      </w:r>
    </w:p>
    <w:p>
      <w:pPr>
        <w:spacing w:line="360" w:lineRule="auto"/>
        <w:ind w:firstLine="48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本项目接受联合体投标：</w:t>
      </w:r>
      <w:sdt>
        <w:sdtPr>
          <w:rPr>
            <w:rFonts w:hint="eastAsia" w:ascii="仿宋_GB2312" w:hAnsi="仿宋" w:eastAsia="仿宋_GB2312"/>
            <w:b/>
            <w:color w:val="000000" w:themeColor="text1"/>
            <w:sz w:val="24"/>
            <w14:textFill>
              <w14:solidFill>
                <w14:schemeClr w14:val="tx1"/>
              </w14:solidFill>
            </w14:textFill>
          </w:rPr>
          <w:id w:val="2035453831"/>
          <w14:checkbox>
            <w14:checked w14:val="0"/>
            <w14:checkedState w14:val="00FE" w14:font="Wingdings"/>
            <w14:uncheckedState w14:val="2610" w14:font="MS Gothic"/>
          </w14:checkbox>
        </w:sdtPr>
        <w:sdtEndPr>
          <w:rPr>
            <w:rFonts w:hint="eastAsia" w:ascii="仿宋_GB2312" w:hAnsi="仿宋" w:eastAsia="仿宋_GB2312"/>
            <w:b/>
            <w:color w:val="000000" w:themeColor="text1"/>
            <w:sz w:val="24"/>
            <w14:textFill>
              <w14:solidFill>
                <w14:schemeClr w14:val="tx1"/>
              </w14:solidFill>
            </w14:textFill>
          </w:rPr>
        </w:sdtEndPr>
        <w:sdtContent>
          <w:r>
            <w:rPr>
              <w:rFonts w:hint="eastAsia" w:ascii="仿宋_GB2312" w:hAnsi="仿宋" w:eastAsia="仿宋_GB2312"/>
              <w:b/>
              <w:color w:val="000000" w:themeColor="text1"/>
              <w:sz w:val="24"/>
              <w14:textFill>
                <w14:solidFill>
                  <w14:schemeClr w14:val="tx1"/>
                </w14:solidFill>
              </w14:textFill>
            </w:rPr>
            <w:t>☐</w:t>
          </w:r>
        </w:sdtContent>
      </w:sdt>
      <w:r>
        <w:rPr>
          <w:rFonts w:hint="eastAsia" w:ascii="仿宋_GB2312" w:hAnsi="仿宋" w:eastAsia="仿宋_GB2312"/>
          <w:b/>
          <w:color w:val="000000" w:themeColor="text1"/>
          <w:sz w:val="24"/>
          <w14:textFill>
            <w14:solidFill>
              <w14:schemeClr w14:val="tx1"/>
            </w14:solidFill>
          </w14:textFill>
        </w:rPr>
        <w:t>是，</w:t>
      </w:r>
      <w:sdt>
        <w:sdtPr>
          <w:rPr>
            <w:rFonts w:hint="eastAsia" w:ascii="仿宋_GB2312" w:hAnsi="仿宋" w:eastAsia="仿宋_GB2312"/>
            <w:b/>
            <w:color w:val="000000" w:themeColor="text1"/>
            <w:sz w:val="24"/>
            <w14:textFill>
              <w14:solidFill>
                <w14:schemeClr w14:val="tx1"/>
              </w14:solidFill>
            </w14:textFill>
          </w:rPr>
          <w:id w:val="-1765526721"/>
          <w14:checkbox>
            <w14:checked w14:val="1"/>
            <w14:checkedState w14:val="00FE" w14:font="Wingdings"/>
            <w14:uncheckedState w14:val="2610" w14:font="MS Gothic"/>
          </w14:checkbox>
        </w:sdtPr>
        <w:sdtEndPr>
          <w:rPr>
            <w:rFonts w:hint="eastAsia" w:ascii="仿宋_GB2312" w:hAnsi="仿宋" w:eastAsia="仿宋_GB2312"/>
            <w:b/>
            <w:color w:val="000000" w:themeColor="text1"/>
            <w:sz w:val="24"/>
            <w14:textFill>
              <w14:solidFill>
                <w14:schemeClr w14:val="tx1"/>
              </w14:solidFill>
            </w14:textFill>
          </w:rPr>
        </w:sdtEndPr>
        <w:sdtContent>
          <w:r>
            <w:rPr>
              <w:rFonts w:hint="eastAsia" w:ascii="Wingdings" w:hAnsi="Wingdings" w:eastAsia="仿宋_GB2312"/>
              <w:b/>
              <w:color w:val="000000" w:themeColor="text1"/>
              <w:sz w:val="24"/>
              <w14:textFill>
                <w14:solidFill>
                  <w14:schemeClr w14:val="tx1"/>
                </w14:solidFill>
              </w14:textFill>
            </w:rPr>
            <w:t>þ</w:t>
          </w:r>
        </w:sdtContent>
      </w:sdt>
      <w:r>
        <w:rPr>
          <w:rFonts w:hint="eastAsia" w:ascii="仿宋_GB2312" w:hAnsi="仿宋" w:eastAsia="仿宋_GB2312"/>
          <w:b/>
          <w:color w:val="000000" w:themeColor="text1"/>
          <w:sz w:val="24"/>
          <w14:textFill>
            <w14:solidFill>
              <w14:schemeClr w14:val="tx1"/>
            </w14:solidFill>
          </w14:textFill>
        </w:rPr>
        <w:t>否。</w:t>
      </w:r>
    </w:p>
    <w:p>
      <w:pPr>
        <w:spacing w:line="360" w:lineRule="auto"/>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二、申请人的资格要求：</w:t>
      </w:r>
    </w:p>
    <w:p>
      <w:pPr>
        <w:spacing w:line="360" w:lineRule="auto"/>
        <w:ind w:firstLine="480"/>
        <w:rPr>
          <w:rFonts w:ascii="仿宋" w:hAnsi="仿宋" w:eastAsia="仿宋" w:cs="仿宋_GB2312"/>
          <w:snapToGrid w:val="0"/>
          <w:color w:val="000000" w:themeColor="text1"/>
          <w:kern w:val="28"/>
          <w:sz w:val="24"/>
          <w:szCs w:val="20"/>
          <w14:textFill>
            <w14:solidFill>
              <w14:schemeClr w14:val="tx1"/>
            </w14:solidFill>
          </w14:textFill>
        </w:rPr>
      </w:pPr>
      <w:r>
        <w:rPr>
          <w:rFonts w:ascii="仿宋" w:hAnsi="仿宋" w:eastAsia="仿宋" w:cs="仿宋_GB2312"/>
          <w:snapToGrid w:val="0"/>
          <w:color w:val="000000" w:themeColor="text1"/>
          <w:kern w:val="28"/>
          <w:sz w:val="24"/>
          <w:szCs w:val="20"/>
          <w14:textFill>
            <w14:solidFill>
              <w14:schemeClr w14:val="tx1"/>
            </w14:solidFill>
          </w14:textFill>
        </w:rPr>
        <w:t>1.</w:t>
      </w:r>
      <w:r>
        <w:rPr>
          <w:rFonts w:hint="eastAsia" w:ascii="仿宋" w:hAnsi="仿宋" w:eastAsia="仿宋" w:cs="仿宋_GB2312"/>
          <w:snapToGrid w:val="0"/>
          <w:color w:val="000000" w:themeColor="text1"/>
          <w:kern w:val="28"/>
          <w:sz w:val="24"/>
          <w:szCs w:val="20"/>
          <w14:textFill>
            <w14:solidFill>
              <w14:schemeClr w14:val="tx1"/>
            </w14:solidFill>
          </w14:textFill>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color w:val="000000" w:themeColor="text1"/>
          <w:kern w:val="28"/>
          <w:sz w:val="24"/>
          <w:szCs w:val="20"/>
          <w14:textFill>
            <w14:solidFill>
              <w14:schemeClr w14:val="tx1"/>
            </w14:solidFill>
          </w14:textFill>
        </w:rPr>
      </w:pPr>
      <w:r>
        <w:rPr>
          <w:rFonts w:ascii="仿宋" w:hAnsi="仿宋" w:eastAsia="仿宋" w:cs="仿宋_GB2312"/>
          <w:snapToGrid w:val="0"/>
          <w:color w:val="000000" w:themeColor="text1"/>
          <w:kern w:val="28"/>
          <w:sz w:val="24"/>
          <w:szCs w:val="20"/>
          <w14:textFill>
            <w14:solidFill>
              <w14:schemeClr w14:val="tx1"/>
            </w14:solidFill>
          </w14:textFill>
        </w:rPr>
        <w:t xml:space="preserve">    2.</w:t>
      </w:r>
      <w:r>
        <w:rPr>
          <w:rFonts w:hint="eastAsia" w:ascii="仿宋" w:hAnsi="仿宋" w:eastAsia="仿宋" w:cs="仿宋_GB2312"/>
          <w:snapToGrid w:val="0"/>
          <w:color w:val="000000" w:themeColor="text1"/>
          <w:kern w:val="28"/>
          <w:sz w:val="24"/>
          <w:szCs w:val="20"/>
          <w14:textFill>
            <w14:solidFill>
              <w14:schemeClr w14:val="tx1"/>
            </w14:solidFill>
          </w14:textFill>
        </w:rPr>
        <w:t>落实政府采购政策需满足的资格要求：</w:t>
      </w:r>
    </w:p>
    <w:p>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928616923"/>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sz w:val="24"/>
          <w14:textFill>
            <w14:solidFill>
              <w14:schemeClr w14:val="tx1"/>
            </w14:solidFill>
          </w14:textFill>
        </w:rPr>
        <w:t>无；</w:t>
      </w:r>
    </w:p>
    <w:p>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24704304"/>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MS Gothic" w:cs="Arial"/>
              <w:color w:val="000000" w:themeColor="text1"/>
              <w:kern w:val="0"/>
              <w:sz w:val="24"/>
              <w14:textFill>
                <w14:solidFill>
                  <w14:schemeClr w14:val="tx1"/>
                </w14:solidFill>
              </w14:textFill>
            </w:rPr>
            <w:t>þ</w:t>
          </w:r>
        </w:sdtContent>
      </w:sdt>
      <w:r>
        <w:rPr>
          <w:rFonts w:hint="eastAsia" w:ascii="仿宋_GB2312" w:hAnsi="仿宋" w:eastAsia="仿宋_GB2312" w:cs="Arial"/>
          <w:color w:val="000000" w:themeColor="text1"/>
          <w:kern w:val="0"/>
          <w:sz w:val="24"/>
          <w14:textFill>
            <w14:solidFill>
              <w14:schemeClr w14:val="tx1"/>
            </w14:solidFill>
          </w14:textFill>
        </w:rPr>
        <w:t>专</w:t>
      </w:r>
      <w:r>
        <w:rPr>
          <w:rFonts w:hint="eastAsia" w:ascii="仿宋_GB2312" w:hAnsi="仿宋" w:eastAsia="仿宋_GB2312"/>
          <w:color w:val="000000" w:themeColor="text1"/>
          <w:sz w:val="24"/>
          <w14:textFill>
            <w14:solidFill>
              <w14:schemeClr w14:val="tx1"/>
            </w14:solidFill>
          </w14:textFill>
        </w:rPr>
        <w:t>门面向中小企业</w:t>
      </w:r>
    </w:p>
    <w:p>
      <w:pPr>
        <w:spacing w:line="360" w:lineRule="auto"/>
        <w:ind w:firstLine="897" w:firstLineChars="374"/>
        <w:rPr>
          <w:rFonts w:ascii="仿宋_GB2312" w:hAnsi="仿宋" w:eastAsia="仿宋_GB2312"/>
          <w:color w:val="000000" w:themeColor="text1"/>
          <w:sz w:val="24"/>
          <w:u w:val="single"/>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24730588"/>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MS Gothic" w:cs="Arial"/>
              <w:color w:val="000000" w:themeColor="text1"/>
              <w:kern w:val="0"/>
              <w:sz w:val="24"/>
              <w14:textFill>
                <w14:solidFill>
                  <w14:schemeClr w14:val="tx1"/>
                </w14:solidFill>
              </w14:textFill>
            </w:rPr>
            <w:t>þ</w:t>
          </w:r>
        </w:sdtContent>
      </w:sdt>
      <w:r>
        <w:rPr>
          <w:rFonts w:hint="eastAsia" w:ascii="仿宋_GB2312" w:hAnsi="仿宋" w:eastAsia="仿宋_GB2312"/>
          <w:color w:val="000000" w:themeColor="text1"/>
          <w:sz w:val="24"/>
          <w14:textFill>
            <w14:solidFill>
              <w14:schemeClr w14:val="tx1"/>
            </w14:solidFill>
          </w14:textFill>
        </w:rPr>
        <w:t>货物全部由符合政策要求的中小企业制造，提供中小企业声明函；</w:t>
      </w:r>
    </w:p>
    <w:p>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152604937"/>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sz w:val="24"/>
          <w14:textFill>
            <w14:solidFill>
              <w14:schemeClr w14:val="tx1"/>
            </w14:solidFill>
          </w14:textFill>
        </w:rPr>
        <w:t>货物全部由符合政策要求的小微企业制造，提供中小企业声明函；</w:t>
      </w:r>
    </w:p>
    <w:p>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333685401"/>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sz w:val="24"/>
          <w14:textFill>
            <w14:solidFill>
              <w14:schemeClr w14:val="tx1"/>
            </w14:solidFill>
          </w14:textFill>
        </w:rPr>
        <w:t>服务全部由符合政策要求的中小企业承接，提供中小企业声明函；</w:t>
      </w:r>
    </w:p>
    <w:p>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2141025358"/>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sz w:val="24"/>
          <w14:textFill>
            <w14:solidFill>
              <w14:schemeClr w14:val="tx1"/>
            </w14:solidFill>
          </w14:textFill>
        </w:rPr>
        <w:t>服务全部由符合政策要求的小微企业承接，提供中小企业声明函；</w:t>
      </w:r>
    </w:p>
    <w:p>
      <w:pPr>
        <w:rPr>
          <w:color w:val="000000" w:themeColor="text1"/>
          <w14:textFill>
            <w14:solidFill>
              <w14:schemeClr w14:val="tx1"/>
            </w14:solidFill>
          </w14:textFill>
        </w:rPr>
      </w:pPr>
    </w:p>
    <w:p>
      <w:pPr>
        <w:spacing w:line="360" w:lineRule="auto"/>
        <w:ind w:firstLine="480" w:firstLineChars="200"/>
        <w:rPr>
          <w:rFonts w:ascii="仿宋" w:hAnsi="仿宋" w:eastAsia="仿宋"/>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985607795"/>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sz w:val="24"/>
          <w14:textFill>
            <w14:solidFill>
              <w14:schemeClr w14:val="tx1"/>
            </w14:solidFill>
          </w14:textFill>
        </w:rPr>
        <w:t>要求以联合体形式参加，提供联合协议和中小企业声明函，联合协议中中小企业合同金额应当达到</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%，小</w:t>
      </w:r>
      <w:r>
        <w:rPr>
          <w:rFonts w:hint="eastAsia" w:ascii="仿宋_GB2312" w:hAnsi="仿宋" w:eastAsia="仿宋_GB2312"/>
          <w:color w:val="000000" w:themeColor="text1"/>
          <w:sz w:val="24"/>
          <w14:textFill>
            <w14:solidFill>
              <w14:schemeClr w14:val="tx1"/>
            </w14:solidFill>
          </w14:textFill>
        </w:rPr>
        <w:t>微企业合同金额应当达到</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w:t>
      </w:r>
      <w:r>
        <w:rPr>
          <w:rFonts w:hint="eastAsia" w:ascii="仿宋" w:hAnsi="仿宋" w:eastAsia="仿宋" w:cs="宋体"/>
          <w:color w:val="000000" w:themeColor="text1"/>
          <w:spacing w:val="8"/>
          <w:kern w:val="0"/>
          <w:sz w:val="24"/>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olor w:val="000000" w:themeColor="text1"/>
          <w:sz w:val="24"/>
          <w14:textFill>
            <w14:solidFill>
              <w14:schemeClr w14:val="tx1"/>
            </w14:solidFill>
          </w14:textFill>
        </w:rPr>
        <w:t>；</w:t>
      </w:r>
    </w:p>
    <w:p>
      <w:pPr>
        <w:spacing w:line="360" w:lineRule="auto"/>
        <w:ind w:firstLine="480" w:firstLineChars="200"/>
        <w:rPr>
          <w:rFonts w:ascii="仿宋" w:hAnsi="仿宋" w:eastAsia="仿宋"/>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34630645"/>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14:textFill>
                <w14:solidFill>
                  <w14:schemeClr w14:val="tx1"/>
                </w14:solidFill>
              </w14:textFill>
            </w:rPr>
            <w:t>☐</w:t>
          </w:r>
        </w:sdtContent>
      </w:sdt>
      <w:r>
        <w:rPr>
          <w:rFonts w:hint="eastAsia" w:ascii="仿宋" w:hAnsi="仿宋" w:eastAsia="仿宋"/>
          <w:color w:val="000000" w:themeColor="text1"/>
          <w:sz w:val="24"/>
          <w14:textFill>
            <w14:solidFill>
              <w14:schemeClr w14:val="tx1"/>
            </w14:solidFill>
          </w14:textFill>
        </w:rPr>
        <w:t>要求合同分包，提供分包意向协议和中小企业声明函，分包意向协议中中小企业合同金额应当达到</w:t>
      </w:r>
      <w:r>
        <w:rPr>
          <w:rFonts w:hint="eastAsia" w:ascii="仿宋_GB2312" w:hAnsi="仿宋" w:eastAsia="仿宋_GB2312"/>
          <w:color w:val="000000" w:themeColor="text1"/>
          <w:sz w:val="24"/>
          <w14:textFill>
            <w14:solidFill>
              <w14:schemeClr w14:val="tx1"/>
            </w14:solidFill>
          </w14:textFill>
        </w:rPr>
        <w:t>达到</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，小微企业合同金额应当达到</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 ;</w:t>
      </w:r>
      <w:r>
        <w:rPr>
          <w:rFonts w:hint="eastAsia" w:ascii="仿宋" w:hAnsi="仿宋" w:eastAsia="仿宋" w:cs="宋体"/>
          <w:color w:val="000000" w:themeColor="text1"/>
          <w:spacing w:val="8"/>
          <w:kern w:val="0"/>
          <w:sz w:val="24"/>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 w:hAnsi="仿宋" w:eastAsia="仿宋"/>
          <w:color w:val="000000" w:themeColor="text1"/>
          <w:sz w:val="24"/>
          <w14:textFill>
            <w14:solidFill>
              <w14:schemeClr w14:val="tx1"/>
            </w14:solidFill>
          </w14:textFill>
        </w:rPr>
        <w:t>；</w:t>
      </w:r>
    </w:p>
    <w:p>
      <w:pPr>
        <w:spacing w:line="360" w:lineRule="auto"/>
        <w:ind w:firstLine="480" w:firstLineChars="200"/>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3.本项目的特定资格要求：无</w:t>
      </w:r>
      <w:r>
        <w:rPr>
          <w:rFonts w:hint="eastAsia" w:ascii="仿宋_GB2312" w:hAnsi="仿宋" w:eastAsia="仿宋_GB2312"/>
          <w:color w:val="000000" w:themeColor="text1"/>
          <w:sz w:val="24"/>
          <w14:textFill>
            <w14:solidFill>
              <w14:schemeClr w14:val="tx1"/>
            </w14:solidFill>
          </w14:textFill>
        </w:rPr>
        <w:t>；</w:t>
      </w:r>
    </w:p>
    <w:p>
      <w:pPr>
        <w:snapToGrid w:val="0"/>
        <w:spacing w:line="360" w:lineRule="auto"/>
        <w:ind w:firstLine="480" w:firstLineChars="200"/>
        <w:rPr>
          <w:rFonts w:ascii="仿宋_GB2312" w:hAnsi="仿宋" w:eastAsia="仿宋_GB2312" w:cs="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4.</w:t>
      </w:r>
      <w:r>
        <w:rPr>
          <w:rFonts w:hint="eastAsia" w:ascii="仿宋_GB2312" w:hAnsi="仿宋" w:eastAsia="仿宋_GB2312"/>
          <w:color w:val="000000" w:themeColor="text1"/>
          <w:sz w:val="24"/>
          <w14:textFill>
            <w14:solidFill>
              <w14:schemeClr w14:val="tx1"/>
            </w14:solidFill>
          </w14:textFill>
        </w:rPr>
        <w:t>单位负责人为同一人或者存在直接控股、管理关系的不同供应商，不得参加同一合同项下的政府采购活动；</w:t>
      </w:r>
      <w:r>
        <w:rPr>
          <w:rFonts w:ascii="仿宋_GB2312" w:hAnsi="仿宋" w:eastAsia="仿宋_GB2312" w:cs="仿宋_GB2312"/>
          <w:color w:val="000000" w:themeColor="text1"/>
          <w:sz w:val="24"/>
          <w14:textFill>
            <w14:solidFill>
              <w14:schemeClr w14:val="tx1"/>
            </w14:solidFill>
          </w14:textFill>
        </w:rPr>
        <w:t>为采购项目提供整体设计、规范编制或者项目管理、监理、检测等服务后</w:t>
      </w:r>
      <w:r>
        <w:rPr>
          <w:rFonts w:hint="eastAsia" w:ascii="仿宋_GB2312" w:hAnsi="仿宋" w:eastAsia="仿宋_GB2312" w:cs="仿宋_GB2312"/>
          <w:color w:val="000000" w:themeColor="text1"/>
          <w:sz w:val="24"/>
          <w14:textFill>
            <w14:solidFill>
              <w14:schemeClr w14:val="tx1"/>
            </w14:solidFill>
          </w14:textFill>
        </w:rPr>
        <w:t>不得</w:t>
      </w:r>
      <w:r>
        <w:rPr>
          <w:rFonts w:ascii="仿宋_GB2312" w:hAnsi="仿宋" w:eastAsia="仿宋_GB2312" w:cs="仿宋_GB2312"/>
          <w:color w:val="000000" w:themeColor="text1"/>
          <w:sz w:val="24"/>
          <w14:textFill>
            <w14:solidFill>
              <w14:schemeClr w14:val="tx1"/>
            </w14:solidFill>
          </w14:textFill>
        </w:rPr>
        <w:t>再参加该采购项目的其他采购活动。</w:t>
      </w:r>
    </w:p>
    <w:p>
      <w:pPr>
        <w:spacing w:line="360" w:lineRule="auto"/>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三、获取招标文件</w:t>
      </w:r>
      <w:r>
        <w:rPr>
          <w:rFonts w:ascii="仿宋_GB2312" w:hAnsi="仿宋" w:eastAsia="仿宋_GB2312"/>
          <w:b/>
          <w:color w:val="000000" w:themeColor="text1"/>
          <w:sz w:val="24"/>
          <w:highlight w:val="none"/>
          <w14:textFill>
            <w14:solidFill>
              <w14:schemeClr w14:val="tx1"/>
            </w14:solidFill>
          </w14:textFill>
        </w:rPr>
        <w:t xml:space="preserve"> </w:t>
      </w:r>
    </w:p>
    <w:p>
      <w:pPr>
        <w:spacing w:line="360" w:lineRule="auto"/>
        <w:ind w:firstLine="482"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时间：</w:t>
      </w:r>
      <w:r>
        <w:rPr>
          <w:rFonts w:ascii="仿宋_GB2312" w:hAnsi="仿宋" w:eastAsia="仿宋_GB2312"/>
          <w:color w:val="000000" w:themeColor="text1"/>
          <w:sz w:val="24"/>
          <w:highlight w:val="none"/>
          <w14:textFill>
            <w14:solidFill>
              <w14:schemeClr w14:val="tx1"/>
            </w14:solidFill>
          </w14:textFill>
        </w:rPr>
        <w:t>/至</w:t>
      </w:r>
      <w:r>
        <w:rPr>
          <w:rFonts w:hint="eastAsia" w:ascii="仿宋_GB2312" w:hAnsi="仿宋" w:eastAsia="仿宋_GB2312"/>
          <w:color w:val="000000" w:themeColor="text1"/>
          <w:sz w:val="24"/>
          <w:highlight w:val="none"/>
          <w:u w:val="single"/>
          <w14:textFill>
            <w14:solidFill>
              <w14:schemeClr w14:val="tx1"/>
            </w14:solidFill>
          </w14:textFill>
        </w:rPr>
        <w:t>2022</w:t>
      </w:r>
      <w:r>
        <w:rPr>
          <w:rFonts w:ascii="仿宋_GB2312" w:hAnsi="仿宋" w:eastAsia="仿宋_GB2312"/>
          <w:color w:val="000000" w:themeColor="text1"/>
          <w:sz w:val="24"/>
          <w:highlight w:val="none"/>
          <w:u w:val="single"/>
          <w14:textFill>
            <w14:solidFill>
              <w14:schemeClr w14:val="tx1"/>
            </w14:solidFill>
          </w14:textFill>
        </w:rPr>
        <w:t>年</w:t>
      </w:r>
      <w:r>
        <w:rPr>
          <w:rFonts w:hint="eastAsia" w:ascii="仿宋_GB2312" w:hAnsi="仿宋" w:eastAsia="仿宋_GB2312"/>
          <w:color w:val="000000" w:themeColor="text1"/>
          <w:sz w:val="24"/>
          <w:highlight w:val="none"/>
          <w:u w:val="single"/>
          <w14:textFill>
            <w14:solidFill>
              <w14:schemeClr w14:val="tx1"/>
            </w14:solidFill>
          </w14:textFill>
        </w:rPr>
        <w:t>05</w:t>
      </w:r>
      <w:r>
        <w:rPr>
          <w:rFonts w:ascii="仿宋_GB2312" w:hAnsi="仿宋" w:eastAsia="仿宋_GB2312"/>
          <w:color w:val="000000" w:themeColor="text1"/>
          <w:sz w:val="24"/>
          <w:highlight w:val="none"/>
          <w:u w:val="single"/>
          <w14:textFill>
            <w14:solidFill>
              <w14:schemeClr w14:val="tx1"/>
            </w14:solidFill>
          </w14:textFill>
        </w:rPr>
        <w:t>月</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19</w:t>
      </w:r>
      <w:r>
        <w:rPr>
          <w:rFonts w:ascii="仿宋_GB2312" w:hAnsi="仿宋" w:eastAsia="仿宋_GB2312"/>
          <w:color w:val="000000" w:themeColor="text1"/>
          <w:sz w:val="24"/>
          <w:highlight w:val="none"/>
          <w:u w:val="single"/>
          <w14:textFill>
            <w14:solidFill>
              <w14:schemeClr w14:val="tx1"/>
            </w14:solidFill>
          </w14:textFill>
        </w:rPr>
        <w:t>日</w:t>
      </w:r>
      <w:r>
        <w:rPr>
          <w:rFonts w:hint="eastAsia" w:ascii="仿宋_GB2312" w:hAnsi="仿宋" w:eastAsia="仿宋_GB2312"/>
          <w:color w:val="000000" w:themeColor="text1"/>
          <w:sz w:val="24"/>
          <w:highlight w:val="none"/>
          <w14:textFill>
            <w14:solidFill>
              <w14:schemeClr w14:val="tx1"/>
            </w14:solidFill>
          </w14:textFill>
        </w:rPr>
        <w:t>，每天上午</w:t>
      </w:r>
      <w:r>
        <w:rPr>
          <w:rFonts w:ascii="仿宋_GB2312" w:hAnsi="仿宋" w:eastAsia="仿宋_GB2312"/>
          <w:color w:val="000000" w:themeColor="text1"/>
          <w:sz w:val="24"/>
          <w:highlight w:val="none"/>
          <w14:textFill>
            <w14:solidFill>
              <w14:schemeClr w14:val="tx1"/>
            </w14:solidFill>
          </w14:textFill>
        </w:rPr>
        <w:t xml:space="preserve">00:00至12:00 </w:t>
      </w:r>
      <w:r>
        <w:rPr>
          <w:rFonts w:hint="eastAsia" w:ascii="仿宋_GB2312" w:hAnsi="仿宋" w:eastAsia="仿宋_GB2312"/>
          <w:color w:val="000000" w:themeColor="text1"/>
          <w:sz w:val="24"/>
          <w:highlight w:val="none"/>
          <w14:textFill>
            <w14:solidFill>
              <w14:schemeClr w14:val="tx1"/>
            </w14:solidFill>
          </w14:textFill>
        </w:rPr>
        <w:t>，下午</w:t>
      </w:r>
      <w:r>
        <w:rPr>
          <w:rFonts w:ascii="仿宋_GB2312" w:hAnsi="仿宋" w:eastAsia="仿宋_GB2312"/>
          <w:color w:val="000000" w:themeColor="text1"/>
          <w:sz w:val="24"/>
          <w:highlight w:val="none"/>
          <w14:textFill>
            <w14:solidFill>
              <w14:schemeClr w14:val="tx1"/>
            </w14:solidFill>
          </w14:textFill>
        </w:rPr>
        <w:t>12:00至23:59（北京时间，线上获取法定节假日均可，线下获取文件法定节假日除外）</w:t>
      </w:r>
    </w:p>
    <w:p>
      <w:pPr>
        <w:spacing w:line="360" w:lineRule="auto"/>
        <w:ind w:firstLine="482"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地点（网址）：</w:t>
      </w:r>
      <w:r>
        <w:rPr>
          <w:rFonts w:hint="eastAsia" w:ascii="仿宋_GB2312" w:hAnsi="仿宋" w:eastAsia="仿宋_GB2312"/>
          <w:color w:val="000000" w:themeColor="text1"/>
          <w:sz w:val="24"/>
          <w:highlight w:val="none"/>
          <w14:textFill>
            <w14:solidFill>
              <w14:schemeClr w14:val="tx1"/>
            </w14:solidFill>
          </w14:textFill>
        </w:rPr>
        <w:t>政采云平台（</w:t>
      </w:r>
      <w:r>
        <w:rPr>
          <w:rFonts w:ascii="仿宋_GB2312" w:hAnsi="仿宋" w:eastAsia="仿宋_GB2312"/>
          <w:color w:val="000000" w:themeColor="text1"/>
          <w:sz w:val="24"/>
          <w:highlight w:val="none"/>
          <w14:textFill>
            <w14:solidFill>
              <w14:schemeClr w14:val="tx1"/>
            </w14:solidFill>
          </w14:textFill>
        </w:rPr>
        <w:t xml:space="preserve">https://www.zcygov.cn/） </w:t>
      </w:r>
    </w:p>
    <w:p>
      <w:pPr>
        <w:spacing w:line="360" w:lineRule="auto"/>
        <w:ind w:firstLine="482"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方式：</w:t>
      </w:r>
      <w:r>
        <w:rPr>
          <w:rFonts w:hint="eastAsia" w:ascii="仿宋_GB2312" w:hAnsi="仿宋" w:eastAsia="仿宋_GB2312"/>
          <w:color w:val="000000" w:themeColor="text1"/>
          <w:sz w:val="24"/>
          <w:highlight w:val="none"/>
          <w14:textFill>
            <w14:solidFill>
              <w14:schemeClr w14:val="tx1"/>
            </w14:solidFill>
          </w14:textFill>
        </w:rPr>
        <w:t>供应商登录政采云平台</w:t>
      </w:r>
      <w:r>
        <w:rPr>
          <w:rFonts w:ascii="仿宋_GB2312" w:hAnsi="仿宋" w:eastAsia="仿宋_GB2312"/>
          <w:color w:val="000000" w:themeColor="text1"/>
          <w:sz w:val="24"/>
          <w:highlight w:val="none"/>
          <w14:textFill>
            <w14:solidFill>
              <w14:schemeClr w14:val="tx1"/>
            </w14:solidFill>
          </w14:textFill>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售价（元）：</w:t>
      </w:r>
      <w:r>
        <w:rPr>
          <w:rFonts w:ascii="仿宋_GB2312" w:hAnsi="仿宋" w:eastAsia="仿宋_GB2312"/>
          <w:color w:val="000000" w:themeColor="text1"/>
          <w:sz w:val="24"/>
          <w:highlight w:val="none"/>
          <w14:textFill>
            <w14:solidFill>
              <w14:schemeClr w14:val="tx1"/>
            </w14:solidFill>
          </w14:textFill>
        </w:rPr>
        <w:t xml:space="preserve">0 </w:t>
      </w:r>
      <w:r>
        <w:rPr>
          <w:rFonts w:ascii="仿宋_GB2312" w:hAnsi="仿宋" w:eastAsia="仿宋_GB2312"/>
          <w:color w:val="000000" w:themeColor="text1"/>
          <w:sz w:val="24"/>
          <w:highlight w:val="none"/>
          <w14:textFill>
            <w14:solidFill>
              <w14:schemeClr w14:val="tx1"/>
            </w14:solidFill>
          </w14:textFill>
        </w:rPr>
        <w:tab/>
      </w:r>
    </w:p>
    <w:p>
      <w:pPr>
        <w:spacing w:line="360" w:lineRule="auto"/>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四、提交投标文件截止时间、开标时间和地点</w:t>
      </w:r>
    </w:p>
    <w:p>
      <w:pPr>
        <w:spacing w:line="360" w:lineRule="auto"/>
        <w:ind w:firstLine="482" w:firstLineChars="20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提交投标文件截止时间：</w:t>
      </w:r>
      <w:r>
        <w:rPr>
          <w:rFonts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2022</w:t>
      </w:r>
      <w:r>
        <w:rPr>
          <w:rFonts w:ascii="仿宋_GB2312" w:hAnsi="仿宋" w:eastAsia="仿宋_GB2312"/>
          <w:color w:val="000000" w:themeColor="text1"/>
          <w:sz w:val="24"/>
          <w:highlight w:val="none"/>
          <w:u w:val="single"/>
          <w14:textFill>
            <w14:solidFill>
              <w14:schemeClr w14:val="tx1"/>
            </w14:solidFill>
          </w14:textFill>
        </w:rPr>
        <w:t>年</w:t>
      </w:r>
      <w:r>
        <w:rPr>
          <w:rFonts w:hint="eastAsia" w:ascii="仿宋_GB2312" w:hAnsi="仿宋" w:eastAsia="仿宋_GB2312"/>
          <w:color w:val="000000" w:themeColor="text1"/>
          <w:sz w:val="24"/>
          <w:highlight w:val="none"/>
          <w:u w:val="single"/>
          <w14:textFill>
            <w14:solidFill>
              <w14:schemeClr w14:val="tx1"/>
            </w14:solidFill>
          </w14:textFill>
        </w:rPr>
        <w:t>5月</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19</w:t>
      </w:r>
      <w:r>
        <w:rPr>
          <w:rFonts w:hint="eastAsia" w:ascii="仿宋_GB2312" w:hAnsi="仿宋" w:eastAsia="仿宋_GB2312"/>
          <w:color w:val="000000" w:themeColor="text1"/>
          <w:sz w:val="24"/>
          <w:highlight w:val="none"/>
          <w:u w:val="single"/>
          <w14:textFill>
            <w14:solidFill>
              <w14:schemeClr w14:val="tx1"/>
            </w14:solidFill>
          </w14:textFill>
        </w:rPr>
        <w:t>日</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13</w:t>
      </w:r>
      <w:r>
        <w:rPr>
          <w:rFonts w:hint="eastAsia" w:ascii="仿宋_GB2312" w:hAnsi="仿宋" w:eastAsia="仿宋_GB2312"/>
          <w:color w:val="000000" w:themeColor="text1"/>
          <w:sz w:val="24"/>
          <w:highlight w:val="none"/>
          <w:u w:val="single"/>
          <w14:textFill>
            <w14:solidFill>
              <w14:schemeClr w14:val="tx1"/>
            </w14:solidFill>
          </w14:textFill>
        </w:rPr>
        <w:t>点</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30</w:t>
      </w:r>
      <w:r>
        <w:rPr>
          <w:rFonts w:hint="eastAsia" w:ascii="仿宋_GB2312" w:hAnsi="仿宋" w:eastAsia="仿宋_GB2312"/>
          <w:color w:val="000000" w:themeColor="text1"/>
          <w:sz w:val="24"/>
          <w:highlight w:val="none"/>
          <w:u w:val="single"/>
          <w14:textFill>
            <w14:solidFill>
              <w14:schemeClr w14:val="tx1"/>
            </w14:solidFill>
          </w14:textFill>
        </w:rPr>
        <w:t>分</w:t>
      </w:r>
      <w:r>
        <w:rPr>
          <w:rFonts w:hint="eastAsia" w:ascii="仿宋_GB2312" w:hAnsi="仿宋" w:eastAsia="仿宋_GB2312"/>
          <w:bCs/>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（北京时间）</w:t>
      </w:r>
    </w:p>
    <w:p>
      <w:pPr>
        <w:spacing w:line="360" w:lineRule="auto"/>
        <w:ind w:firstLine="482" w:firstLineChars="200"/>
        <w:rPr>
          <w:rFonts w:ascii="仿宋_GB2312" w:hAnsi="仿宋" w:eastAsia="仿宋_GB2312"/>
          <w:b/>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投标地点（网址）：</w:t>
      </w:r>
      <w:r>
        <w:rPr>
          <w:rFonts w:hint="eastAsia" w:ascii="仿宋_GB2312" w:hAnsi="仿宋" w:eastAsia="仿宋_GB2312"/>
          <w:color w:val="000000" w:themeColor="text1"/>
          <w:sz w:val="24"/>
          <w:highlight w:val="none"/>
          <w14:textFill>
            <w14:solidFill>
              <w14:schemeClr w14:val="tx1"/>
            </w14:solidFill>
          </w14:textFill>
        </w:rPr>
        <w:t>政采云平台（</w:t>
      </w:r>
      <w:r>
        <w:rPr>
          <w:rFonts w:ascii="仿宋_GB2312" w:hAnsi="仿宋" w:eastAsia="仿宋_GB2312"/>
          <w:color w:val="000000" w:themeColor="text1"/>
          <w:sz w:val="24"/>
          <w:highlight w:val="none"/>
          <w14:textFill>
            <w14:solidFill>
              <w14:schemeClr w14:val="tx1"/>
            </w14:solidFill>
          </w14:textFill>
        </w:rPr>
        <w:t xml:space="preserve">https://www.zcygov.cn/） </w:t>
      </w:r>
    </w:p>
    <w:p>
      <w:pPr>
        <w:spacing w:line="360" w:lineRule="auto"/>
        <w:ind w:firstLine="482" w:firstLineChars="200"/>
        <w:rPr>
          <w:rFonts w:ascii="仿宋_GB2312" w:hAnsi="仿宋" w:eastAsia="仿宋_GB2312"/>
          <w:bCs/>
          <w:color w:val="000000" w:themeColor="text1"/>
          <w:sz w:val="24"/>
          <w:highlight w:val="none"/>
          <w:u w:val="singl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开标时间：</w:t>
      </w:r>
      <w:r>
        <w:rPr>
          <w:rFonts w:hint="eastAsia" w:ascii="仿宋_GB2312" w:hAnsi="仿宋" w:eastAsia="仿宋_GB2312"/>
          <w:color w:val="000000" w:themeColor="text1"/>
          <w:sz w:val="24"/>
          <w:highlight w:val="none"/>
          <w:u w:val="single"/>
          <w14:textFill>
            <w14:solidFill>
              <w14:schemeClr w14:val="tx1"/>
            </w14:solidFill>
          </w14:textFill>
        </w:rPr>
        <w:t>2022</w:t>
      </w:r>
      <w:r>
        <w:rPr>
          <w:rFonts w:ascii="仿宋_GB2312" w:hAnsi="仿宋" w:eastAsia="仿宋_GB2312"/>
          <w:color w:val="000000" w:themeColor="text1"/>
          <w:sz w:val="24"/>
          <w:highlight w:val="none"/>
          <w:u w:val="single"/>
          <w14:textFill>
            <w14:solidFill>
              <w14:schemeClr w14:val="tx1"/>
            </w14:solidFill>
          </w14:textFill>
        </w:rPr>
        <w:t>年</w:t>
      </w:r>
      <w:r>
        <w:rPr>
          <w:rFonts w:hint="eastAsia" w:ascii="仿宋_GB2312" w:hAnsi="仿宋" w:eastAsia="仿宋_GB2312"/>
          <w:color w:val="000000" w:themeColor="text1"/>
          <w:sz w:val="24"/>
          <w:highlight w:val="none"/>
          <w:u w:val="single"/>
          <w14:textFill>
            <w14:solidFill>
              <w14:schemeClr w14:val="tx1"/>
            </w14:solidFill>
          </w14:textFill>
        </w:rPr>
        <w:t>5月</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19</w:t>
      </w:r>
      <w:r>
        <w:rPr>
          <w:rFonts w:hint="eastAsia" w:ascii="仿宋_GB2312" w:hAnsi="仿宋" w:eastAsia="仿宋_GB2312"/>
          <w:color w:val="000000" w:themeColor="text1"/>
          <w:sz w:val="24"/>
          <w:highlight w:val="none"/>
          <w:u w:val="single"/>
          <w14:textFill>
            <w14:solidFill>
              <w14:schemeClr w14:val="tx1"/>
            </w14:solidFill>
          </w14:textFill>
        </w:rPr>
        <w:t>日</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13</w:t>
      </w:r>
      <w:r>
        <w:rPr>
          <w:rFonts w:hint="eastAsia" w:ascii="仿宋_GB2312" w:hAnsi="仿宋" w:eastAsia="仿宋_GB2312"/>
          <w:color w:val="000000" w:themeColor="text1"/>
          <w:sz w:val="24"/>
          <w:highlight w:val="none"/>
          <w:u w:val="single"/>
          <w14:textFill>
            <w14:solidFill>
              <w14:schemeClr w14:val="tx1"/>
            </w14:solidFill>
          </w14:textFill>
        </w:rPr>
        <w:t>点</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30</w:t>
      </w:r>
      <w:r>
        <w:rPr>
          <w:rFonts w:hint="eastAsia" w:ascii="仿宋_GB2312" w:hAnsi="仿宋" w:eastAsia="仿宋_GB2312"/>
          <w:color w:val="000000" w:themeColor="text1"/>
          <w:sz w:val="24"/>
          <w:highlight w:val="none"/>
          <w:u w:val="single"/>
          <w14:textFill>
            <w14:solidFill>
              <w14:schemeClr w14:val="tx1"/>
            </w14:solidFill>
          </w14:textFill>
        </w:rPr>
        <w:t>分</w:t>
      </w:r>
      <w:r>
        <w:rPr>
          <w:rFonts w:hint="eastAsia" w:ascii="仿宋_GB2312" w:hAnsi="仿宋" w:eastAsia="仿宋_GB2312"/>
          <w:bCs/>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（北京时间）</w:t>
      </w:r>
    </w:p>
    <w:p>
      <w:pPr>
        <w:spacing w:line="360" w:lineRule="auto"/>
        <w:ind w:firstLine="482" w:firstLineChars="200"/>
        <w:rPr>
          <w:rFonts w:hint="default" w:ascii="仿宋_GB2312" w:hAnsi="仿宋" w:eastAsia="仿宋_GB2312"/>
          <w:sz w:val="24"/>
          <w:highlight w:val="none"/>
          <w:lang w:val="en-US" w:eastAsia="zh-CN"/>
        </w:rPr>
      </w:pPr>
      <w:r>
        <w:rPr>
          <w:rFonts w:hint="eastAsia" w:ascii="仿宋_GB2312" w:hAnsi="仿宋" w:eastAsia="仿宋_GB2312"/>
          <w:b/>
          <w:sz w:val="24"/>
          <w:highlight w:val="none"/>
        </w:rPr>
        <w:t>开标地点（网址）：</w:t>
      </w:r>
      <w:r>
        <w:rPr>
          <w:rFonts w:ascii="仿宋_GB2312" w:hAnsi="仿宋" w:eastAsia="仿宋_GB2312"/>
          <w:sz w:val="24"/>
          <w:highlight w:val="none"/>
        </w:rPr>
        <w:t>政</w:t>
      </w:r>
      <w:r>
        <w:rPr>
          <w:rFonts w:hint="eastAsia" w:ascii="仿宋_GB2312" w:hAnsi="仿宋" w:eastAsia="仿宋_GB2312"/>
          <w:sz w:val="24"/>
          <w:highlight w:val="none"/>
        </w:rPr>
        <w:t>采云平台（</w:t>
      </w:r>
      <w:r>
        <w:rPr>
          <w:rFonts w:ascii="仿宋_GB2312" w:hAnsi="仿宋" w:eastAsia="仿宋_GB2312"/>
          <w:sz w:val="24"/>
          <w:highlight w:val="none"/>
        </w:rPr>
        <w:t>https://www.zcygov.cn/）</w:t>
      </w:r>
      <w:r>
        <w:rPr>
          <w:rFonts w:hint="eastAsia" w:ascii="仿宋_GB2312" w:hAnsi="仿宋" w:eastAsia="仿宋_GB2312"/>
          <w:sz w:val="24"/>
          <w:highlight w:val="none"/>
          <w:lang w:eastAsia="zh-CN"/>
        </w:rPr>
        <w:t>，</w:t>
      </w:r>
      <w:r>
        <w:rPr>
          <w:rFonts w:hint="eastAsia" w:ascii="仿宋_GB2312" w:hAnsi="仿宋" w:eastAsia="仿宋_GB2312"/>
          <w:sz w:val="24"/>
          <w:highlight w:val="none"/>
          <w:lang w:val="en-US" w:eastAsia="zh-CN"/>
        </w:rPr>
        <w:t>浙江华夏工程管理有限公司临安分公司开标室，临安区石镜街143号</w:t>
      </w:r>
    </w:p>
    <w:p>
      <w:pPr>
        <w:spacing w:line="360" w:lineRule="auto"/>
        <w:rPr>
          <w:rFonts w:ascii="仿宋_GB2312" w:hAnsi="仿宋" w:eastAsia="仿宋_GB2312"/>
          <w:sz w:val="24"/>
        </w:rPr>
      </w:pPr>
      <w:r>
        <w:rPr>
          <w:rFonts w:hint="eastAsia" w:ascii="仿宋_GB2312" w:hAnsi="仿宋" w:eastAsia="仿宋_GB2312"/>
          <w:b/>
          <w:sz w:val="24"/>
        </w:rPr>
        <w:t>五、公告期限</w:t>
      </w:r>
      <w:r>
        <w:rPr>
          <w:rFonts w:ascii="仿宋_GB2312" w:hAnsi="仿宋" w:eastAsia="仿宋_GB2312"/>
          <w:b/>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pPr>
        <w:spacing w:line="360" w:lineRule="auto"/>
        <w:rPr>
          <w:rFonts w:ascii="仿宋_GB2312" w:hAnsi="仿宋" w:eastAsia="仿宋_GB2312"/>
          <w:b/>
          <w:sz w:val="24"/>
        </w:rPr>
      </w:pPr>
      <w:r>
        <w:rPr>
          <w:rFonts w:hint="eastAsia" w:ascii="仿宋_GB2312" w:hAnsi="仿宋" w:eastAsia="仿宋_GB2312"/>
          <w:b/>
          <w:sz w:val="24"/>
        </w:rPr>
        <w:t>六、其他补充事宜</w:t>
      </w:r>
    </w:p>
    <w:p>
      <w:pPr>
        <w:spacing w:line="360" w:lineRule="auto"/>
        <w:ind w:firstLine="480" w:firstLineChars="200"/>
        <w:rPr>
          <w:rFonts w:ascii="仿宋_GB2312" w:hAnsi="仿宋" w:eastAsia="仿宋_GB2312"/>
          <w:bCs/>
          <w:sz w:val="24"/>
        </w:rPr>
      </w:pPr>
      <w:r>
        <w:rPr>
          <w:rFonts w:hint="eastAsia" w:ascii="仿宋_GB2312" w:hAnsi="仿宋" w:eastAsia="仿宋_GB2312"/>
          <w:bCs/>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ascii="仿宋_GB2312" w:hAnsi="仿宋" w:eastAsia="仿宋_GB2312"/>
          <w:bCs/>
          <w:sz w:val="24"/>
        </w:rPr>
      </w:pPr>
      <w:r>
        <w:rPr>
          <w:rFonts w:hint="eastAsia" w:ascii="仿宋_GB2312" w:hAnsi="仿宋" w:eastAsia="仿宋_GB2312"/>
          <w:bCs/>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_GB2312" w:hAnsi="仿宋" w:eastAsia="仿宋_GB2312"/>
          <w:bCs/>
          <w:sz w:val="24"/>
        </w:rPr>
      </w:pPr>
      <w:r>
        <w:rPr>
          <w:rFonts w:hint="eastAsia" w:ascii="仿宋_GB2312" w:hAnsi="仿宋" w:eastAsia="仿宋_GB2312"/>
          <w:bCs/>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_GB2312" w:hAnsi="仿宋" w:eastAsia="仿宋_GB2312"/>
          <w:bCs/>
          <w:sz w:val="24"/>
        </w:rPr>
      </w:pPr>
      <w:r>
        <w:rPr>
          <w:rFonts w:hint="eastAsia" w:ascii="仿宋_GB2312" w:hAnsi="仿宋" w:eastAsia="仿宋_GB2312"/>
          <w:bCs/>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_GB2312" w:hAnsi="仿宋" w:eastAsia="仿宋_GB2312"/>
          <w:b/>
          <w:sz w:val="24"/>
        </w:rPr>
      </w:pPr>
      <w:r>
        <w:rPr>
          <w:rFonts w:hint="eastAsia" w:ascii="仿宋_GB2312" w:hAnsi="仿宋" w:eastAsia="仿宋_GB2312"/>
          <w:b/>
          <w:sz w:val="24"/>
        </w:rPr>
        <w:t>七、对本次采购提出询问、质疑、投诉，请按以下方式联系</w:t>
      </w:r>
    </w:p>
    <w:p>
      <w:pPr>
        <w:adjustRightInd/>
        <w:spacing w:line="360" w:lineRule="auto"/>
        <w:ind w:left="210" w:leftChars="100"/>
        <w:jc w:val="left"/>
        <w:rPr>
          <w:rFonts w:ascii="仿宋_GB2312" w:hAnsi="仿宋" w:eastAsia="仿宋_GB2312" w:cs="仿宋_GB2312"/>
          <w:sz w:val="24"/>
        </w:rPr>
      </w:pPr>
      <w:r>
        <w:rPr>
          <w:rFonts w:hint="eastAsia" w:ascii="仿宋_GB2312" w:hAnsi="仿宋" w:eastAsia="仿宋_GB2312" w:cs="仿宋_GB2312"/>
          <w:sz w:val="24"/>
        </w:rPr>
        <w:t>1、采购人：</w:t>
      </w:r>
    </w:p>
    <w:p>
      <w:pPr>
        <w:spacing w:line="360" w:lineRule="auto"/>
        <w:ind w:left="210" w:leftChars="100"/>
        <w:jc w:val="left"/>
        <w:rPr>
          <w:rFonts w:hint="default" w:ascii="仿宋_GB2312" w:hAnsi="仿宋"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经办联系人（询问）：</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张立群</w:t>
      </w:r>
      <w:r>
        <w:rPr>
          <w:rFonts w:hint="eastAsia" w:ascii="仿宋_GB2312" w:hAnsi="仿宋" w:eastAsia="仿宋_GB2312" w:cs="仿宋_GB2312"/>
          <w:color w:val="000000" w:themeColor="text1"/>
          <w:sz w:val="24"/>
          <w:highlight w:val="none"/>
          <w14:textFill>
            <w14:solidFill>
              <w14:schemeClr w14:val="tx1"/>
            </w14:solidFill>
          </w14:textFill>
        </w:rPr>
        <w:t xml:space="preserve">  联系电话（询问）： 0571-</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63710368</w:t>
      </w:r>
    </w:p>
    <w:p>
      <w:pPr>
        <w:adjustRightInd/>
        <w:spacing w:line="360" w:lineRule="auto"/>
        <w:ind w:left="210" w:leftChars="100"/>
        <w:jc w:val="left"/>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质疑答复联系人：</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张叶儿</w:t>
      </w:r>
      <w:r>
        <w:rPr>
          <w:rFonts w:hint="eastAsia" w:ascii="仿宋_GB2312" w:hAnsi="仿宋" w:eastAsia="仿宋_GB2312" w:cs="仿宋_GB2312"/>
          <w:color w:val="000000" w:themeColor="text1"/>
          <w:sz w:val="24"/>
          <w:highlight w:val="none"/>
          <w14:textFill>
            <w14:solidFill>
              <w14:schemeClr w14:val="tx1"/>
            </w14:solidFill>
          </w14:textFill>
        </w:rPr>
        <w:t xml:space="preserve">       联系电话：0571-63724894   </w:t>
      </w:r>
    </w:p>
    <w:p>
      <w:pPr>
        <w:adjustRightInd/>
        <w:spacing w:line="360" w:lineRule="auto"/>
        <w:ind w:left="210" w:leftChars="100"/>
        <w:jc w:val="left"/>
        <w:rPr>
          <w:rFonts w:hint="default" w:ascii="仿宋_GB2312" w:hAnsi="仿宋" w:eastAsia="仿宋_GB2312" w:cs="仿宋_GB2312"/>
          <w:color w:val="000000" w:themeColor="text1"/>
          <w:sz w:val="24"/>
          <w:lang w:val="en-US" w:eastAsia="zh-CN"/>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地址：杭州市临安区锦城街道</w:t>
      </w:r>
      <w:r>
        <w:rPr>
          <w:rFonts w:hint="eastAsia" w:ascii="仿宋_GB2312" w:hAnsi="仿宋" w:eastAsia="仿宋_GB2312" w:cs="仿宋_GB2312"/>
          <w:color w:val="000000" w:themeColor="text1"/>
          <w:sz w:val="24"/>
          <w:lang w:val="en-US" w:eastAsia="zh-CN"/>
          <w14:textFill>
            <w14:solidFill>
              <w14:schemeClr w14:val="tx1"/>
            </w14:solidFill>
          </w14:textFill>
        </w:rPr>
        <w:t>翠浪路39号</w:t>
      </w:r>
    </w:p>
    <w:p>
      <w:pPr>
        <w:adjustRightInd/>
        <w:spacing w:line="360" w:lineRule="auto"/>
        <w:ind w:left="210" w:leftChars="100"/>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sz w:val="24"/>
        </w:rPr>
        <w:t>2、</w:t>
      </w:r>
      <w:r>
        <w:rPr>
          <w:rFonts w:hint="eastAsia" w:ascii="仿宋_GB2312" w:hAnsi="仿宋" w:eastAsia="仿宋_GB2312" w:cs="仿宋_GB2312"/>
          <w:color w:val="000000" w:themeColor="text1"/>
          <w:sz w:val="24"/>
          <w14:textFill>
            <w14:solidFill>
              <w14:schemeClr w14:val="tx1"/>
            </w14:solidFill>
          </w14:textFill>
        </w:rPr>
        <w:t>采购机构：浙江华夏工程管理有限公司</w:t>
      </w:r>
    </w:p>
    <w:p>
      <w:pPr>
        <w:adjustRightInd/>
        <w:spacing w:line="360" w:lineRule="auto"/>
        <w:ind w:left="210" w:leftChars="100"/>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经办联系人（询问）：  郭丹丹     联系电话（询问）： 15869115679  0571-63705818</w:t>
      </w:r>
    </w:p>
    <w:p>
      <w:pPr>
        <w:adjustRightInd/>
        <w:spacing w:line="360" w:lineRule="auto"/>
        <w:ind w:left="210" w:leftChars="100"/>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 xml:space="preserve">质疑答复联系人： 王怡          联系电话：19857101048   0571-63705818  </w:t>
      </w:r>
    </w:p>
    <w:p>
      <w:pPr>
        <w:adjustRightInd/>
        <w:spacing w:line="360" w:lineRule="auto"/>
        <w:ind w:left="210" w:leftChars="100"/>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 xml:space="preserve">地址：杭州市临安区石镜街143号2楼  </w:t>
      </w:r>
    </w:p>
    <w:p>
      <w:pPr>
        <w:adjustRightInd/>
        <w:spacing w:line="360" w:lineRule="auto"/>
        <w:ind w:left="210" w:leftChars="100"/>
        <w:jc w:val="left"/>
        <w:rPr>
          <w:rFonts w:ascii="仿宋_GB2312" w:hAnsi="仿宋" w:eastAsia="仿宋_GB2312" w:cs="仿宋_GB2312"/>
          <w:sz w:val="24"/>
        </w:rPr>
      </w:pPr>
      <w:r>
        <w:rPr>
          <w:rFonts w:hint="eastAsia" w:ascii="仿宋_GB2312" w:hAnsi="仿宋" w:eastAsia="仿宋_GB2312" w:cs="仿宋_GB2312"/>
          <w:sz w:val="24"/>
        </w:rPr>
        <w:t>3、同级政府采购监督管理部门名称：杭州市临安区财政局政府采购监督管理科</w:t>
      </w:r>
    </w:p>
    <w:p>
      <w:pPr>
        <w:adjustRightInd/>
        <w:spacing w:line="360" w:lineRule="auto"/>
        <w:ind w:left="210" w:leftChars="100"/>
        <w:jc w:val="left"/>
        <w:rPr>
          <w:rFonts w:ascii="仿宋_GB2312" w:hAnsi="仿宋" w:eastAsia="仿宋_GB2312" w:cs="仿宋_GB2312"/>
          <w:sz w:val="24"/>
        </w:rPr>
      </w:pPr>
      <w:r>
        <w:rPr>
          <w:rFonts w:hint="eastAsia" w:ascii="仿宋_GB2312" w:hAnsi="仿宋" w:eastAsia="仿宋_GB2312" w:cs="仿宋_GB2312"/>
          <w:sz w:val="24"/>
        </w:rPr>
        <w:t>联系人：喻</w:t>
      </w:r>
      <w:r>
        <w:rPr>
          <w:rFonts w:hint="eastAsia" w:ascii="仿宋_GB2312" w:hAnsi="仿宋" w:eastAsia="仿宋_GB2312" w:cs="仿宋_GB2312"/>
          <w:sz w:val="24"/>
          <w:lang w:val="en-US" w:eastAsia="zh-CN"/>
        </w:rPr>
        <w:t>先生</w:t>
      </w:r>
      <w:r>
        <w:rPr>
          <w:rFonts w:hint="eastAsia" w:ascii="仿宋_GB2312" w:hAnsi="仿宋" w:eastAsia="仿宋_GB2312" w:cs="仿宋_GB2312"/>
          <w:sz w:val="24"/>
        </w:rPr>
        <w:t xml:space="preserve">           </w:t>
      </w:r>
    </w:p>
    <w:p>
      <w:pPr>
        <w:adjustRightInd/>
        <w:spacing w:line="360" w:lineRule="auto"/>
        <w:ind w:left="210" w:leftChars="100"/>
        <w:jc w:val="left"/>
        <w:rPr>
          <w:rFonts w:ascii="仿宋_GB2312" w:hAnsi="仿宋" w:eastAsia="仿宋_GB2312" w:cs="仿宋_GB2312"/>
          <w:sz w:val="24"/>
        </w:rPr>
      </w:pPr>
      <w:r>
        <w:rPr>
          <w:rFonts w:hint="eastAsia" w:ascii="仿宋_GB2312" w:hAnsi="仿宋" w:eastAsia="仿宋_GB2312" w:cs="仿宋_GB2312"/>
          <w:sz w:val="24"/>
        </w:rPr>
        <w:t>监督投诉电话：0571-61073953   传真：0571-63722886</w:t>
      </w:r>
    </w:p>
    <w:p>
      <w:pPr>
        <w:spacing w:line="360" w:lineRule="auto"/>
        <w:ind w:left="210" w:leftChars="100"/>
        <w:rPr>
          <w:rFonts w:ascii="仿宋_GB2312" w:hAnsi="仿宋" w:eastAsia="仿宋_GB2312"/>
          <w:sz w:val="24"/>
        </w:rPr>
      </w:pPr>
      <w:r>
        <w:rPr>
          <w:rFonts w:hint="eastAsia" w:ascii="仿宋_GB2312" w:hAnsi="仿宋" w:eastAsia="仿宋_GB2312" w:cs="仿宋_GB2312"/>
          <w:sz w:val="24"/>
        </w:rPr>
        <w:t xml:space="preserve">地址：杭州市临安区锦北街道科技大道4398号市民中心4号楼B座1129  </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w:t>
      </w:r>
      <w:r>
        <w:rPr>
          <w:rFonts w:ascii="仿宋_GB2312" w:hAnsi="仿宋" w:eastAsia="仿宋_GB2312"/>
          <w:sz w:val="24"/>
        </w:rPr>
        <w:t>400-881-7190获取热线服务帮助。</w:t>
      </w:r>
    </w:p>
    <w:p>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pPr>
        <w:pStyle w:val="32"/>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bookmarkStart w:id="11" w:name="_Toc15294"/>
      <w:bookmarkStart w:id="12" w:name="_Toc10690"/>
      <w:r>
        <w:rPr>
          <w:rStyle w:val="286"/>
          <w:rFonts w:hint="eastAsia" w:ascii="仿宋" w:hAnsi="仿宋" w:eastAsia="仿宋" w:cs="仿宋"/>
        </w:rPr>
        <w:t>第二部分</w:t>
      </w:r>
      <w:bookmarkEnd w:id="8"/>
      <w:r>
        <w:rPr>
          <w:rStyle w:val="286"/>
          <w:rFonts w:hint="eastAsia" w:ascii="仿宋" w:hAnsi="仿宋" w:eastAsia="仿宋" w:cs="仿宋"/>
        </w:rPr>
        <w:t xml:space="preserve"> 投标人须知</w:t>
      </w:r>
      <w:bookmarkEnd w:id="9"/>
      <w:bookmarkEnd w:id="11"/>
      <w:bookmarkEnd w:id="12"/>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73"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cs="仿宋_GB2312"/>
                <w:bCs/>
                <w:kern w:val="0"/>
                <w:sz w:val="24"/>
                <w:lang w:val="zh-CN"/>
              </w:rPr>
            </w:pPr>
            <w:r>
              <w:rPr>
                <w:rFonts w:hint="eastAsia" w:ascii="仿宋_GB2312" w:hAnsi="仿宋" w:eastAsia="仿宋_GB2312"/>
                <w:kern w:val="0"/>
                <w:sz w:val="24"/>
                <w:lang w:val="zh-CN"/>
              </w:rPr>
              <w:t>有关本项目实施所需的所有费用（含税费）均计入报价。</w:t>
            </w:r>
            <w:r>
              <w:rPr>
                <w:rFonts w:hint="eastAsia" w:ascii="仿宋_GB2312" w:hAnsi="仿宋" w:eastAsia="仿宋_GB2312" w:cs="仿宋_GB2312"/>
                <w:sz w:val="24"/>
              </w:rPr>
              <w:t>开标一览表（报价表）</w:t>
            </w:r>
            <w:r>
              <w:rPr>
                <w:rFonts w:hint="eastAsia" w:ascii="仿宋_GB2312" w:hAnsi="仿宋" w:eastAsia="仿宋_GB2312"/>
                <w:sz w:val="24"/>
              </w:rPr>
              <w:t>是报价的唯一载体</w:t>
            </w:r>
            <w:r>
              <w:rPr>
                <w:rFonts w:hint="eastAsia" w:ascii="仿宋_GB2312" w:hAnsi="仿宋" w:eastAsia="仿宋_GB2312" w:cs="仿宋_GB2312"/>
                <w:kern w:val="0"/>
                <w:sz w:val="24"/>
                <w:lang w:val="zh-CN"/>
              </w:rPr>
              <w:t>。投标文件中价格全部采用人民币报价。招标文件未列明，而投标人认为必需的费用也需列入报价。</w:t>
            </w:r>
            <w:r>
              <w:rPr>
                <w:rFonts w:hint="eastAsia" w:ascii="仿宋_GB2312" w:hAnsi="仿宋" w:eastAsia="仿宋_GB2312" w:cs="仿宋_GB2312"/>
                <w:bCs/>
                <w:kern w:val="0"/>
                <w:sz w:val="24"/>
                <w:lang w:val="zh-CN"/>
              </w:rPr>
              <w:t>提醒：验收时检测费用由采购人承担，不包含在投标总价中。</w:t>
            </w:r>
          </w:p>
          <w:p>
            <w:pPr>
              <w:snapToGrid w:val="0"/>
              <w:spacing w:line="360" w:lineRule="auto"/>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投标报价出现下列情形的，投标无效：</w:t>
            </w:r>
          </w:p>
          <w:p>
            <w:pPr>
              <w:snapToGrid w:val="0"/>
              <w:spacing w:line="360" w:lineRule="auto"/>
              <w:ind w:firstLine="241" w:firstLineChars="1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投标文件出现不是唯一的、有选择性投标报价的；</w:t>
            </w:r>
          </w:p>
          <w:p>
            <w:pPr>
              <w:snapToGrid w:val="0"/>
              <w:spacing w:line="360" w:lineRule="auto"/>
              <w:ind w:firstLine="241" w:firstLineChars="100"/>
              <w:jc w:val="left"/>
              <w:rPr>
                <w:rFonts w:ascii="仿宋_GB2312" w:hAnsi="仿宋" w:eastAsia="仿宋_GB2312"/>
                <w:kern w:val="0"/>
                <w:sz w:val="24"/>
                <w:lang w:val="zh-CN"/>
              </w:rPr>
            </w:pPr>
            <w:r>
              <w:rPr>
                <w:rFonts w:hint="eastAsia" w:ascii="仿宋_GB2312" w:hAnsi="仿宋" w:eastAsia="仿宋_GB2312" w:cs="仿宋_GB2312"/>
                <w:b/>
                <w:kern w:val="0"/>
                <w:sz w:val="24"/>
                <w:lang w:val="zh-CN"/>
              </w:rPr>
              <w:t>投标报价超过招标文件中规定的预算金额或者最高限价的</w:t>
            </w:r>
            <w:r>
              <w:rPr>
                <w:rFonts w:ascii="仿宋_GB2312" w:hAnsi="仿宋" w:eastAsia="仿宋_GB2312"/>
                <w:b/>
                <w:kern w:val="0"/>
                <w:sz w:val="24"/>
                <w:lang w:val="zh-CN"/>
              </w:rPr>
              <w:t>;</w:t>
            </w:r>
          </w:p>
          <w:p>
            <w:pPr>
              <w:spacing w:line="360" w:lineRule="auto"/>
              <w:ind w:firstLine="241" w:firstLineChars="100"/>
              <w:rPr>
                <w:rFonts w:ascii="仿宋_GB2312" w:hAnsi="仿宋" w:eastAsia="仿宋_GB2312" w:cs="仿宋_GB2312"/>
                <w:b/>
                <w:sz w:val="24"/>
              </w:rPr>
            </w:pPr>
            <w:r>
              <w:rPr>
                <w:rFonts w:hint="eastAsia" w:ascii="仿宋_GB2312" w:hAnsi="仿宋" w:eastAsia="仿宋_GB2312" w:cs="Arial"/>
                <w:b/>
                <w:kern w:val="0"/>
                <w:sz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sz w:val="24"/>
                <w:szCs w:val="21"/>
              </w:rPr>
              <w:t>;</w:t>
            </w:r>
          </w:p>
          <w:p>
            <w:pPr>
              <w:spacing w:line="360" w:lineRule="auto"/>
              <w:ind w:firstLine="241" w:firstLineChars="100"/>
              <w:rPr>
                <w:rFonts w:ascii="仿宋_GB2312" w:hAnsi="仿宋" w:eastAsia="仿宋_GB2312"/>
                <w:sz w:val="24"/>
              </w:rPr>
            </w:pPr>
            <w:r>
              <w:rPr>
                <w:rFonts w:hint="eastAsia" w:ascii="仿宋_GB2312" w:hAnsi="仿宋" w:eastAsia="仿宋_GB2312" w:cs="Arial"/>
                <w:b/>
                <w:kern w:val="0"/>
                <w:sz w:val="24"/>
              </w:rPr>
              <w:t>投标人对根据修正原则修正后的报价不确认的</w:t>
            </w:r>
            <w:r>
              <w:rPr>
                <w:rFonts w:hint="eastAsia" w:ascii="仿宋_GB2312" w:hAnsi="仿宋" w:eastAsia="仿宋_GB2312"/>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sz w:val="24"/>
              </w:rPr>
            </w:pPr>
            <w:r>
              <w:rPr>
                <w:rFonts w:hint="eastAsia" w:ascii="仿宋_GB2312" w:hAnsi="仿宋" w:eastAsia="仿宋_GB2312" w:cs="仿宋_GB2312"/>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477286927"/>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360" w:lineRule="auto"/>
              <w:rPr>
                <w:rFonts w:ascii="仿宋_GB2312" w:hAnsi="仿宋" w:eastAsia="仿宋_GB2312" w:cs="仿宋_GB2312"/>
                <w:sz w:val="24"/>
              </w:rPr>
            </w:pPr>
            <w:sdt>
              <w:sdtPr>
                <w:rPr>
                  <w:rFonts w:hint="eastAsia" w:ascii="仿宋_GB2312" w:hAnsi="仿宋" w:eastAsia="仿宋_GB2312" w:cs="Arial"/>
                  <w:kern w:val="0"/>
                  <w:sz w:val="24"/>
                </w:rPr>
                <w:id w:val="-1276331357"/>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rPr>
                  <w:t>þ</w:t>
                </w:r>
              </w:sdtContent>
            </w:sdt>
            <w:r>
              <w:rPr>
                <w:rFonts w:ascii="仿宋_GB2312" w:hAnsi="仿宋" w:eastAsia="仿宋_GB2312" w:cs="Arial"/>
                <w:kern w:val="0"/>
                <w:sz w:val="24"/>
              </w:rPr>
              <w:t xml:space="preserve"> 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1）资格证明文件：见招标文件第二部分11.1。</w:t>
            </w:r>
          </w:p>
          <w:p>
            <w:pPr>
              <w:spacing w:line="360" w:lineRule="auto"/>
              <w:rPr>
                <w:rFonts w:ascii="Arial" w:hAnsi="Arial" w:eastAsia="黑体" w:cs="Arial"/>
                <w:snapToGrid w:val="0"/>
                <w:kern w:val="0"/>
                <w:szCs w:val="21"/>
              </w:rPr>
            </w:pPr>
            <w:r>
              <w:rPr>
                <w:rFonts w:hint="eastAsia" w:ascii="仿宋_GB2312" w:hAnsi="仿宋" w:eastAsia="仿宋_GB2312"/>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212966419"/>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spacing w:line="360" w:lineRule="auto"/>
              <w:rPr>
                <w:rFonts w:ascii="仿宋_GB2312" w:hAnsi="仿宋" w:eastAsia="仿宋_GB2312"/>
                <w:sz w:val="24"/>
                <w:szCs w:val="20"/>
              </w:rPr>
            </w:pPr>
            <w:sdt>
              <w:sdtPr>
                <w:rPr>
                  <w:rFonts w:hint="eastAsia" w:ascii="仿宋_GB2312" w:hAnsi="仿宋" w:eastAsia="仿宋_GB2312" w:cs="Arial"/>
                  <w:kern w:val="0"/>
                  <w:sz w:val="24"/>
                </w:rPr>
                <w:id w:val="-999802974"/>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hint="eastAsia" w:ascii="仿宋_GB2312" w:hAnsi="仿宋" w:eastAsia="仿宋_GB2312"/>
                <w:sz w:val="24"/>
                <w:u w:val="single"/>
              </w:rPr>
              <w:t>/</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u w:val="single"/>
              </w:rPr>
              <w:t>/</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u w:val="single"/>
              </w:rPr>
              <w:t>/</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639946486"/>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026831988"/>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þ</w:t>
                </w:r>
              </w:sdtContent>
            </w:sdt>
            <w:r>
              <w:rPr>
                <w:rFonts w:ascii="仿宋_GB2312" w:hAnsi="仿宋" w:eastAsia="仿宋_GB2312"/>
                <w:kern w:val="0"/>
                <w:sz w:val="24"/>
              </w:rPr>
              <w:t>B</w:t>
            </w:r>
            <w:r>
              <w:rPr>
                <w:rFonts w:hint="eastAsia" w:ascii="仿宋_GB2312" w:hAnsi="仿宋" w:eastAsia="仿宋_GB2312"/>
                <w:kern w:val="0"/>
                <w:sz w:val="24"/>
              </w:rPr>
              <w:t>要求提供，</w:t>
            </w:r>
          </w:p>
          <w:p>
            <w:pPr>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1）</w:t>
            </w:r>
            <w:r>
              <w:rPr>
                <w:rFonts w:hint="eastAsia" w:ascii="仿宋" w:hAnsi="仿宋" w:eastAsia="仿宋"/>
                <w:snapToGrid w:val="0"/>
                <w:kern w:val="28"/>
                <w:sz w:val="24"/>
              </w:rPr>
              <w:t>样品：</w:t>
            </w:r>
            <w:r>
              <w:rPr>
                <w:rFonts w:hint="eastAsia" w:ascii="仿宋_GB2312" w:hAnsi="仿宋" w:eastAsia="仿宋_GB2312"/>
                <w:sz w:val="24"/>
                <w:u w:val="single"/>
              </w:rPr>
              <w:t xml:space="preserve"> 序号62、序号63、序号74、序号79、序号88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2）</w:t>
            </w:r>
            <w:r>
              <w:rPr>
                <w:rFonts w:hint="eastAsia" w:ascii="仿宋" w:hAnsi="仿宋" w:eastAsia="仿宋"/>
                <w:snapToGrid w:val="0"/>
                <w:kern w:val="28"/>
                <w:sz w:val="24"/>
              </w:rPr>
              <w:t>样品制作的标准和要求：</w:t>
            </w:r>
            <w:r>
              <w:rPr>
                <w:rFonts w:hint="eastAsia" w:ascii="仿宋_GB2312" w:hAnsi="仿宋" w:eastAsia="仿宋_GB2312"/>
                <w:sz w:val="24"/>
                <w:u w:val="single"/>
              </w:rPr>
              <w:t xml:space="preserve"> 详见采购需求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3）样品的评审方法以及评审标准</w:t>
            </w:r>
            <w:r>
              <w:rPr>
                <w:rFonts w:hint="eastAsia" w:ascii="仿宋" w:hAnsi="仿宋" w:eastAsia="仿宋"/>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4）是否需要随样品提交检测报告</w:t>
            </w:r>
            <w:r>
              <w:rPr>
                <w:rFonts w:hint="eastAsia" w:ascii="仿宋_GB2312" w:hAnsi="仿宋" w:eastAsia="仿宋_GB2312"/>
                <w:kern w:val="0"/>
                <w:sz w:val="24"/>
              </w:rPr>
              <w:t>：</w:t>
            </w:r>
            <w:sdt>
              <w:sdtPr>
                <w:rPr>
                  <w:rFonts w:hint="eastAsia" w:ascii="仿宋_GB2312" w:hAnsi="仿宋" w:eastAsia="仿宋_GB2312" w:cs="Arial"/>
                  <w:kern w:val="0"/>
                  <w:sz w:val="24"/>
                </w:rPr>
                <w:id w:val="1303421454"/>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rPr>
                  <w:t>þ</w:t>
                </w:r>
              </w:sdtContent>
            </w:sdt>
            <w:r>
              <w:rPr>
                <w:rFonts w:ascii="仿宋_GB2312" w:hAnsi="仿宋" w:eastAsia="仿宋_GB2312"/>
                <w:kern w:val="0"/>
                <w:sz w:val="24"/>
              </w:rPr>
              <w:t>否；</w:t>
            </w:r>
            <w:sdt>
              <w:sdtPr>
                <w:rPr>
                  <w:rFonts w:hint="eastAsia" w:ascii="仿宋_GB2312" w:hAnsi="仿宋" w:eastAsia="仿宋_GB2312" w:cs="Arial"/>
                  <w:kern w:val="0"/>
                  <w:sz w:val="24"/>
                </w:rPr>
                <w:id w:val="1621728433"/>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u w:val="single"/>
                <w:lang w:val="en-US" w:eastAsia="zh-CN"/>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详见评分标准  </w:t>
            </w:r>
            <w:r>
              <w:rPr>
                <w:rFonts w:hint="eastAsia" w:ascii="仿宋_GB2312" w:hAnsi="仿宋" w:eastAsia="仿宋_GB2312"/>
                <w:kern w:val="0"/>
                <w:sz w:val="24"/>
              </w:rPr>
              <w:t>。</w:t>
            </w:r>
            <w:r>
              <w:rPr>
                <w:rFonts w:hint="eastAsia" w:ascii="仿宋_GB2312" w:hAnsi="仿宋" w:eastAsia="仿宋_GB2312"/>
                <w:b/>
                <w:bCs/>
                <w:color w:val="000000" w:themeColor="text1"/>
                <w:kern w:val="0"/>
                <w:sz w:val="24"/>
                <w:highlight w:val="none"/>
                <w14:textFill>
                  <w14:solidFill>
                    <w14:schemeClr w14:val="tx1"/>
                  </w14:solidFill>
                </w14:textFill>
              </w:rPr>
              <w:t>检测报告编制在投标文件中。</w:t>
            </w:r>
          </w:p>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highlight w:val="none"/>
              </w:rPr>
              <w:t>5）提供样品的时间：</w:t>
            </w:r>
            <w:r>
              <w:rPr>
                <w:rFonts w:hint="eastAsia" w:ascii="仿宋_GB2312" w:hAnsi="仿宋" w:eastAsia="仿宋_GB2312"/>
                <w:sz w:val="24"/>
                <w:highlight w:val="none"/>
                <w:u w:val="single"/>
                <w:lang w:val="en-US" w:eastAsia="zh-CN"/>
              </w:rPr>
              <w:t>投标截止当日</w:t>
            </w:r>
            <w:r>
              <w:rPr>
                <w:rFonts w:hint="eastAsia" w:ascii="仿宋_GB2312" w:hAnsi="仿宋" w:eastAsia="仿宋_GB2312"/>
                <w:kern w:val="0"/>
                <w:sz w:val="24"/>
                <w:highlight w:val="none"/>
              </w:rPr>
              <w:t>；</w:t>
            </w:r>
            <w:r>
              <w:rPr>
                <w:rFonts w:hint="eastAsia" w:ascii="仿宋_GB2312" w:hAnsi="仿宋" w:eastAsia="仿宋_GB2312"/>
                <w:kern w:val="0"/>
                <w:sz w:val="24"/>
              </w:rPr>
              <w:t>地点：</w:t>
            </w:r>
            <w:r>
              <w:rPr>
                <w:rFonts w:hint="eastAsia" w:ascii="仿宋_GB2312" w:hAnsi="仿宋" w:eastAsia="仿宋_GB2312" w:cs="仿宋_GB2312"/>
                <w:color w:val="000000" w:themeColor="text1"/>
                <w:sz w:val="24"/>
                <w:u w:val="single"/>
                <w14:textFill>
                  <w14:solidFill>
                    <w14:schemeClr w14:val="tx1"/>
                  </w14:solidFill>
                </w14:textFill>
              </w:rPr>
              <w:t>杭州市临安区</w:t>
            </w:r>
            <w:r>
              <w:rPr>
                <w:rFonts w:hint="eastAsia" w:ascii="仿宋_GB2312" w:hAnsi="仿宋" w:eastAsia="仿宋_GB2312" w:cs="仿宋_GB2312"/>
                <w:color w:val="000000" w:themeColor="text1"/>
                <w:sz w:val="24"/>
                <w:u w:val="single"/>
                <w:lang w:val="en-US" w:eastAsia="zh-CN"/>
                <w14:textFill>
                  <w14:solidFill>
                    <w14:schemeClr w14:val="tx1"/>
                  </w14:solidFill>
                </w14:textFill>
              </w:rPr>
              <w:t>锦城街道</w:t>
            </w:r>
            <w:r>
              <w:rPr>
                <w:rFonts w:hint="eastAsia" w:ascii="仿宋_GB2312" w:hAnsi="仿宋" w:eastAsia="仿宋_GB2312" w:cs="仿宋_GB2312"/>
                <w:color w:val="000000" w:themeColor="text1"/>
                <w:sz w:val="24"/>
                <w:u w:val="single"/>
                <w14:textFill>
                  <w14:solidFill>
                    <w14:schemeClr w14:val="tx1"/>
                  </w14:solidFill>
                </w14:textFill>
              </w:rPr>
              <w:t>石镜街143号2楼</w:t>
            </w:r>
            <w:r>
              <w:rPr>
                <w:rFonts w:hint="eastAsia" w:ascii="仿宋_GB2312" w:hAnsi="仿宋" w:eastAsia="仿宋_GB2312" w:cs="仿宋_GB2312"/>
                <w:color w:val="000000" w:themeColor="text1"/>
                <w:sz w:val="24"/>
                <w:u w:val="single"/>
                <w:lang w:val="en-US" w:eastAsia="zh-CN"/>
                <w14:textFill>
                  <w14:solidFill>
                    <w14:schemeClr w14:val="tx1"/>
                  </w14:solidFill>
                </w14:textFill>
              </w:rPr>
              <w:t>样品室</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cs="仿宋_GB2312"/>
                <w:color w:val="000000" w:themeColor="text1"/>
                <w:sz w:val="24"/>
                <w:u w:val="single"/>
                <w:lang w:val="en-US" w:eastAsia="zh-CN"/>
                <w14:textFill>
                  <w14:solidFill>
                    <w14:schemeClr w14:val="tx1"/>
                  </w14:solidFill>
                </w14:textFill>
              </w:rPr>
              <w:t>王怡</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0571-63705818</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ascii="仿宋_GB2312" w:hAnsi="仿宋" w:eastAsia="仿宋_GB2312"/>
                <w:sz w:val="24"/>
              </w:rPr>
              <w:t xml:space="preserve"> (6)采购活动结束后，对于未中标人提供的样品，</w:t>
            </w:r>
            <w:r>
              <w:rPr>
                <w:rFonts w:hint="eastAsia" w:ascii="仿宋_GB2312" w:hAnsi="仿宋" w:eastAsia="仿宋_GB2312"/>
                <w:sz w:val="24"/>
              </w:rPr>
              <w:t>采购人、采购机构将通知</w:t>
            </w:r>
            <w:r>
              <w:rPr>
                <w:rFonts w:ascii="仿宋_GB2312" w:hAnsi="仿宋" w:eastAsia="仿宋_GB2312"/>
                <w:sz w:val="24"/>
              </w:rPr>
              <w:t>未中标人</w:t>
            </w:r>
            <w:r>
              <w:rPr>
                <w:rFonts w:hint="eastAsia" w:ascii="仿宋_GB2312" w:hAnsi="仿宋" w:eastAsia="仿宋_GB2312"/>
                <w:sz w:val="24"/>
              </w:rPr>
              <w:t>在规定的时间内取回，逾期未取回的，采购人、采购机构不负保管义务</w:t>
            </w:r>
            <w:r>
              <w:rPr>
                <w:rFonts w:ascii="仿宋_GB2312" w:hAnsi="仿宋" w:eastAsia="仿宋_GB2312"/>
                <w:sz w:val="24"/>
              </w:rPr>
              <w:t>；对于中标人提供的样品，</w:t>
            </w:r>
            <w:r>
              <w:rPr>
                <w:rFonts w:hint="eastAsia" w:ascii="仿宋_GB2312" w:hAnsi="仿宋" w:eastAsia="仿宋_GB2312"/>
                <w:sz w:val="24"/>
              </w:rPr>
              <w:t>采购人将进</w:t>
            </w:r>
            <w:r>
              <w:rPr>
                <w:rFonts w:ascii="仿宋_GB2312" w:hAnsi="仿宋" w:eastAsia="仿宋_GB2312"/>
                <w:sz w:val="24"/>
              </w:rPr>
              <w:t>行保管、封存，并作为履约验收的参考。</w:t>
            </w:r>
          </w:p>
          <w:p>
            <w:pPr>
              <w:spacing w:line="360" w:lineRule="auto"/>
              <w:rPr>
                <w:rFonts w:ascii="仿宋_GB2312" w:hAnsi="仿宋" w:eastAsia="仿宋_GB2312"/>
                <w:b/>
                <w:sz w:val="24"/>
              </w:rPr>
            </w:pPr>
            <w:r>
              <w:rPr>
                <w:rFonts w:hint="eastAsia" w:ascii="仿宋_GB2312" w:hAnsi="仿宋" w:eastAsia="仿宋_GB2312"/>
                <w:sz w:val="24"/>
              </w:rPr>
              <w:t>（</w:t>
            </w:r>
            <w:r>
              <w:rPr>
                <w:rFonts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Cs/>
                <w:sz w:val="24"/>
              </w:rPr>
            </w:pPr>
            <w:r>
              <w:rPr>
                <w:rFonts w:hint="eastAsia" w:ascii="仿宋_GB2312" w:hAnsi="仿宋" w:eastAsia="仿宋_GB2312" w:cs="仿宋_GB2312"/>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859348549"/>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不组织。</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174071719"/>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kern w:val="0"/>
                <w:sz w:val="24"/>
              </w:rPr>
              <w:t>B组织。</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2）方案讲解演示可选择</w:t>
            </w:r>
            <w:r>
              <w:rPr>
                <w:rFonts w:hint="eastAsia" w:ascii="仿宋_GB2312" w:hAnsi="仿宋" w:eastAsia="仿宋_GB2312"/>
                <w:kern w:val="0"/>
                <w:sz w:val="24"/>
              </w:rPr>
              <w:t>以下其中一种方式：</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方式二：交易中心现场讲解演示。现场讲解地点为</w:t>
            </w:r>
            <w:r>
              <w:rPr>
                <w:rFonts w:hint="eastAsia" w:ascii="仿宋_GB2312" w:hAnsi="仿宋" w:eastAsia="仿宋_GB2312"/>
                <w:sz w:val="24"/>
                <w:u w:val="single"/>
              </w:rPr>
              <w:t xml:space="preserve">  /  </w:t>
            </w:r>
            <w:r>
              <w:rPr>
                <w:rFonts w:hint="eastAsia" w:ascii="仿宋_GB2312" w:hAnsi="仿宋" w:eastAsia="仿宋_GB2312"/>
                <w:kern w:val="0"/>
                <w:sz w:val="24"/>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cs="仿宋_GB2312"/>
                <w:b/>
                <w:kern w:val="0"/>
                <w:sz w:val="24"/>
                <w:lang w:val="zh-CN"/>
              </w:rPr>
            </w:pPr>
            <w:r>
              <w:rPr>
                <w:rFonts w:hint="eastAsia" w:ascii="仿宋_GB2312" w:hAnsi="仿宋" w:eastAsia="仿宋_GB2312"/>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828425707"/>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pacing w:line="360" w:lineRule="auto"/>
            </w:pPr>
            <w:sdt>
              <w:sdtPr>
                <w:rPr>
                  <w:rFonts w:hint="eastAsia" w:ascii="仿宋_GB2312" w:hAnsi="仿宋" w:eastAsia="仿宋_GB2312" w:cs="Arial"/>
                  <w:kern w:val="0"/>
                  <w:sz w:val="24"/>
                </w:rPr>
                <w:id w:val="-52852824"/>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8</w:t>
            </w:r>
          </w:p>
        </w:tc>
        <w:tc>
          <w:tcPr>
            <w:tcW w:w="1843" w:type="dxa"/>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szCs w:val="24"/>
                    <w:lang w:val="en-US" w:eastAsia="zh-CN" w:bidi="ar-SA"/>
                  </w:rPr>
                  <w:t>þ</w:t>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环保原木活动床  </w:t>
            </w:r>
            <w:r>
              <w:rPr>
                <w:rFonts w:hint="eastAsia" w:ascii="仿宋_GB2312" w:hAnsi="仿宋" w:eastAsia="仿宋_GB2312"/>
                <w:sz w:val="24"/>
              </w:rPr>
              <w:t>。</w:t>
            </w:r>
          </w:p>
          <w:p>
            <w:pPr>
              <w:spacing w:line="360" w:lineRule="auto"/>
              <w:rPr>
                <w:rFonts w:ascii="仿宋_GB2312" w:hAnsi="仿宋" w:eastAsia="仿宋_GB2312"/>
                <w:sz w:val="24"/>
              </w:rPr>
            </w:pPr>
            <w:sdt>
              <w:sdtPr>
                <w:rPr>
                  <w:rFonts w:hint="eastAsia" w:ascii="仿宋_GB2312" w:hAnsi="仿宋" w:eastAsia="仿宋_GB2312" w:cs="Arial"/>
                  <w:kern w:val="0"/>
                  <w:sz w:val="24"/>
                </w:rPr>
                <w:id w:val="474885559"/>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szCs w:val="24"/>
                    <w:lang w:val="en-US" w:eastAsia="zh-CN" w:bidi="ar-SA"/>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2"/>
              <w:jc w:val="both"/>
              <w:rPr>
                <w:rFonts w:cs="Arial"/>
                <w:b w:val="0"/>
                <w:bCs w:val="0"/>
                <w:kern w:val="0"/>
                <w:sz w:val="24"/>
                <w:szCs w:val="24"/>
                <w:lang w:val="en-US"/>
              </w:rPr>
            </w:pPr>
            <w:r>
              <w:rPr>
                <w:rFonts w:hint="eastAsia" w:cs="Arial"/>
                <w:b w:val="0"/>
                <w:bCs w:val="0"/>
                <w:kern w:val="0"/>
                <w:sz w:val="24"/>
                <w:szCs w:val="24"/>
                <w:lang w:val="en-US"/>
              </w:rPr>
              <w:t>采购标的</w:t>
            </w:r>
            <w:r>
              <w:rPr>
                <w:rFonts w:hint="eastAsia" w:cs="Arial"/>
                <w:b w:val="0"/>
                <w:bCs w:val="0"/>
                <w:kern w:val="0"/>
                <w:sz w:val="24"/>
                <w:szCs w:val="24"/>
                <w:u w:val="single"/>
                <w:lang w:val="en-US"/>
              </w:rPr>
              <w:t>：</w:t>
            </w:r>
            <w:r>
              <w:rPr>
                <w:rFonts w:hint="eastAsia" w:cs="Arial"/>
                <w:b w:val="0"/>
                <w:bCs w:val="0"/>
                <w:kern w:val="0"/>
                <w:sz w:val="24"/>
                <w:szCs w:val="24"/>
                <w:u w:val="single"/>
                <w:lang w:val="en-US" w:eastAsia="zh-CN"/>
              </w:rPr>
              <w:t>详见第三部分 采购需求中一、采购清单</w:t>
            </w:r>
            <w:r>
              <w:rPr>
                <w:rFonts w:hint="eastAsia" w:cs="Arial"/>
                <w:b w:val="0"/>
                <w:bCs w:val="0"/>
                <w:kern w:val="0"/>
                <w:sz w:val="24"/>
                <w:szCs w:val="24"/>
                <w:lang w:val="en-US"/>
              </w:rPr>
              <w:t>；</w:t>
            </w:r>
          </w:p>
          <w:p>
            <w:pPr>
              <w:pStyle w:val="2"/>
              <w:ind w:left="0" w:firstLine="0"/>
              <w:jc w:val="both"/>
              <w:rPr>
                <w:rFonts w:cs="Arial"/>
                <w:b w:val="0"/>
                <w:bCs w:val="0"/>
                <w:kern w:val="0"/>
                <w:sz w:val="24"/>
                <w:szCs w:val="24"/>
                <w:lang w:val="en-US"/>
              </w:rPr>
            </w:pPr>
            <w:r>
              <w:rPr>
                <w:rFonts w:hint="eastAsia" w:cs="Arial"/>
                <w:b w:val="0"/>
                <w:bCs w:val="0"/>
                <w:kern w:val="0"/>
                <w:sz w:val="24"/>
                <w:szCs w:val="24"/>
                <w:lang w:val="en-US"/>
              </w:rPr>
              <w:t>所属行业：</w:t>
            </w:r>
            <w:r>
              <w:rPr>
                <w:rFonts w:hint="eastAsia" w:cs="Arial"/>
                <w:b w:val="0"/>
                <w:bCs w:val="0"/>
                <w:kern w:val="0"/>
                <w:sz w:val="24"/>
                <w:szCs w:val="24"/>
                <w:u w:val="single"/>
                <w:lang w:val="en-US"/>
              </w:rPr>
              <w:t xml:space="preserve"> 工业</w:t>
            </w:r>
            <w:r>
              <w:rPr>
                <w:rFonts w:hint="eastAsia" w:cs="Arial"/>
                <w:b w:val="0"/>
                <w:bCs w:val="0"/>
                <w:kern w:val="0"/>
                <w:sz w:val="24"/>
                <w:szCs w:val="24"/>
                <w:lang w:val="en-US"/>
              </w:rPr>
              <w:t>。</w:t>
            </w:r>
          </w:p>
          <w:p>
            <w:r>
              <w:rPr>
                <w:rFonts w:hint="eastAsia" w:ascii="仿宋_GB2312" w:hAnsi="仿宋" w:eastAsia="仿宋_GB2312" w:cs="Arial"/>
                <w:kern w:val="0"/>
                <w:sz w:val="24"/>
              </w:rPr>
              <w:t>根据《政府采购促进中小企业发展管理办法》财库〔2020〕46号文件的规定，</w:t>
            </w:r>
            <w:r>
              <w:rPr>
                <w:rFonts w:hint="eastAsia" w:ascii="仿宋_GB2312" w:hAnsi="仿宋" w:eastAsia="仿宋_GB2312" w:cs="Arial"/>
                <w:kern w:val="0"/>
                <w:sz w:val="24"/>
                <w:u w:val="single"/>
              </w:rPr>
              <w:t>本项目预留份额专门面向中小企业采购。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rPr>
            </w:pPr>
            <w:r>
              <w:rPr>
                <w:rFonts w:hint="eastAsia" w:ascii="仿宋_GB2312" w:hAnsi="仿宋" w:eastAsia="仿宋_GB2312" w:cs="Arial"/>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中小企业</w:t>
            </w:r>
          </w:p>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z w:val="24"/>
              </w:rPr>
            </w:pPr>
            <w:r>
              <w:rPr>
                <w:rFonts w:hint="eastAsia" w:ascii="仿宋_GB2312" w:hAnsi="仿宋" w:eastAsia="仿宋_GB2312"/>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pPr>
          </w:p>
        </w:tc>
        <w:tc>
          <w:tcPr>
            <w:tcW w:w="1843" w:type="dxa"/>
            <w:vMerge w:val="continue"/>
            <w:tcBorders>
              <w:left w:val="single" w:color="000000" w:sz="2" w:space="0"/>
              <w:right w:val="single" w:color="000000" w:sz="8" w:space="0"/>
            </w:tcBorders>
            <w:vAlign w:val="center"/>
          </w:tcPr>
          <w:p>
            <w:pPr>
              <w:spacing w:line="360" w:lineRule="auto"/>
              <w:ind w:firstLine="420" w:firstLineChars="200"/>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kern w:val="28"/>
                <w:sz w:val="24"/>
              </w:rPr>
            </w:pPr>
            <w:r>
              <w:rPr>
                <w:rFonts w:hint="eastAsia" w:ascii="仿宋_GB2312" w:hAnsi="仿宋" w:eastAsia="仿宋_GB2312"/>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备份投标文件送达地点和签收人员</w:t>
            </w:r>
            <w:r>
              <w:rPr>
                <w:rFonts w:ascii="仿宋_GB2312" w:hAnsi="仿宋" w:eastAsia="仿宋_GB2312" w:cs="仿宋_GB2312"/>
                <w:b/>
                <w:sz w:val="24"/>
              </w:rPr>
              <w:t xml:space="preserve">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jc w:val="left"/>
              <w:rPr>
                <w:rFonts w:ascii="仿宋_GB2312" w:hAnsi="仿宋" w:eastAsia="仿宋_GB2312"/>
                <w:kern w:val="28"/>
                <w:sz w:val="24"/>
              </w:rPr>
            </w:pPr>
            <w:r>
              <w:rPr>
                <w:rFonts w:hint="eastAsia" w:ascii="仿宋_GB2312" w:hAnsi="仿宋" w:eastAsia="仿宋_GB2312" w:cs="Times New Roman"/>
                <w:kern w:val="28"/>
                <w:sz w:val="24"/>
                <w:szCs w:val="24"/>
              </w:rPr>
              <w:t>备份投标文件送达地点：</w:t>
            </w:r>
            <w:r>
              <w:rPr>
                <w:rFonts w:hint="eastAsia" w:ascii="仿宋_GB2312" w:hAnsi="仿宋" w:eastAsia="仿宋_GB2312" w:cs="仿宋_GB2312"/>
                <w:sz w:val="24"/>
                <w:szCs w:val="24"/>
              </w:rPr>
              <w:t>杭州市临安区石镜街143号2楼</w:t>
            </w:r>
            <w:r>
              <w:rPr>
                <w:rFonts w:hint="eastAsia" w:ascii="仿宋_GB2312" w:hAnsi="仿宋" w:eastAsia="仿宋_GB2312" w:cs="Times New Roman"/>
                <w:kern w:val="28"/>
                <w:sz w:val="24"/>
                <w:szCs w:val="24"/>
              </w:rPr>
              <w:t>；</w:t>
            </w:r>
            <w:r>
              <w:rPr>
                <w:rFonts w:hint="eastAsia" w:ascii="仿宋_GB2312" w:hAnsi="仿宋" w:eastAsia="仿宋_GB2312" w:cs="仿宋_GB2312"/>
                <w:sz w:val="24"/>
                <w:szCs w:val="24"/>
              </w:rPr>
              <w:t>备份投标文件签收人员联系电话：</w:t>
            </w:r>
            <w:r>
              <w:rPr>
                <w:rFonts w:hint="eastAsia" w:ascii="仿宋_GB2312" w:hAnsi="仿宋" w:eastAsia="仿宋_GB2312" w:cs="仿宋_GB2312"/>
                <w:sz w:val="24"/>
                <w:szCs w:val="24"/>
                <w:lang w:val="en-US" w:eastAsia="zh-CN"/>
              </w:rPr>
              <w:t>王怡</w:t>
            </w:r>
            <w:r>
              <w:rPr>
                <w:rFonts w:hint="eastAsia" w:ascii="仿宋_GB2312" w:hAnsi="仿宋" w:eastAsia="仿宋_GB2312"/>
                <w:sz w:val="24"/>
                <w:u w:val="single"/>
              </w:rPr>
              <w:t>0571-63705818</w:t>
            </w:r>
            <w:r>
              <w:rPr>
                <w:rFonts w:hint="eastAsia" w:ascii="仿宋_GB2312" w:hAnsi="仿宋" w:eastAsia="仿宋_GB2312" w:cs="仿宋_GB2312"/>
                <w:sz w:val="24"/>
                <w:szCs w:val="24"/>
              </w:rPr>
              <w:t>。</w:t>
            </w:r>
            <w:r>
              <w:rPr>
                <w:rFonts w:hint="eastAsia" w:ascii="仿宋_GB2312" w:hAnsi="仿宋" w:eastAsia="仿宋_GB2312" w:cs="仿宋_GB2312"/>
                <w:b/>
                <w:sz w:val="24"/>
                <w:szCs w:val="24"/>
              </w:rPr>
              <w:t>采购人、采购机构不强制或变相强制投标人提交备份投标文件。可直接提交或者以快递方式递交。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12" w:lineRule="auto"/>
              <w:rPr>
                <w:rFonts w:ascii="仿宋_GB2312" w:hAnsi="仿宋" w:eastAsia="仿宋_GB2312"/>
                <w:snapToGrid w:val="0"/>
                <w:kern w:val="28"/>
                <w:sz w:val="24"/>
              </w:rPr>
            </w:pPr>
            <w:r>
              <w:rPr>
                <w:rFonts w:hint="eastAsia" w:ascii="仿宋_GB2312" w:hAnsi="仿宋" w:eastAsia="仿宋_GB2312"/>
                <w:snapToGrid w:val="0"/>
                <w:kern w:val="28"/>
                <w:sz w:val="24"/>
              </w:rPr>
              <w:t>代理服务费参照发改价格〔2011〕534号文件、国家发改委计价格〔2002〕1980号文件规定收费,单个项目代理服务费不足肆仟元可按肆仟元收取，代理服务收费按差额定率累进法计算。</w:t>
            </w:r>
          </w:p>
          <w:p>
            <w:pPr>
              <w:snapToGrid w:val="0"/>
              <w:spacing w:line="312" w:lineRule="auto"/>
              <w:ind w:firstLine="420" w:firstLineChars="200"/>
              <w:jc w:val="left"/>
              <w:rPr>
                <w:rFonts w:ascii="仿宋" w:hAnsi="仿宋" w:eastAsia="仿宋" w:cs="仿宋"/>
                <w:color w:val="000000"/>
                <w:szCs w:val="21"/>
              </w:rPr>
            </w:pPr>
            <w:r>
              <w:rPr>
                <w:rFonts w:hint="eastAsia" w:ascii="仿宋" w:hAnsi="仿宋" w:eastAsia="仿宋" w:cs="仿宋"/>
                <w:color w:val="000000"/>
              </w:rPr>
              <w:drawing>
                <wp:inline distT="0" distB="0" distL="114300" distR="114300">
                  <wp:extent cx="3526790" cy="1605280"/>
                  <wp:effectExtent l="0" t="0" r="16510" b="13970"/>
                  <wp:docPr id="2" name="图片 2" descr="收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收费标准"/>
                          <pic:cNvPicPr>
                            <a:picLocks noChangeAspect="1"/>
                          </pic:cNvPicPr>
                        </pic:nvPicPr>
                        <pic:blipFill>
                          <a:blip r:embed="rId26"/>
                          <a:stretch>
                            <a:fillRect/>
                          </a:stretch>
                        </pic:blipFill>
                        <pic:spPr>
                          <a:xfrm>
                            <a:off x="0" y="0"/>
                            <a:ext cx="3526790" cy="1605280"/>
                          </a:xfrm>
                          <a:prstGeom prst="rect">
                            <a:avLst/>
                          </a:prstGeom>
                          <a:noFill/>
                          <a:ln>
                            <a:noFill/>
                          </a:ln>
                        </pic:spPr>
                      </pic:pic>
                    </a:graphicData>
                  </a:graphic>
                </wp:inline>
              </w:drawing>
            </w:r>
          </w:p>
          <w:p>
            <w:pPr>
              <w:tabs>
                <w:tab w:val="left" w:pos="440"/>
              </w:tabs>
              <w:spacing w:line="312" w:lineRule="auto"/>
              <w:rPr>
                <w:rFonts w:ascii="仿宋" w:hAnsi="仿宋" w:eastAsia="仿宋" w:cs="仿宋"/>
                <w:snapToGrid w:val="0"/>
                <w:color w:val="000000"/>
                <w:kern w:val="0"/>
                <w:sz w:val="24"/>
                <w:szCs w:val="24"/>
              </w:rPr>
            </w:pPr>
            <w:r>
              <w:rPr>
                <w:rFonts w:hint="eastAsia" w:ascii="仿宋" w:hAnsi="仿宋" w:eastAsia="仿宋" w:cs="仿宋"/>
                <w:snapToGrid w:val="0"/>
                <w:color w:val="000000"/>
                <w:kern w:val="0"/>
                <w:sz w:val="24"/>
                <w:szCs w:val="24"/>
              </w:rPr>
              <w:t>收费对象：本项目代理服务费向成交供应商收取</w:t>
            </w:r>
          </w:p>
          <w:p>
            <w:pPr>
              <w:tabs>
                <w:tab w:val="left" w:pos="440"/>
              </w:tabs>
              <w:spacing w:line="312" w:lineRule="auto"/>
              <w:rPr>
                <w:rFonts w:ascii="仿宋_GB2312" w:hAnsi="仿宋" w:eastAsia="仿宋_GB2312"/>
                <w:snapToGrid w:val="0"/>
                <w:kern w:val="28"/>
                <w:sz w:val="24"/>
              </w:rPr>
            </w:pPr>
            <w:r>
              <w:rPr>
                <w:rFonts w:hint="eastAsia" w:ascii="仿宋" w:hAnsi="仿宋" w:eastAsia="仿宋" w:cs="仿宋"/>
                <w:snapToGrid w:val="0"/>
                <w:color w:val="000000"/>
                <w:kern w:val="0"/>
                <w:sz w:val="24"/>
                <w:szCs w:val="24"/>
              </w:rPr>
              <w:t>缴纳时间：中标(成交)结果公示后5个工作日内一次性付清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其他</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cs="仿宋_GB2312"/>
                <w:b/>
                <w:sz w:val="24"/>
              </w:rPr>
            </w:pPr>
            <w:r>
              <w:rPr>
                <w:rFonts w:hint="eastAsia" w:ascii="仿宋_GB2312" w:hAnsi="仿宋" w:eastAsia="仿宋_GB2312"/>
                <w:snapToGrid w:val="0"/>
                <w:kern w:val="28"/>
                <w:sz w:val="24"/>
              </w:rPr>
              <w:t>如中标，中标人需根据采购人要求提供纸质投标文件一正二副，采用胶装，不建议采用活页夹等可随时拆换的方式装订。</w:t>
            </w:r>
          </w:p>
        </w:tc>
      </w:tr>
    </w:tbl>
    <w:p>
      <w:pPr>
        <w:snapToGrid w:val="0"/>
        <w:spacing w:line="360" w:lineRule="auto"/>
        <w:jc w:val="center"/>
        <w:rPr>
          <w:rFonts w:ascii="仿宋" w:hAnsi="仿宋" w:eastAsia="仿宋" w:cs="仿宋_GB2312"/>
          <w:b/>
          <w:sz w:val="32"/>
          <w:szCs w:val="20"/>
        </w:rPr>
      </w:pPr>
    </w:p>
    <w:bookmarkEnd w:id="10"/>
    <w:p>
      <w:pPr>
        <w:adjustRightInd/>
        <w:spacing w:line="360" w:lineRule="auto"/>
        <w:ind w:firstLine="3845" w:firstLineChars="1197"/>
        <w:outlineLvl w:val="0"/>
        <w:rPr>
          <w:rFonts w:ascii="仿宋_GB2312" w:hAnsi="仿宋" w:eastAsia="仿宋_GB2312" w:cs="仿宋_GB2312"/>
          <w:b/>
          <w:sz w:val="32"/>
          <w:szCs w:val="20"/>
        </w:rPr>
      </w:pPr>
      <w:bookmarkStart w:id="13" w:name="_Toc11882"/>
      <w:bookmarkStart w:id="14" w:name="_Toc14812"/>
      <w:bookmarkStart w:id="15" w:name="第三部分"/>
      <w:bookmarkStart w:id="16" w:name="_Toc164416483"/>
      <w:r>
        <w:rPr>
          <w:rFonts w:hint="eastAsia" w:ascii="仿宋_GB2312" w:hAnsi="仿宋" w:eastAsia="仿宋_GB2312" w:cs="仿宋_GB2312"/>
          <w:b/>
          <w:sz w:val="32"/>
          <w:szCs w:val="20"/>
        </w:rPr>
        <w:t>一、总则</w:t>
      </w:r>
      <w:bookmarkEnd w:id="13"/>
      <w:bookmarkEnd w:id="14"/>
    </w:p>
    <w:p>
      <w:pPr>
        <w:snapToGrid w:val="0"/>
        <w:spacing w:line="360" w:lineRule="auto"/>
        <w:ind w:firstLine="361" w:firstLineChars="150"/>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 xml:space="preserve">   </w:t>
      </w:r>
      <w:bookmarkStart w:id="17" w:name="_Toc26766"/>
      <w:bookmarkStart w:id="18" w:name="_Toc16318"/>
      <w:r>
        <w:rPr>
          <w:rFonts w:ascii="仿宋_GB2312" w:hAnsi="仿宋" w:eastAsia="仿宋_GB2312" w:cs="仿宋_GB2312"/>
          <w:b/>
          <w:sz w:val="24"/>
        </w:rPr>
        <w:t>2.定义</w:t>
      </w:r>
      <w:bookmarkEnd w:id="17"/>
      <w:bookmarkEnd w:id="18"/>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w:t>
      </w:r>
      <w:r>
        <w:rPr>
          <w:rFonts w:hint="eastAsia" w:ascii="仿宋" w:hAnsi="仿宋" w:eastAsia="仿宋"/>
          <w:sz w:val="24"/>
          <w:highlight w:val="none"/>
        </w:rPr>
        <w:t>特殊原因需要使用冠以法定名称的业务专用章的，投标时须提供《业务专用章使用说明函》（附件</w:t>
      </w:r>
      <w:r>
        <w:rPr>
          <w:rFonts w:ascii="仿宋" w:hAnsi="仿宋" w:eastAsia="仿宋"/>
          <w:sz w:val="24"/>
          <w:highlight w:val="none"/>
        </w:rPr>
        <w:t>4）</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系指实质性要求条款，“★”系产品采购项目中单一产品或核心产品，“</w:t>
      </w:r>
      <w:sdt>
        <w:sdtPr>
          <w:rPr>
            <w:rFonts w:hint="eastAsia" w:ascii="仿宋_GB2312" w:hAnsi="仿宋" w:eastAsia="仿宋_GB2312" w:cs="Arial"/>
            <w:kern w:val="0"/>
            <w:sz w:val="24"/>
          </w:rPr>
          <w:id w:val="512970236"/>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pacing w:line="360" w:lineRule="auto"/>
        <w:ind w:firstLine="241" w:firstLineChars="100"/>
        <w:rPr>
          <w:rFonts w:ascii="仿宋_GB2312" w:hAnsi="仿宋" w:eastAsia="仿宋_GB2312"/>
          <w:b/>
          <w:sz w:val="24"/>
        </w:rPr>
      </w:pP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rPr>
      </w:pPr>
      <w:r>
        <w:rPr>
          <w:rFonts w:ascii="仿宋_GB2312" w:hAnsi="仿宋" w:eastAsia="仿宋_GB2312"/>
          <w:sz w:val="24"/>
        </w:rPr>
        <w:t>3.3支持中小企业发展</w:t>
      </w:r>
    </w:p>
    <w:p>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sz w:val="24"/>
        </w:rPr>
        <w:t>10%的扣除，用扣除后的价格参与评审。接受大中型企业与小微企业组成联合体或者允许大中型企业向一家或者多家小微企业分包的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rPr>
        <w:t>3.3.4符合《关于促进残疾人就业政府采购政策的通知》（财库〔2017〕141号）规定的条件并提供《残疾人福利性单位声明</w:t>
      </w:r>
      <w:r>
        <w:rPr>
          <w:rFonts w:ascii="仿宋_GB2312" w:hAnsi="仿宋" w:eastAsia="仿宋_GB2312"/>
          <w:sz w:val="24"/>
          <w:highlight w:val="none"/>
        </w:rPr>
        <w:t>函》（附件1）的残疾人福利性单位视同小型、微型企业；</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3.3.6</w:t>
      </w:r>
      <w:r>
        <w:rPr>
          <w:rFonts w:hint="eastAsia" w:ascii="仿宋_GB2312" w:hAnsi="仿宋" w:eastAsia="仿宋_GB2312"/>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3.3.7中小企业享受扶持政策获得政府采购合同的，小微企业不得将合同分包给大中型企业，中型企业不得将合同分包给大型企业</w:t>
      </w:r>
      <w:r>
        <w:rPr>
          <w:rFonts w:hint="eastAsia" w:ascii="仿宋_GB2312" w:hAnsi="仿宋" w:eastAsia="仿宋_GB2312"/>
          <w:sz w:val="24"/>
          <w:highlight w:val="none"/>
        </w:rPr>
        <w:t>。</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支持创新发展</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3.4.1 采购人优先采购被认定</w:t>
      </w:r>
      <w:r>
        <w:rPr>
          <w:rFonts w:hint="eastAsia" w:ascii="仿宋_GB2312" w:hAnsi="仿宋" w:eastAsia="仿宋_GB2312"/>
          <w:sz w:val="24"/>
          <w:highlight w:val="none"/>
        </w:rPr>
        <w:t>为首台套产品和“制造精品”的自主创新产品。</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3.4.2首台套产品</w:t>
      </w:r>
      <w:r>
        <w:rPr>
          <w:rFonts w:hint="eastAsia" w:ascii="仿宋_GB2312" w:hAnsi="仿宋" w:eastAsia="仿宋_GB2312"/>
          <w:sz w:val="24"/>
          <w:highlight w:val="none"/>
        </w:rPr>
        <w:t>被纳入《首台套产品推广应用指导目录》之日起</w:t>
      </w:r>
      <w:r>
        <w:rPr>
          <w:rFonts w:ascii="仿宋_GB2312" w:hAnsi="仿宋" w:eastAsia="仿宋_GB2312"/>
          <w:sz w:val="24"/>
          <w:highlight w:val="none"/>
        </w:rPr>
        <w:t>2年内，以及产品核心技术高于国内领先水平，并具有明晰自主知识产权的“制造精品”产品，</w:t>
      </w:r>
      <w:r>
        <w:rPr>
          <w:rFonts w:hint="eastAsia" w:ascii="仿宋_GB2312" w:hAnsi="仿宋" w:eastAsia="仿宋_GB2312"/>
          <w:sz w:val="24"/>
          <w:highlight w:val="none"/>
        </w:rPr>
        <w:t>自认定之日起</w:t>
      </w:r>
      <w:r>
        <w:rPr>
          <w:rFonts w:ascii="仿宋_GB2312" w:hAnsi="仿宋" w:eastAsia="仿宋_GB2312"/>
          <w:sz w:val="24"/>
          <w:highlight w:val="none"/>
        </w:rPr>
        <w:t>2年内视同已具备相应销售业绩，参加政府采购活动</w:t>
      </w:r>
      <w:r>
        <w:rPr>
          <w:rFonts w:hint="eastAsia" w:ascii="仿宋_GB2312" w:hAnsi="仿宋" w:eastAsia="仿宋_GB2312"/>
          <w:sz w:val="24"/>
          <w:highlight w:val="none"/>
        </w:rPr>
        <w:t>时业绩分值为满分。</w:t>
      </w:r>
    </w:p>
    <w:p>
      <w:pPr>
        <w:spacing w:line="360" w:lineRule="auto"/>
        <w:rPr>
          <w:rFonts w:ascii="仿宋_GB2312" w:hAnsi="仿宋" w:eastAsia="仿宋_GB2312"/>
          <w:b/>
          <w:sz w:val="24"/>
          <w:highlight w:val="none"/>
        </w:rPr>
      </w:pPr>
      <w:r>
        <w:rPr>
          <w:rFonts w:ascii="仿宋_GB2312" w:hAnsi="仿宋" w:eastAsia="仿宋_GB2312"/>
          <w:sz w:val="24"/>
          <w:highlight w:val="none"/>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sz w:val="24"/>
          <w:highlight w:val="none"/>
        </w:rPr>
        <w:t>登录</w:t>
      </w:r>
      <w:r>
        <w:rPr>
          <w:rFonts w:ascii="仿宋_GB2312" w:hAnsi="仿宋" w:eastAsia="仿宋_GB2312"/>
          <w:sz w:val="24"/>
          <w:highlight w:val="none"/>
        </w:rPr>
        <w:t>杭州市政府采购网“中小企业信用融资”模块，查看信用融资政策文件及各相关银行服务方案。</w:t>
      </w:r>
      <w:r>
        <w:rPr>
          <w:rFonts w:ascii="仿宋_GB2312" w:hAnsi="仿宋" w:eastAsia="仿宋_GB2312"/>
          <w:sz w:val="24"/>
          <w:highlight w:val="none"/>
        </w:rPr>
        <w:cr/>
      </w:r>
      <w:r>
        <w:rPr>
          <w:rFonts w:ascii="仿宋_GB2312" w:hAnsi="仿宋" w:eastAsia="仿宋_GB2312"/>
          <w:b/>
          <w:sz w:val="24"/>
          <w:highlight w:val="none"/>
        </w:rPr>
        <w:t xml:space="preserve">4. </w:t>
      </w:r>
      <w:r>
        <w:rPr>
          <w:rFonts w:hint="eastAsia" w:ascii="仿宋_GB2312" w:hAnsi="仿宋" w:eastAsia="仿宋_GB2312"/>
          <w:b/>
          <w:sz w:val="24"/>
          <w:highlight w:val="none"/>
        </w:rPr>
        <w:t>询问、质疑、投诉</w:t>
      </w:r>
    </w:p>
    <w:p>
      <w:pPr>
        <w:autoSpaceDE w:val="0"/>
        <w:autoSpaceDN w:val="0"/>
        <w:spacing w:line="360" w:lineRule="auto"/>
        <w:ind w:firstLine="240" w:firstLineChars="100"/>
        <w:jc w:val="left"/>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供应商对政府采购活动事项有疑问的，可以提出询问，采购人或者采购代理机构应当在</w:t>
      </w:r>
      <w:r>
        <w:rPr>
          <w:rFonts w:ascii="仿宋_GB2312" w:hAnsi="仿宋" w:eastAsia="仿宋_GB2312" w:cs="微软雅黑"/>
          <w:kern w:val="0"/>
          <w:sz w:val="24"/>
          <w:highlight w:val="none"/>
          <w:lang w:val="zh-CN"/>
        </w:rPr>
        <w:t>3个工作日内对供应</w:t>
      </w:r>
      <w:r>
        <w:rPr>
          <w:rFonts w:hint="eastAsia" w:ascii="仿宋_GB2312" w:hAnsi="仿宋" w:eastAsia="仿宋_GB2312" w:cs="微软雅黑"/>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4.2供应商质疑</w:t>
      </w:r>
    </w:p>
    <w:p>
      <w:pPr>
        <w:pStyle w:val="32"/>
        <w:spacing w:line="360" w:lineRule="auto"/>
        <w:ind w:firstLine="480" w:firstLineChars="200"/>
        <w:rPr>
          <w:rFonts w:ascii="仿宋_GB2312" w:hAnsi="仿宋" w:eastAsia="仿宋_GB2312"/>
          <w:sz w:val="24"/>
          <w:highlight w:val="none"/>
        </w:rPr>
      </w:pPr>
      <w:r>
        <w:rPr>
          <w:rFonts w:ascii="仿宋_GB2312" w:hAnsi="仿宋" w:eastAsia="仿宋_GB2312" w:cs="微软雅黑"/>
          <w:kern w:val="0"/>
          <w:sz w:val="24"/>
          <w:highlight w:val="none"/>
          <w:lang w:val="zh-CN"/>
        </w:rPr>
        <w:t>4.2</w:t>
      </w:r>
      <w:r>
        <w:rPr>
          <w:rFonts w:ascii="仿宋_GB2312" w:hAnsi="仿宋" w:eastAsia="仿宋_GB2312"/>
          <w:sz w:val="24"/>
          <w:highlight w:val="none"/>
        </w:rPr>
        <w:t>.1提出质疑的供应商应当是参与所质疑项目采购活动的供应商。潜在供应商已依法获取其可质疑的招标文件的，可以对该文件提出质疑。</w:t>
      </w:r>
    </w:p>
    <w:p>
      <w:pPr>
        <w:pStyle w:val="32"/>
        <w:spacing w:line="360" w:lineRule="auto"/>
        <w:ind w:firstLine="480" w:firstLineChars="200"/>
        <w:rPr>
          <w:rFonts w:ascii="仿宋_GB2312" w:hAnsi="仿宋" w:eastAsia="仿宋_GB2312"/>
          <w:sz w:val="24"/>
          <w:highlight w:val="none"/>
        </w:rPr>
      </w:pPr>
      <w:r>
        <w:rPr>
          <w:rFonts w:ascii="仿宋_GB2312" w:hAnsi="仿宋" w:eastAsia="仿宋_GB2312" w:cs="微软雅黑"/>
          <w:kern w:val="0"/>
          <w:sz w:val="24"/>
          <w:highlight w:val="none"/>
          <w:lang w:val="zh-CN"/>
        </w:rPr>
        <w:t>4.2</w:t>
      </w:r>
      <w:r>
        <w:rPr>
          <w:rFonts w:ascii="仿宋_GB2312" w:hAnsi="仿宋" w:eastAsia="仿宋_GB2312"/>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5"/>
        <w:spacing w:line="360" w:lineRule="auto"/>
        <w:ind w:firstLine="480" w:firstLineChars="200"/>
        <w:rPr>
          <w:rFonts w:ascii="仿宋_GB2312" w:hAnsi="仿宋" w:eastAsia="仿宋_GB2312"/>
          <w:snapToGrid/>
          <w:color w:val="auto"/>
          <w:kern w:val="2"/>
          <w:sz w:val="24"/>
          <w:highlight w:val="none"/>
        </w:rPr>
      </w:pPr>
      <w:r>
        <w:rPr>
          <w:rFonts w:ascii="仿宋_GB2312" w:hAnsi="仿宋" w:eastAsia="仿宋_GB2312"/>
          <w:snapToGrid/>
          <w:color w:val="auto"/>
          <w:kern w:val="2"/>
          <w:sz w:val="24"/>
          <w:highlight w:val="none"/>
        </w:rPr>
        <w:t>4.2.2.1对招标文件提出质疑的，质疑期限为供应商获得招标文件之日或者招标文件公告期限届满之日起计算。</w:t>
      </w:r>
    </w:p>
    <w:p>
      <w:pPr>
        <w:pStyle w:val="32"/>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4.2.2.2对采购过程提出质疑的，质疑期限为各采购程序环节结束之日起计算。对同一采购程序环节的质疑，供应商须一次性提出。</w:t>
      </w:r>
    </w:p>
    <w:p>
      <w:pPr>
        <w:pStyle w:val="32"/>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4.2.2.3对采购结果提出质疑的，质疑期限自采购结果公告期限届满之日起计算。</w:t>
      </w:r>
    </w:p>
    <w:p>
      <w:pPr>
        <w:pStyle w:val="32"/>
        <w:spacing w:line="360" w:lineRule="auto"/>
        <w:ind w:firstLine="480" w:firstLineChars="200"/>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4.2.3</w:t>
      </w:r>
      <w:r>
        <w:rPr>
          <w:rFonts w:hint="eastAsia" w:ascii="仿宋_GB2312" w:hAnsi="仿宋" w:eastAsia="仿宋_GB2312"/>
          <w:sz w:val="24"/>
          <w:highlight w:val="none"/>
        </w:rPr>
        <w:t>供应商提出质疑应当提交质疑函和必要的证明材料。质疑函应当包括下列内容：</w:t>
      </w:r>
    </w:p>
    <w:p>
      <w:pPr>
        <w:pStyle w:val="32"/>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4.2.3.1</w:t>
      </w:r>
      <w:r>
        <w:rPr>
          <w:rFonts w:hint="eastAsia" w:ascii="仿宋_GB2312" w:hAnsi="仿宋" w:eastAsia="仿宋_GB2312" w:cs="微软雅黑"/>
          <w:kern w:val="0"/>
          <w:sz w:val="24"/>
          <w:highlight w:val="none"/>
          <w:lang w:val="zh-CN"/>
        </w:rPr>
        <w:t>供应商的姓名或者名称、地址、邮编、联系人及联系电话；</w:t>
      </w:r>
    </w:p>
    <w:p>
      <w:pPr>
        <w:pStyle w:val="32"/>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4.2.3.2</w:t>
      </w:r>
      <w:r>
        <w:rPr>
          <w:rFonts w:hint="eastAsia" w:ascii="仿宋_GB2312" w:hAnsi="仿宋" w:eastAsia="仿宋_GB2312" w:cs="微软雅黑"/>
          <w:kern w:val="0"/>
          <w:sz w:val="24"/>
          <w:highlight w:val="none"/>
          <w:lang w:val="zh-CN"/>
        </w:rPr>
        <w:t>质疑项目的名称、编号；</w:t>
      </w:r>
    </w:p>
    <w:p>
      <w:pPr>
        <w:pStyle w:val="32"/>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4.2.3.3</w:t>
      </w:r>
      <w:r>
        <w:rPr>
          <w:rFonts w:hint="eastAsia" w:ascii="仿宋_GB2312" w:hAnsi="仿宋" w:eastAsia="仿宋_GB2312" w:cs="微软雅黑"/>
          <w:kern w:val="0"/>
          <w:sz w:val="24"/>
          <w:highlight w:val="none"/>
          <w:lang w:val="zh-CN"/>
        </w:rPr>
        <w:t>具体、明确的质疑事项和与质疑事项相关的请求；</w:t>
      </w:r>
    </w:p>
    <w:p>
      <w:pPr>
        <w:pStyle w:val="32"/>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4.2.3.4</w:t>
      </w:r>
      <w:r>
        <w:rPr>
          <w:rFonts w:hint="eastAsia" w:ascii="仿宋_GB2312" w:hAnsi="仿宋" w:eastAsia="仿宋_GB2312" w:cs="微软雅黑"/>
          <w:kern w:val="0"/>
          <w:sz w:val="24"/>
          <w:highlight w:val="none"/>
          <w:lang w:val="zh-CN"/>
        </w:rPr>
        <w:t>事实依据；</w:t>
      </w:r>
    </w:p>
    <w:p>
      <w:pPr>
        <w:pStyle w:val="32"/>
        <w:spacing w:line="360" w:lineRule="auto"/>
        <w:ind w:firstLine="480" w:firstLineChars="200"/>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　　</w:t>
      </w:r>
      <w:r>
        <w:rPr>
          <w:rFonts w:ascii="仿宋_GB2312" w:hAnsi="仿宋" w:eastAsia="仿宋_GB2312" w:cs="微软雅黑"/>
          <w:kern w:val="0"/>
          <w:sz w:val="24"/>
          <w:highlight w:val="none"/>
          <w:lang w:val="zh-CN"/>
        </w:rPr>
        <w:t>4.2.3.5</w:t>
      </w:r>
      <w:r>
        <w:rPr>
          <w:rFonts w:hint="eastAsia" w:ascii="仿宋_GB2312" w:hAnsi="仿宋" w:eastAsia="仿宋_GB2312" w:cs="微软雅黑"/>
          <w:kern w:val="0"/>
          <w:sz w:val="24"/>
          <w:highlight w:val="none"/>
          <w:lang w:val="zh-CN"/>
        </w:rPr>
        <w:t>必要的法律依据；</w:t>
      </w:r>
    </w:p>
    <w:p>
      <w:pPr>
        <w:pStyle w:val="32"/>
        <w:spacing w:line="360" w:lineRule="auto"/>
        <w:ind w:firstLine="960" w:firstLineChars="400"/>
        <w:rPr>
          <w:rFonts w:ascii="仿宋_GB2312" w:hAnsi="仿宋" w:eastAsia="仿宋_GB2312" w:cs="微软雅黑"/>
          <w:kern w:val="0"/>
          <w:sz w:val="24"/>
          <w:highlight w:val="none"/>
          <w:lang w:val="zh-CN"/>
        </w:rPr>
      </w:pPr>
      <w:r>
        <w:rPr>
          <w:rFonts w:ascii="仿宋_GB2312" w:hAnsi="仿宋" w:eastAsia="仿宋_GB2312" w:cs="微软雅黑"/>
          <w:kern w:val="0"/>
          <w:sz w:val="24"/>
          <w:highlight w:val="none"/>
          <w:lang w:val="zh-CN"/>
        </w:rPr>
        <w:t>4.2.3.6</w:t>
      </w:r>
      <w:r>
        <w:rPr>
          <w:rFonts w:hint="eastAsia" w:ascii="仿宋_GB2312" w:hAnsi="仿宋" w:eastAsia="仿宋_GB2312" w:cs="微软雅黑"/>
          <w:kern w:val="0"/>
          <w:sz w:val="24"/>
          <w:highlight w:val="none"/>
          <w:lang w:val="zh-CN"/>
        </w:rPr>
        <w:t>提出质疑的日期。</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hint="eastAsia" w:ascii="仿宋_GB2312" w:hAnsi="仿宋" w:eastAsia="仿宋_GB2312"/>
          <w:highlight w:val="none"/>
        </w:rPr>
        <w:t>供应商提交的质疑函需一式三份。供应商为自然人的，应当由本人签字；供应商为法人或者其他组织的，应当由法定代表人、主要负责人，或者其授权代表签字或者盖章，并加盖公章。</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hint="eastAsia" w:ascii="仿宋_GB2312" w:hAnsi="仿宋" w:eastAsia="仿宋_GB2312"/>
          <w:highlight w:val="none"/>
        </w:rPr>
        <w:t>质疑函范本及制作说明详见附件2</w:t>
      </w:r>
      <w:r>
        <w:rPr>
          <w:rFonts w:ascii="仿宋_GB2312" w:hAnsi="仿宋" w:eastAsia="仿宋_GB2312"/>
          <w:color w:val="0000FF"/>
          <w:highlight w:val="none"/>
        </w:rPr>
        <w:t>。</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hint="eastAsia" w:ascii="仿宋_GB2312" w:hAnsi="仿宋" w:eastAsia="仿宋_GB2312"/>
          <w:highlight w:val="none"/>
        </w:rPr>
        <w:t>4.2.4对同一采购程序环节的质疑，供应商须一次性提出。</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cs="微软雅黑"/>
          <w:highlight w:val="none"/>
          <w:lang w:val="zh-CN"/>
        </w:rPr>
        <w:t>4.2</w:t>
      </w:r>
      <w:r>
        <w:rPr>
          <w:rFonts w:ascii="仿宋_GB2312" w:hAnsi="仿宋" w:eastAsia="仿宋_GB2312"/>
          <w:highlight w:val="none"/>
        </w:rPr>
        <w:t>.</w:t>
      </w:r>
      <w:r>
        <w:rPr>
          <w:rFonts w:hint="eastAsia" w:ascii="仿宋_GB2312" w:hAnsi="仿宋" w:eastAsia="仿宋_GB2312"/>
          <w:highlight w:val="none"/>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cs="微软雅黑"/>
          <w:highlight w:val="none"/>
          <w:lang w:val="zh-CN"/>
        </w:rPr>
        <w:t>4.2</w:t>
      </w:r>
      <w:r>
        <w:rPr>
          <w:rFonts w:ascii="仿宋_GB2312" w:hAnsi="仿宋" w:eastAsia="仿宋_GB2312"/>
          <w:highlight w:val="none"/>
        </w:rPr>
        <w:t>.</w:t>
      </w:r>
      <w:r>
        <w:rPr>
          <w:rFonts w:hint="eastAsia" w:ascii="仿宋_GB2312" w:hAnsi="仿宋" w:eastAsia="仿宋_GB2312"/>
          <w:highlight w:val="none"/>
        </w:rPr>
        <w:t>6</w:t>
      </w:r>
      <w:r>
        <w:rPr>
          <w:rFonts w:ascii="仿宋_GB2312" w:hAnsi="仿宋" w:eastAsia="仿宋_GB2312"/>
          <w:highlight w:val="none"/>
        </w:rPr>
        <w:t>询问或者质疑事项可能影响采购结果的，采购人应当暂停签订合同，已经签订合同的，应当中止履行合同。</w:t>
      </w:r>
    </w:p>
    <w:p>
      <w:pPr>
        <w:pStyle w:val="890"/>
        <w:shd w:val="clear" w:color="auto" w:fill="FFFFFF"/>
        <w:snapToGrid w:val="0"/>
        <w:spacing w:after="240" w:afterAutospacing="0" w:line="360" w:lineRule="auto"/>
        <w:ind w:firstLine="480" w:firstLineChars="200"/>
        <w:contextualSpacing/>
        <w:rPr>
          <w:rFonts w:ascii="仿宋_GB2312" w:hAnsi="仿宋" w:eastAsia="仿宋_GB2312" w:cs="微软雅黑"/>
          <w:highlight w:val="none"/>
          <w:lang w:val="zh-CN"/>
        </w:rPr>
      </w:pPr>
      <w:r>
        <w:rPr>
          <w:rFonts w:ascii="仿宋_GB2312" w:hAnsi="仿宋" w:eastAsia="仿宋_GB2312" w:cs="微软雅黑"/>
          <w:highlight w:val="none"/>
          <w:lang w:val="zh-CN"/>
        </w:rPr>
        <w:t>4.3供应商投诉</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4.3.1质疑供应商对采购人、采购机构的答复不满意或者采购人、采购机构未在规定的时间内</w:t>
      </w:r>
      <w:r>
        <w:rPr>
          <w:rFonts w:hint="eastAsia" w:ascii="仿宋_GB2312" w:hAnsi="仿宋" w:eastAsia="仿宋_GB2312"/>
          <w:highlight w:val="none"/>
        </w:rPr>
        <w:t>作出答复的，可以在答复期满后十五个工作日内向同级政府采购监督管理部门提出投诉。</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4.3.</w:t>
      </w:r>
      <w:r>
        <w:rPr>
          <w:rFonts w:ascii="仿宋_GB2312" w:hAnsi="仿宋" w:eastAsia="仿宋_GB2312" w:cs="微软雅黑"/>
          <w:highlight w:val="none"/>
          <w:lang w:val="zh-CN"/>
        </w:rPr>
        <w:t>2</w:t>
      </w:r>
      <w:r>
        <w:rPr>
          <w:rFonts w:hint="eastAsia" w:ascii="仿宋_GB2312" w:hAnsi="仿宋" w:eastAsia="仿宋_GB2312"/>
          <w:highlight w:val="none"/>
        </w:rPr>
        <w:t>供应商投诉的事项不得超出已质疑事项的范围，基于质疑答复内容提出的投诉事项除外。</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4.3.3供应</w:t>
      </w:r>
      <w:r>
        <w:rPr>
          <w:rFonts w:hint="eastAsia" w:ascii="仿宋_GB2312" w:hAnsi="仿宋" w:eastAsia="仿宋_GB2312"/>
          <w:highlight w:val="none"/>
        </w:rPr>
        <w:t>商投诉应当有明确的请求和必要的证明材料。</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ascii="仿宋_GB2312" w:hAnsi="仿宋" w:eastAsia="仿宋_GB2312"/>
          <w:highlight w:val="none"/>
        </w:rPr>
        <w:t xml:space="preserve">4.3.5 </w:t>
      </w:r>
      <w:r>
        <w:rPr>
          <w:rFonts w:hint="eastAsia" w:ascii="仿宋_GB2312" w:hAnsi="仿宋" w:eastAsia="仿宋_GB2312"/>
          <w:highlight w:val="none"/>
        </w:rPr>
        <w:t>以联合体形式参加政府采购活动的，其投诉应当由组成联合体的所有供应商共同提出。</w:t>
      </w:r>
    </w:p>
    <w:p>
      <w:pPr>
        <w:pStyle w:val="890"/>
        <w:shd w:val="clear" w:color="auto" w:fill="FFFFFF"/>
        <w:snapToGrid w:val="0"/>
        <w:spacing w:after="240" w:afterAutospacing="0" w:line="360" w:lineRule="auto"/>
        <w:ind w:firstLine="400"/>
        <w:contextualSpacing/>
        <w:rPr>
          <w:rFonts w:ascii="仿宋_GB2312" w:hAnsi="仿宋" w:eastAsia="仿宋_GB2312"/>
          <w:highlight w:val="none"/>
        </w:rPr>
      </w:pPr>
      <w:r>
        <w:rPr>
          <w:rFonts w:hint="eastAsia" w:ascii="仿宋_GB2312" w:hAnsi="仿宋" w:eastAsia="仿宋_GB2312"/>
          <w:highlight w:val="none"/>
        </w:rPr>
        <w:t>投诉书范本及制作说明详见附件</w:t>
      </w:r>
      <w:r>
        <w:rPr>
          <w:rFonts w:ascii="仿宋_GB2312" w:hAnsi="仿宋" w:eastAsia="仿宋_GB2312"/>
          <w:highlight w:val="none"/>
        </w:rPr>
        <w:t>3。</w:t>
      </w:r>
    </w:p>
    <w:p>
      <w:pPr>
        <w:pStyle w:val="890"/>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4.4在线质疑、投诉</w:t>
      </w:r>
    </w:p>
    <w:p>
      <w:pPr>
        <w:pStyle w:val="890"/>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34"/>
        <w:snapToGrid w:val="0"/>
        <w:spacing w:before="0"/>
        <w:ind w:firstLine="360"/>
        <w:rPr>
          <w:rFonts w:ascii="仿宋_GB2312" w:hAnsi="仿宋" w:eastAsia="仿宋_GB2312" w:cs="仿宋_GB2312"/>
          <w:sz w:val="18"/>
          <w:szCs w:val="18"/>
        </w:rPr>
      </w:pPr>
    </w:p>
    <w:p>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w:t>
      </w:r>
      <w:bookmarkStart w:id="19" w:name="_Toc14248"/>
      <w:bookmarkStart w:id="20" w:name="_Toc30310"/>
      <w:r>
        <w:rPr>
          <w:rFonts w:ascii="仿宋_GB2312" w:hAnsi="仿宋" w:eastAsia="仿宋_GB2312" w:cs="仿宋_GB2312"/>
          <w:b/>
          <w:sz w:val="32"/>
          <w:szCs w:val="20"/>
        </w:rPr>
        <w:t>二、招标文件的构成、澄清、修改</w:t>
      </w:r>
      <w:bookmarkEnd w:id="19"/>
      <w:bookmarkEnd w:id="20"/>
    </w:p>
    <w:p>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pPr>
        <w:pStyle w:val="3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3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pPr>
        <w:pStyle w:val="134"/>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pPr>
        <w:adjustRightInd/>
        <w:spacing w:line="360" w:lineRule="auto"/>
        <w:jc w:val="center"/>
        <w:outlineLvl w:val="0"/>
        <w:rPr>
          <w:rFonts w:ascii="仿宋_GB2312" w:hAnsi="仿宋" w:eastAsia="仿宋_GB2312" w:cs="仿宋_GB2312"/>
          <w:b/>
          <w:sz w:val="30"/>
          <w:szCs w:val="20"/>
        </w:rPr>
      </w:pPr>
      <w:bookmarkStart w:id="21" w:name="_Toc4154"/>
      <w:bookmarkStart w:id="22" w:name="_Toc24183"/>
      <w:r>
        <w:rPr>
          <w:rFonts w:hint="eastAsia" w:ascii="仿宋_GB2312" w:hAnsi="仿宋" w:eastAsia="仿宋_GB2312" w:cs="仿宋_GB2312"/>
          <w:b/>
          <w:sz w:val="30"/>
          <w:szCs w:val="20"/>
        </w:rPr>
        <w:t>三、投标</w:t>
      </w:r>
      <w:bookmarkEnd w:id="21"/>
      <w:bookmarkEnd w:id="22"/>
    </w:p>
    <w:p>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pPr>
        <w:pStyle w:val="32"/>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pPr>
        <w:pStyle w:val="32"/>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pPr>
        <w:pStyle w:val="5"/>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w:t>
      </w:r>
      <w:r>
        <w:rPr>
          <w:rFonts w:hint="eastAsia" w:ascii="仿宋_GB2312" w:hAnsi="仿宋" w:eastAsia="仿宋_GB2312" w:cs="仿宋_GB2312"/>
          <w:b/>
          <w:sz w:val="24"/>
        </w:rPr>
        <w:t>资格文件</w:t>
      </w:r>
      <w:r>
        <w:rPr>
          <w:rFonts w:hint="eastAsia"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11.1.1符合参加政府采购活动应当具备的一般条件的承诺函；</w:t>
      </w:r>
    </w:p>
    <w:p>
      <w:pPr>
        <w:snapToGrid w:val="0"/>
        <w:spacing w:line="360" w:lineRule="auto"/>
        <w:ind w:firstLine="960" w:firstLineChars="400"/>
        <w:rPr>
          <w:rFonts w:ascii="仿宋_GB2312" w:hAnsi="仿宋" w:eastAsia="仿宋_GB2312" w:cs="仿宋_GB2312"/>
          <w:color w:val="000000" w:themeColor="text1"/>
          <w:sz w:val="24"/>
          <w14:textFill>
            <w14:solidFill>
              <w14:schemeClr w14:val="tx1"/>
            </w14:solidFill>
          </w14:textFill>
        </w:rPr>
      </w:pPr>
      <w:r>
        <w:rPr>
          <w:rFonts w:ascii="仿宋_GB2312" w:hAnsi="仿宋" w:eastAsia="仿宋_GB2312" w:cs="仿宋_GB2312"/>
          <w:sz w:val="24"/>
        </w:rPr>
        <w:t>11.1.2落实政府采购政策需满足的资格要求</w:t>
      </w: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sz w:val="24"/>
        </w:rPr>
        <w:t>中小企业声明函</w:t>
      </w: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w:t>
      </w:r>
    </w:p>
    <w:p>
      <w:pPr>
        <w:snapToGrid w:val="0"/>
        <w:spacing w:line="360" w:lineRule="auto"/>
        <w:ind w:firstLine="960" w:firstLineChars="400"/>
        <w:rPr>
          <w:rFonts w:ascii="仿宋_GB2312" w:hAnsi="仿宋" w:eastAsia="仿宋_GB2312" w:cs="仿宋_GB2312"/>
          <w:color w:val="000000" w:themeColor="text1"/>
          <w:sz w:val="24"/>
          <w14:textFill>
            <w14:solidFill>
              <w14:schemeClr w14:val="tx1"/>
            </w14:solidFill>
          </w14:textFill>
        </w:rPr>
      </w:pPr>
      <w:r>
        <w:rPr>
          <w:rFonts w:ascii="仿宋_GB2312" w:hAnsi="仿宋" w:eastAsia="仿宋_GB2312" w:cs="仿宋_GB2312"/>
          <w:color w:val="000000" w:themeColor="text1"/>
          <w:sz w:val="24"/>
          <w14:textFill>
            <w14:solidFill>
              <w14:schemeClr w14:val="tx1"/>
            </w14:solidFill>
          </w14:textFill>
        </w:rPr>
        <w:t>11.1.3本项目的特定资格要求。</w:t>
      </w:r>
    </w:p>
    <w:p>
      <w:pPr>
        <w:snapToGrid w:val="0"/>
        <w:spacing w:line="360" w:lineRule="auto"/>
        <w:ind w:firstLine="480" w:firstLineChars="2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11.2.1投标函；</w:t>
      </w:r>
      <w:r>
        <w:rPr>
          <w:rFonts w:ascii="仿宋_GB2312" w:hAnsi="仿宋" w:eastAsia="仿宋_GB2312" w:cs="仿宋_GB2312"/>
          <w:sz w:val="24"/>
          <w:lang w:val="zh-CN"/>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11.2.2授权委托书或法定代表人（单位负责人、自然人本人）身份证明；</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11.2.3联合协议</w:t>
      </w:r>
      <w:r>
        <w:rPr>
          <w:rFonts w:hint="eastAsia" w:ascii="仿宋_GB2312" w:hAnsi="仿宋" w:eastAsia="仿宋_GB2312" w:cs="仿宋_GB2312"/>
          <w:sz w:val="24"/>
          <w:lang w:eastAsia="zh-CN"/>
        </w:rPr>
        <w:t>（</w:t>
      </w:r>
      <w:r>
        <w:rPr>
          <w:rFonts w:hint="eastAsia" w:ascii="仿宋_GB2312" w:hAnsi="仿宋" w:eastAsia="仿宋_GB2312" w:cs="仿宋_GB2312"/>
          <w:sz w:val="24"/>
          <w:lang w:val="en-US" w:eastAsia="zh-CN"/>
        </w:rPr>
        <w:t>本项目不适用</w:t>
      </w:r>
      <w:r>
        <w:rPr>
          <w:rFonts w:hint="eastAsia" w:ascii="仿宋_GB2312" w:hAnsi="仿宋" w:eastAsia="仿宋_GB2312" w:cs="仿宋_GB2312"/>
          <w:sz w:val="24"/>
          <w:lang w:eastAsia="zh-CN"/>
        </w:rPr>
        <w:t>）</w:t>
      </w:r>
      <w:r>
        <w:rPr>
          <w:rFonts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11.2.4分包意向协议；</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11.2.5符合性审查资料；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11.2.6评标标准相应的商务技术资料；</w:t>
      </w:r>
    </w:p>
    <w:p>
      <w:pPr>
        <w:snapToGrid w:val="0"/>
        <w:spacing w:line="360" w:lineRule="auto"/>
        <w:ind w:firstLine="960" w:firstLineChars="400"/>
        <w:rPr>
          <w:rFonts w:ascii="仿宋_GB2312" w:hAnsi="仿宋" w:eastAsia="仿宋_GB2312" w:cs="仿宋_GB2312"/>
          <w:sz w:val="24"/>
        </w:rPr>
      </w:pPr>
      <w:r>
        <w:rPr>
          <w:rFonts w:hint="eastAsia" w:ascii="仿宋_GB2312" w:hAnsi="仿宋" w:eastAsia="仿宋_GB2312" w:cs="仿宋_GB2312"/>
          <w:sz w:val="24"/>
        </w:rPr>
        <w:t>11.2.7投标标的清单；</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w:t>
      </w:r>
      <w:r>
        <w:rPr>
          <w:rFonts w:hint="eastAsia" w:ascii="仿宋_GB2312" w:hAnsi="仿宋" w:eastAsia="仿宋_GB2312" w:cs="仿宋_GB2312"/>
          <w:sz w:val="24"/>
          <w:lang w:val="en-US" w:eastAsia="zh-CN"/>
        </w:rPr>
        <w:t>8</w:t>
      </w:r>
      <w:r>
        <w:rPr>
          <w:rFonts w:ascii="仿宋_GB2312" w:hAnsi="仿宋" w:eastAsia="仿宋_GB2312" w:cs="仿宋_GB2312"/>
          <w:sz w:val="24"/>
        </w:rPr>
        <w:t>商务技术偏离表；</w:t>
      </w:r>
    </w:p>
    <w:p>
      <w:pPr>
        <w:snapToGrid w:val="0"/>
        <w:spacing w:line="360" w:lineRule="auto"/>
        <w:ind w:firstLine="960" w:firstLineChars="400"/>
        <w:rPr>
          <w:rFonts w:ascii="仿宋_GB2312" w:hAnsi="仿宋" w:eastAsia="仿宋_GB2312" w:cs="仿宋_GB2312"/>
          <w:sz w:val="24"/>
          <w:highlight w:val="yellow"/>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hint="eastAsia" w:ascii="仿宋_GB2312" w:hAnsi="仿宋" w:eastAsia="仿宋_GB2312" w:cs="仿宋_GB2312"/>
          <w:sz w:val="24"/>
          <w:lang w:val="en-US" w:eastAsia="zh-CN"/>
        </w:rPr>
        <w:t>9</w:t>
      </w:r>
      <w:r>
        <w:rPr>
          <w:rFonts w:hint="eastAsia" w:ascii="仿宋_GB2312" w:hAnsi="仿宋" w:eastAsia="仿宋_GB2312" w:cs="仿宋_GB2312"/>
          <w:sz w:val="24"/>
          <w:lang w:val="zh-CN"/>
        </w:rPr>
        <w:t>政府采购供应商廉洁自律承诺书；</w:t>
      </w:r>
    </w:p>
    <w:p>
      <w:pPr>
        <w:snapToGrid w:val="0"/>
        <w:spacing w:line="360" w:lineRule="auto"/>
        <w:ind w:firstLine="480" w:firstLineChars="200"/>
        <w:rPr>
          <w:rFonts w:ascii="仿宋_GB2312" w:hAnsi="仿宋" w:eastAsia="仿宋_GB2312" w:cs="仿宋_GB2312"/>
          <w:sz w:val="24"/>
          <w:u w:val="single"/>
          <w:lang w:val="zh-CN"/>
        </w:rPr>
      </w:pPr>
      <w:r>
        <w:rPr>
          <w:rFonts w:ascii="仿宋_GB2312" w:hAnsi="仿宋" w:eastAsia="仿宋_GB2312" w:cs="仿宋_GB2312"/>
          <w:kern w:val="0"/>
          <w:sz w:val="24"/>
          <w:lang w:val="zh-CN"/>
        </w:rPr>
        <w:t>11.</w:t>
      </w:r>
      <w:r>
        <w:rPr>
          <w:rFonts w:ascii="仿宋_GB2312" w:hAnsi="仿宋" w:eastAsia="仿宋_GB2312" w:cs="仿宋_GB2312"/>
          <w:kern w:val="0"/>
          <w:sz w:val="24"/>
        </w:rPr>
        <w:t>3</w:t>
      </w:r>
      <w:r>
        <w:rPr>
          <w:rFonts w:hint="eastAsia" w:ascii="仿宋_GB2312" w:hAnsi="仿宋" w:eastAsia="仿宋_GB2312" w:cs="仿宋_GB2312"/>
          <w:b/>
          <w:sz w:val="24"/>
        </w:rPr>
        <w:t>报价文件：</w:t>
      </w:r>
      <w:r>
        <w:rPr>
          <w:rFonts w:ascii="仿宋_GB2312" w:hAnsi="仿宋" w:eastAsia="仿宋_GB2312" w:cs="仿宋_GB2312"/>
          <w:sz w:val="24"/>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11.3.1开标一览表（报价表）</w:t>
      </w:r>
      <w:r>
        <w:rPr>
          <w:rFonts w:hint="eastAsia" w:ascii="仿宋_GB2312" w:hAnsi="仿宋" w:eastAsia="仿宋_GB2312" w:cs="仿宋_GB2312"/>
          <w:sz w:val="24"/>
        </w:rPr>
        <w:t>。</w:t>
      </w:r>
    </w:p>
    <w:p>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投标文件含有采购人不能接受的附加条件的，投标无效；</w:t>
      </w:r>
    </w:p>
    <w:p>
      <w:pPr>
        <w:spacing w:line="360" w:lineRule="auto"/>
        <w:ind w:firstLine="723" w:firstLineChars="300"/>
        <w:rPr>
          <w:rFonts w:ascii="仿宋_GB2312" w:hAnsi="仿宋" w:eastAsia="仿宋_GB2312" w:cs="仿宋_GB2312"/>
          <w:b/>
          <w:sz w:val="24"/>
          <w:szCs w:val="21"/>
        </w:rPr>
      </w:pPr>
      <w:r>
        <w:rPr>
          <w:rFonts w:hint="eastAsia" w:ascii="仿宋_GB2312" w:hAnsi="仿宋" w:eastAsia="仿宋_GB2312"/>
          <w:b/>
          <w:sz w:val="24"/>
        </w:rPr>
        <w:t>投标人提供虚假材料投标的，投标无效。</w:t>
      </w:r>
    </w:p>
    <w:p>
      <w:pPr>
        <w:pStyle w:val="134"/>
        <w:snapToGrid w:val="0"/>
        <w:spacing w:before="0"/>
        <w:ind w:firstLine="0" w:firstLineChars="0"/>
        <w:outlineLvl w:val="0"/>
        <w:rPr>
          <w:rFonts w:ascii="仿宋_GB2312" w:hAnsi="仿宋" w:eastAsia="仿宋_GB2312" w:cs="仿宋_GB2312"/>
          <w:b/>
          <w:szCs w:val="24"/>
        </w:rPr>
      </w:pPr>
      <w:bookmarkStart w:id="23" w:name="_Toc24151"/>
      <w:bookmarkStart w:id="24" w:name="_Toc28300"/>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bookmarkEnd w:id="23"/>
      <w:bookmarkEnd w:id="24"/>
    </w:p>
    <w:p>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pPr>
        <w:pStyle w:val="134"/>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134"/>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pPr>
        <w:pStyle w:val="134"/>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pPr>
        <w:pStyle w:val="134"/>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4"/>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4"/>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3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pPr>
        <w:pStyle w:val="32"/>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15.1投标人在电子交易平台传输递交投标文件后，还可以在投标截止时间前直接提交或者以快递方式递交备份投标文件1份，</w:t>
      </w:r>
      <w:r>
        <w:rPr>
          <w:rFonts w:hint="eastAsia" w:ascii="仿宋_GB2312" w:hAnsi="仿宋" w:eastAsia="仿宋_GB2312" w:cs="仿宋_GB2312"/>
          <w:b/>
          <w:sz w:val="24"/>
          <w:szCs w:val="24"/>
        </w:rPr>
        <w:t>但采购人、采购机构不强制或变相强制投标人提交备份投标文件。</w:t>
      </w:r>
    </w:p>
    <w:p>
      <w:pPr>
        <w:pStyle w:val="32"/>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hint="eastAsia" w:ascii="仿宋_GB2312" w:hAnsi="仿宋" w:eastAsia="仿宋_GB2312"/>
          <w:b/>
          <w:sz w:val="24"/>
          <w:u w:val="single"/>
        </w:rPr>
        <w:t>U盘中</w:t>
      </w:r>
      <w:r>
        <w:rPr>
          <w:rFonts w:hint="eastAsia" w:ascii="仿宋_GB2312" w:hAnsi="仿宋" w:eastAsia="仿宋_GB2312" w:cs="仿宋_GB2312"/>
          <w:sz w:val="24"/>
          <w:szCs w:val="24"/>
        </w:rPr>
        <w:t>。备份投标文件应当密封包装并在包装上加盖公章并注明投标项目名称，投标人名称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hint="eastAsia" w:ascii="仿宋_GB2312" w:hAnsi="仿宋" w:eastAsia="仿宋_GB2312"/>
          <w:b/>
          <w:sz w:val="24"/>
        </w:rPr>
        <w:t>不符合上述制作、</w:t>
      </w:r>
      <w:r>
        <w:rPr>
          <w:rFonts w:hint="eastAsia" w:ascii="仿宋_GB2312" w:hAnsi="仿宋" w:eastAsia="仿宋_GB2312" w:cs="仿宋_GB2312"/>
          <w:b/>
          <w:sz w:val="24"/>
          <w:szCs w:val="24"/>
        </w:rPr>
        <w:t>存储、密封规定的备份投标文件将被视为无效或者被拒绝接收。</w:t>
      </w:r>
    </w:p>
    <w:p>
      <w:pPr>
        <w:pStyle w:val="3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3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15.4以快递方式递交备份投标文件的，投标人应先将备份投标文件按要求密封和标记，再进行快递包装后邮寄。备份投标文件须在投标截止时间之前送达</w:t>
      </w:r>
      <w:r>
        <w:rPr>
          <w:rFonts w:hint="eastAsia" w:ascii="仿宋_GB2312" w:hAnsi="仿宋" w:eastAsia="仿宋_GB2312" w:cs="仿宋_GB2312"/>
          <w:snapToGrid/>
          <w:sz w:val="24"/>
          <w:szCs w:val="24"/>
        </w:rPr>
        <w:t>招标文件第二部分投标人须知前附表规定的备份投标文件送达地点；</w:t>
      </w:r>
      <w:r>
        <w:rPr>
          <w:rFonts w:hint="eastAsia" w:ascii="仿宋_GB2312" w:hAnsi="仿宋" w:eastAsia="仿宋_GB2312" w:cs="仿宋_GB2312"/>
          <w:sz w:val="24"/>
          <w:szCs w:val="24"/>
        </w:rPr>
        <w:t>送达时间以签收人签收时间为准。采购机构将拒绝接受逾期送达的备份投标文件。邮寄过程中，电子备份投标文件发生泄露、遗失、损坏或延期送达等情况的，由投标人自行负责。</w:t>
      </w:r>
    </w:p>
    <w:p>
      <w:pPr>
        <w:pStyle w:val="32"/>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15.5投标人仅提交备份投标文件，没有在电子交易平台传输递交投标文件的，投标无效。</w:t>
      </w:r>
    </w:p>
    <w:p>
      <w:pPr>
        <w:pStyle w:val="134"/>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pPr>
        <w:pStyle w:val="6"/>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rPr>
        <w:t>第</w:t>
      </w:r>
      <w:r>
        <w:rPr>
          <w:rFonts w:ascii="仿宋_GB2312" w:hAnsi="仿宋" w:eastAsia="仿宋_GB2312"/>
        </w:rPr>
        <w:t>13项规定</w:t>
      </w:r>
      <w:r>
        <w:rPr>
          <w:rFonts w:hint="eastAsia" w:ascii="仿宋_GB2312" w:hAnsi="仿宋" w:eastAsia="仿宋_GB2312" w:cs="仿宋_GB2312"/>
          <w:szCs w:val="21"/>
        </w:rPr>
        <w:t>的情形之一的，投标无效：</w:t>
      </w:r>
    </w:p>
    <w:p>
      <w:pPr>
        <w:pStyle w:val="134"/>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pStyle w:val="134"/>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pPr>
        <w:pStyle w:val="134"/>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134"/>
        <w:spacing w:before="0"/>
        <w:ind w:firstLine="643"/>
        <w:rPr>
          <w:rFonts w:ascii="仿宋_GB2312" w:hAnsi="仿宋" w:eastAsia="仿宋_GB2312" w:cs="仿宋_GB2312"/>
          <w:b/>
          <w:sz w:val="32"/>
        </w:rPr>
      </w:pPr>
    </w:p>
    <w:p>
      <w:pPr>
        <w:pStyle w:val="134"/>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pStyle w:val="561"/>
        <w:spacing w:before="0" w:line="360" w:lineRule="auto"/>
        <w:ind w:left="0" w:firstLine="241" w:firstLineChars="10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pPr>
        <w:pStyle w:val="561"/>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pPr>
        <w:pStyle w:val="561"/>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pPr>
        <w:pStyle w:val="561"/>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ind w:firstLine="241" w:firstLineChars="100"/>
        <w:jc w:val="left"/>
        <w:rPr>
          <w:rFonts w:ascii="仿宋_GB2312" w:hAnsi="仿宋" w:eastAsia="仿宋_GB2312" w:cs="仿宋_GB2312"/>
          <w:b/>
          <w:sz w:val="24"/>
          <w:szCs w:val="20"/>
        </w:rPr>
      </w:pPr>
      <w:r>
        <w:rPr>
          <w:rFonts w:hint="eastAsia" w:ascii="仿宋_GB2312" w:hAnsi="仿宋" w:eastAsia="仿宋_GB2312" w:cs="仿宋_GB2312"/>
          <w:b/>
          <w:sz w:val="24"/>
          <w:szCs w:val="20"/>
        </w:rPr>
        <w:t>18.4.结束解密后，供应商通过邮件形式将经授权代表签署的《政府采购活动现场确</w:t>
      </w:r>
      <w:r>
        <w:rPr>
          <w:rFonts w:hint="eastAsia" w:ascii="仿宋_GB2312" w:hAnsi="仿宋" w:eastAsia="仿宋_GB2312" w:cs="仿宋_GB2312"/>
          <w:b/>
          <w:sz w:val="24"/>
          <w:szCs w:val="20"/>
          <w:highlight w:val="none"/>
        </w:rPr>
        <w:t>认声明书》（格式见附件6）扫描</w:t>
      </w:r>
      <w:r>
        <w:rPr>
          <w:rFonts w:hint="eastAsia" w:ascii="仿宋_GB2312" w:hAnsi="仿宋" w:eastAsia="仿宋_GB2312" w:cs="仿宋_GB2312"/>
          <w:b/>
          <w:sz w:val="24"/>
          <w:szCs w:val="20"/>
        </w:rPr>
        <w:t>件发至代理机构经办人邮箱（邮箱地址：1075458398@qq.com ）。</w:t>
      </w:r>
    </w:p>
    <w:p>
      <w:pPr>
        <w:widowControl/>
        <w:spacing w:before="100" w:beforeAutospacing="1" w:after="240" w:line="360" w:lineRule="auto"/>
        <w:jc w:val="left"/>
        <w:rPr>
          <w:rFonts w:ascii="仿宋_GB2312" w:hAnsi="仿宋" w:eastAsia="仿宋_GB2312" w:cs="仿宋_GB2312"/>
          <w:b/>
          <w:sz w:val="24"/>
          <w:szCs w:val="20"/>
        </w:rPr>
      </w:pPr>
      <w:r>
        <w:rPr>
          <w:rFonts w:hint="eastAsia" w:ascii="仿宋_GB2312" w:hAnsi="仿宋" w:eastAsia="仿宋_GB2312" w:cs="仿宋_GB2312"/>
          <w:b/>
          <w:sz w:val="24"/>
          <w:szCs w:val="20"/>
        </w:rPr>
        <w:t>　</w:t>
      </w:r>
      <w:r>
        <w:rPr>
          <w:rFonts w:ascii="仿宋_GB2312" w:hAnsi="仿宋" w:eastAsia="仿宋_GB2312" w:cs="仿宋_GB2312"/>
          <w:b/>
          <w:sz w:val="24"/>
          <w:szCs w:val="20"/>
        </w:rPr>
        <w:t>19、资格审查</w:t>
      </w:r>
    </w:p>
    <w:p>
      <w:pPr>
        <w:pStyle w:val="134"/>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pPr>
        <w:pStyle w:val="134"/>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pPr>
        <w:pStyle w:val="134"/>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pPr>
        <w:pStyle w:val="134"/>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pPr>
        <w:pStyle w:val="134"/>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pPr>
        <w:pStyle w:val="134"/>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20.1信用信息查询渠道及截止时间：采购机构将通过“信用中国”网站(www.creditchina.gov.cn)、中国政府采购网(www.ccgp.gov.cn)渠道查询投标人投标截止时间当天的信用记录。</w:t>
      </w:r>
    </w:p>
    <w:p>
      <w:pPr>
        <w:pStyle w:val="134"/>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pPr>
        <w:pStyle w:val="134"/>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pPr>
        <w:pStyle w:val="134"/>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134"/>
        <w:spacing w:before="0"/>
        <w:ind w:firstLine="0" w:firstLineChars="0"/>
        <w:rPr>
          <w:rFonts w:ascii="仿宋_GB2312" w:hAnsi="仿宋" w:eastAsia="仿宋_GB2312" w:cs="Arial"/>
          <w:kern w:val="0"/>
          <w:szCs w:val="24"/>
        </w:rPr>
      </w:pPr>
    </w:p>
    <w:p>
      <w:pPr>
        <w:snapToGrid w:val="0"/>
        <w:spacing w:line="360" w:lineRule="auto"/>
        <w:jc w:val="center"/>
        <w:outlineLvl w:val="0"/>
        <w:rPr>
          <w:rFonts w:ascii="仿宋_GB2312" w:hAnsi="仿宋" w:eastAsia="仿宋_GB2312" w:cs="仿宋_GB2312"/>
          <w:b/>
          <w:sz w:val="36"/>
          <w:szCs w:val="36"/>
        </w:rPr>
      </w:pPr>
      <w:bookmarkStart w:id="25" w:name="_Toc11887"/>
      <w:bookmarkStart w:id="26" w:name="_Toc25067"/>
      <w:r>
        <w:rPr>
          <w:rFonts w:hint="eastAsia" w:ascii="仿宋_GB2312" w:hAnsi="仿宋" w:eastAsia="仿宋_GB2312" w:cs="仿宋_GB2312"/>
          <w:b/>
          <w:sz w:val="36"/>
          <w:szCs w:val="36"/>
        </w:rPr>
        <w:t>五、评标</w:t>
      </w:r>
      <w:bookmarkEnd w:id="25"/>
      <w:bookmarkEnd w:id="26"/>
    </w:p>
    <w:p>
      <w:pPr>
        <w:spacing w:line="360" w:lineRule="auto"/>
        <w:rPr>
          <w:rFonts w:ascii="仿宋_GB2312" w:hAnsi="仿宋" w:eastAsia="仿宋_GB2312" w:cs="仿宋_GB2312"/>
          <w:b/>
          <w:sz w:val="24"/>
        </w:rPr>
      </w:pPr>
      <w:bookmarkStart w:id="27"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pPr>
        <w:spacing w:line="360" w:lineRule="auto"/>
        <w:rPr>
          <w:rFonts w:ascii="仿宋_GB2312" w:hAnsi="仿宋" w:eastAsia="仿宋_GB2312" w:cs="仿宋_GB2312"/>
          <w:b/>
          <w:sz w:val="24"/>
        </w:rPr>
      </w:pPr>
    </w:p>
    <w:p>
      <w:pPr>
        <w:snapToGrid w:val="0"/>
        <w:spacing w:line="360" w:lineRule="auto"/>
        <w:jc w:val="center"/>
        <w:outlineLvl w:val="0"/>
        <w:rPr>
          <w:rFonts w:ascii="仿宋_GB2312" w:hAnsi="仿宋" w:eastAsia="仿宋_GB2312" w:cs="仿宋_GB2312"/>
          <w:b/>
          <w:sz w:val="36"/>
          <w:szCs w:val="36"/>
        </w:rPr>
      </w:pPr>
      <w:bookmarkStart w:id="28" w:name="_Toc2885"/>
      <w:bookmarkStart w:id="29" w:name="_Toc25967"/>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bookmarkEnd w:id="28"/>
      <w:bookmarkEnd w:id="29"/>
    </w:p>
    <w:p>
      <w:pPr>
        <w:pStyle w:val="6"/>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pPr>
        <w:pStyle w:val="134"/>
        <w:snapToGrid w:val="0"/>
        <w:spacing w:before="0"/>
        <w:ind w:firstLine="480"/>
        <w:rPr>
          <w:rFonts w:ascii="仿宋_GB2312" w:hAnsi="仿宋" w:eastAsia="仿宋_GB2312" w:cs="仿宋_GB2312"/>
          <w:szCs w:val="24"/>
        </w:rPr>
      </w:pPr>
      <w:r>
        <w:rPr>
          <w:rFonts w:hint="eastAsia" w:ascii="仿宋_GB2312" w:hAnsi="仿宋" w:eastAsia="仿宋_GB2312" w:cs="仿宋_GB2312"/>
          <w:szCs w:val="24"/>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中标、成交通知书和中标、成交结果公告应当在规定时间内同时发出。</w:t>
      </w:r>
    </w:p>
    <w:p>
      <w:pPr>
        <w:pStyle w:val="134"/>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pPr>
        <w:pStyle w:val="6"/>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pPr>
        <w:pStyle w:val="6"/>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w:t>
      </w:r>
      <w:r>
        <w:rPr>
          <w:rFonts w:hint="eastAsia" w:ascii="仿宋_GB2312" w:hAnsi="仿宋" w:eastAsia="仿宋_GB2312" w:cs="Arial"/>
          <w:kern w:val="0"/>
          <w:sz w:val="24"/>
        </w:rPr>
        <w:t>除不可抗力等特殊情况外，原则上采购人应当在中标通知书发出之日起10个工作日内，与中标供应商按照采购文件确定的事项签订政府采购合同，并在签订之日起2个工作日内将政府采购合同在浙江政府采购网上公告。鼓励有条件的采购人视情缩减采购合同签订时限，提高采购效率，杜绝“冷、硬、横、推”等不当行为。</w:t>
      </w:r>
    </w:p>
    <w:p>
      <w:pPr>
        <w:pStyle w:val="134"/>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pPr>
        <w:pStyle w:val="134"/>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pPr>
        <w:pStyle w:val="6"/>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pPr>
        <w:pStyle w:val="134"/>
        <w:snapToGrid w:val="0"/>
        <w:spacing w:before="0"/>
        <w:ind w:firstLine="480"/>
        <w:rPr>
          <w:rFonts w:ascii="仿宋_GB2312" w:hAnsi="仿宋" w:eastAsia="仿宋_GB2312" w:cs="仿宋_GB2312"/>
        </w:rPr>
      </w:pPr>
      <w:r>
        <w:rPr>
          <w:rFonts w:hint="eastAsia" w:ascii="仿宋_GB2312" w:hAnsi="仿宋" w:eastAsia="仿宋_GB2312" w:cs="仿宋_GB2312"/>
        </w:rPr>
        <w:t>拟签订的合同文本要求中标供应商提交履约保证金的，供应商应当以支票、汇票、本票或者金融机构、担保机构出具的保函等非现金形式提交。履约保证金的数额不得超过政府采购合同金额的2.5%。鼓励和支持供应商以银行、保险公司出具的保函形式提供履约保证金。</w:t>
      </w:r>
      <w:r>
        <w:rPr>
          <w:rFonts w:hint="eastAsia" w:ascii="仿宋_GB2312" w:hAnsi="仿宋" w:eastAsia="仿宋_GB2312" w:cs="仿宋_GB2312"/>
          <w:b/>
          <w:bCs/>
        </w:rPr>
        <w:t>采购人不得拒收履约保函</w:t>
      </w:r>
      <w:r>
        <w:rPr>
          <w:rFonts w:hint="eastAsia" w:ascii="仿宋_GB2312" w:hAnsi="仿宋" w:eastAsia="仿宋_GB2312" w:cs="仿宋_GB2312"/>
        </w:rPr>
        <w:t>，项目验收结束后应及时退还。</w:t>
      </w:r>
    </w:p>
    <w:p>
      <w:pPr>
        <w:pStyle w:val="134"/>
        <w:snapToGrid w:val="0"/>
        <w:spacing w:before="0"/>
        <w:ind w:firstLine="480"/>
        <w:rPr>
          <w:rFonts w:ascii="仿宋_GB2312" w:hAnsi="仿宋" w:eastAsia="仿宋_GB2312" w:cs="仿宋_GB2312"/>
        </w:rPr>
      </w:pPr>
      <w:r>
        <w:rPr>
          <w:rFonts w:hint="eastAsia" w:ascii="仿宋_GB2312" w:hAnsi="仿宋" w:eastAsia="仿宋_GB2312" w:cs="仿宋_GB2312"/>
        </w:rPr>
        <w:t>政府采购货物和服务项目中，采购人可根据杭州市政府采购网公布的供应商履约评价情况减免履约保证金。供应商履约验收评价总分为100分的，采购人应当免收履约保证金；评价总分在90分以上的，收取履约保证金不得高于合同金额2%；评价总分在90分以下或者暂无评分的，收取履约保证金不得高于合同金额2.5%。</w:t>
      </w:r>
    </w:p>
    <w:p>
      <w:pPr>
        <w:pStyle w:val="2"/>
        <w:ind w:left="0" w:firstLine="480" w:firstLineChars="200"/>
        <w:rPr>
          <w:lang w:val="en-US"/>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_GB2312" w:hAnsi="仿宋" w:eastAsia="仿宋_GB2312" w:cs="仿宋_GB2312"/>
          <w:b/>
          <w:sz w:val="32"/>
        </w:rPr>
      </w:pPr>
    </w:p>
    <w:p>
      <w:pPr>
        <w:snapToGrid w:val="0"/>
        <w:spacing w:line="360" w:lineRule="auto"/>
        <w:ind w:firstLine="3357" w:firstLineChars="1045"/>
        <w:rPr>
          <w:rFonts w:ascii="仿宋_GB2312" w:hAnsi="仿宋" w:eastAsia="仿宋_GB2312"/>
          <w:b/>
          <w:sz w:val="24"/>
        </w:rPr>
      </w:pPr>
      <w:r>
        <w:rPr>
          <w:rFonts w:hint="eastAsia" w:ascii="仿宋_GB2312" w:hAnsi="仿宋" w:eastAsia="仿宋_GB2312" w:cs="仿宋_GB2312"/>
          <w:b/>
          <w:sz w:val="32"/>
        </w:rPr>
        <w:t>八、电子交易活动的中止</w:t>
      </w:r>
    </w:p>
    <w:p>
      <w:pPr>
        <w:pStyle w:val="134"/>
        <w:snapToGrid w:val="0"/>
        <w:spacing w:before="0"/>
        <w:ind w:firstLine="0" w:firstLineChars="0"/>
        <w:rPr>
          <w:rFonts w:ascii="仿宋_GB2312" w:hAnsi="仿宋" w:eastAsia="仿宋_GB2312" w:cs="仿宋_GB2312"/>
        </w:rPr>
      </w:pPr>
      <w:r>
        <w:rPr>
          <w:rFonts w:ascii="仿宋_GB2312" w:hAnsi="仿宋" w:eastAsia="仿宋_GB2312" w:cs="仿宋_GB2312"/>
        </w:rPr>
        <w:t>2</w:t>
      </w:r>
      <w:r>
        <w:rPr>
          <w:rFonts w:ascii="仿宋_GB2312" w:hAnsi="仿宋" w:eastAsia="仿宋_GB2312" w:cs="仿宋_GB2312"/>
          <w:b/>
          <w:szCs w:val="24"/>
        </w:rPr>
        <w:t xml:space="preserve">7.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pPr>
        <w:pStyle w:val="134"/>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pPr>
        <w:pStyle w:val="134"/>
        <w:snapToGrid w:val="0"/>
        <w:spacing w:before="0"/>
        <w:ind w:firstLine="0" w:firstLineChars="0"/>
        <w:rPr>
          <w:rFonts w:ascii="仿宋_GB2312" w:hAnsi="仿宋" w:eastAsia="仿宋_GB2312" w:cs="仿宋_GB2312"/>
        </w:rPr>
      </w:pPr>
      <w:r>
        <w:rPr>
          <w:rFonts w:ascii="仿宋_GB2312" w:hAnsi="仿宋" w:eastAsia="仿宋_GB2312"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pPr>
        <w:pStyle w:val="6"/>
        <w:spacing w:line="360" w:lineRule="auto"/>
        <w:ind w:firstLine="0" w:firstLineChars="0"/>
        <w:rPr>
          <w:rFonts w:ascii="仿宋_GB2312" w:hAnsi="仿宋" w:eastAsia="仿宋_GB2312" w:cs="仿宋_GB2312"/>
          <w:b/>
        </w:rPr>
      </w:pPr>
      <w:r>
        <w:rPr>
          <w:rFonts w:ascii="仿宋_GB2312" w:hAnsi="仿宋" w:eastAsia="仿宋_GB2312" w:cs="仿宋_GB2312"/>
          <w:b/>
        </w:rPr>
        <w:t>29.验收</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sz w:val="18"/>
          <w:szCs w:val="18"/>
        </w:rPr>
      </w:pPr>
      <w:r>
        <w:rPr>
          <w:rFonts w:ascii="仿宋_GB2312" w:hAnsi="仿宋" w:eastAsia="仿宋_GB2312"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7"/>
    <w:p>
      <w:pPr>
        <w:tabs>
          <w:tab w:val="left" w:pos="0"/>
        </w:tabs>
        <w:spacing w:line="360" w:lineRule="auto"/>
        <w:ind w:firstLine="480"/>
        <w:rPr>
          <w:rFonts w:ascii="仿宋_GB2312" w:hAnsi="仿宋" w:eastAsia="仿宋_GB2312" w:cs="Helvetica"/>
          <w:kern w:val="0"/>
          <w:sz w:val="24"/>
        </w:rPr>
        <w:sectPr>
          <w:footerReference r:id="rId7" w:type="first"/>
          <w:footerReference r:id="rId6" w:type="default"/>
          <w:pgSz w:w="11906" w:h="16838"/>
          <w:pgMar w:top="680" w:right="1418" w:bottom="468" w:left="1418" w:header="851" w:footer="992" w:gutter="0"/>
          <w:pgNumType w:start="1"/>
          <w:cols w:space="720" w:num="1"/>
          <w:titlePg/>
          <w:docGrid w:linePitch="312" w:charSpace="0"/>
        </w:sectPr>
      </w:pPr>
      <w:bookmarkStart w:id="30" w:name="_Hlt68072998"/>
      <w:bookmarkEnd w:id="30"/>
      <w:bookmarkStart w:id="31" w:name="_Hlt75236011"/>
      <w:bookmarkEnd w:id="31"/>
      <w:bookmarkStart w:id="32" w:name="_Hlt75236101"/>
      <w:bookmarkEnd w:id="32"/>
      <w:bookmarkStart w:id="33" w:name="_Hlt68057669"/>
      <w:bookmarkEnd w:id="33"/>
      <w:bookmarkStart w:id="34" w:name="_Hlt74729768"/>
      <w:bookmarkEnd w:id="34"/>
      <w:bookmarkStart w:id="35" w:name="_Hlt74707468"/>
      <w:bookmarkEnd w:id="35"/>
      <w:bookmarkStart w:id="36" w:name="_Hlt68403820"/>
      <w:bookmarkEnd w:id="36"/>
      <w:bookmarkStart w:id="37" w:name="_Hlt75236290"/>
      <w:bookmarkEnd w:id="37"/>
      <w:bookmarkStart w:id="38" w:name="_Hlt74730295"/>
      <w:bookmarkEnd w:id="38"/>
      <w:bookmarkStart w:id="39" w:name="_Hlt68073093"/>
      <w:bookmarkEnd w:id="39"/>
      <w:bookmarkStart w:id="40" w:name="_Hlt74714665"/>
      <w:bookmarkEnd w:id="40"/>
      <w:bookmarkStart w:id="41" w:name="_Hlt68072990"/>
      <w:bookmarkEnd w:id="41"/>
    </w:p>
    <w:bookmarkEnd w:id="15"/>
    <w:bookmarkEnd w:id="16"/>
    <w:p>
      <w:pPr>
        <w:pStyle w:val="3"/>
        <w:numPr>
          <w:ilvl w:val="0"/>
          <w:numId w:val="1"/>
        </w:numPr>
        <w:spacing w:line="240" w:lineRule="auto"/>
        <w:jc w:val="center"/>
        <w:rPr>
          <w:rFonts w:hint="eastAsia" w:ascii="仿宋" w:hAnsi="仿宋" w:eastAsia="仿宋" w:cs="仿宋"/>
        </w:rPr>
      </w:pPr>
      <w:bookmarkStart w:id="42" w:name="_Toc31208"/>
      <w:bookmarkStart w:id="43" w:name="_Toc1766"/>
      <w:bookmarkStart w:id="44" w:name="第四部分"/>
      <w:r>
        <w:rPr>
          <w:rFonts w:hint="eastAsia" w:ascii="仿宋" w:hAnsi="仿宋" w:eastAsia="仿宋" w:cs="仿宋"/>
        </w:rPr>
        <w:t xml:space="preserve">  采购需求</w:t>
      </w:r>
      <w:bookmarkEnd w:id="42"/>
      <w:bookmarkEnd w:id="43"/>
    </w:p>
    <w:p>
      <w:pPr>
        <w:numPr>
          <w:ilvl w:val="0"/>
          <w:numId w:val="0"/>
        </w:num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一、采购清单</w:t>
      </w:r>
    </w:p>
    <w:tbl>
      <w:tblPr>
        <w:tblStyle w:val="62"/>
        <w:tblW w:w="9900" w:type="dxa"/>
        <w:tblInd w:w="-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922"/>
        <w:gridCol w:w="1784"/>
        <w:gridCol w:w="4998"/>
        <w:gridCol w:w="732"/>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9900" w:type="dxa"/>
            <w:gridSpan w:val="6"/>
            <w:shd w:val="clear" w:color="auto" w:fill="auto"/>
            <w:noWrap/>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锦城街道新城幼儿园木制品家具采购清单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93" w:type="dxa"/>
            <w:shd w:val="clear" w:color="auto" w:fill="auto"/>
            <w:noWrap/>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922"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品名</w:t>
            </w:r>
          </w:p>
        </w:tc>
        <w:tc>
          <w:tcPr>
            <w:tcW w:w="1784" w:type="dxa"/>
            <w:shd w:val="clear" w:color="auto" w:fill="auto"/>
            <w:noWrap/>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图片</w:t>
            </w:r>
          </w:p>
        </w:tc>
        <w:tc>
          <w:tcPr>
            <w:tcW w:w="4998"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产品描述</w:t>
            </w:r>
          </w:p>
        </w:tc>
        <w:tc>
          <w:tcPr>
            <w:tcW w:w="732" w:type="dxa"/>
            <w:shd w:val="clear" w:color="auto" w:fill="auto"/>
            <w:noWrap/>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单位</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900" w:type="dxa"/>
            <w:gridSpan w:val="6"/>
            <w:shd w:val="clear" w:color="auto" w:fill="auto"/>
            <w:noWrap/>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小班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可调6人桌.原色</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1312" behindDoc="0" locked="0" layoutInCell="1" allowOverlap="1">
                  <wp:simplePos x="0" y="0"/>
                  <wp:positionH relativeFrom="column">
                    <wp:posOffset>80010</wp:posOffset>
                  </wp:positionH>
                  <wp:positionV relativeFrom="paragraph">
                    <wp:posOffset>1638935</wp:posOffset>
                  </wp:positionV>
                  <wp:extent cx="815340" cy="578485"/>
                  <wp:effectExtent l="0" t="0" r="3810" b="12065"/>
                  <wp:wrapNone/>
                  <wp:docPr id="57" name="图片_1"/>
                  <wp:cNvGraphicFramePr/>
                  <a:graphic xmlns:a="http://schemas.openxmlformats.org/drawingml/2006/main">
                    <a:graphicData uri="http://schemas.openxmlformats.org/drawingml/2006/picture">
                      <pic:pic xmlns:pic="http://schemas.openxmlformats.org/drawingml/2006/picture">
                        <pic:nvPicPr>
                          <pic:cNvPr id="57" name="图片_1"/>
                          <pic:cNvPicPr/>
                        </pic:nvPicPr>
                        <pic:blipFill>
                          <a:blip r:embed="rId27"/>
                          <a:stretch>
                            <a:fillRect/>
                          </a:stretch>
                        </pic:blipFill>
                        <pic:spPr>
                          <a:xfrm>
                            <a:off x="0" y="0"/>
                            <a:ext cx="815340" cy="57848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规格：L120xW60xH49/52/55cm可调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r>
              <w:rPr>
                <w:rStyle w:val="964"/>
                <w:rFonts w:hint="eastAsia" w:ascii="仿宋" w:hAnsi="仿宋" w:eastAsia="仿宋" w:cs="仿宋"/>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可调月亮桌</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2336" behindDoc="0" locked="0" layoutInCell="1" allowOverlap="1">
                  <wp:simplePos x="0" y="0"/>
                  <wp:positionH relativeFrom="column">
                    <wp:posOffset>28575</wp:posOffset>
                  </wp:positionH>
                  <wp:positionV relativeFrom="paragraph">
                    <wp:posOffset>393700</wp:posOffset>
                  </wp:positionV>
                  <wp:extent cx="847725" cy="673735"/>
                  <wp:effectExtent l="0" t="0" r="9525" b="12065"/>
                  <wp:wrapNone/>
                  <wp:docPr id="58" name="图片_2"/>
                  <wp:cNvGraphicFramePr/>
                  <a:graphic xmlns:a="http://schemas.openxmlformats.org/drawingml/2006/main">
                    <a:graphicData uri="http://schemas.openxmlformats.org/drawingml/2006/picture">
                      <pic:pic xmlns:pic="http://schemas.openxmlformats.org/drawingml/2006/picture">
                        <pic:nvPicPr>
                          <pic:cNvPr id="58" name="图片_2"/>
                          <pic:cNvPicPr/>
                        </pic:nvPicPr>
                        <pic:blipFill>
                          <a:blip r:embed="rId28"/>
                          <a:stretch>
                            <a:fillRect/>
                          </a:stretch>
                        </pic:blipFill>
                        <pic:spPr>
                          <a:xfrm>
                            <a:off x="0" y="0"/>
                            <a:ext cx="847725" cy="67373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规格：L120xW60xH49/52/55cm可调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椅子.小班</w:t>
            </w:r>
          </w:p>
        </w:tc>
        <w:tc>
          <w:tcPr>
            <w:tcW w:w="1784"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bdr w:val="single" w:color="000000" w:sz="4" w:space="0"/>
                <w:lang w:bidi="ar"/>
              </w:rPr>
              <w:drawing>
                <wp:anchor distT="0" distB="0" distL="114300" distR="114300" simplePos="0" relativeHeight="251663360" behindDoc="0" locked="0" layoutInCell="1" allowOverlap="1">
                  <wp:simplePos x="0" y="0"/>
                  <wp:positionH relativeFrom="column">
                    <wp:posOffset>180975</wp:posOffset>
                  </wp:positionH>
                  <wp:positionV relativeFrom="paragraph">
                    <wp:posOffset>939165</wp:posOffset>
                  </wp:positionV>
                  <wp:extent cx="593090" cy="793115"/>
                  <wp:effectExtent l="0" t="0" r="16510" b="6985"/>
                  <wp:wrapNone/>
                  <wp:docPr id="55" name="图片_3"/>
                  <wp:cNvGraphicFramePr/>
                  <a:graphic xmlns:a="http://schemas.openxmlformats.org/drawingml/2006/main">
                    <a:graphicData uri="http://schemas.openxmlformats.org/drawingml/2006/picture">
                      <pic:pic xmlns:pic="http://schemas.openxmlformats.org/drawingml/2006/picture">
                        <pic:nvPicPr>
                          <pic:cNvPr id="55" name="图片_3"/>
                          <pic:cNvPicPr/>
                        </pic:nvPicPr>
                        <pic:blipFill>
                          <a:blip r:embed="rId29"/>
                          <a:stretch>
                            <a:fillRect/>
                          </a:stretch>
                        </pic:blipFill>
                        <pic:spPr>
                          <a:xfrm>
                            <a:off x="0" y="0"/>
                            <a:ext cx="593090" cy="79311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规格：座高：25cm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1.板材：采用健康环保16mm实木多层板一次热压成型，实木多层板材质稳定，不易变形，面板拼接、胶合强度、含水率、静曲强度、弹性模量和甲醛释放量符合GB/T9846-2015和GB18580-2017的要求。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4.脚套：椅子脚采用TPR防滑脚套，有效防止划伤地板，脚套邻笨二甲酸酯，符合GB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5.其它：椅子根据人工力学个性化设计，一体成型，温馨舒适，PP塑料加固角码，更加牢固。适用年龄：3岁～6岁。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积木台</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4384" behindDoc="0" locked="0" layoutInCell="1" allowOverlap="1">
                  <wp:simplePos x="0" y="0"/>
                  <wp:positionH relativeFrom="column">
                    <wp:posOffset>183515</wp:posOffset>
                  </wp:positionH>
                  <wp:positionV relativeFrom="paragraph">
                    <wp:posOffset>1790700</wp:posOffset>
                  </wp:positionV>
                  <wp:extent cx="648335" cy="539750"/>
                  <wp:effectExtent l="0" t="0" r="18415" b="12700"/>
                  <wp:wrapNone/>
                  <wp:docPr id="54" name="图片_4"/>
                  <wp:cNvGraphicFramePr/>
                  <a:graphic xmlns:a="http://schemas.openxmlformats.org/drawingml/2006/main">
                    <a:graphicData uri="http://schemas.openxmlformats.org/drawingml/2006/picture">
                      <pic:pic xmlns:pic="http://schemas.openxmlformats.org/drawingml/2006/picture">
                        <pic:nvPicPr>
                          <pic:cNvPr id="54" name="图片_4"/>
                          <pic:cNvPicPr/>
                        </pic:nvPicPr>
                        <pic:blipFill>
                          <a:blip r:embed="rId30"/>
                          <a:stretch>
                            <a:fillRect/>
                          </a:stretch>
                        </pic:blipFill>
                        <pic:spPr>
                          <a:xfrm>
                            <a:off x="0" y="0"/>
                            <a:ext cx="64833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规格：L60xW60xH50cm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1.板材：采用健康环保15mm实木多层板，实木多层板材质稳定，不易变形，面板拼接、胶合强度、含水率、静曲强度、弹性模量和甲醛释放量符合GB/T9846-2015和GB18580-2017的要求。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4.脚钉：脚钉采用TPR防滑脚钉，有效防止划伤地板，脚钉邻笨二甲酸酯检出，符合GB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5.产品：底板离地高度：225mm      内空尺寸：570*520*230mm；外表面和内表面等儿童手指可触及的隐蔽处，均不得有锋利的锐角、毛刺，五金部件不得露出锐利尖端，产品外角均倒圆处理，以保证儿童的安全，成品表面涂层耐刮、耐热、耐冲击，结构安全稳固。</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6.其它：方便积木的收纳和游戏，搭配区角使用，实用性更强。适用年龄：3岁～6岁。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3层高柜.全背板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5408" behindDoc="0" locked="0" layoutInCell="1" allowOverlap="1">
                  <wp:simplePos x="0" y="0"/>
                  <wp:positionH relativeFrom="column">
                    <wp:posOffset>158750</wp:posOffset>
                  </wp:positionH>
                  <wp:positionV relativeFrom="paragraph">
                    <wp:posOffset>1839595</wp:posOffset>
                  </wp:positionV>
                  <wp:extent cx="689610" cy="662940"/>
                  <wp:effectExtent l="0" t="0" r="15240" b="3810"/>
                  <wp:wrapNone/>
                  <wp:docPr id="61" name="图片_5"/>
                  <wp:cNvGraphicFramePr/>
                  <a:graphic xmlns:a="http://schemas.openxmlformats.org/drawingml/2006/main">
                    <a:graphicData uri="http://schemas.openxmlformats.org/drawingml/2006/picture">
                      <pic:pic xmlns:pic="http://schemas.openxmlformats.org/drawingml/2006/picture">
                        <pic:nvPicPr>
                          <pic:cNvPr id="61" name="图片_5"/>
                          <pic:cNvPicPr/>
                        </pic:nvPicPr>
                        <pic:blipFill>
                          <a:blip r:embed="rId31"/>
                          <a:stretch>
                            <a:fillRect/>
                          </a:stretch>
                        </pic:blipFill>
                        <pic:spPr>
                          <a:xfrm>
                            <a:off x="0" y="0"/>
                            <a:ext cx="689610" cy="66294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规格：L93xW30xH81cm</w:t>
            </w:r>
            <w:r>
              <w:rPr>
                <w:rFonts w:hint="eastAsia" w:ascii="仿宋" w:hAnsi="仿宋" w:eastAsia="仿宋" w:cs="仿宋"/>
                <w:sz w:val="24"/>
                <w:szCs w:val="24"/>
              </w:rPr>
              <w:br w:type="textWrapping"/>
            </w:r>
            <w:r>
              <w:rPr>
                <w:rFonts w:hint="eastAsia" w:ascii="仿宋" w:hAnsi="仿宋" w:eastAsia="仿宋" w:cs="仿宋"/>
                <w:sz w:val="24"/>
                <w:szCs w:val="24"/>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sz w:val="24"/>
                <w:szCs w:val="24"/>
              </w:rPr>
              <w:br w:type="textWrapping"/>
            </w:r>
            <w:r>
              <w:rPr>
                <w:rFonts w:hint="eastAsia" w:ascii="仿宋" w:hAnsi="仿宋" w:eastAsia="仿宋" w:cs="仿宋"/>
                <w:sz w:val="24"/>
                <w:szCs w:val="24"/>
              </w:rPr>
              <w:t>2.封边条：采用环保PVC封边条，封边条甲醛释放量，符合QBT 4463-2013标准要求。封边条塑化剂检测符合GB6675.1-2014标准要求。</w:t>
            </w:r>
            <w:r>
              <w:rPr>
                <w:rFonts w:hint="eastAsia" w:ascii="仿宋" w:hAnsi="仿宋" w:eastAsia="仿宋" w:cs="仿宋"/>
                <w:sz w:val="24"/>
                <w:szCs w:val="24"/>
              </w:rPr>
              <w:br w:type="textWrapping"/>
            </w:r>
            <w:r>
              <w:rPr>
                <w:rFonts w:hint="eastAsia" w:ascii="仿宋" w:hAnsi="仿宋" w:eastAsia="仿宋" w:cs="仿宋"/>
                <w:sz w:val="24"/>
                <w:szCs w:val="24"/>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sz w:val="24"/>
                <w:szCs w:val="24"/>
              </w:rPr>
              <w:br w:type="textWrapping"/>
            </w:r>
            <w:r>
              <w:rPr>
                <w:rFonts w:hint="eastAsia" w:ascii="仿宋" w:hAnsi="仿宋" w:eastAsia="仿宋" w:cs="仿宋"/>
                <w:sz w:val="24"/>
                <w:szCs w:val="24"/>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仿宋" w:hAnsi="仿宋" w:eastAsia="仿宋" w:cs="仿宋"/>
                <w:sz w:val="24"/>
                <w:szCs w:val="24"/>
              </w:rPr>
              <w:br w:type="textWrapping"/>
            </w:r>
            <w:r>
              <w:rPr>
                <w:rFonts w:hint="eastAsia" w:ascii="仿宋" w:hAnsi="仿宋" w:eastAsia="仿宋" w:cs="仿宋"/>
                <w:sz w:val="24"/>
                <w:szCs w:val="24"/>
              </w:rPr>
              <w:t>5. 尼龙脚垫：采用无重金属铅、镉、铬、汞，耐老化、耐冷热循环，硬度≥71且符合GB 28481-2012、GB/T32487-2016的检验标准。</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6.连接件：采用三合一连接件，具有金属镀层抗盐雾性，L型连接件抗弯强度≥390MPa，且符合GB/T28203-2011的检验标准。</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7.其它：柜子为3层带背板大容量收纳空间，安装防潮脚钉。配上教具盒更加方便使用，实用性更强，适用年龄：3岁～6岁。</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阶梯组合柜.无背板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6432" behindDoc="0" locked="0" layoutInCell="1" allowOverlap="1">
                  <wp:simplePos x="0" y="0"/>
                  <wp:positionH relativeFrom="column">
                    <wp:posOffset>207645</wp:posOffset>
                  </wp:positionH>
                  <wp:positionV relativeFrom="paragraph">
                    <wp:posOffset>1263650</wp:posOffset>
                  </wp:positionV>
                  <wp:extent cx="721360" cy="695325"/>
                  <wp:effectExtent l="0" t="0" r="2540" b="9525"/>
                  <wp:wrapNone/>
                  <wp:docPr id="56" name="图片_6"/>
                  <wp:cNvGraphicFramePr/>
                  <a:graphic xmlns:a="http://schemas.openxmlformats.org/drawingml/2006/main">
                    <a:graphicData uri="http://schemas.openxmlformats.org/drawingml/2006/picture">
                      <pic:pic xmlns:pic="http://schemas.openxmlformats.org/drawingml/2006/picture">
                        <pic:nvPicPr>
                          <pic:cNvPr id="56" name="图片_6"/>
                          <pic:cNvPicPr/>
                        </pic:nvPicPr>
                        <pic:blipFill>
                          <a:blip r:embed="rId32"/>
                          <a:stretch>
                            <a:fillRect/>
                          </a:stretch>
                        </pic:blipFill>
                        <pic:spPr>
                          <a:xfrm>
                            <a:off x="0" y="0"/>
                            <a:ext cx="721360" cy="69532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规格：3层：L30×W30×H81cm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2层：L30×W30×H61cm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1层：L30×W30×H35cm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上下格内空尺寸：270*300*220mm；产品外观要求、理化性能要求、结构安全、有害物质限量（可迁移元素、甲醛释放量等）、力学性能、警示标识等符合GB28007-2011标准要求。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7.其它：安装防潮脚钉，实用性更强，适用年龄：3岁～6岁。     </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7456" behindDoc="0" locked="0" layoutInCell="1" allowOverlap="1">
                  <wp:simplePos x="0" y="0"/>
                  <wp:positionH relativeFrom="column">
                    <wp:posOffset>20320</wp:posOffset>
                  </wp:positionH>
                  <wp:positionV relativeFrom="paragraph">
                    <wp:posOffset>1462405</wp:posOffset>
                  </wp:positionV>
                  <wp:extent cx="702945" cy="520065"/>
                  <wp:effectExtent l="0" t="0" r="1905" b="13335"/>
                  <wp:wrapNone/>
                  <wp:docPr id="60" name="图片_11"/>
                  <wp:cNvGraphicFramePr/>
                  <a:graphic xmlns:a="http://schemas.openxmlformats.org/drawingml/2006/main">
                    <a:graphicData uri="http://schemas.openxmlformats.org/drawingml/2006/picture">
                      <pic:pic xmlns:pic="http://schemas.openxmlformats.org/drawingml/2006/picture">
                        <pic:nvPicPr>
                          <pic:cNvPr id="60" name="图片_11"/>
                          <pic:cNvPicPr/>
                        </pic:nvPicPr>
                        <pic:blipFill>
                          <a:blip r:embed="rId33"/>
                          <a:stretch>
                            <a:fillRect/>
                          </a:stretch>
                        </pic:blipFill>
                        <pic:spPr>
                          <a:xfrm>
                            <a:off x="0" y="0"/>
                            <a:ext cx="702945" cy="5200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上下格内空尺寸：900*300*232.5mm；产品外观要求、理化性能要求、结构安全、有害物质限量（可迁移元素、甲醛释放量等）、力学性能、警示标识等符合GB28007-2011标准要求。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7.其它：柜子为2层无背板设计，层板使用H型方管加固防止变形；安装防潮脚钉。配上教具盒更加方便使用，实用性更强，适用年龄：3岁～6岁。 </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8480" behindDoc="0" locked="0" layoutInCell="1" allowOverlap="1">
                  <wp:simplePos x="0" y="0"/>
                  <wp:positionH relativeFrom="column">
                    <wp:posOffset>94615</wp:posOffset>
                  </wp:positionH>
                  <wp:positionV relativeFrom="paragraph">
                    <wp:posOffset>497205</wp:posOffset>
                  </wp:positionV>
                  <wp:extent cx="714375" cy="502285"/>
                  <wp:effectExtent l="0" t="0" r="9525" b="12065"/>
                  <wp:wrapNone/>
                  <wp:docPr id="62" name="图片_12"/>
                  <wp:cNvGraphicFramePr/>
                  <a:graphic xmlns:a="http://schemas.openxmlformats.org/drawingml/2006/main">
                    <a:graphicData uri="http://schemas.openxmlformats.org/drawingml/2006/picture">
                      <pic:pic xmlns:pic="http://schemas.openxmlformats.org/drawingml/2006/picture">
                        <pic:nvPicPr>
                          <pic:cNvPr id="62" name="图片_12"/>
                          <pic:cNvPicPr/>
                        </pic:nvPicPr>
                        <pic:blipFill>
                          <a:blip r:embed="rId34"/>
                          <a:stretch>
                            <a:fillRect/>
                          </a:stretch>
                        </pic:blipFill>
                        <pic:spPr>
                          <a:xfrm>
                            <a:off x="0" y="0"/>
                            <a:ext cx="714375" cy="50228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上下格内空尺寸：290*300*232.5mm;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7.其它：柜子为2层6格无背板设计，安装防潮脚钉。配上教具盒更加方便使用，实用性更强，适用年龄：3岁～6岁。    </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2层90°转角矮柜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69504" behindDoc="0" locked="0" layoutInCell="1" allowOverlap="1">
                  <wp:simplePos x="0" y="0"/>
                  <wp:positionH relativeFrom="column">
                    <wp:posOffset>245745</wp:posOffset>
                  </wp:positionH>
                  <wp:positionV relativeFrom="paragraph">
                    <wp:posOffset>130175</wp:posOffset>
                  </wp:positionV>
                  <wp:extent cx="330835" cy="772795"/>
                  <wp:effectExtent l="0" t="0" r="12065" b="8255"/>
                  <wp:wrapNone/>
                  <wp:docPr id="59" name="图片_13"/>
                  <wp:cNvGraphicFramePr/>
                  <a:graphic xmlns:a="http://schemas.openxmlformats.org/drawingml/2006/main">
                    <a:graphicData uri="http://schemas.openxmlformats.org/drawingml/2006/picture">
                      <pic:pic xmlns:pic="http://schemas.openxmlformats.org/drawingml/2006/picture">
                        <pic:nvPicPr>
                          <pic:cNvPr id="59" name="图片_13"/>
                          <pic:cNvPicPr/>
                        </pic:nvPicPr>
                        <pic:blipFill>
                          <a:blip r:embed="rId35"/>
                          <a:stretch>
                            <a:fillRect/>
                          </a:stretch>
                        </pic:blipFill>
                        <pic:spPr>
                          <a:xfrm>
                            <a:off x="0" y="0"/>
                            <a:ext cx="330835" cy="77279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规格：L30xW30xH61cm </w:t>
            </w:r>
            <w:r>
              <w:rPr>
                <w:rFonts w:hint="eastAsia" w:ascii="仿宋" w:hAnsi="仿宋" w:eastAsia="仿宋" w:cs="仿宋"/>
                <w:sz w:val="24"/>
                <w:szCs w:val="24"/>
              </w:rPr>
              <w:br w:type="textWrapping"/>
            </w:r>
            <w:r>
              <w:rPr>
                <w:rFonts w:hint="eastAsia" w:ascii="仿宋" w:hAnsi="仿宋" w:eastAsia="仿宋" w:cs="仿宋"/>
                <w:sz w:val="24"/>
                <w:szCs w:val="24"/>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sz w:val="24"/>
                <w:szCs w:val="24"/>
              </w:rPr>
              <w:br w:type="textWrapping"/>
            </w:r>
            <w:r>
              <w:rPr>
                <w:rFonts w:hint="eastAsia" w:ascii="仿宋" w:hAnsi="仿宋" w:eastAsia="仿宋" w:cs="仿宋"/>
                <w:sz w:val="24"/>
                <w:szCs w:val="24"/>
              </w:rPr>
              <w:t>2.封边条：采用环保PVC封边条，封边条甲醛释放量，符合QBT 4463-2013标准要求。封边条塑化剂检测符合GB6675.1-2014标准要求。</w:t>
            </w:r>
            <w:r>
              <w:rPr>
                <w:rFonts w:hint="eastAsia" w:ascii="仿宋" w:hAnsi="仿宋" w:eastAsia="仿宋" w:cs="仿宋"/>
                <w:sz w:val="24"/>
                <w:szCs w:val="24"/>
              </w:rPr>
              <w:br w:type="textWrapping"/>
            </w:r>
            <w:r>
              <w:rPr>
                <w:rFonts w:hint="eastAsia" w:ascii="仿宋" w:hAnsi="仿宋" w:eastAsia="仿宋" w:cs="仿宋"/>
                <w:sz w:val="24"/>
                <w:szCs w:val="24"/>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sz w:val="24"/>
                <w:szCs w:val="24"/>
              </w:rPr>
              <w:br w:type="textWrapping"/>
            </w:r>
            <w:r>
              <w:rPr>
                <w:rFonts w:hint="eastAsia" w:ascii="仿宋" w:hAnsi="仿宋" w:eastAsia="仿宋" w:cs="仿宋"/>
                <w:sz w:val="24"/>
                <w:szCs w:val="24"/>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sz w:val="24"/>
                <w:szCs w:val="24"/>
              </w:rPr>
              <w:br w:type="textWrapping"/>
            </w:r>
            <w:r>
              <w:rPr>
                <w:rFonts w:hint="eastAsia" w:ascii="仿宋" w:hAnsi="仿宋" w:eastAsia="仿宋" w:cs="仿宋"/>
                <w:sz w:val="24"/>
                <w:szCs w:val="24"/>
              </w:rPr>
              <w:t xml:space="preserve">7.其它：安装防潮脚钉，实用性更强，适用年龄：3岁～6岁。        </w:t>
            </w:r>
          </w:p>
          <w:p>
            <w:pPr>
              <w:pStyle w:val="6"/>
              <w:spacing w:line="240" w:lineRule="auto"/>
              <w:ind w:firstLine="0" w:firstLineChars="0"/>
              <w:rPr>
                <w:rFonts w:hint="eastAsia" w:ascii="仿宋" w:hAnsi="仿宋" w:eastAsia="仿宋" w:cs="仿宋"/>
                <w:b/>
                <w:bCs/>
                <w:sz w:val="24"/>
                <w:szCs w:val="24"/>
              </w:rPr>
            </w:pP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0528" behindDoc="0" locked="0" layoutInCell="1" allowOverlap="1">
                  <wp:simplePos x="0" y="0"/>
                  <wp:positionH relativeFrom="column">
                    <wp:posOffset>91440</wp:posOffset>
                  </wp:positionH>
                  <wp:positionV relativeFrom="paragraph">
                    <wp:posOffset>2063750</wp:posOffset>
                  </wp:positionV>
                  <wp:extent cx="719455" cy="502285"/>
                  <wp:effectExtent l="0" t="0" r="4445" b="12065"/>
                  <wp:wrapNone/>
                  <wp:docPr id="73" name="图片_25"/>
                  <wp:cNvGraphicFramePr/>
                  <a:graphic xmlns:a="http://schemas.openxmlformats.org/drawingml/2006/main">
                    <a:graphicData uri="http://schemas.openxmlformats.org/drawingml/2006/picture">
                      <pic:pic xmlns:pic="http://schemas.openxmlformats.org/drawingml/2006/picture">
                        <pic:nvPicPr>
                          <pic:cNvPr id="73" name="图片_25"/>
                          <pic:cNvPicPr/>
                        </pic:nvPicPr>
                        <pic:blipFill>
                          <a:blip r:embed="rId36"/>
                          <a:stretch>
                            <a:fillRect/>
                          </a:stretch>
                        </pic:blipFill>
                        <pic:spPr>
                          <a:xfrm>
                            <a:off x="0" y="0"/>
                            <a:ext cx="719455" cy="50228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上下格内空尺寸：290*300*232.5mm;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7.其它：柜子为2层6格无背板设计，安装防潮脚钉。配上教具盒更加方便使用，实用性更强，适用年龄：3岁～6岁。 </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美术纸筒柜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1552" behindDoc="0" locked="0" layoutInCell="1" allowOverlap="1">
                  <wp:simplePos x="0" y="0"/>
                  <wp:positionH relativeFrom="column">
                    <wp:posOffset>216535</wp:posOffset>
                  </wp:positionH>
                  <wp:positionV relativeFrom="paragraph">
                    <wp:posOffset>1503045</wp:posOffset>
                  </wp:positionV>
                  <wp:extent cx="457200" cy="539750"/>
                  <wp:effectExtent l="0" t="0" r="0" b="12700"/>
                  <wp:wrapNone/>
                  <wp:docPr id="85" name="图片_14"/>
                  <wp:cNvGraphicFramePr/>
                  <a:graphic xmlns:a="http://schemas.openxmlformats.org/drawingml/2006/main">
                    <a:graphicData uri="http://schemas.openxmlformats.org/drawingml/2006/picture">
                      <pic:pic xmlns:pic="http://schemas.openxmlformats.org/drawingml/2006/picture">
                        <pic:nvPicPr>
                          <pic:cNvPr id="85" name="图片_14"/>
                          <pic:cNvPicPr/>
                        </pic:nvPicPr>
                        <pic:blipFill>
                          <a:blip r:embed="rId37"/>
                          <a:stretch>
                            <a:fillRect/>
                          </a:stretch>
                        </pic:blipFill>
                        <pic:spPr>
                          <a:xfrm>
                            <a:off x="0" y="0"/>
                            <a:ext cx="45720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规格：L40×W40×H58cm</w:t>
            </w:r>
            <w:r>
              <w:rPr>
                <w:rFonts w:hint="eastAsia" w:ascii="仿宋" w:hAnsi="仿宋" w:eastAsia="仿宋" w:cs="仿宋"/>
                <w:sz w:val="24"/>
                <w:szCs w:val="24"/>
              </w:rPr>
              <w:br w:type="textWrapping"/>
            </w:r>
            <w:r>
              <w:rPr>
                <w:rFonts w:hint="eastAsia" w:ascii="仿宋" w:hAnsi="仿宋" w:eastAsia="仿宋" w:cs="仿宋"/>
                <w:sz w:val="24"/>
                <w:szCs w:val="24"/>
              </w:rPr>
              <w:t>规格：L40×W40×H58cm</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3.五金：采用优质五金，稳固不松动，五金表面经防锈处理，强度高、硬度高、寿命长，符合国家标准规范的要求。</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4.油墨：图案采用优质环保油墨，使用美工机喷绘，图案更加清晰立体不易褪色.</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5.脚轮：优质塑料静音万向轮，方便使用过程中，移动与固定形式的快捷切换。</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7.连接件：采用三合一连接件，具有金属镀层抗盐雾性，L型连接件抗弯强度≥390MPa，且符合GB/T28203-2011的检验标准。</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美术透明画板柜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2576" behindDoc="0" locked="0" layoutInCell="1" allowOverlap="1">
                  <wp:simplePos x="0" y="0"/>
                  <wp:positionH relativeFrom="column">
                    <wp:posOffset>99060</wp:posOffset>
                  </wp:positionH>
                  <wp:positionV relativeFrom="paragraph">
                    <wp:posOffset>948690</wp:posOffset>
                  </wp:positionV>
                  <wp:extent cx="433705" cy="539750"/>
                  <wp:effectExtent l="0" t="0" r="4445" b="12700"/>
                  <wp:wrapNone/>
                  <wp:docPr id="78" name="图片_15"/>
                  <wp:cNvGraphicFramePr/>
                  <a:graphic xmlns:a="http://schemas.openxmlformats.org/drawingml/2006/main">
                    <a:graphicData uri="http://schemas.openxmlformats.org/drawingml/2006/picture">
                      <pic:pic xmlns:pic="http://schemas.openxmlformats.org/drawingml/2006/picture">
                        <pic:nvPicPr>
                          <pic:cNvPr id="78" name="图片_15"/>
                          <pic:cNvPicPr/>
                        </pic:nvPicPr>
                        <pic:blipFill>
                          <a:blip r:embed="rId38"/>
                          <a:stretch>
                            <a:fillRect/>
                          </a:stretch>
                        </pic:blipFill>
                        <pic:spPr>
                          <a:xfrm>
                            <a:off x="0" y="0"/>
                            <a:ext cx="43370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规格：L92xW30xH112cm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木材：主要采用15mm环保橡胶木拼板贴桦木纹三聚氰胺纸（画板框为18mm实木多层板喷涂水性清漆），板材具有非常好的总体强度性能和耐磨性能，承重能力强、韧性好，保养容易，稳定性高；色泽浅，容易着色、能接受所有类型颜色的染色和涂料，易与别种木材的颜色基调相配合，油漆涂装性能好。</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封边：主要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3.油漆：画板框采用环保油漆，耐磨，平整，光泽度高，木纹均匀美观，油漆技术指标可溶性铅、可溶性镉、可溶性铬、可溶性汞均符合标准要求。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4.五金：采用优质五金，稳固不松动，五金表面经防锈处理，强度高、硬度高、寿命长，符合国家标准规范的要求。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5.油墨：图案采用优质环保油墨，使用美工机喷绘，图案更加清晰立体不易褪色。</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w:t>
            </w:r>
            <w:r>
              <w:rPr>
                <w:rFonts w:hint="eastAsia" w:ascii="仿宋" w:hAnsi="仿宋" w:eastAsia="仿宋" w:cs="仿宋"/>
                <w:sz w:val="24"/>
                <w:szCs w:val="24"/>
              </w:rPr>
              <w:t>尼龙脚垫：采用无重金属铅、镉、铬、汞，耐老化、耐</w:t>
            </w:r>
            <w:r>
              <w:rPr>
                <w:rFonts w:hint="eastAsia" w:ascii="仿宋" w:hAnsi="仿宋" w:eastAsia="仿宋" w:cs="仿宋"/>
                <w:color w:val="000000"/>
                <w:kern w:val="0"/>
                <w:sz w:val="24"/>
                <w:szCs w:val="24"/>
                <w:lang w:bidi="ar"/>
              </w:rPr>
              <w:t>冷热循环，硬度≥71且符合GB 28481-2012、GB/T32487-2016的检验标准。</w:t>
            </w:r>
          </w:p>
          <w:p>
            <w:pPr>
              <w:widowControl/>
              <w:jc w:val="left"/>
              <w:textAlignment w:val="center"/>
              <w:rPr>
                <w:rFonts w:hint="eastAsia" w:ascii="仿宋" w:hAnsi="仿宋" w:eastAsia="仿宋" w:cs="仿宋"/>
                <w:b/>
                <w:bCs/>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3600" behindDoc="0" locked="0" layoutInCell="1" allowOverlap="1">
                  <wp:simplePos x="0" y="0"/>
                  <wp:positionH relativeFrom="column">
                    <wp:posOffset>227330</wp:posOffset>
                  </wp:positionH>
                  <wp:positionV relativeFrom="paragraph">
                    <wp:posOffset>1797685</wp:posOffset>
                  </wp:positionV>
                  <wp:extent cx="702945" cy="520065"/>
                  <wp:effectExtent l="0" t="0" r="1905" b="13335"/>
                  <wp:wrapNone/>
                  <wp:docPr id="86" name="图片_16"/>
                  <wp:cNvGraphicFramePr/>
                  <a:graphic xmlns:a="http://schemas.openxmlformats.org/drawingml/2006/main">
                    <a:graphicData uri="http://schemas.openxmlformats.org/drawingml/2006/picture">
                      <pic:pic xmlns:pic="http://schemas.openxmlformats.org/drawingml/2006/picture">
                        <pic:nvPicPr>
                          <pic:cNvPr id="86" name="图片_16"/>
                          <pic:cNvPicPr/>
                        </pic:nvPicPr>
                        <pic:blipFill>
                          <a:blip r:embed="rId39"/>
                          <a:stretch>
                            <a:fillRect/>
                          </a:stretch>
                        </pic:blipFill>
                        <pic:spPr>
                          <a:xfrm>
                            <a:off x="0" y="0"/>
                            <a:ext cx="702945" cy="5200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上下格内空尺寸：900*300*232.5mm；产品外观要求、理化性能要求、结构安全、有害物质限量（可迁移元素、甲醛释放量等）、力学性能、警示标识等符合GB28007-2011标准要求。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7.其它：柜子为2层无背板设计，层板使用H型方管加固防止变形；安装防潮脚钉。配上教具盒更加方便使用，实用性更强，适用年龄：3岁～6岁。</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书架</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4624" behindDoc="0" locked="0" layoutInCell="1" allowOverlap="1">
                  <wp:simplePos x="0" y="0"/>
                  <wp:positionH relativeFrom="column">
                    <wp:posOffset>145415</wp:posOffset>
                  </wp:positionH>
                  <wp:positionV relativeFrom="paragraph">
                    <wp:posOffset>395605</wp:posOffset>
                  </wp:positionV>
                  <wp:extent cx="708660" cy="539750"/>
                  <wp:effectExtent l="0" t="0" r="15240" b="12700"/>
                  <wp:wrapNone/>
                  <wp:docPr id="68" name="图片_17"/>
                  <wp:cNvGraphicFramePr/>
                  <a:graphic xmlns:a="http://schemas.openxmlformats.org/drawingml/2006/main">
                    <a:graphicData uri="http://schemas.openxmlformats.org/drawingml/2006/picture">
                      <pic:pic xmlns:pic="http://schemas.openxmlformats.org/drawingml/2006/picture">
                        <pic:nvPicPr>
                          <pic:cNvPr id="68" name="图片_17"/>
                          <pic:cNvPicPr/>
                        </pic:nvPicPr>
                        <pic:blipFill>
                          <a:blip r:embed="rId40"/>
                          <a:stretch>
                            <a:fillRect/>
                          </a:stretch>
                        </pic:blipFill>
                        <pic:spPr>
                          <a:xfrm>
                            <a:off x="0" y="0"/>
                            <a:ext cx="70866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规格：L93×W30×H61CM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木材：主要采用15mm环保橡胶木拼板贴桦木纹三聚氰胺纸（画板框为18mm实木多层板喷涂水性清漆），板材具有非常好的总体强度性能和耐磨性能，承重能力强、韧性好，保养容易，稳定性高；色泽浅，容易着色、能接受所有类型颜色的染色和涂料，易与别种木材的颜色基调相配合，油漆涂装性能好。</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书架上下格内空尺寸：900*60*210mm； 下格内空尺寸：900*300*110mm.产品外观要求、理化性能要求、结构安全、有害物质限量（可迁移元素、甲醛释放量等）、力学性能、警示标识等符合GB28007-2011标准要求。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5.其它：上半部分可做书本收纳，下层可以搭配教具盒，安装防潮脚钉，实用性更强，适用年龄：3岁～6岁。</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小方桌</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5648" behindDoc="0" locked="0" layoutInCell="1" allowOverlap="1">
                  <wp:simplePos x="0" y="0"/>
                  <wp:positionH relativeFrom="column">
                    <wp:posOffset>108585</wp:posOffset>
                  </wp:positionH>
                  <wp:positionV relativeFrom="paragraph">
                    <wp:posOffset>1556385</wp:posOffset>
                  </wp:positionV>
                  <wp:extent cx="733425" cy="447675"/>
                  <wp:effectExtent l="0" t="0" r="9525" b="9525"/>
                  <wp:wrapNone/>
                  <wp:docPr id="82" name="图片_18"/>
                  <wp:cNvGraphicFramePr/>
                  <a:graphic xmlns:a="http://schemas.openxmlformats.org/drawingml/2006/main">
                    <a:graphicData uri="http://schemas.openxmlformats.org/drawingml/2006/picture">
                      <pic:pic xmlns:pic="http://schemas.openxmlformats.org/drawingml/2006/picture">
                        <pic:nvPicPr>
                          <pic:cNvPr id="82" name="图片_18"/>
                          <pic:cNvPicPr/>
                        </pic:nvPicPr>
                        <pic:blipFill>
                          <a:blip r:embed="rId41"/>
                          <a:stretch>
                            <a:fillRect/>
                          </a:stretch>
                        </pic:blipFill>
                        <pic:spPr>
                          <a:xfrm>
                            <a:off x="0" y="0"/>
                            <a:ext cx="733425" cy="44767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规格：L60xW60xH30cm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3.脚钉：脚钉采用TPR防滑脚钉，有效防止划伤地板，脚钉邻笨二甲酸酯检出，符合GB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6.其它：桌脚与桌面之间采用塑料连接件，无需任何五金安装，连接件高65mm,内径41.5mm,外径51mm，安装简易，线条圆润流畅柔美，能减少磕碰的意外。塑料连接件中邻笨二甲酸酯中DEHP、DBP、BBP等符合GB 6675.1-2014标准要求。使用年龄：3岁～6岁。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互动小厨房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114300" distR="114300">
                  <wp:extent cx="668655" cy="505460"/>
                  <wp:effectExtent l="0" t="0" r="17145" b="8890"/>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42"/>
                          <a:stretch>
                            <a:fillRect/>
                          </a:stretch>
                        </pic:blipFill>
                        <pic:spPr>
                          <a:xfrm>
                            <a:off x="0" y="0"/>
                            <a:ext cx="668655" cy="505460"/>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规格：A：L60xW31.5xH83cm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B：L40xW31.5xH81cm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CD:L30xW31.5xH49cm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4.油墨：图案采用优质环保油墨，使用美工机喷绘，图案更加清晰立体不易褪色，油墨可迁移元素（锑、砷、钡、镉、铬、铅、汞、硒），符合GB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5.布艺窗帘：采用优质环保布艺窗帘，布艺窗帘的PH值和甲醛释放量符合标准GB 18401-2010要求。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6.产品：围脚高度：60mm   A柜：上下格内空尺寸：270*170*280mm；水盆尺寸：220*220*80mm ，B柜： 门板上下格内空尺寸：370*210*280mm； 抽屉内格内空尺寸：310*230*60mm；C柜：门板内格内空尺寸：270*240*280mm； 抽屉内格内空尺寸：210*230*60mm；D柜： 上下格内空尺寸：270*170*280mm；产品外观要求、理化性能要求、结构安全、有害物质限量（可迁移元素、甲醛释放量等）、力学性能、警示标识等符合GB28007-2011标准要求。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7.</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8.连接件：采用三合一连接件，具有金属镀层抗盐雾性，L型连接件抗弯强度≥390MPa，且符合GB/T28203-2011的检验标准。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t xml:space="preserve">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9.其它：安装防潮脚钉，实用性更强，适用年龄：3岁～6岁。</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组</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原木长颈鹿造型门</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6672" behindDoc="0" locked="0" layoutInCell="1" allowOverlap="1">
                  <wp:simplePos x="0" y="0"/>
                  <wp:positionH relativeFrom="column">
                    <wp:posOffset>273685</wp:posOffset>
                  </wp:positionH>
                  <wp:positionV relativeFrom="paragraph">
                    <wp:posOffset>464185</wp:posOffset>
                  </wp:positionV>
                  <wp:extent cx="619760" cy="604520"/>
                  <wp:effectExtent l="0" t="0" r="8890" b="5080"/>
                  <wp:wrapNone/>
                  <wp:docPr id="83" name="图片_20"/>
                  <wp:cNvGraphicFramePr/>
                  <a:graphic xmlns:a="http://schemas.openxmlformats.org/drawingml/2006/main">
                    <a:graphicData uri="http://schemas.openxmlformats.org/drawingml/2006/picture">
                      <pic:pic xmlns:pic="http://schemas.openxmlformats.org/drawingml/2006/picture">
                        <pic:nvPicPr>
                          <pic:cNvPr id="83" name="图片_20"/>
                          <pic:cNvPicPr/>
                        </pic:nvPicPr>
                        <pic:blipFill>
                          <a:blip r:embed="rId43"/>
                          <a:stretch>
                            <a:fillRect/>
                          </a:stretch>
                        </pic:blipFill>
                        <pic:spPr>
                          <a:xfrm>
                            <a:off x="0" y="0"/>
                            <a:ext cx="619760" cy="60452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 xml:space="preserve">规格：L197xW35xH173cm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 总体最宽35cm（叶子往前突出柜体）</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柜体宽30cm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15mm环保实木多层板。板材表面纹理自然逼真，质地轻盈，强度高，拉力与弯曲性能强，材质结构稳定不易变形；经防虫、干燥处理后具有防潮、防霉、抗菌、抗酸、抗污染的功能，清洗起来非常的容易，防水等级非常的高。</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4.油墨：图案采用优质环保油墨，使用美工机喷绘，图案更加清晰立体不易褪色，油墨可迁移元素（锑、砷、钡、镉、铬、铅、汞、硒），符合GB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5.产品：铭牌尺寸：240*110*12mm；柜子围脚高度：40mm；柜子面板高度：610mm；                       柜子上格内空：425*300*255；  门洞内宽：700mm；   门洞内高1200mm；外表面和内表面等儿童手指可触及的隐蔽处，均不得有锋利的锐角、毛刺，五金部件不得露出锐利尖端，产品外角均倒圆处理，以保证儿童的安全，成品表面涂层耐刮、耐热、耐冲击，结构安全稳固。</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t xml:space="preserve">。 </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8.其它：铭牌为双面可擦写白板；保留木材原始的颜色，给小朋友一种原生态自然舒适、温馨的感觉，搭配区角使用打造色彩区角，实用性更强，适用年龄：3岁～6岁。                </w:t>
            </w:r>
            <w:r>
              <w:rPr>
                <w:rStyle w:val="964"/>
                <w:rFonts w:hint="eastAsia" w:ascii="仿宋" w:hAnsi="仿宋" w:eastAsia="仿宋" w:cs="仿宋"/>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7696" behindDoc="0" locked="0" layoutInCell="1" allowOverlap="1">
                  <wp:simplePos x="0" y="0"/>
                  <wp:positionH relativeFrom="column">
                    <wp:posOffset>161925</wp:posOffset>
                  </wp:positionH>
                  <wp:positionV relativeFrom="paragraph">
                    <wp:posOffset>1651635</wp:posOffset>
                  </wp:positionV>
                  <wp:extent cx="719455" cy="520065"/>
                  <wp:effectExtent l="0" t="0" r="4445" b="13335"/>
                  <wp:wrapNone/>
                  <wp:docPr id="79" name="图片_21"/>
                  <wp:cNvGraphicFramePr/>
                  <a:graphic xmlns:a="http://schemas.openxmlformats.org/drawingml/2006/main">
                    <a:graphicData uri="http://schemas.openxmlformats.org/drawingml/2006/picture">
                      <pic:pic xmlns:pic="http://schemas.openxmlformats.org/drawingml/2006/picture">
                        <pic:nvPicPr>
                          <pic:cNvPr id="79" name="图片_21"/>
                          <pic:cNvPicPr/>
                        </pic:nvPicPr>
                        <pic:blipFill>
                          <a:blip r:embed="rId44"/>
                          <a:stretch>
                            <a:fillRect/>
                          </a:stretch>
                        </pic:blipFill>
                        <pic:spPr>
                          <a:xfrm>
                            <a:off x="0" y="0"/>
                            <a:ext cx="719455" cy="5200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上下格内空尺寸：900*300*232.5mm；产品外观要求、理化性能要求、结构安全、有害物质限量（可迁移元素、甲醛释放量等）、力学性能、警示标识等符合GB28007-2011标准要求。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7.其它：柜子为2层无背板设计，层板使用H型方管加固防止变形；安装防潮脚钉。配上教具盒更加方便使用，实用性更强，适用年龄：3岁～6岁。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19</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2层45°弧形矮柜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8720" behindDoc="0" locked="0" layoutInCell="1" allowOverlap="1">
                  <wp:simplePos x="0" y="0"/>
                  <wp:positionH relativeFrom="column">
                    <wp:posOffset>325120</wp:posOffset>
                  </wp:positionH>
                  <wp:positionV relativeFrom="paragraph">
                    <wp:posOffset>151765</wp:posOffset>
                  </wp:positionV>
                  <wp:extent cx="424180" cy="539750"/>
                  <wp:effectExtent l="0" t="0" r="13970" b="12700"/>
                  <wp:wrapNone/>
                  <wp:docPr id="77" name="图片_22"/>
                  <wp:cNvGraphicFramePr/>
                  <a:graphic xmlns:a="http://schemas.openxmlformats.org/drawingml/2006/main">
                    <a:graphicData uri="http://schemas.openxmlformats.org/drawingml/2006/picture">
                      <pic:pic xmlns:pic="http://schemas.openxmlformats.org/drawingml/2006/picture">
                        <pic:nvPicPr>
                          <pic:cNvPr id="77" name="图片_22"/>
                          <pic:cNvPicPr/>
                        </pic:nvPicPr>
                        <pic:blipFill>
                          <a:blip r:embed="rId45"/>
                          <a:stretch>
                            <a:fillRect/>
                          </a:stretch>
                        </pic:blipFill>
                        <pic:spPr>
                          <a:xfrm>
                            <a:off x="0" y="0"/>
                            <a:ext cx="42418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规格：L46xW32xH61cm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t xml:space="preserve"> </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7.其它：围脚由桦木多层板制作。面板的外弧R600mm，内弧300mm。搭配区角空间使用率更高，安装防潮脚钉，实用性更强，适用年龄：3岁～6岁。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20</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2层90°弧形矮柜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79744" behindDoc="0" locked="0" layoutInCell="1" allowOverlap="1">
                  <wp:simplePos x="0" y="0"/>
                  <wp:positionH relativeFrom="column">
                    <wp:posOffset>203200</wp:posOffset>
                  </wp:positionH>
                  <wp:positionV relativeFrom="paragraph">
                    <wp:posOffset>382905</wp:posOffset>
                  </wp:positionV>
                  <wp:extent cx="687070" cy="539750"/>
                  <wp:effectExtent l="0" t="0" r="17780" b="12700"/>
                  <wp:wrapNone/>
                  <wp:docPr id="64" name="图片_23"/>
                  <wp:cNvGraphicFramePr/>
                  <a:graphic xmlns:a="http://schemas.openxmlformats.org/drawingml/2006/main">
                    <a:graphicData uri="http://schemas.openxmlformats.org/drawingml/2006/picture">
                      <pic:pic xmlns:pic="http://schemas.openxmlformats.org/drawingml/2006/picture">
                        <pic:nvPicPr>
                          <pic:cNvPr id="64" name="图片_23"/>
                          <pic:cNvPicPr/>
                        </pic:nvPicPr>
                        <pic:blipFill>
                          <a:blip r:embed="rId46"/>
                          <a:stretch>
                            <a:fillRect/>
                          </a:stretch>
                        </pic:blipFill>
                        <pic:spPr>
                          <a:xfrm>
                            <a:off x="0" y="0"/>
                            <a:ext cx="68707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规格：L85×W39×H61CM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6.连接件：采用三合一连接件，具有金属镀层抗盐雾性，L型连接件抗弯强度≥390MPa，且符合GB/T28203-2011的检验标准。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7.其它：柜子2层4格的弧形设计，整体弧度R300mm,外弧度R600mm设计。搭配区角空间使用率更高。安装防潮脚钉，实用性更强，适用年龄：3岁～6岁。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21</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小方桌</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80768" behindDoc="0" locked="0" layoutInCell="1" allowOverlap="1">
                  <wp:simplePos x="0" y="0"/>
                  <wp:positionH relativeFrom="column">
                    <wp:posOffset>80645</wp:posOffset>
                  </wp:positionH>
                  <wp:positionV relativeFrom="paragraph">
                    <wp:posOffset>1468120</wp:posOffset>
                  </wp:positionV>
                  <wp:extent cx="849630" cy="547370"/>
                  <wp:effectExtent l="0" t="0" r="7620" b="5080"/>
                  <wp:wrapNone/>
                  <wp:docPr id="71" name="图片_24"/>
                  <wp:cNvGraphicFramePr/>
                  <a:graphic xmlns:a="http://schemas.openxmlformats.org/drawingml/2006/main">
                    <a:graphicData uri="http://schemas.openxmlformats.org/drawingml/2006/picture">
                      <pic:pic xmlns:pic="http://schemas.openxmlformats.org/drawingml/2006/picture">
                        <pic:nvPicPr>
                          <pic:cNvPr id="71" name="图片_24"/>
                          <pic:cNvPicPr/>
                        </pic:nvPicPr>
                        <pic:blipFill>
                          <a:blip r:embed="rId47"/>
                          <a:stretch>
                            <a:fillRect/>
                          </a:stretch>
                        </pic:blipFill>
                        <pic:spPr>
                          <a:xfrm>
                            <a:off x="0" y="0"/>
                            <a:ext cx="849630" cy="54737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规格：L60xW60xH30cm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3.脚钉：脚钉采用TPR防滑脚钉，有效防止划伤地板，脚钉邻笨二甲酸酯检出，符合GB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t xml:space="preserve">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7.其它：桌脚与桌面之间采用塑料连接件，无需任何五金安装，连接件高65mm,内径41.5mm,外径51mm，安装简易，线条圆润流畅柔美，能减少磕碰的意外。塑料连接件中邻笨二甲酸酯中DEHP、DBP、BBP等符合GB 6675.1-2014标准要求。使用年龄：3岁～6岁。 </w:t>
            </w:r>
            <w:r>
              <w:rPr>
                <w:rStyle w:val="964"/>
                <w:rFonts w:hint="eastAsia" w:ascii="仿宋" w:hAnsi="仿宋" w:eastAsia="仿宋" w:cs="仿宋"/>
                <w:sz w:val="24"/>
                <w:szCs w:val="24"/>
                <w:lang w:bidi="ar"/>
              </w:rPr>
              <w:t xml:space="preserve">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22</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互动化妆台.象牙白</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81792" behindDoc="0" locked="0" layoutInCell="1" allowOverlap="1">
                  <wp:simplePos x="0" y="0"/>
                  <wp:positionH relativeFrom="column">
                    <wp:posOffset>76200</wp:posOffset>
                  </wp:positionH>
                  <wp:positionV relativeFrom="paragraph">
                    <wp:posOffset>883920</wp:posOffset>
                  </wp:positionV>
                  <wp:extent cx="775970" cy="1106170"/>
                  <wp:effectExtent l="0" t="0" r="5080" b="17780"/>
                  <wp:wrapNone/>
                  <wp:docPr id="69" name="图片_7"/>
                  <wp:cNvGraphicFramePr/>
                  <a:graphic xmlns:a="http://schemas.openxmlformats.org/drawingml/2006/main">
                    <a:graphicData uri="http://schemas.openxmlformats.org/drawingml/2006/picture">
                      <pic:pic xmlns:pic="http://schemas.openxmlformats.org/drawingml/2006/picture">
                        <pic:nvPicPr>
                          <pic:cNvPr id="69" name="图片_7"/>
                          <pic:cNvPicPr/>
                        </pic:nvPicPr>
                        <pic:blipFill>
                          <a:blip r:embed="rId48"/>
                          <a:stretch>
                            <a:fillRect/>
                          </a:stretch>
                        </pic:blipFill>
                        <pic:spPr>
                          <a:xfrm>
                            <a:off x="0" y="0"/>
                            <a:ext cx="775970" cy="110617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规格：桌:L60xW35.5xH90cm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椅:L30*W20*H30cm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1.板材：主要采用健康环保18mm+15mm实木多层板，实木多层板材质稳定，不易变形，面板拼接、胶合强度、含水率、静曲强度、弹性模量和甲醛释放量符合GB/T9846-2015和GB18580-2017的要求。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4.油墨：采用优质环保油墨，使用美工机喷绘，图案更加清晰立体不易褪色，油墨可迁移元素（锑、砷、钡、镉、铬、铅、汞、硒），符合GB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5.产品：桌面离地高度：500mm     镜片尺寸：330*355mm ,外表面和内表面等儿童手指可触及的隐蔽处，均不得有锋利的锐角、毛刺，五金部件不得露出锐利尖端，产品外角均倒圆处理，以保证儿童的安全，成品表面涂层耐刮、耐热、耐冲击，结构安全稳固。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6.</w:t>
            </w:r>
            <w:r>
              <w:rPr>
                <w:rFonts w:hint="eastAsia" w:ascii="仿宋" w:hAnsi="仿宋" w:eastAsia="仿宋" w:cs="仿宋"/>
                <w:sz w:val="24"/>
                <w:szCs w:val="24"/>
              </w:rPr>
              <w:t>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t xml:space="preserve">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23</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42格茶杯架-落地款</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976630" cy="1356995"/>
                  <wp:effectExtent l="0" t="0" r="13970" b="14605"/>
                  <wp:docPr id="10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6"/>
                          <pic:cNvPicPr>
                            <a:picLocks noChangeAspect="1"/>
                          </pic:cNvPicPr>
                        </pic:nvPicPr>
                        <pic:blipFill>
                          <a:blip r:embed="rId49"/>
                          <a:stretch>
                            <a:fillRect/>
                          </a:stretch>
                        </pic:blipFill>
                        <pic:spPr>
                          <a:xfrm>
                            <a:off x="0" y="0"/>
                            <a:ext cx="976630" cy="1356995"/>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规格：L73xW30xH102cm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1.板材：采用健康环保的9mm+15mm实木多层板，实木多层板材质稳定，不易变形，面板拼接、胶合强度、含水率、静曲强度、弹性模量和甲醛释放量符合GB/T9846-2015和GB18580-2017的要求。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7.其它：围脚高度：40mm；下柜左右格内空尺寸：340*260*190mm； 上柜共42格，格内空95*95*100mm：上门尺寸：745*350mm,下门尺寸：364*204mm；大容量储存，节省存放空间，管理更方便。适用年龄3-6岁。</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3"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24</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长颈鹿造型40人毛巾架</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82816" behindDoc="0" locked="0" layoutInCell="1" allowOverlap="1">
                  <wp:simplePos x="0" y="0"/>
                  <wp:positionH relativeFrom="column">
                    <wp:posOffset>198755</wp:posOffset>
                  </wp:positionH>
                  <wp:positionV relativeFrom="paragraph">
                    <wp:posOffset>2156460</wp:posOffset>
                  </wp:positionV>
                  <wp:extent cx="579120" cy="539750"/>
                  <wp:effectExtent l="0" t="0" r="11430" b="12700"/>
                  <wp:wrapNone/>
                  <wp:docPr id="74" name="图片_9"/>
                  <wp:cNvGraphicFramePr/>
                  <a:graphic xmlns:a="http://schemas.openxmlformats.org/drawingml/2006/main">
                    <a:graphicData uri="http://schemas.openxmlformats.org/drawingml/2006/picture">
                      <pic:pic xmlns:pic="http://schemas.openxmlformats.org/drawingml/2006/picture">
                        <pic:nvPicPr>
                          <pic:cNvPr id="74" name="图片_9"/>
                          <pic:cNvPicPr/>
                        </pic:nvPicPr>
                        <pic:blipFill>
                          <a:blip r:embed="rId50"/>
                          <a:stretch>
                            <a:fillRect/>
                          </a:stretch>
                        </pic:blipFill>
                        <pic:spPr>
                          <a:xfrm>
                            <a:off x="0" y="0"/>
                            <a:ext cx="57912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规格：L111×W50×H99cm含轮</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1.板材：采用健康环保12mm+18mm实木多层板，实木多层板材质稳定，不易变形，面板拼接、胶合强度、含水率、静曲强度、弹性模量和甲醛释放量符合GB/T9846-2015和GB18580-2017的要求。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4.脚轮：采用TPR静音万向轮，方便移动，脚轮外观要求符合QB/T4765-2014标准要求。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5.油墨：图案图案采用优质环保油墨，使用美工机喷绘，图案更加清晰立体不易褪色，油墨可迁移元素（锑、砷、钡、镉、铬、铅、汞、硒），符合GB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6.产品：轮子高度：53mm；第一层架子高度：600mm；第二层架子高度：990mm；    柜体共40个挂勾，挂勾间距95mm。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9.其它：生动的卡通造型更加搭配课室场景、安全的圆角处理，更放心使用。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25</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环保原木活动床</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83840" behindDoc="0" locked="0" layoutInCell="1" allowOverlap="1">
                  <wp:simplePos x="0" y="0"/>
                  <wp:positionH relativeFrom="column">
                    <wp:posOffset>170180</wp:posOffset>
                  </wp:positionH>
                  <wp:positionV relativeFrom="paragraph">
                    <wp:posOffset>2529840</wp:posOffset>
                  </wp:positionV>
                  <wp:extent cx="723265" cy="327025"/>
                  <wp:effectExtent l="0" t="0" r="635" b="15875"/>
                  <wp:wrapNone/>
                  <wp:docPr id="80" name="图片_10"/>
                  <wp:cNvGraphicFramePr/>
                  <a:graphic xmlns:a="http://schemas.openxmlformats.org/drawingml/2006/main">
                    <a:graphicData uri="http://schemas.openxmlformats.org/drawingml/2006/picture">
                      <pic:pic xmlns:pic="http://schemas.openxmlformats.org/drawingml/2006/picture">
                        <pic:nvPicPr>
                          <pic:cNvPr id="80" name="图片_10"/>
                          <pic:cNvPicPr/>
                        </pic:nvPicPr>
                        <pic:blipFill>
                          <a:blip r:embed="rId51"/>
                          <a:stretch>
                            <a:fillRect/>
                          </a:stretch>
                        </pic:blipFill>
                        <pic:spPr>
                          <a:xfrm>
                            <a:off x="0" y="0"/>
                            <a:ext cx="723265" cy="32702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规格：L140xW60xH17cm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1.板材：采用优质20.5mm厚樟子松框架+芬兰松床板+45x45mm樟子松床脚加工而成，材料环保，性能稳定，坚固稳靠。</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塑料钳合件：床脚下端安装防滑钳合脚钉，床脚上端安装凹槽ABS塑料件，塑料件扇形设计，尺寸46.5*46.5*15.5mm，凹槽孔Ф22mm，当床层叠时候，脚钉钳合在塑料件的凹槽内，使得层叠的活动床更加稳固，不易倾倒，起到安全作用，塑料件原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内空1342x540mm，床板1340*539*(12+12)mm，床板条70mm宽，12mm厚，间隔24mm；床板离地高度12cm（含脚垫12.8c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8.其它：堆叠高度：(17.5+(n-1)x15.8)cm。产品简约环保，节省空间，更方便管理。适用年龄：适用年龄：3岁～6岁。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26</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三层推拉活动床</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798830" cy="511810"/>
                  <wp:effectExtent l="0" t="0" r="1270" b="2540"/>
                  <wp:docPr id="10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0"/>
                          <pic:cNvPicPr>
                            <a:picLocks noChangeAspect="1"/>
                          </pic:cNvPicPr>
                        </pic:nvPicPr>
                        <pic:blipFill>
                          <a:blip r:embed="rId52"/>
                          <a:stretch>
                            <a:fillRect/>
                          </a:stretch>
                        </pic:blipFill>
                        <pic:spPr>
                          <a:xfrm>
                            <a:off x="0" y="0"/>
                            <a:ext cx="798830" cy="511810"/>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规格：L150xW66xH86.5cm（含轮）       </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木材：框架采用18mm环保橡胶木拼板贴桦木纹三聚氰胺纸搭配9mm生态床板而成，板材具有非常好的总体强度性能和耐磨性能，承重能力强、韧性好，保养容易，稳定性高；色泽浅，容易着色、能接受所有类型颜色的染色和涂料，易与别种木材的颜色基调相配合，油漆涂装性能好。</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p>
          <w:p>
            <w:pPr>
              <w:widowControl/>
              <w:jc w:val="left"/>
              <w:textAlignment w:val="center"/>
              <w:rPr>
                <w:rStyle w:val="290"/>
                <w:rFonts w:hint="eastAsia" w:ascii="仿宋" w:hAnsi="仿宋" w:eastAsia="仿宋" w:cs="仿宋"/>
                <w:sz w:val="24"/>
                <w:szCs w:val="24"/>
                <w:lang w:bidi="ar"/>
              </w:rPr>
            </w:pPr>
            <w:r>
              <w:rPr>
                <w:rFonts w:hint="eastAsia" w:ascii="仿宋" w:hAnsi="仿宋" w:eastAsia="仿宋" w:cs="仿宋"/>
                <w:color w:val="000000"/>
                <w:kern w:val="0"/>
                <w:sz w:val="24"/>
                <w:szCs w:val="24"/>
                <w:lang w:bidi="ar"/>
              </w:rPr>
              <w:t>3.五金：采用优质五金，稳固不松动，五金表面经防锈处理，强度高、硬度高、寿命长，符合国家标准规范的要求。4.产品：内空：1342/1242/1142x宽540mm，床板1340/1240/1140*宽539*(12+12)mm 床板条70mm宽，12mm厚，间隔24mm；床板离地高度：18.5/40.5/62.5cm；产品外观要求、理化性能要求、结构安全、有害物质限量（可迁移元素、甲醛释放量等）、</w:t>
            </w:r>
            <w:r>
              <w:rPr>
                <w:rStyle w:val="290"/>
                <w:rFonts w:hint="eastAsia" w:ascii="仿宋" w:hAnsi="仿宋" w:eastAsia="仿宋" w:cs="仿宋"/>
                <w:sz w:val="24"/>
                <w:szCs w:val="24"/>
                <w:lang w:bidi="ar"/>
              </w:rPr>
              <w:t>力学性能、警示标识等符合</w:t>
            </w:r>
            <w:r>
              <w:rPr>
                <w:rStyle w:val="964"/>
                <w:rFonts w:hint="eastAsia" w:ascii="仿宋" w:hAnsi="仿宋" w:eastAsia="仿宋" w:cs="仿宋"/>
                <w:sz w:val="24"/>
                <w:szCs w:val="24"/>
                <w:lang w:bidi="ar"/>
              </w:rPr>
              <w:t>GB28007-2011</w:t>
            </w:r>
            <w:r>
              <w:rPr>
                <w:rStyle w:val="290"/>
                <w:rFonts w:hint="eastAsia" w:ascii="仿宋" w:hAnsi="仿宋" w:eastAsia="仿宋" w:cs="仿宋"/>
                <w:sz w:val="24"/>
                <w:szCs w:val="24"/>
                <w:lang w:bidi="ar"/>
              </w:rPr>
              <w:t>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Style w:val="964"/>
                <w:rFonts w:hint="eastAsia" w:ascii="仿宋" w:hAnsi="仿宋" w:eastAsia="仿宋" w:cs="仿宋"/>
                <w:sz w:val="24"/>
                <w:szCs w:val="24"/>
                <w:lang w:bidi="ar"/>
              </w:rPr>
              <w:br w:type="textWrapping"/>
            </w:r>
            <w:r>
              <w:rPr>
                <w:rFonts w:hint="eastAsia" w:ascii="仿宋" w:hAnsi="仿宋" w:eastAsia="仿宋" w:cs="仿宋"/>
                <w:color w:val="000000"/>
                <w:kern w:val="0"/>
                <w:sz w:val="24"/>
                <w:szCs w:val="24"/>
                <w:lang w:bidi="ar"/>
              </w:rPr>
              <w:t xml:space="preserve">7.其它：3层推拉设计，每层插销固定形式，节省空间更安心。适用年龄：适用年龄：3岁～6岁。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27</w:t>
            </w:r>
          </w:p>
        </w:tc>
        <w:tc>
          <w:tcPr>
            <w:tcW w:w="922" w:type="dxa"/>
            <w:shd w:val="clear" w:color="auto" w:fill="auto"/>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单人</w:t>
            </w:r>
          </w:p>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沙发</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84864" behindDoc="0" locked="0" layoutInCell="1" allowOverlap="1">
                  <wp:simplePos x="0" y="0"/>
                  <wp:positionH relativeFrom="column">
                    <wp:posOffset>262890</wp:posOffset>
                  </wp:positionH>
                  <wp:positionV relativeFrom="paragraph">
                    <wp:posOffset>1092200</wp:posOffset>
                  </wp:positionV>
                  <wp:extent cx="487045" cy="614045"/>
                  <wp:effectExtent l="0" t="0" r="8255" b="14605"/>
                  <wp:wrapNone/>
                  <wp:docPr id="87" name="图片_29"/>
                  <wp:cNvGraphicFramePr/>
                  <a:graphic xmlns:a="http://schemas.openxmlformats.org/drawingml/2006/main">
                    <a:graphicData uri="http://schemas.openxmlformats.org/drawingml/2006/picture">
                      <pic:pic xmlns:pic="http://schemas.openxmlformats.org/drawingml/2006/picture">
                        <pic:nvPicPr>
                          <pic:cNvPr id="87" name="图片_29"/>
                          <pic:cNvPicPr/>
                        </pic:nvPicPr>
                        <pic:blipFill>
                          <a:blip r:embed="rId53"/>
                          <a:stretch>
                            <a:fillRect/>
                          </a:stretch>
                        </pic:blipFill>
                        <pic:spPr>
                          <a:xfrm>
                            <a:off x="0" y="0"/>
                            <a:ext cx="487045" cy="61404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bidi="ar"/>
              </w:rPr>
              <w:t xml:space="preserve">规格：L60xW50xH61cm </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1.框架：采用健康环保实木多层板+实木脚，实木多层板材质稳定，不易变形，面板拼接、胶合强度、含水率、静曲强度、弹性模量和甲醛释放量符合GB/T9846-2015和GB18580-2017的要求。</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2.坐垫：采用优质环保棉麻布制作，填充优质防火海绵，弹力性能好，坐垫甲醛含量、PH值符合GB/T 2912.1-2009、GB/T 7573-2009标准要求，坐垫防火性能好，抗引燃特性的评定为阻燃1级符合GB 17927.1-2011标准要求。</w:t>
            </w:r>
          </w:p>
          <w:p>
            <w:pPr>
              <w:widowControl/>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bidi="ar"/>
              </w:rPr>
              <w:t>3.麻绒布：甲醛含量未检出，PH值≤5.3，染色牢度符合，符合GB 18401-2010的检验标准。</w:t>
            </w:r>
          </w:p>
          <w:p>
            <w:pPr>
              <w:widowControl/>
              <w:jc w:val="left"/>
              <w:textAlignment w:val="center"/>
              <w:rPr>
                <w:rFonts w:hint="eastAsia" w:ascii="仿宋" w:hAnsi="仿宋" w:eastAsia="仿宋" w:cs="仿宋"/>
                <w:color w:val="000000"/>
                <w:sz w:val="24"/>
                <w:szCs w:val="24"/>
              </w:rPr>
            </w:pPr>
            <w:r>
              <w:rPr>
                <w:rStyle w:val="964"/>
                <w:rFonts w:hint="eastAsia" w:ascii="仿宋" w:hAnsi="仿宋" w:eastAsia="仿宋" w:cs="仿宋"/>
                <w:sz w:val="24"/>
                <w:szCs w:val="24"/>
                <w:lang w:bidi="ar"/>
              </w:rPr>
              <w:t>4.甲醛含量≤0.015mg/m2h，TVOC≤0.17mg/m2h，泡沫塑料的表观密度和回弹性能均符合要求，压缩永久变形≤5.9%。</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3.产品：沙发工艺考究，制作精良，徒手揿压坐面和背面，无异常的金属件摩擦或撞击等响声。用料加工以及安全性能符合QB/T 1952.1-2012标准要求；</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 xml:space="preserve">4.其它：设计符合人体工程学，平稳、环保、舒适。适用年龄：3岁～6岁。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28</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双人沙发</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85888" behindDoc="0" locked="0" layoutInCell="1" allowOverlap="1">
                  <wp:simplePos x="0" y="0"/>
                  <wp:positionH relativeFrom="column">
                    <wp:posOffset>173355</wp:posOffset>
                  </wp:positionH>
                  <wp:positionV relativeFrom="paragraph">
                    <wp:posOffset>1160145</wp:posOffset>
                  </wp:positionV>
                  <wp:extent cx="666115" cy="539750"/>
                  <wp:effectExtent l="0" t="0" r="635" b="12700"/>
                  <wp:wrapNone/>
                  <wp:docPr id="67" name="图片_30"/>
                  <wp:cNvGraphicFramePr/>
                  <a:graphic xmlns:a="http://schemas.openxmlformats.org/drawingml/2006/main">
                    <a:graphicData uri="http://schemas.openxmlformats.org/drawingml/2006/picture">
                      <pic:pic xmlns:pic="http://schemas.openxmlformats.org/drawingml/2006/picture">
                        <pic:nvPicPr>
                          <pic:cNvPr id="67" name="图片_30"/>
                          <pic:cNvPicPr/>
                        </pic:nvPicPr>
                        <pic:blipFill>
                          <a:blip r:embed="rId54"/>
                          <a:stretch>
                            <a:fillRect/>
                          </a:stretch>
                        </pic:blipFill>
                        <pic:spPr>
                          <a:xfrm>
                            <a:off x="0" y="0"/>
                            <a:ext cx="66611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bidi="ar"/>
              </w:rPr>
              <w:t>规格：L97xW50xH61cm</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1.框架：采用健康环保实木多层板+实木脚，实木多层板材质稳定，不易变形，面板拼接、胶合强度、含水率、静曲强度、弹性模量和甲醛释放量符合GB/T9846-2015和GB18580-2017的要求。</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2.坐垫：采用优质环保棉麻布制作，填充优质防火海绵，弹力性能好，坐垫甲醛含量、PH值符合GB/T 2912.1-2009、GB/T 7573-2009标准要求，坐垫防火性能好，抗引燃特性的评定为阻燃1级符合GB 17927.1-2011标准要求。</w:t>
            </w:r>
          </w:p>
          <w:p>
            <w:pPr>
              <w:widowControl/>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bidi="ar"/>
              </w:rPr>
              <w:t>3.麻绒布：甲醛含量未检出，PH值≤5.3，染色牢度符合，符合GB 18401-2010的检验标准。</w:t>
            </w:r>
          </w:p>
          <w:p>
            <w:pPr>
              <w:widowControl/>
              <w:jc w:val="left"/>
              <w:textAlignment w:val="center"/>
              <w:rPr>
                <w:rFonts w:hint="eastAsia" w:ascii="仿宋" w:hAnsi="仿宋" w:eastAsia="仿宋" w:cs="仿宋"/>
                <w:color w:val="000000"/>
                <w:sz w:val="24"/>
                <w:szCs w:val="24"/>
              </w:rPr>
            </w:pPr>
            <w:r>
              <w:rPr>
                <w:rStyle w:val="964"/>
                <w:rFonts w:hint="eastAsia" w:ascii="仿宋" w:hAnsi="仿宋" w:eastAsia="仿宋" w:cs="仿宋"/>
                <w:sz w:val="24"/>
                <w:szCs w:val="24"/>
                <w:lang w:bidi="ar"/>
              </w:rPr>
              <w:t>4.甲醛含量≤0.015mg/m2h，TVOC≤0.17mg/m2h，泡沫塑料的表观密度和回弹性能均符合要求，压缩永久变形≤5.9%。</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5.产品：双人沙发采用环保优质软包件，成品纺织面料颜色干摩擦牢度、湿摩擦牢度性能，PH值、游离甲醛，可分解芳香胺均满足GB28007-2011标准要求。</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 xml:space="preserve">6.其它：设计符合人体工程学，平稳、环保、舒适。适用年龄：3岁～6岁。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29</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帐篷</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86912" behindDoc="0" locked="0" layoutInCell="1" allowOverlap="1">
                  <wp:simplePos x="0" y="0"/>
                  <wp:positionH relativeFrom="column">
                    <wp:posOffset>95250</wp:posOffset>
                  </wp:positionH>
                  <wp:positionV relativeFrom="paragraph">
                    <wp:posOffset>57150</wp:posOffset>
                  </wp:positionV>
                  <wp:extent cx="689610" cy="636270"/>
                  <wp:effectExtent l="0" t="0" r="15240" b="11430"/>
                  <wp:wrapNone/>
                  <wp:docPr id="88" name="图片_31"/>
                  <wp:cNvGraphicFramePr/>
                  <a:graphic xmlns:a="http://schemas.openxmlformats.org/drawingml/2006/main">
                    <a:graphicData uri="http://schemas.openxmlformats.org/drawingml/2006/picture">
                      <pic:pic xmlns:pic="http://schemas.openxmlformats.org/drawingml/2006/picture">
                        <pic:nvPicPr>
                          <pic:cNvPr id="88" name="图片_31"/>
                          <pic:cNvPicPr/>
                        </pic:nvPicPr>
                        <pic:blipFill>
                          <a:blip r:embed="rId55"/>
                          <a:stretch>
                            <a:fillRect/>
                          </a:stretch>
                        </pic:blipFill>
                        <pic:spPr>
                          <a:xfrm>
                            <a:off x="0" y="0"/>
                            <a:ext cx="689610" cy="63627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规格：100-120*165cm,1.板材：采用健康环保的实木，硬度强，不易折弯。</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w:t>
            </w:r>
            <w:r>
              <w:rPr>
                <w:rStyle w:val="964"/>
                <w:rFonts w:hint="eastAsia" w:ascii="仿宋" w:hAnsi="仿宋" w:eastAsia="仿宋" w:cs="仿宋"/>
                <w:sz w:val="24"/>
                <w:szCs w:val="24"/>
                <w:lang w:bidi="ar"/>
              </w:rPr>
              <w:t xml:space="preserve"> 麻绒布：甲醛含量未检出，PH值≤5.3，染色牢度符合，符合GB 18401-2010的检验标准</w:t>
            </w:r>
            <w:r>
              <w:rPr>
                <w:rFonts w:hint="eastAsia" w:ascii="仿宋" w:hAnsi="仿宋" w:eastAsia="仿宋" w:cs="仿宋"/>
                <w:color w:val="000000"/>
                <w:kern w:val="0"/>
                <w:sz w:val="24"/>
                <w:szCs w:val="24"/>
                <w:lang w:bidi="ar"/>
              </w:rPr>
              <w:t>，坐垫软硬适中，不易拉扯破损，抗污迹，易清洁。</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93" w:type="dxa"/>
            <w:shd w:val="clear" w:color="auto" w:fill="auto"/>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30</w:t>
            </w:r>
          </w:p>
        </w:tc>
        <w:tc>
          <w:tcPr>
            <w:tcW w:w="92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长颈鹿造型（大）</w:t>
            </w:r>
          </w:p>
        </w:tc>
        <w:tc>
          <w:tcPr>
            <w:tcW w:w="1784" w:type="dxa"/>
            <w:vMerge w:val="restart"/>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bdr w:val="single" w:color="000000" w:sz="4" w:space="0"/>
                <w:lang w:bidi="ar"/>
              </w:rPr>
              <w:drawing>
                <wp:anchor distT="0" distB="0" distL="114300" distR="114300" simplePos="0" relativeHeight="251687936" behindDoc="0" locked="0" layoutInCell="1" allowOverlap="1">
                  <wp:simplePos x="0" y="0"/>
                  <wp:positionH relativeFrom="column">
                    <wp:posOffset>140970</wp:posOffset>
                  </wp:positionH>
                  <wp:positionV relativeFrom="paragraph">
                    <wp:posOffset>143510</wp:posOffset>
                  </wp:positionV>
                  <wp:extent cx="755650" cy="843280"/>
                  <wp:effectExtent l="0" t="0" r="6350" b="13970"/>
                  <wp:wrapNone/>
                  <wp:docPr id="81" name="图片_26"/>
                  <wp:cNvGraphicFramePr/>
                  <a:graphic xmlns:a="http://schemas.openxmlformats.org/drawingml/2006/main">
                    <a:graphicData uri="http://schemas.openxmlformats.org/drawingml/2006/picture">
                      <pic:pic xmlns:pic="http://schemas.openxmlformats.org/drawingml/2006/picture">
                        <pic:nvPicPr>
                          <pic:cNvPr id="81" name="图片_26"/>
                          <pic:cNvPicPr/>
                        </pic:nvPicPr>
                        <pic:blipFill>
                          <a:blip r:embed="rId56"/>
                          <a:stretch>
                            <a:fillRect/>
                          </a:stretch>
                        </pic:blipFill>
                        <pic:spPr>
                          <a:xfrm>
                            <a:off x="0" y="0"/>
                            <a:ext cx="755650" cy="84328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Style w:val="970"/>
                <w:rFonts w:hint="eastAsia" w:ascii="仿宋" w:hAnsi="仿宋" w:eastAsia="仿宋" w:cs="仿宋"/>
                <w:color w:val="auto"/>
                <w:sz w:val="24"/>
                <w:szCs w:val="24"/>
                <w:lang w:bidi="ar"/>
              </w:rPr>
            </w:pPr>
            <w:r>
              <w:rPr>
                <w:rStyle w:val="969"/>
                <w:rFonts w:hint="eastAsia" w:ascii="仿宋" w:hAnsi="仿宋" w:eastAsia="仿宋" w:cs="仿宋"/>
                <w:color w:val="auto"/>
                <w:sz w:val="24"/>
                <w:szCs w:val="24"/>
                <w:lang w:bidi="ar"/>
              </w:rPr>
              <w:t>规格：</w:t>
            </w:r>
            <w:r>
              <w:rPr>
                <w:rStyle w:val="970"/>
                <w:rFonts w:hint="eastAsia" w:ascii="仿宋" w:hAnsi="仿宋" w:eastAsia="仿宋" w:cs="仿宋"/>
                <w:color w:val="auto"/>
                <w:sz w:val="24"/>
                <w:szCs w:val="24"/>
                <w:lang w:bidi="ar"/>
              </w:rPr>
              <w:t>2800*1280*660</w:t>
            </w:r>
          </w:p>
          <w:p>
            <w:pPr>
              <w:widowControl/>
              <w:numPr>
                <w:ilvl w:val="0"/>
                <w:numId w:val="0"/>
              </w:numPr>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val="en-US" w:eastAsia="zh-CN" w:bidi="ar"/>
              </w:rPr>
              <w:t>1.</w:t>
            </w:r>
            <w:r>
              <w:rPr>
                <w:rStyle w:val="964"/>
                <w:rFonts w:hint="eastAsia" w:ascii="仿宋" w:hAnsi="仿宋" w:eastAsia="仿宋" w:cs="仿宋"/>
                <w:sz w:val="24"/>
                <w:szCs w:val="24"/>
                <w:lang w:bidi="ar"/>
              </w:rPr>
              <w:t>框架：采用健康环保实木多层板，实木多层板材质稳定，不易变形，面板拼接、胶合强度、含水率、静曲强度、弹性模量和甲醛释放量符合GB/T9846-2015和GB18580-2017的要求。</w:t>
            </w:r>
          </w:p>
          <w:p>
            <w:pPr>
              <w:widowControl/>
              <w:numPr>
                <w:ilvl w:val="0"/>
                <w:numId w:val="0"/>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p>
        </w:tc>
        <w:tc>
          <w:tcPr>
            <w:tcW w:w="73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93" w:type="dxa"/>
            <w:shd w:val="clear" w:color="auto" w:fill="auto"/>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31</w:t>
            </w:r>
          </w:p>
        </w:tc>
        <w:tc>
          <w:tcPr>
            <w:tcW w:w="92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长颈鹿造型（小）</w:t>
            </w:r>
          </w:p>
        </w:tc>
        <w:tc>
          <w:tcPr>
            <w:tcW w:w="1784" w:type="dxa"/>
            <w:vMerge w:val="continue"/>
            <w:shd w:val="clear" w:color="auto" w:fill="auto"/>
            <w:vAlign w:val="center"/>
          </w:tcPr>
          <w:p>
            <w:pPr>
              <w:jc w:val="center"/>
              <w:rPr>
                <w:rFonts w:hint="eastAsia" w:ascii="仿宋" w:hAnsi="仿宋" w:eastAsia="仿宋" w:cs="仿宋"/>
                <w:sz w:val="24"/>
                <w:szCs w:val="24"/>
              </w:rPr>
            </w:pPr>
          </w:p>
        </w:tc>
        <w:tc>
          <w:tcPr>
            <w:tcW w:w="4998" w:type="dxa"/>
            <w:shd w:val="clear" w:color="auto" w:fill="auto"/>
            <w:vAlign w:val="center"/>
          </w:tcPr>
          <w:p>
            <w:pPr>
              <w:widowControl/>
              <w:numPr>
                <w:ilvl w:val="0"/>
                <w:numId w:val="0"/>
              </w:numPr>
              <w:jc w:val="left"/>
              <w:textAlignment w:val="center"/>
              <w:rPr>
                <w:rStyle w:val="970"/>
                <w:rFonts w:hint="eastAsia" w:ascii="仿宋" w:hAnsi="仿宋" w:eastAsia="仿宋" w:cs="仿宋"/>
                <w:color w:val="auto"/>
                <w:sz w:val="24"/>
                <w:szCs w:val="24"/>
                <w:lang w:bidi="ar"/>
              </w:rPr>
            </w:pPr>
            <w:r>
              <w:rPr>
                <w:rStyle w:val="969"/>
                <w:rFonts w:hint="eastAsia" w:ascii="仿宋" w:hAnsi="仿宋" w:eastAsia="仿宋" w:cs="仿宋"/>
                <w:color w:val="auto"/>
                <w:sz w:val="24"/>
                <w:szCs w:val="24"/>
                <w:lang w:bidi="ar"/>
              </w:rPr>
              <w:t>规格：</w:t>
            </w:r>
            <w:r>
              <w:rPr>
                <w:rStyle w:val="970"/>
                <w:rFonts w:hint="eastAsia" w:ascii="仿宋" w:hAnsi="仿宋" w:eastAsia="仿宋" w:cs="仿宋"/>
                <w:color w:val="auto"/>
                <w:sz w:val="24"/>
                <w:szCs w:val="24"/>
                <w:lang w:bidi="ar"/>
              </w:rPr>
              <w:t>1820*100*450</w:t>
            </w:r>
          </w:p>
          <w:p>
            <w:pPr>
              <w:widowControl/>
              <w:numPr>
                <w:ilvl w:val="0"/>
                <w:numId w:val="0"/>
              </w:numPr>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val="en-US" w:eastAsia="zh-CN" w:bidi="ar"/>
              </w:rPr>
              <w:t>1.</w:t>
            </w:r>
            <w:r>
              <w:rPr>
                <w:rStyle w:val="964"/>
                <w:rFonts w:hint="eastAsia" w:ascii="仿宋" w:hAnsi="仿宋" w:eastAsia="仿宋" w:cs="仿宋"/>
                <w:sz w:val="24"/>
                <w:szCs w:val="24"/>
                <w:lang w:bidi="ar"/>
              </w:rPr>
              <w:t>框架：采用健康环保实木多层板，实木多层板材质稳定，不易变形，面板拼接、胶合强度、含水率、静曲强度、弹性模量和甲醛释放量符合GB/T9846-2015和GB18580-2017的要求。</w:t>
            </w:r>
          </w:p>
          <w:p>
            <w:pPr>
              <w:widowControl/>
              <w:numPr>
                <w:ilvl w:val="0"/>
                <w:numId w:val="0"/>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p>
          <w:p>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p>
        </w:tc>
        <w:tc>
          <w:tcPr>
            <w:tcW w:w="73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93" w:type="dxa"/>
            <w:shd w:val="clear" w:color="auto" w:fill="auto"/>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32</w:t>
            </w:r>
          </w:p>
        </w:tc>
        <w:tc>
          <w:tcPr>
            <w:tcW w:w="92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长颈鹿地台滑梯</w:t>
            </w:r>
          </w:p>
        </w:tc>
        <w:tc>
          <w:tcPr>
            <w:tcW w:w="1784" w:type="dxa"/>
            <w:vMerge w:val="continue"/>
            <w:shd w:val="clear" w:color="auto" w:fill="auto"/>
            <w:vAlign w:val="center"/>
          </w:tcPr>
          <w:p>
            <w:pPr>
              <w:jc w:val="center"/>
              <w:rPr>
                <w:rFonts w:hint="eastAsia" w:ascii="仿宋" w:hAnsi="仿宋" w:eastAsia="仿宋" w:cs="仿宋"/>
                <w:sz w:val="24"/>
                <w:szCs w:val="24"/>
              </w:rPr>
            </w:pPr>
          </w:p>
        </w:tc>
        <w:tc>
          <w:tcPr>
            <w:tcW w:w="4998" w:type="dxa"/>
            <w:shd w:val="clear" w:color="auto" w:fill="auto"/>
            <w:vAlign w:val="center"/>
          </w:tcPr>
          <w:p>
            <w:pPr>
              <w:widowControl/>
              <w:numPr>
                <w:ilvl w:val="0"/>
                <w:numId w:val="0"/>
              </w:numPr>
              <w:jc w:val="left"/>
              <w:textAlignment w:val="center"/>
              <w:rPr>
                <w:rStyle w:val="970"/>
                <w:rFonts w:hint="eastAsia" w:ascii="仿宋" w:hAnsi="仿宋" w:eastAsia="仿宋" w:cs="仿宋"/>
                <w:color w:val="auto"/>
                <w:sz w:val="24"/>
                <w:szCs w:val="24"/>
                <w:lang w:val="en-US" w:eastAsia="zh-CN" w:bidi="ar"/>
              </w:rPr>
            </w:pPr>
            <w:r>
              <w:rPr>
                <w:rStyle w:val="969"/>
                <w:rFonts w:hint="eastAsia" w:ascii="仿宋" w:hAnsi="仿宋" w:eastAsia="仿宋" w:cs="仿宋"/>
                <w:color w:val="auto"/>
                <w:sz w:val="24"/>
                <w:szCs w:val="24"/>
                <w:lang w:bidi="ar"/>
              </w:rPr>
              <w:t>规格：</w:t>
            </w:r>
            <w:r>
              <w:rPr>
                <w:rStyle w:val="970"/>
                <w:rFonts w:hint="eastAsia" w:ascii="仿宋" w:hAnsi="仿宋" w:eastAsia="仿宋" w:cs="仿宋"/>
                <w:color w:val="auto"/>
                <w:sz w:val="24"/>
                <w:szCs w:val="24"/>
                <w:lang w:bidi="ar"/>
              </w:rPr>
              <w:t>2000*2400*400</w:t>
            </w:r>
            <w:r>
              <w:rPr>
                <w:rStyle w:val="970"/>
                <w:rFonts w:hint="eastAsia" w:ascii="仿宋" w:hAnsi="仿宋" w:eastAsia="仿宋" w:cs="仿宋"/>
                <w:color w:val="auto"/>
                <w:sz w:val="24"/>
                <w:szCs w:val="24"/>
                <w:lang w:val="en-US" w:eastAsia="zh-CN" w:bidi="ar"/>
              </w:rPr>
              <w:t xml:space="preserve"> </w:t>
            </w:r>
          </w:p>
          <w:p>
            <w:pPr>
              <w:widowControl/>
              <w:numPr>
                <w:ilvl w:val="0"/>
                <w:numId w:val="0"/>
              </w:numPr>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val="en-US" w:eastAsia="zh-CN" w:bidi="ar"/>
              </w:rPr>
              <w:t>1.</w:t>
            </w:r>
            <w:r>
              <w:rPr>
                <w:rStyle w:val="964"/>
                <w:rFonts w:hint="eastAsia" w:ascii="仿宋" w:hAnsi="仿宋" w:eastAsia="仿宋" w:cs="仿宋"/>
                <w:sz w:val="24"/>
                <w:szCs w:val="24"/>
                <w:lang w:bidi="ar"/>
              </w:rPr>
              <w:t>框架：采用健康环保实木多层板，实木多层板材质稳定，不易变形，面板拼接、胶合强度、含水率、静曲强度、弹性模量和甲醛释放量符合GB/T9846-2015和GB18580-2017的要求。</w:t>
            </w:r>
          </w:p>
          <w:p>
            <w:pPr>
              <w:widowControl/>
              <w:numPr>
                <w:ilvl w:val="0"/>
                <w:numId w:val="0"/>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p>
          <w:p>
            <w:pPr>
              <w:widowControl/>
              <w:jc w:val="left"/>
              <w:textAlignment w:val="center"/>
              <w:rPr>
                <w:rFonts w:hint="eastAsia" w:ascii="仿宋" w:hAnsi="仿宋" w:eastAsia="仿宋" w:cs="仿宋"/>
                <w:sz w:val="24"/>
                <w:szCs w:val="24"/>
                <w:lang w:val="en-US" w:eastAsia="zh-CN"/>
              </w:rPr>
            </w:pP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p>
        </w:tc>
        <w:tc>
          <w:tcPr>
            <w:tcW w:w="73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组</w:t>
            </w:r>
          </w:p>
        </w:tc>
        <w:tc>
          <w:tcPr>
            <w:tcW w:w="671"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793" w:type="dxa"/>
            <w:shd w:val="clear" w:color="auto" w:fill="auto"/>
            <w:noWrap/>
            <w:vAlign w:val="center"/>
          </w:tcPr>
          <w:p>
            <w:pPr>
              <w:widowControl/>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33</w:t>
            </w:r>
          </w:p>
        </w:tc>
        <w:tc>
          <w:tcPr>
            <w:tcW w:w="922" w:type="dxa"/>
            <w:shd w:val="clear" w:color="auto" w:fill="auto"/>
            <w:vAlign w:val="center"/>
          </w:tcPr>
          <w:p>
            <w:pPr>
              <w:widowControl/>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门厅主题墙</w:t>
            </w:r>
          </w:p>
        </w:tc>
        <w:tc>
          <w:tcPr>
            <w:tcW w:w="1784" w:type="dxa"/>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bdr w:val="single" w:color="000000" w:sz="4" w:space="0"/>
                <w:lang w:bidi="ar"/>
              </w:rPr>
              <w:drawing>
                <wp:anchor distT="0" distB="0" distL="114300" distR="114300" simplePos="0" relativeHeight="251688960" behindDoc="0" locked="0" layoutInCell="1" allowOverlap="1">
                  <wp:simplePos x="0" y="0"/>
                  <wp:positionH relativeFrom="column">
                    <wp:posOffset>116205</wp:posOffset>
                  </wp:positionH>
                  <wp:positionV relativeFrom="paragraph">
                    <wp:posOffset>902970</wp:posOffset>
                  </wp:positionV>
                  <wp:extent cx="797560" cy="608330"/>
                  <wp:effectExtent l="0" t="0" r="2540" b="1270"/>
                  <wp:wrapNone/>
                  <wp:docPr id="84" name="图片_27"/>
                  <wp:cNvGraphicFramePr/>
                  <a:graphic xmlns:a="http://schemas.openxmlformats.org/drawingml/2006/main">
                    <a:graphicData uri="http://schemas.openxmlformats.org/drawingml/2006/picture">
                      <pic:pic xmlns:pic="http://schemas.openxmlformats.org/drawingml/2006/picture">
                        <pic:nvPicPr>
                          <pic:cNvPr id="84" name="图片_27"/>
                          <pic:cNvPicPr/>
                        </pic:nvPicPr>
                        <pic:blipFill>
                          <a:blip r:embed="rId57"/>
                          <a:stretch>
                            <a:fillRect/>
                          </a:stretch>
                        </pic:blipFill>
                        <pic:spPr>
                          <a:xfrm>
                            <a:off x="0" y="0"/>
                            <a:ext cx="797560" cy="608330"/>
                          </a:xfrm>
                          <a:prstGeom prst="rect">
                            <a:avLst/>
                          </a:prstGeom>
                          <a:noFill/>
                          <a:ln>
                            <a:noFill/>
                          </a:ln>
                        </pic:spPr>
                      </pic:pic>
                    </a:graphicData>
                  </a:graphic>
                </wp:anchor>
              </w:drawing>
            </w:r>
          </w:p>
        </w:tc>
        <w:tc>
          <w:tcPr>
            <w:tcW w:w="4998" w:type="dxa"/>
            <w:shd w:val="clear" w:color="auto" w:fill="auto"/>
            <w:vAlign w:val="center"/>
          </w:tcPr>
          <w:p>
            <w:pPr>
              <w:widowControl/>
              <w:numPr>
                <w:ilvl w:val="0"/>
                <w:numId w:val="0"/>
              </w:numPr>
              <w:jc w:val="left"/>
              <w:textAlignment w:val="center"/>
              <w:rPr>
                <w:rFonts w:hint="eastAsia" w:ascii="仿宋" w:hAnsi="仿宋" w:eastAsia="仿宋" w:cs="仿宋"/>
                <w:color w:val="000000"/>
                <w:kern w:val="0"/>
                <w:sz w:val="24"/>
              </w:rPr>
            </w:pPr>
            <w:r>
              <w:rPr>
                <w:rStyle w:val="969"/>
                <w:rFonts w:hint="eastAsia" w:ascii="仿宋" w:hAnsi="仿宋" w:eastAsia="仿宋" w:cs="仿宋"/>
                <w:color w:val="auto"/>
                <w:sz w:val="24"/>
                <w:szCs w:val="24"/>
                <w:lang w:bidi="ar"/>
              </w:rPr>
              <w:t>规格：</w:t>
            </w:r>
            <w:r>
              <w:rPr>
                <w:rStyle w:val="970"/>
                <w:rFonts w:hint="eastAsia" w:ascii="仿宋" w:hAnsi="仿宋" w:eastAsia="仿宋" w:cs="仿宋"/>
                <w:color w:val="auto"/>
                <w:sz w:val="24"/>
                <w:szCs w:val="24"/>
                <w:lang w:val="en-US" w:eastAsia="zh-CN" w:bidi="ar"/>
              </w:rPr>
              <w:t>35</w:t>
            </w:r>
            <w:r>
              <w:rPr>
                <w:rStyle w:val="970"/>
                <w:rFonts w:hint="eastAsia" w:ascii="仿宋" w:hAnsi="仿宋" w:eastAsia="仿宋" w:cs="仿宋"/>
                <w:color w:val="auto"/>
                <w:sz w:val="24"/>
                <w:szCs w:val="24"/>
                <w:lang w:bidi="ar"/>
              </w:rPr>
              <w:t>00*</w:t>
            </w:r>
            <w:r>
              <w:rPr>
                <w:rStyle w:val="970"/>
                <w:rFonts w:hint="eastAsia" w:ascii="仿宋" w:hAnsi="仿宋" w:eastAsia="仿宋" w:cs="仿宋"/>
                <w:color w:val="auto"/>
                <w:sz w:val="24"/>
                <w:szCs w:val="24"/>
                <w:lang w:val="en-US" w:eastAsia="zh-CN" w:bidi="ar"/>
              </w:rPr>
              <w:t>20</w:t>
            </w:r>
            <w:r>
              <w:rPr>
                <w:rStyle w:val="970"/>
                <w:rFonts w:hint="eastAsia" w:ascii="仿宋" w:hAnsi="仿宋" w:eastAsia="仿宋" w:cs="仿宋"/>
                <w:color w:val="auto"/>
                <w:sz w:val="24"/>
                <w:szCs w:val="24"/>
                <w:lang w:bidi="ar"/>
              </w:rPr>
              <w:t>00*</w:t>
            </w:r>
            <w:r>
              <w:rPr>
                <w:rStyle w:val="970"/>
                <w:rFonts w:hint="eastAsia" w:ascii="仿宋" w:hAnsi="仿宋" w:eastAsia="仿宋" w:cs="仿宋"/>
                <w:color w:val="auto"/>
                <w:sz w:val="24"/>
                <w:szCs w:val="24"/>
                <w:lang w:val="en-US" w:eastAsia="zh-CN" w:bidi="ar"/>
              </w:rPr>
              <w:t>4</w:t>
            </w:r>
            <w:r>
              <w:rPr>
                <w:rStyle w:val="970"/>
                <w:rFonts w:hint="eastAsia" w:ascii="仿宋" w:hAnsi="仿宋" w:eastAsia="仿宋" w:cs="仿宋"/>
                <w:color w:val="auto"/>
                <w:sz w:val="24"/>
                <w:szCs w:val="24"/>
                <w:lang w:bidi="ar"/>
              </w:rPr>
              <w:t>0</w:t>
            </w:r>
            <w:r>
              <w:rPr>
                <w:rStyle w:val="970"/>
                <w:rFonts w:hint="eastAsia" w:ascii="仿宋" w:hAnsi="仿宋" w:eastAsia="仿宋" w:cs="仿宋"/>
                <w:color w:val="auto"/>
                <w:sz w:val="24"/>
                <w:szCs w:val="24"/>
                <w:lang w:val="en-US" w:eastAsia="zh-CN" w:bidi="ar"/>
              </w:rPr>
              <w:t xml:space="preserve"> </w:t>
            </w:r>
          </w:p>
          <w:p>
            <w:pPr>
              <w:widowControl/>
              <w:numPr>
                <w:ilvl w:val="0"/>
                <w:numId w:val="0"/>
              </w:numPr>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val="en-US" w:eastAsia="zh-CN" w:bidi="ar"/>
              </w:rPr>
              <w:t>1.</w:t>
            </w:r>
            <w:r>
              <w:rPr>
                <w:rStyle w:val="964"/>
                <w:rFonts w:hint="eastAsia" w:ascii="仿宋" w:hAnsi="仿宋" w:eastAsia="仿宋" w:cs="仿宋"/>
                <w:sz w:val="24"/>
                <w:szCs w:val="24"/>
                <w:lang w:bidi="ar"/>
              </w:rPr>
              <w:t>框架：采用健康环保实</w:t>
            </w:r>
            <w:r>
              <w:rPr>
                <w:rStyle w:val="964"/>
                <w:rFonts w:hint="eastAsia" w:ascii="仿宋" w:hAnsi="仿宋" w:eastAsia="仿宋" w:cs="仿宋"/>
                <w:sz w:val="24"/>
                <w:szCs w:val="24"/>
                <w:lang w:val="en-US" w:eastAsia="zh-CN" w:bidi="ar"/>
              </w:rPr>
              <w:t>中纤维密度</w:t>
            </w:r>
            <w:r>
              <w:rPr>
                <w:rStyle w:val="964"/>
                <w:rFonts w:hint="eastAsia" w:ascii="仿宋" w:hAnsi="仿宋" w:eastAsia="仿宋" w:cs="仿宋"/>
                <w:sz w:val="24"/>
                <w:szCs w:val="24"/>
                <w:lang w:bidi="ar"/>
              </w:rPr>
              <w:t>板，材质稳定，不易变形，面板拼接、胶合强度、含水率、静曲强度、弹性模量和甲醛释放量符合GB/T9846-2015和GB18580-2017的要求。</w:t>
            </w:r>
          </w:p>
          <w:p>
            <w:pPr>
              <w:widowControl/>
              <w:numPr>
                <w:ilvl w:val="0"/>
                <w:numId w:val="0"/>
              </w:numPr>
              <w:jc w:val="left"/>
              <w:textAlignment w:val="center"/>
              <w:rPr>
                <w:rStyle w:val="970"/>
                <w:rFonts w:hint="eastAsia" w:ascii="仿宋" w:hAnsi="仿宋" w:eastAsia="仿宋" w:cs="仿宋"/>
                <w:color w:val="auto"/>
                <w:sz w:val="24"/>
                <w:szCs w:val="24"/>
                <w:lang w:val="en-US" w:eastAsia="zh-CN" w:bidi="ar"/>
              </w:rPr>
            </w:pPr>
            <w:r>
              <w:rPr>
                <w:rFonts w:hint="eastAsia" w:ascii="仿宋" w:hAnsi="仿宋" w:eastAsia="仿宋" w:cs="仿宋"/>
                <w:color w:val="000000"/>
                <w:kern w:val="0"/>
                <w:sz w:val="24"/>
                <w:szCs w:val="24"/>
                <w:lang w:bidi="ar"/>
              </w:rPr>
              <w:t>采用环保水性</w:t>
            </w:r>
            <w:r>
              <w:rPr>
                <w:rFonts w:hint="eastAsia" w:ascii="仿宋" w:hAnsi="仿宋" w:eastAsia="仿宋" w:cs="仿宋"/>
                <w:color w:val="000000"/>
                <w:kern w:val="0"/>
                <w:sz w:val="24"/>
                <w:szCs w:val="24"/>
                <w:lang w:val="en-US" w:eastAsia="zh-CN" w:bidi="ar"/>
              </w:rPr>
              <w:t>油漆</w:t>
            </w:r>
            <w:r>
              <w:rPr>
                <w:rFonts w:hint="eastAsia" w:ascii="仿宋" w:hAnsi="仿宋" w:eastAsia="仿宋" w:cs="仿宋"/>
                <w:color w:val="000000"/>
                <w:kern w:val="0"/>
                <w:sz w:val="24"/>
                <w:szCs w:val="24"/>
                <w:lang w:bidi="ar"/>
              </w:rPr>
              <w:t>进行</w:t>
            </w:r>
            <w:r>
              <w:rPr>
                <w:rFonts w:hint="eastAsia" w:ascii="仿宋" w:hAnsi="仿宋" w:eastAsia="仿宋" w:cs="仿宋"/>
                <w:color w:val="000000"/>
                <w:kern w:val="0"/>
                <w:sz w:val="24"/>
                <w:szCs w:val="24"/>
                <w:lang w:val="en-US" w:eastAsia="zh-CN" w:bidi="ar"/>
              </w:rPr>
              <w:t>喷涂</w:t>
            </w:r>
            <w:r>
              <w:rPr>
                <w:rFonts w:hint="eastAsia" w:ascii="仿宋" w:hAnsi="仿宋" w:eastAsia="仿宋" w:cs="仿宋"/>
                <w:color w:val="000000"/>
                <w:kern w:val="0"/>
                <w:sz w:val="24"/>
                <w:szCs w:val="24"/>
                <w:lang w:bidi="ar"/>
              </w:rPr>
              <w:t>，更好的耐候性、附着力，耐紫外线，绿色环保，通过高强力渗透进入木材内部，与木材有机地结合，形成网状组织既有效地阻止水分进入，从而有效地控制木材开裂，延长木材使用寿命，又能突显木材的天然纹理美感。</w:t>
            </w:r>
            <w:r>
              <w:rPr>
                <w:rStyle w:val="970"/>
                <w:rFonts w:hint="eastAsia" w:ascii="仿宋" w:hAnsi="仿宋" w:eastAsia="仿宋" w:cs="仿宋"/>
                <w:color w:val="auto"/>
                <w:sz w:val="24"/>
                <w:szCs w:val="24"/>
                <w:lang w:val="en-US" w:eastAsia="zh-CN" w:bidi="ar"/>
              </w:rPr>
              <w:t xml:space="preserve"> </w:t>
            </w:r>
          </w:p>
          <w:p>
            <w:pPr>
              <w:widowControl/>
              <w:numPr>
                <w:ilvl w:val="0"/>
                <w:numId w:val="0"/>
              </w:numPr>
              <w:jc w:val="left"/>
              <w:textAlignment w:val="center"/>
              <w:rPr>
                <w:rFonts w:hint="eastAsia" w:ascii="仿宋" w:hAnsi="仿宋" w:eastAsia="仿宋" w:cs="仿宋"/>
                <w:sz w:val="24"/>
                <w:szCs w:val="24"/>
                <w:lang w:eastAsia="zh-CN"/>
              </w:rPr>
            </w:pPr>
            <w:r>
              <w:rPr>
                <w:rStyle w:val="970"/>
                <w:rFonts w:hint="eastAsia" w:ascii="仿宋" w:hAnsi="仿宋" w:eastAsia="仿宋" w:cs="仿宋"/>
                <w:color w:val="auto"/>
                <w:sz w:val="24"/>
                <w:szCs w:val="24"/>
                <w:lang w:val="en-US" w:eastAsia="zh-CN" w:bidi="ar"/>
              </w:rPr>
              <w:t>2.</w:t>
            </w:r>
            <w:r>
              <w:rPr>
                <w:rFonts w:hint="eastAsia" w:ascii="仿宋" w:hAnsi="仿宋" w:eastAsia="仿宋" w:cs="仿宋"/>
                <w:color w:val="000000"/>
                <w:kern w:val="0"/>
                <w:sz w:val="24"/>
              </w:rPr>
              <w:t>雪弗板底板</w:t>
            </w:r>
            <w:r>
              <w:rPr>
                <w:rFonts w:hint="eastAsia" w:ascii="仿宋" w:hAnsi="仿宋" w:eastAsia="仿宋" w:cs="仿宋"/>
                <w:color w:val="000000"/>
                <w:kern w:val="0"/>
                <w:sz w:val="24"/>
                <w:lang w:val="en-US" w:eastAsia="zh-CN"/>
              </w:rPr>
              <w:t>配</w:t>
            </w:r>
            <w:r>
              <w:rPr>
                <w:rFonts w:hint="eastAsia" w:ascii="仿宋" w:hAnsi="仿宋" w:eastAsia="仿宋" w:cs="仿宋"/>
                <w:color w:val="000000"/>
                <w:kern w:val="0"/>
                <w:sz w:val="24"/>
              </w:rPr>
              <w:t>3mm亚克力雕刻烤漆，图文丝网印刷</w:t>
            </w:r>
            <w:r>
              <w:rPr>
                <w:rFonts w:hint="eastAsia" w:ascii="仿宋" w:hAnsi="仿宋" w:eastAsia="仿宋" w:cs="仿宋"/>
                <w:color w:val="000000"/>
                <w:kern w:val="0"/>
                <w:sz w:val="24"/>
                <w:lang w:eastAsia="zh-CN"/>
              </w:rPr>
              <w:t>。</w:t>
            </w:r>
          </w:p>
        </w:tc>
        <w:tc>
          <w:tcPr>
            <w:tcW w:w="73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面</w:t>
            </w:r>
          </w:p>
        </w:tc>
        <w:tc>
          <w:tcPr>
            <w:tcW w:w="671"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793" w:type="dxa"/>
            <w:shd w:val="clear" w:color="auto" w:fill="auto"/>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34</w:t>
            </w:r>
          </w:p>
        </w:tc>
        <w:tc>
          <w:tcPr>
            <w:tcW w:w="92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蘑菇造型柱</w:t>
            </w:r>
          </w:p>
        </w:tc>
        <w:tc>
          <w:tcPr>
            <w:tcW w:w="1784" w:type="dxa"/>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bdr w:val="single" w:color="000000" w:sz="4" w:space="0"/>
                <w:lang w:bidi="ar"/>
              </w:rPr>
              <w:drawing>
                <wp:anchor distT="0" distB="0" distL="114300" distR="114300" simplePos="0" relativeHeight="251689984" behindDoc="0" locked="0" layoutInCell="1" allowOverlap="1">
                  <wp:simplePos x="0" y="0"/>
                  <wp:positionH relativeFrom="column">
                    <wp:posOffset>142875</wp:posOffset>
                  </wp:positionH>
                  <wp:positionV relativeFrom="paragraph">
                    <wp:posOffset>1311910</wp:posOffset>
                  </wp:positionV>
                  <wp:extent cx="675005" cy="1050290"/>
                  <wp:effectExtent l="0" t="0" r="10795" b="16510"/>
                  <wp:wrapNone/>
                  <wp:docPr id="72" name="图片_28"/>
                  <wp:cNvGraphicFramePr/>
                  <a:graphic xmlns:a="http://schemas.openxmlformats.org/drawingml/2006/main">
                    <a:graphicData uri="http://schemas.openxmlformats.org/drawingml/2006/picture">
                      <pic:pic xmlns:pic="http://schemas.openxmlformats.org/drawingml/2006/picture">
                        <pic:nvPicPr>
                          <pic:cNvPr id="72" name="图片_28"/>
                          <pic:cNvPicPr/>
                        </pic:nvPicPr>
                        <pic:blipFill>
                          <a:blip r:embed="rId58"/>
                          <a:stretch>
                            <a:fillRect/>
                          </a:stretch>
                        </pic:blipFill>
                        <pic:spPr>
                          <a:xfrm>
                            <a:off x="0" y="0"/>
                            <a:ext cx="675005" cy="1050290"/>
                          </a:xfrm>
                          <a:prstGeom prst="rect">
                            <a:avLst/>
                          </a:prstGeom>
                          <a:noFill/>
                          <a:ln>
                            <a:noFill/>
                          </a:ln>
                        </pic:spPr>
                      </pic:pic>
                    </a:graphicData>
                  </a:graphic>
                </wp:anchor>
              </w:drawing>
            </w:r>
          </w:p>
        </w:tc>
        <w:tc>
          <w:tcPr>
            <w:tcW w:w="4998" w:type="dxa"/>
            <w:shd w:val="clear" w:color="auto" w:fill="auto"/>
            <w:vAlign w:val="center"/>
          </w:tcPr>
          <w:p>
            <w:pPr>
              <w:widowControl/>
              <w:numPr>
                <w:ilvl w:val="0"/>
                <w:numId w:val="0"/>
              </w:numPr>
              <w:jc w:val="left"/>
              <w:textAlignment w:val="center"/>
              <w:rPr>
                <w:rStyle w:val="970"/>
                <w:rFonts w:hint="eastAsia" w:ascii="仿宋" w:hAnsi="仿宋" w:eastAsia="仿宋" w:cs="仿宋"/>
                <w:color w:val="auto"/>
                <w:sz w:val="24"/>
                <w:szCs w:val="24"/>
                <w:lang w:val="en-US" w:eastAsia="zh-CN" w:bidi="ar"/>
              </w:rPr>
            </w:pPr>
            <w:r>
              <w:rPr>
                <w:rStyle w:val="969"/>
                <w:rFonts w:hint="eastAsia" w:ascii="仿宋" w:hAnsi="仿宋" w:eastAsia="仿宋" w:cs="仿宋"/>
                <w:color w:val="auto"/>
                <w:sz w:val="24"/>
                <w:szCs w:val="24"/>
                <w:lang w:bidi="ar"/>
              </w:rPr>
              <w:t>规格：</w:t>
            </w:r>
            <w:r>
              <w:rPr>
                <w:rStyle w:val="970"/>
                <w:rFonts w:hint="eastAsia" w:ascii="仿宋" w:hAnsi="仿宋" w:eastAsia="仿宋" w:cs="仿宋"/>
                <w:color w:val="auto"/>
                <w:sz w:val="24"/>
                <w:szCs w:val="24"/>
                <w:lang w:bidi="ar"/>
              </w:rPr>
              <w:t>1700*800*800</w:t>
            </w:r>
            <w:r>
              <w:rPr>
                <w:rStyle w:val="970"/>
                <w:rFonts w:hint="eastAsia" w:ascii="仿宋" w:hAnsi="仿宋" w:eastAsia="仿宋" w:cs="仿宋"/>
                <w:color w:val="auto"/>
                <w:sz w:val="24"/>
                <w:szCs w:val="24"/>
                <w:lang w:val="en-US" w:eastAsia="zh-CN" w:bidi="ar"/>
              </w:rPr>
              <w:t xml:space="preserve"> </w:t>
            </w:r>
          </w:p>
          <w:p>
            <w:pPr>
              <w:widowControl/>
              <w:numPr>
                <w:ilvl w:val="0"/>
                <w:numId w:val="0"/>
              </w:numPr>
              <w:jc w:val="left"/>
              <w:textAlignment w:val="center"/>
              <w:rPr>
                <w:rStyle w:val="964"/>
                <w:rFonts w:hint="eastAsia" w:ascii="仿宋" w:hAnsi="仿宋" w:eastAsia="仿宋" w:cs="仿宋"/>
                <w:sz w:val="24"/>
                <w:szCs w:val="24"/>
                <w:lang w:bidi="ar"/>
              </w:rPr>
            </w:pPr>
            <w:r>
              <w:rPr>
                <w:rStyle w:val="964"/>
                <w:rFonts w:hint="eastAsia" w:ascii="仿宋" w:hAnsi="仿宋" w:eastAsia="仿宋" w:cs="仿宋"/>
                <w:sz w:val="24"/>
                <w:szCs w:val="24"/>
                <w:lang w:val="en-US" w:eastAsia="zh-CN" w:bidi="ar"/>
              </w:rPr>
              <w:t>1.</w:t>
            </w:r>
            <w:r>
              <w:rPr>
                <w:rStyle w:val="964"/>
                <w:rFonts w:hint="eastAsia" w:ascii="仿宋" w:hAnsi="仿宋" w:eastAsia="仿宋" w:cs="仿宋"/>
                <w:sz w:val="24"/>
                <w:szCs w:val="24"/>
                <w:lang w:bidi="ar"/>
              </w:rPr>
              <w:t>框架：采用健康环保实</w:t>
            </w:r>
            <w:r>
              <w:rPr>
                <w:rStyle w:val="964"/>
                <w:rFonts w:hint="eastAsia" w:ascii="仿宋" w:hAnsi="仿宋" w:eastAsia="仿宋" w:cs="仿宋"/>
                <w:sz w:val="24"/>
                <w:szCs w:val="24"/>
                <w:lang w:val="en-US" w:eastAsia="zh-CN" w:bidi="ar"/>
              </w:rPr>
              <w:t>中纤维密度</w:t>
            </w:r>
            <w:r>
              <w:rPr>
                <w:rStyle w:val="964"/>
                <w:rFonts w:hint="eastAsia" w:ascii="仿宋" w:hAnsi="仿宋" w:eastAsia="仿宋" w:cs="仿宋"/>
                <w:sz w:val="24"/>
                <w:szCs w:val="24"/>
                <w:lang w:bidi="ar"/>
              </w:rPr>
              <w:t>板，材质稳定，不易变形，面板拼接、胶合强度、含水率、静曲强度、弹性模量和甲醛释放量符合GB/T9846-2015和GB18580-2017的要求。</w:t>
            </w:r>
          </w:p>
          <w:p>
            <w:pPr>
              <w:widowControl/>
              <w:numPr>
                <w:ilvl w:val="0"/>
                <w:numId w:val="0"/>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采用环保水性</w:t>
            </w:r>
            <w:r>
              <w:rPr>
                <w:rFonts w:hint="eastAsia" w:ascii="仿宋" w:hAnsi="仿宋" w:eastAsia="仿宋" w:cs="仿宋"/>
                <w:color w:val="000000"/>
                <w:kern w:val="0"/>
                <w:sz w:val="24"/>
                <w:szCs w:val="24"/>
                <w:lang w:val="en-US" w:eastAsia="zh-CN" w:bidi="ar"/>
              </w:rPr>
              <w:t>油漆</w:t>
            </w:r>
            <w:r>
              <w:rPr>
                <w:rFonts w:hint="eastAsia" w:ascii="仿宋" w:hAnsi="仿宋" w:eastAsia="仿宋" w:cs="仿宋"/>
                <w:color w:val="000000"/>
                <w:kern w:val="0"/>
                <w:sz w:val="24"/>
                <w:szCs w:val="24"/>
                <w:lang w:bidi="ar"/>
              </w:rPr>
              <w:t>进行</w:t>
            </w:r>
            <w:r>
              <w:rPr>
                <w:rFonts w:hint="eastAsia" w:ascii="仿宋" w:hAnsi="仿宋" w:eastAsia="仿宋" w:cs="仿宋"/>
                <w:color w:val="000000"/>
                <w:kern w:val="0"/>
                <w:sz w:val="24"/>
                <w:szCs w:val="24"/>
                <w:lang w:val="en-US" w:eastAsia="zh-CN" w:bidi="ar"/>
              </w:rPr>
              <w:t>喷涂</w:t>
            </w:r>
            <w:r>
              <w:rPr>
                <w:rFonts w:hint="eastAsia" w:ascii="仿宋" w:hAnsi="仿宋" w:eastAsia="仿宋" w:cs="仿宋"/>
                <w:color w:val="000000"/>
                <w:kern w:val="0"/>
                <w:sz w:val="24"/>
                <w:szCs w:val="24"/>
                <w:lang w:bidi="ar"/>
              </w:rPr>
              <w:t>，更好的耐候性、附着力，耐紫外线，绿色环保，通过高强力渗透进入木材内部，与木材有机地结合，形成网状组织既有效地阻止水分进入，从而有效地控制木材开裂，延长木材使用寿命，又能突显木材的天然纹理美感。</w:t>
            </w:r>
          </w:p>
          <w:p>
            <w:pPr>
              <w:widowControl/>
              <w:jc w:val="left"/>
              <w:textAlignment w:val="center"/>
              <w:rPr>
                <w:rFonts w:hint="eastAsia" w:ascii="仿宋" w:hAnsi="仿宋" w:eastAsia="仿宋" w:cs="仿宋"/>
                <w:sz w:val="24"/>
                <w:szCs w:val="24"/>
                <w:lang w:val="en-US" w:eastAsia="zh-CN"/>
              </w:rPr>
            </w:pP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p>
        </w:tc>
        <w:tc>
          <w:tcPr>
            <w:tcW w:w="732"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900" w:type="dxa"/>
            <w:gridSpan w:val="6"/>
            <w:shd w:val="clear" w:color="auto" w:fill="auto"/>
            <w:noWrap/>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35</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可调6人桌.原色</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1008" behindDoc="0" locked="0" layoutInCell="1" allowOverlap="1">
                  <wp:simplePos x="0" y="0"/>
                  <wp:positionH relativeFrom="column">
                    <wp:posOffset>142875</wp:posOffset>
                  </wp:positionH>
                  <wp:positionV relativeFrom="paragraph">
                    <wp:posOffset>1792605</wp:posOffset>
                  </wp:positionV>
                  <wp:extent cx="713105" cy="378460"/>
                  <wp:effectExtent l="0" t="0" r="10795" b="2540"/>
                  <wp:wrapNone/>
                  <wp:docPr id="63" name="图片_57"/>
                  <wp:cNvGraphicFramePr/>
                  <a:graphic xmlns:a="http://schemas.openxmlformats.org/drawingml/2006/main">
                    <a:graphicData uri="http://schemas.openxmlformats.org/drawingml/2006/picture">
                      <pic:pic xmlns:pic="http://schemas.openxmlformats.org/drawingml/2006/picture">
                        <pic:nvPicPr>
                          <pic:cNvPr id="63" name="图片_57"/>
                          <pic:cNvPicPr/>
                        </pic:nvPicPr>
                        <pic:blipFill>
                          <a:blip r:embed="rId59"/>
                          <a:stretch>
                            <a:fillRect/>
                          </a:stretch>
                        </pic:blipFill>
                        <pic:spPr>
                          <a:xfrm>
                            <a:off x="0" y="0"/>
                            <a:ext cx="713105" cy="37846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规格：L120xW60xH49/52/55cm可调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36</w:t>
            </w:r>
          </w:p>
        </w:tc>
        <w:tc>
          <w:tcPr>
            <w:tcW w:w="922" w:type="dxa"/>
            <w:shd w:val="clear" w:color="auto" w:fill="FFFFFF"/>
            <w:vAlign w:val="center"/>
          </w:tcPr>
          <w:p>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可调</w:t>
            </w:r>
          </w:p>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圆桌</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2032" behindDoc="0" locked="0" layoutInCell="1" allowOverlap="1">
                  <wp:simplePos x="0" y="0"/>
                  <wp:positionH relativeFrom="column">
                    <wp:posOffset>172720</wp:posOffset>
                  </wp:positionH>
                  <wp:positionV relativeFrom="paragraph">
                    <wp:posOffset>856615</wp:posOffset>
                  </wp:positionV>
                  <wp:extent cx="569595" cy="381000"/>
                  <wp:effectExtent l="0" t="0" r="1905" b="0"/>
                  <wp:wrapNone/>
                  <wp:docPr id="65" name="图片_49"/>
                  <wp:cNvGraphicFramePr/>
                  <a:graphic xmlns:a="http://schemas.openxmlformats.org/drawingml/2006/main">
                    <a:graphicData uri="http://schemas.openxmlformats.org/drawingml/2006/picture">
                      <pic:pic xmlns:pic="http://schemas.openxmlformats.org/drawingml/2006/picture">
                        <pic:nvPicPr>
                          <pic:cNvPr id="65" name="图片_49"/>
                          <pic:cNvPicPr/>
                        </pic:nvPicPr>
                        <pic:blipFill>
                          <a:blip r:embed="rId60"/>
                          <a:stretch>
                            <a:fillRect/>
                          </a:stretch>
                        </pic:blipFill>
                        <pic:spPr>
                          <a:xfrm>
                            <a:off x="0" y="0"/>
                            <a:ext cx="569595" cy="38100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规格：Φ90xH49、52、55cm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1.板材：主要采用实木多层板搭配实木桌腿加工而成，桌面厚度：24mm，面板实木多层板材质稳定，不易变形，面板拼接、胶合强度、含水率、静曲强度、弹性模量和甲醛释放量符合GB/T9846-2015和GB18580-2017的要求。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37</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椅子.中班</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3056" behindDoc="0" locked="0" layoutInCell="1" allowOverlap="1">
                  <wp:simplePos x="0" y="0"/>
                  <wp:positionH relativeFrom="column">
                    <wp:posOffset>294640</wp:posOffset>
                  </wp:positionH>
                  <wp:positionV relativeFrom="paragraph">
                    <wp:posOffset>1383665</wp:posOffset>
                  </wp:positionV>
                  <wp:extent cx="405130" cy="542925"/>
                  <wp:effectExtent l="0" t="0" r="13970" b="9525"/>
                  <wp:wrapNone/>
                  <wp:docPr id="66" name="图片_44"/>
                  <wp:cNvGraphicFramePr/>
                  <a:graphic xmlns:a="http://schemas.openxmlformats.org/drawingml/2006/main">
                    <a:graphicData uri="http://schemas.openxmlformats.org/drawingml/2006/picture">
                      <pic:pic xmlns:pic="http://schemas.openxmlformats.org/drawingml/2006/picture">
                        <pic:nvPicPr>
                          <pic:cNvPr id="66" name="图片_44"/>
                          <pic:cNvPicPr/>
                        </pic:nvPicPr>
                        <pic:blipFill>
                          <a:blip r:embed="rId61"/>
                          <a:stretch>
                            <a:fillRect/>
                          </a:stretch>
                        </pic:blipFill>
                        <pic:spPr>
                          <a:xfrm>
                            <a:off x="0" y="0"/>
                            <a:ext cx="405130" cy="54292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规格：座高：28cm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1.板材：采用健康环保18mm实木多层板一次热压成型，实木多层板材质稳定，不易变形，面板拼接、胶合强度、含水率、静曲强度、弹性模量和甲醛释放量符合GB/T9846-2015和GB18580-2017的要求。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4.脚套：椅子脚采用TPR防滑脚套，有效防止划伤地板，脚套邻笨二甲酸酯，符合GB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5.其它：椅子根据人工力学个性化设计，一体成型，温馨舒适，PP塑料加固角码，更加牢固。适用年龄：3岁～6岁。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38</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可调月亮桌</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4080" behindDoc="0" locked="0" layoutInCell="1" allowOverlap="1">
                  <wp:simplePos x="0" y="0"/>
                  <wp:positionH relativeFrom="column">
                    <wp:posOffset>213995</wp:posOffset>
                  </wp:positionH>
                  <wp:positionV relativeFrom="paragraph">
                    <wp:posOffset>1596390</wp:posOffset>
                  </wp:positionV>
                  <wp:extent cx="664210" cy="306705"/>
                  <wp:effectExtent l="0" t="0" r="2540" b="17145"/>
                  <wp:wrapNone/>
                  <wp:docPr id="31" name="图片_51"/>
                  <wp:cNvGraphicFramePr/>
                  <a:graphic xmlns:a="http://schemas.openxmlformats.org/drawingml/2006/main">
                    <a:graphicData uri="http://schemas.openxmlformats.org/drawingml/2006/picture">
                      <pic:pic xmlns:pic="http://schemas.openxmlformats.org/drawingml/2006/picture">
                        <pic:nvPicPr>
                          <pic:cNvPr id="31" name="图片_51"/>
                          <pic:cNvPicPr/>
                        </pic:nvPicPr>
                        <pic:blipFill>
                          <a:blip r:embed="rId62"/>
                          <a:stretch>
                            <a:fillRect/>
                          </a:stretch>
                        </pic:blipFill>
                        <pic:spPr>
                          <a:xfrm>
                            <a:off x="0" y="0"/>
                            <a:ext cx="664210" cy="30670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规格：L120xW60xH49/52/55cm可调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39</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2层45°弧形矮柜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5104" behindDoc="0" locked="0" layoutInCell="1" allowOverlap="1">
                  <wp:simplePos x="0" y="0"/>
                  <wp:positionH relativeFrom="column">
                    <wp:posOffset>313055</wp:posOffset>
                  </wp:positionH>
                  <wp:positionV relativeFrom="paragraph">
                    <wp:posOffset>1663700</wp:posOffset>
                  </wp:positionV>
                  <wp:extent cx="424180" cy="556895"/>
                  <wp:effectExtent l="0" t="0" r="13970" b="14605"/>
                  <wp:wrapNone/>
                  <wp:docPr id="5" name="图片_45"/>
                  <wp:cNvGraphicFramePr/>
                  <a:graphic xmlns:a="http://schemas.openxmlformats.org/drawingml/2006/main">
                    <a:graphicData uri="http://schemas.openxmlformats.org/drawingml/2006/picture">
                      <pic:pic xmlns:pic="http://schemas.openxmlformats.org/drawingml/2006/picture">
                        <pic:nvPicPr>
                          <pic:cNvPr id="5" name="图片_45"/>
                          <pic:cNvPicPr/>
                        </pic:nvPicPr>
                        <pic:blipFill>
                          <a:blip r:embed="rId63"/>
                          <a:stretch>
                            <a:fillRect/>
                          </a:stretch>
                        </pic:blipFill>
                        <pic:spPr>
                          <a:xfrm>
                            <a:off x="0" y="0"/>
                            <a:ext cx="424180" cy="55689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规格：L46xW32xH61cm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7.其它：围脚由桦木多层板制作。面板的外弧R600mm，内弧300mm。搭配区角空间使用率更高，安装防潮脚钉，实用性更强，适用年龄：3岁～6岁。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40</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2层60°弧形矮柜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6128" behindDoc="0" locked="0" layoutInCell="1" allowOverlap="1">
                  <wp:simplePos x="0" y="0"/>
                  <wp:positionH relativeFrom="column">
                    <wp:posOffset>241300</wp:posOffset>
                  </wp:positionH>
                  <wp:positionV relativeFrom="paragraph">
                    <wp:posOffset>330200</wp:posOffset>
                  </wp:positionV>
                  <wp:extent cx="669290" cy="677545"/>
                  <wp:effectExtent l="0" t="0" r="16510" b="8255"/>
                  <wp:wrapNone/>
                  <wp:docPr id="16" name="图片_46"/>
                  <wp:cNvGraphicFramePr/>
                  <a:graphic xmlns:a="http://schemas.openxmlformats.org/drawingml/2006/main">
                    <a:graphicData uri="http://schemas.openxmlformats.org/drawingml/2006/picture">
                      <pic:pic xmlns:pic="http://schemas.openxmlformats.org/drawingml/2006/picture">
                        <pic:nvPicPr>
                          <pic:cNvPr id="16" name="图片_46"/>
                          <pic:cNvPicPr/>
                        </pic:nvPicPr>
                        <pic:blipFill>
                          <a:blip r:embed="rId64"/>
                          <a:stretch>
                            <a:fillRect/>
                          </a:stretch>
                        </pic:blipFill>
                        <pic:spPr>
                          <a:xfrm>
                            <a:off x="0" y="0"/>
                            <a:ext cx="669290" cy="67754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规格：L85×W39×H61CM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7.其它：柜子2层4格的弧形设计，整体弧度R300mm,外弧度R600mm设计。搭配区角空间使用率更高。安装防潮脚钉，实用性更强，适用年龄：3岁～6岁。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41</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一路顺风车售卖台</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890270" cy="1439545"/>
                  <wp:effectExtent l="0" t="0" r="5080" b="8255"/>
                  <wp:docPr id="1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0"/>
                          <pic:cNvPicPr>
                            <a:picLocks noChangeAspect="1"/>
                          </pic:cNvPicPr>
                        </pic:nvPicPr>
                        <pic:blipFill>
                          <a:blip r:embed="rId65"/>
                          <a:stretch>
                            <a:fillRect/>
                          </a:stretch>
                        </pic:blipFill>
                        <pic:spPr>
                          <a:xfrm>
                            <a:off x="0" y="0"/>
                            <a:ext cx="890270" cy="1439545"/>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规格：L93xW30xH149cm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木材：主要采用15mm环保桦木纹饰面刨花板（造型部分为15mm饰面橡胶木拼板），饰面刨花板表面平整，纹理逼真，容重均匀，厚度误差小，耐污染，耐老化，美观，可进行各种贴面；有良好的吸音和隔音性能，横向承重力好。</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封边：柜体优质PVC条封边，表面光滑柔、平整，无颗粒，无气泡，无渣点，颜色均匀，硬度高。造型部分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3.五金：采用优质五金，稳固不松动，五金表面经防锈处理，强度高、硬度高、寿命长，符合国家标准规范的要求。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4.油墨：图案采用优质环保油墨，使用美工机喷绘，图案更加清晰立体不易褪色。</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pStyle w:val="6"/>
              <w:spacing w:line="240" w:lineRule="auto"/>
              <w:ind w:firstLine="0" w:firstLineChars="0"/>
              <w:rPr>
                <w:rFonts w:hint="eastAsia" w:ascii="仿宋" w:hAnsi="仿宋" w:eastAsia="仿宋" w:cs="仿宋"/>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7.产品：搭配标识铭牌，铭牌为双面可擦写白板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42</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长颈鹿造型门</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1076960" cy="1118870"/>
                  <wp:effectExtent l="0" t="0" r="8890" b="5080"/>
                  <wp:docPr id="11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1"/>
                          <pic:cNvPicPr>
                            <a:picLocks noChangeAspect="1"/>
                          </pic:cNvPicPr>
                        </pic:nvPicPr>
                        <pic:blipFill>
                          <a:blip r:embed="rId66"/>
                          <a:stretch>
                            <a:fillRect/>
                          </a:stretch>
                        </pic:blipFill>
                        <pic:spPr>
                          <a:xfrm>
                            <a:off x="0" y="0"/>
                            <a:ext cx="1076960" cy="1118870"/>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规格：L197xW35xH173cm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木材：主要采用15mm环保实木多层板。板材表面纹理自然逼真，质地轻盈，强度高，拉力与弯曲性能强，材质结构稳定不易变形；经防虫、干燥处理后具有防潮、防霉、抗菌、抗酸、抗污染的功能，清洗起来非常的容易，防水等级非常的高。</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2.水性漆：采用环保水性漆，全封闭涂装工艺，漆面光泽度高，无颗粒、无气泡、无渣点，颜色均匀、漆膜丰满、柔韧性好并且具有耐水、耐磨、耐老化、耐黄变、耐霉菌、干燥快等特点。</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3.五金：采用优质五金，稳固不松动，五金表面经防锈处理，强度高、硬度高、寿命长，符合国家标准规范的要求。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4.油墨：图案采用优质环保油墨，使用美工机喷绘，图案更加清晰立体不易褪色。</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pStyle w:val="6"/>
              <w:spacing w:line="240" w:lineRule="auto"/>
              <w:ind w:firstLine="0" w:firstLineChars="0"/>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6.连接件：采用三合一连接件，具有金属镀层抗盐雾性，L型连接件抗弯强度≥390MPa，且符合GB/T28203-2011的检验标准。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43</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森林小屋组合收纳柜AB</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7152" behindDoc="0" locked="0" layoutInCell="1" allowOverlap="1">
                  <wp:simplePos x="0" y="0"/>
                  <wp:positionH relativeFrom="column">
                    <wp:posOffset>159385</wp:posOffset>
                  </wp:positionH>
                  <wp:positionV relativeFrom="paragraph">
                    <wp:posOffset>742950</wp:posOffset>
                  </wp:positionV>
                  <wp:extent cx="757555" cy="796925"/>
                  <wp:effectExtent l="0" t="0" r="4445" b="3175"/>
                  <wp:wrapNone/>
                  <wp:docPr id="19" name="图片_53"/>
                  <wp:cNvGraphicFramePr/>
                  <a:graphic xmlns:a="http://schemas.openxmlformats.org/drawingml/2006/main">
                    <a:graphicData uri="http://schemas.openxmlformats.org/drawingml/2006/picture">
                      <pic:pic xmlns:pic="http://schemas.openxmlformats.org/drawingml/2006/picture">
                        <pic:nvPicPr>
                          <pic:cNvPr id="19" name="图片_53"/>
                          <pic:cNvPicPr/>
                        </pic:nvPicPr>
                        <pic:blipFill>
                          <a:blip r:embed="rId67"/>
                          <a:stretch>
                            <a:fillRect/>
                          </a:stretch>
                        </pic:blipFill>
                        <pic:spPr>
                          <a:xfrm>
                            <a:off x="0" y="0"/>
                            <a:ext cx="757555" cy="79692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规格：A柜L60×W31.5×H134CM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B柜L93×W31.5×H88CM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4.油墨：图案采用优质环保油墨，使用美工机喷绘，图案更加清晰立体不易褪色，油墨可迁移元素（锑、砷、钡、镉、铬、铅、汞、硒），符合GB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5.产品：围脚高度：60mm  A柜上下格内空尺寸：320*300*224mm；B柜上格内空尺寸：440*300*230mm；下格内空尺寸：290*300*230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8.其它：安装防潮脚钉，实用性更强，适用年龄：3岁～6岁。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套</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44</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8格万用高柜.全背板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8176" behindDoc="0" locked="0" layoutInCell="1" allowOverlap="1">
                  <wp:simplePos x="0" y="0"/>
                  <wp:positionH relativeFrom="column">
                    <wp:posOffset>265430</wp:posOffset>
                  </wp:positionH>
                  <wp:positionV relativeFrom="paragraph">
                    <wp:posOffset>129540</wp:posOffset>
                  </wp:positionV>
                  <wp:extent cx="487680" cy="539750"/>
                  <wp:effectExtent l="0" t="0" r="7620" b="12700"/>
                  <wp:wrapNone/>
                  <wp:docPr id="20" name="图片_50"/>
                  <wp:cNvGraphicFramePr/>
                  <a:graphic xmlns:a="http://schemas.openxmlformats.org/drawingml/2006/main">
                    <a:graphicData uri="http://schemas.openxmlformats.org/drawingml/2006/picture">
                      <pic:pic xmlns:pic="http://schemas.openxmlformats.org/drawingml/2006/picture">
                        <pic:nvPicPr>
                          <pic:cNvPr id="20" name="图片_50"/>
                          <pic:cNvPicPr/>
                        </pic:nvPicPr>
                        <pic:blipFill>
                          <a:blip r:embed="rId68"/>
                          <a:stretch>
                            <a:fillRect/>
                          </a:stretch>
                        </pic:blipFill>
                        <pic:spPr>
                          <a:xfrm>
                            <a:off x="0" y="0"/>
                            <a:ext cx="48768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规格：L93xW30xH81cm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4.产品：5mm中纤饰面背板；围脚高度：60mm    上下格内空尺寸：290*280*224mm  中格内空尺寸：442.5*280*224mm；产品外观要求、理化性能要求、结构安全、有害物质限量（可迁移元素、甲醛释放量等）、力学性能、警示标识等符合GB28007-2011标准要求。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7.其它：柜子为3层8格带背板大容量收纳空间，安装防潮脚钉。配上教具盒更加方便使用，实用性更强，适用年龄：3岁～6岁。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45</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移动书架.小</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699200" behindDoc="0" locked="0" layoutInCell="1" allowOverlap="1">
                  <wp:simplePos x="0" y="0"/>
                  <wp:positionH relativeFrom="column">
                    <wp:posOffset>210820</wp:posOffset>
                  </wp:positionH>
                  <wp:positionV relativeFrom="paragraph">
                    <wp:posOffset>1015365</wp:posOffset>
                  </wp:positionV>
                  <wp:extent cx="628015" cy="339090"/>
                  <wp:effectExtent l="0" t="0" r="635" b="3810"/>
                  <wp:wrapNone/>
                  <wp:docPr id="21" name="图片_52"/>
                  <wp:cNvGraphicFramePr/>
                  <a:graphic xmlns:a="http://schemas.openxmlformats.org/drawingml/2006/main">
                    <a:graphicData uri="http://schemas.openxmlformats.org/drawingml/2006/picture">
                      <pic:pic xmlns:pic="http://schemas.openxmlformats.org/drawingml/2006/picture">
                        <pic:nvPicPr>
                          <pic:cNvPr id="21" name="图片_52"/>
                          <pic:cNvPicPr/>
                        </pic:nvPicPr>
                        <pic:blipFill>
                          <a:blip r:embed="rId69"/>
                          <a:stretch>
                            <a:fillRect/>
                          </a:stretch>
                        </pic:blipFill>
                        <pic:spPr>
                          <a:xfrm>
                            <a:off x="0" y="0"/>
                            <a:ext cx="628015" cy="33909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规格：L92xW37xH31cm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1.板材：采用健康环保18mm实木多层板，实木多层板材质稳定，不易变形，面板拼接、胶合强度、含水率、静曲强度、弹性模量和甲醛释放量符合GB/T9846-2015和GB18580-2017的要求。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4.脚钉：脚钉采用TPR防滑脚钉，有效防止划伤地板，脚钉邻笨二甲酸酯检出，符合GB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书架上格内空尺寸：280*200*220mm；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8.其它：双面透明背板设计，便于辨别书籍。适用年龄：3岁～6岁。</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46</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书架</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0224" behindDoc="0" locked="0" layoutInCell="1" allowOverlap="1">
                  <wp:simplePos x="0" y="0"/>
                  <wp:positionH relativeFrom="column">
                    <wp:posOffset>161290</wp:posOffset>
                  </wp:positionH>
                  <wp:positionV relativeFrom="paragraph">
                    <wp:posOffset>1732280</wp:posOffset>
                  </wp:positionV>
                  <wp:extent cx="719455" cy="539750"/>
                  <wp:effectExtent l="0" t="0" r="4445" b="12700"/>
                  <wp:wrapNone/>
                  <wp:docPr id="22" name="图片_54"/>
                  <wp:cNvGraphicFramePr/>
                  <a:graphic xmlns:a="http://schemas.openxmlformats.org/drawingml/2006/main">
                    <a:graphicData uri="http://schemas.openxmlformats.org/drawingml/2006/picture">
                      <pic:pic xmlns:pic="http://schemas.openxmlformats.org/drawingml/2006/picture">
                        <pic:nvPicPr>
                          <pic:cNvPr id="22" name="图片_54"/>
                          <pic:cNvPicPr/>
                        </pic:nvPicPr>
                        <pic:blipFill>
                          <a:blip r:embed="rId70"/>
                          <a:stretch>
                            <a:fillRect/>
                          </a:stretch>
                        </pic:blipFill>
                        <pic:spPr>
                          <a:xfrm>
                            <a:off x="0" y="0"/>
                            <a:ext cx="71945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规格：L93×W30×H61CM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书架上下格内空尺寸：900*60*210mm； 下格内空尺寸：900*300*110mm.产品外观要求、理化性能要求、结构安全、有害物质限量（可迁移元素、甲醛释放量等）、力学性能、警示标识等符合GB28007-2011标准要求。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7.其它：上半部分可做书本收纳，下层可以搭配教具盒，安装防潮脚钉，实用性更强，适用年龄：3岁～6岁。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47</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美术作品晾干柜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p>
          <w:p>
            <w:pPr>
              <w:widowControl/>
              <w:jc w:val="left"/>
              <w:textAlignment w:val="center"/>
              <w:rPr>
                <w:rFonts w:hint="eastAsia" w:ascii="仿宋" w:hAnsi="仿宋" w:eastAsia="仿宋" w:cs="仿宋"/>
                <w:color w:val="000000"/>
                <w:sz w:val="24"/>
                <w:szCs w:val="24"/>
              </w:rPr>
            </w:pPr>
          </w:p>
          <w:p>
            <w:pPr>
              <w:widowControl/>
              <w:jc w:val="left"/>
              <w:textAlignment w:val="center"/>
              <w:rPr>
                <w:rFonts w:hint="eastAsia" w:ascii="仿宋" w:hAnsi="仿宋" w:eastAsia="仿宋" w:cs="仿宋"/>
                <w:color w:val="000000"/>
                <w:sz w:val="24"/>
                <w:szCs w:val="24"/>
              </w:rPr>
            </w:pPr>
          </w:p>
          <w:p>
            <w:pPr>
              <w:widowControl/>
              <w:jc w:val="left"/>
              <w:textAlignment w:val="center"/>
              <w:rPr>
                <w:rFonts w:hint="eastAsia" w:ascii="仿宋" w:hAnsi="仿宋" w:eastAsia="仿宋" w:cs="仿宋"/>
                <w:color w:val="000000"/>
                <w:sz w:val="24"/>
                <w:szCs w:val="24"/>
              </w:rPr>
            </w:pP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1248" behindDoc="0" locked="0" layoutInCell="1" allowOverlap="1">
                  <wp:simplePos x="0" y="0"/>
                  <wp:positionH relativeFrom="column">
                    <wp:posOffset>161925</wp:posOffset>
                  </wp:positionH>
                  <wp:positionV relativeFrom="paragraph">
                    <wp:posOffset>1636395</wp:posOffset>
                  </wp:positionV>
                  <wp:extent cx="452755" cy="816610"/>
                  <wp:effectExtent l="0" t="0" r="4445" b="2540"/>
                  <wp:wrapNone/>
                  <wp:docPr id="23" name="图片_55"/>
                  <wp:cNvGraphicFramePr/>
                  <a:graphic xmlns:a="http://schemas.openxmlformats.org/drawingml/2006/main">
                    <a:graphicData uri="http://schemas.openxmlformats.org/drawingml/2006/picture">
                      <pic:pic xmlns:pic="http://schemas.openxmlformats.org/drawingml/2006/picture">
                        <pic:nvPicPr>
                          <pic:cNvPr id="23" name="图片_55"/>
                          <pic:cNvPicPr/>
                        </pic:nvPicPr>
                        <pic:blipFill>
                          <a:blip r:embed="rId71"/>
                          <a:stretch>
                            <a:fillRect/>
                          </a:stretch>
                        </pic:blipFill>
                        <pic:spPr>
                          <a:xfrm>
                            <a:off x="0" y="0"/>
                            <a:ext cx="452755" cy="81661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规格：L50xW40xH75cm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1.板材：采用15mm实木多层板搭配铁架网而成，实木多层板材质稳定，不易变形，面板拼接、胶合强度、含水率、静曲强度、弹性模量和甲醛释放量符合GB/T9846-2015和GB18580-2017的要求。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铁架网：整体尺寸388*463mm，满足绘画纸张A4/A3尺寸的晾干，铁架四周采用φ4.3mm粗铁网，中间采用φ2.2mm细铁网，内空每格29.5*61mm，稳固且有助于绘画晾干，铁网为活动式，可按实际使用需求拆卸，适用于晾干不同尺寸大小的作品；铁架网采用热固性聚酯粉末涂料喷涂，涂料安全、耐湿、耐盐雾、耐老化等，符合HG/T 2006-2006标准要求。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5.塑料档格：采用优质塑料成型，共9层设计，每层之间间隔44mm，充分合理的利用空间。</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5.脚轮：采用TPR静音万向轮，方便移动，脚轮外观要求符合QB/T4765-2014标准要求。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8.其它：围脚高度：40mm；    上下格内空尺寸：470*390*55mm。方便美术成品的放置、晾干，防止美术颜料污染园所地板，铁网架方便拆卸。</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48</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美术纸筒柜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2272" behindDoc="0" locked="0" layoutInCell="1" allowOverlap="1">
                  <wp:simplePos x="0" y="0"/>
                  <wp:positionH relativeFrom="column">
                    <wp:posOffset>149860</wp:posOffset>
                  </wp:positionH>
                  <wp:positionV relativeFrom="paragraph">
                    <wp:posOffset>128905</wp:posOffset>
                  </wp:positionV>
                  <wp:extent cx="456565" cy="539750"/>
                  <wp:effectExtent l="0" t="0" r="635" b="12700"/>
                  <wp:wrapNone/>
                  <wp:docPr id="24" name="图片_56"/>
                  <wp:cNvGraphicFramePr/>
                  <a:graphic xmlns:a="http://schemas.openxmlformats.org/drawingml/2006/main">
                    <a:graphicData uri="http://schemas.openxmlformats.org/drawingml/2006/picture">
                      <pic:pic xmlns:pic="http://schemas.openxmlformats.org/drawingml/2006/picture">
                        <pic:nvPicPr>
                          <pic:cNvPr id="24" name="图片_56"/>
                          <pic:cNvPicPr/>
                        </pic:nvPicPr>
                        <pic:blipFill>
                          <a:blip r:embed="rId72"/>
                          <a:stretch>
                            <a:fillRect/>
                          </a:stretch>
                        </pic:blipFill>
                        <pic:spPr>
                          <a:xfrm>
                            <a:off x="0" y="0"/>
                            <a:ext cx="45656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规格：L40×W40×H58cm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1.板材：采用健康环保12mm实木多层板，实木多层板材质稳定，不易变形，面板拼接、胶合强度、含水率、静曲强度、弹性模量和甲醛释放量符合GB/T9846-2015和GB18580-2017的要求。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4.脚轮：采用TPR静音万向轮，方便移动，脚轮外观要求符合QB/T4765-2014标准要求。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5.产品：底板离地高度：53mm；  上下格内空尺寸：115*115*390mm.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8.其它：9格收纳格设计，方便美术成品的统一收纳。适用年龄：3岁～6岁。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49</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美术透明画板柜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3296" behindDoc="0" locked="0" layoutInCell="1" allowOverlap="1">
                  <wp:simplePos x="0" y="0"/>
                  <wp:positionH relativeFrom="column">
                    <wp:posOffset>240030</wp:posOffset>
                  </wp:positionH>
                  <wp:positionV relativeFrom="paragraph">
                    <wp:posOffset>254635</wp:posOffset>
                  </wp:positionV>
                  <wp:extent cx="433705" cy="539750"/>
                  <wp:effectExtent l="0" t="0" r="4445" b="12700"/>
                  <wp:wrapNone/>
                  <wp:docPr id="25" name="图片_41"/>
                  <wp:cNvGraphicFramePr/>
                  <a:graphic xmlns:a="http://schemas.openxmlformats.org/drawingml/2006/main">
                    <a:graphicData uri="http://schemas.openxmlformats.org/drawingml/2006/picture">
                      <pic:pic xmlns:pic="http://schemas.openxmlformats.org/drawingml/2006/picture">
                        <pic:nvPicPr>
                          <pic:cNvPr id="25" name="图片_41"/>
                          <pic:cNvPicPr/>
                        </pic:nvPicPr>
                        <pic:blipFill>
                          <a:blip r:embed="rId73"/>
                          <a:stretch>
                            <a:fillRect/>
                          </a:stretch>
                        </pic:blipFill>
                        <pic:spPr>
                          <a:xfrm>
                            <a:off x="0" y="0"/>
                            <a:ext cx="43370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规格：L93×W30xH116cm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柜子板材：主要原材料采用优质环保的15mm饰面刨花板（饰面刨花板）+18mm实木多层板（画板框）而成，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画板板材：画板边框采用环保健康实木多层板生产加工而成；透明画板材质采用亚克力，透光好；画板湿水即可擦干净，多层板允许缺陷、面板拼接、修补、尺寸公差、胶合强度、含水率、静曲强度、弹性模量、甲醛释放量等符合GB 18580-2017、GB/T 9846-2015标准要求。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8.其它：围脚高度：60mm          上下格内空尺寸：440*295*230mm；透明画板尺寸：770*475mm； 透明画板可使用水性笔书画；面板开4个直径67mm通孔，可放笔筒.搭配柜子使用，让小朋友展示自己的创意涂鸦。适用年龄：3岁～6岁。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50</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2层90°弧形矮柜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4320" behindDoc="0" locked="0" layoutInCell="1" allowOverlap="1">
                  <wp:simplePos x="0" y="0"/>
                  <wp:positionH relativeFrom="column">
                    <wp:posOffset>294005</wp:posOffset>
                  </wp:positionH>
                  <wp:positionV relativeFrom="paragraph">
                    <wp:posOffset>1684655</wp:posOffset>
                  </wp:positionV>
                  <wp:extent cx="544830" cy="608330"/>
                  <wp:effectExtent l="0" t="0" r="7620" b="1270"/>
                  <wp:wrapNone/>
                  <wp:docPr id="28" name="图片_42"/>
                  <wp:cNvGraphicFramePr/>
                  <a:graphic xmlns:a="http://schemas.openxmlformats.org/drawingml/2006/main">
                    <a:graphicData uri="http://schemas.openxmlformats.org/drawingml/2006/picture">
                      <pic:pic xmlns:pic="http://schemas.openxmlformats.org/drawingml/2006/picture">
                        <pic:nvPicPr>
                          <pic:cNvPr id="28" name="图片_42"/>
                          <pic:cNvPicPr/>
                        </pic:nvPicPr>
                        <pic:blipFill>
                          <a:blip r:embed="rId74"/>
                          <a:stretch>
                            <a:fillRect/>
                          </a:stretch>
                        </pic:blipFill>
                        <pic:spPr>
                          <a:xfrm>
                            <a:off x="0" y="0"/>
                            <a:ext cx="544830" cy="60833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规格：L85×W39×H61CM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7.其它：柜子2层4格的弧形设计，整体弧度R300mm,外弧度R600mm设计。搭配区角空间使用率更高。安装防潮脚钉，实用性更强，适用年龄：3岁～6岁。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51</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5344" behindDoc="0" locked="0" layoutInCell="1" allowOverlap="1">
                  <wp:simplePos x="0" y="0"/>
                  <wp:positionH relativeFrom="column">
                    <wp:posOffset>122555</wp:posOffset>
                  </wp:positionH>
                  <wp:positionV relativeFrom="paragraph">
                    <wp:posOffset>1131570</wp:posOffset>
                  </wp:positionV>
                  <wp:extent cx="719455" cy="499110"/>
                  <wp:effectExtent l="0" t="0" r="4445" b="15240"/>
                  <wp:wrapNone/>
                  <wp:docPr id="26" name="图片_43"/>
                  <wp:cNvGraphicFramePr/>
                  <a:graphic xmlns:a="http://schemas.openxmlformats.org/drawingml/2006/main">
                    <a:graphicData uri="http://schemas.openxmlformats.org/drawingml/2006/picture">
                      <pic:pic xmlns:pic="http://schemas.openxmlformats.org/drawingml/2006/picture">
                        <pic:nvPicPr>
                          <pic:cNvPr id="26" name="图片_43"/>
                          <pic:cNvPicPr/>
                        </pic:nvPicPr>
                        <pic:blipFill>
                          <a:blip r:embed="rId75"/>
                          <a:stretch>
                            <a:fillRect/>
                          </a:stretch>
                        </pic:blipFill>
                        <pic:spPr>
                          <a:xfrm>
                            <a:off x="0" y="0"/>
                            <a:ext cx="719455" cy="49911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上下格内空尺寸：290*300*232.5mm;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7.其它：柜子为2层6格无背板设计，安装防潮脚钉。配上教具盒更加方便使用，实用性更强，适用年龄：3岁～6岁。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52</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积木台</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6368" behindDoc="0" locked="0" layoutInCell="1" allowOverlap="1">
                  <wp:simplePos x="0" y="0"/>
                  <wp:positionH relativeFrom="column">
                    <wp:posOffset>176530</wp:posOffset>
                  </wp:positionH>
                  <wp:positionV relativeFrom="paragraph">
                    <wp:posOffset>1937385</wp:posOffset>
                  </wp:positionV>
                  <wp:extent cx="648335" cy="539750"/>
                  <wp:effectExtent l="0" t="0" r="18415" b="12700"/>
                  <wp:wrapNone/>
                  <wp:docPr id="27" name="图片_40"/>
                  <wp:cNvGraphicFramePr/>
                  <a:graphic xmlns:a="http://schemas.openxmlformats.org/drawingml/2006/main">
                    <a:graphicData uri="http://schemas.openxmlformats.org/drawingml/2006/picture">
                      <pic:pic xmlns:pic="http://schemas.openxmlformats.org/drawingml/2006/picture">
                        <pic:nvPicPr>
                          <pic:cNvPr id="27" name="图片_40"/>
                          <pic:cNvPicPr/>
                        </pic:nvPicPr>
                        <pic:blipFill>
                          <a:blip r:embed="rId76"/>
                          <a:stretch>
                            <a:fillRect/>
                          </a:stretch>
                        </pic:blipFill>
                        <pic:spPr>
                          <a:xfrm>
                            <a:off x="0" y="0"/>
                            <a:ext cx="64833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规格：L60xW60xH50cm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1.板材：采用健康环保15mm实木多层板，实木多层板材质稳定，不易变形，面板拼接、胶合强度、含水率、静曲强度、弹性模量和甲醛释放量符合GB/T9846-2015和GB18580-2017的要求。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4.脚钉：脚钉采用TPR防滑脚钉，有效防止划伤地板，脚钉邻笨二甲酸酯检出，符合GB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5.产品：底板离地高度：225mm      内空尺寸：570*520*230mm；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8.其它：方便积木的收纳和游戏，搭配区角使用，实用性更强。适用年龄：3岁～6岁。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53</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7392" behindDoc="0" locked="0" layoutInCell="1" allowOverlap="1">
                  <wp:simplePos x="0" y="0"/>
                  <wp:positionH relativeFrom="column">
                    <wp:posOffset>158115</wp:posOffset>
                  </wp:positionH>
                  <wp:positionV relativeFrom="paragraph">
                    <wp:posOffset>604520</wp:posOffset>
                  </wp:positionV>
                  <wp:extent cx="662940" cy="508000"/>
                  <wp:effectExtent l="0" t="0" r="3810" b="6350"/>
                  <wp:wrapNone/>
                  <wp:docPr id="29" name="图片_37"/>
                  <wp:cNvGraphicFramePr/>
                  <a:graphic xmlns:a="http://schemas.openxmlformats.org/drawingml/2006/main">
                    <a:graphicData uri="http://schemas.openxmlformats.org/drawingml/2006/picture">
                      <pic:pic xmlns:pic="http://schemas.openxmlformats.org/drawingml/2006/picture">
                        <pic:nvPicPr>
                          <pic:cNvPr id="29" name="图片_37"/>
                          <pic:cNvPicPr/>
                        </pic:nvPicPr>
                        <pic:blipFill>
                          <a:blip r:embed="rId77"/>
                          <a:stretch>
                            <a:fillRect/>
                          </a:stretch>
                        </pic:blipFill>
                        <pic:spPr>
                          <a:xfrm>
                            <a:off x="0" y="0"/>
                            <a:ext cx="662940" cy="50800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上下格内空尺寸：900*300*232.5mm；产品外观要求、理化性能要求、结构安全、有害物质限量（可迁移元素、甲醛释放量等）、力学性能、警示标识等符合GB28007-2011标准要求。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7.其它：柜子为2层无背板设计，层板使用H型方管加固防止变形；安装防潮脚钉。配上教具盒更加方便使用，实用性更强，适用年龄：3岁～6岁。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54</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8416" behindDoc="0" locked="0" layoutInCell="1" allowOverlap="1">
                  <wp:simplePos x="0" y="0"/>
                  <wp:positionH relativeFrom="column">
                    <wp:posOffset>171450</wp:posOffset>
                  </wp:positionH>
                  <wp:positionV relativeFrom="paragraph">
                    <wp:posOffset>1809750</wp:posOffset>
                  </wp:positionV>
                  <wp:extent cx="654685" cy="504825"/>
                  <wp:effectExtent l="0" t="0" r="12065" b="9525"/>
                  <wp:wrapNone/>
                  <wp:docPr id="30" name="图片_38"/>
                  <wp:cNvGraphicFramePr/>
                  <a:graphic xmlns:a="http://schemas.openxmlformats.org/drawingml/2006/main">
                    <a:graphicData uri="http://schemas.openxmlformats.org/drawingml/2006/picture">
                      <pic:pic xmlns:pic="http://schemas.openxmlformats.org/drawingml/2006/picture">
                        <pic:nvPicPr>
                          <pic:cNvPr id="30" name="图片_38"/>
                          <pic:cNvPicPr/>
                        </pic:nvPicPr>
                        <pic:blipFill>
                          <a:blip r:embed="rId78"/>
                          <a:stretch>
                            <a:fillRect/>
                          </a:stretch>
                        </pic:blipFill>
                        <pic:spPr>
                          <a:xfrm>
                            <a:off x="0" y="0"/>
                            <a:ext cx="654685" cy="50482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上格内空尺寸：442.5*300*232.5mm 下格内空尺寸：290*300*232.5mm；产品外观要求、理化性能要求、结构安全、有害物质限量（可迁移元素、甲醛释放量等）、力学性能、警示标识等符合GB28007-2011标准要求。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7.其它：柜子为2层5格半背板设计，安装防潮脚钉。配上教具盒更加方便使用，实用性更强，适用年龄：3岁～6岁。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55</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2层90°弧形矮柜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09440" behindDoc="0" locked="0" layoutInCell="1" allowOverlap="1">
                  <wp:simplePos x="0" y="0"/>
                  <wp:positionH relativeFrom="column">
                    <wp:posOffset>235585</wp:posOffset>
                  </wp:positionH>
                  <wp:positionV relativeFrom="paragraph">
                    <wp:posOffset>1810385</wp:posOffset>
                  </wp:positionV>
                  <wp:extent cx="562610" cy="331470"/>
                  <wp:effectExtent l="0" t="0" r="8890" b="11430"/>
                  <wp:wrapNone/>
                  <wp:docPr id="32" name="图片_39"/>
                  <wp:cNvGraphicFramePr/>
                  <a:graphic xmlns:a="http://schemas.openxmlformats.org/drawingml/2006/main">
                    <a:graphicData uri="http://schemas.openxmlformats.org/drawingml/2006/picture">
                      <pic:pic xmlns:pic="http://schemas.openxmlformats.org/drawingml/2006/picture">
                        <pic:nvPicPr>
                          <pic:cNvPr id="32" name="图片_39"/>
                          <pic:cNvPicPr/>
                        </pic:nvPicPr>
                        <pic:blipFill>
                          <a:blip r:embed="rId79"/>
                          <a:stretch>
                            <a:fillRect/>
                          </a:stretch>
                        </pic:blipFill>
                        <pic:spPr>
                          <a:xfrm>
                            <a:off x="0" y="0"/>
                            <a:ext cx="562610" cy="33147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规格：L85×W39×H61CM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7.其它：柜子2层4格的弧形设计，整体弧度R300mm,外弧度R600mm设计。搭配区角空间使用率更高。安装防潮脚钉，实用性更强，适用年龄：3岁～6岁。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6"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56</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美术储物架</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0464" behindDoc="0" locked="0" layoutInCell="1" allowOverlap="1">
                  <wp:simplePos x="0" y="0"/>
                  <wp:positionH relativeFrom="column">
                    <wp:posOffset>256540</wp:posOffset>
                  </wp:positionH>
                  <wp:positionV relativeFrom="paragraph">
                    <wp:posOffset>842645</wp:posOffset>
                  </wp:positionV>
                  <wp:extent cx="581660" cy="539750"/>
                  <wp:effectExtent l="0" t="0" r="8890" b="12700"/>
                  <wp:wrapNone/>
                  <wp:docPr id="33" name="图片_33"/>
                  <wp:cNvGraphicFramePr/>
                  <a:graphic xmlns:a="http://schemas.openxmlformats.org/drawingml/2006/main">
                    <a:graphicData uri="http://schemas.openxmlformats.org/drawingml/2006/picture">
                      <pic:pic xmlns:pic="http://schemas.openxmlformats.org/drawingml/2006/picture">
                        <pic:nvPicPr>
                          <pic:cNvPr id="33" name="图片_33"/>
                          <pic:cNvPicPr/>
                        </pic:nvPicPr>
                        <pic:blipFill>
                          <a:blip r:embed="rId80"/>
                          <a:stretch>
                            <a:fillRect/>
                          </a:stretch>
                        </pic:blipFill>
                        <pic:spPr>
                          <a:xfrm>
                            <a:off x="0" y="0"/>
                            <a:ext cx="58166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规格：L92xW50xH81cm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1.板材：采用健康环保18mm+12mm实木多层板+实木加工而成，实木多层板材质稳定，不易变形，面板拼接、胶合强度、含水率、静曲强度、弹性模量和甲醛释放量符合GB/T9846-2015和GB18580-2017的要求。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4.脚轮：采用TPR静音万向轮，方便移动，脚轮外观要求符合QB/T4765-2014标准要求。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5.产品：底板离地高度：63mm；    上下格内空尺寸：840*420*310mm产品外观要求、理化性能要求、结构安全、有害物质限量（可迁移元素、甲醛释放量等）、力学性能、警示标识等符合GB28007-2011标准要求。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8.其它：方便美术成品的统一收纳，益于园所环境的整理、整洁。适用年龄：3岁～6岁。</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57</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42格茶杯架-落地款</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707390" cy="982980"/>
                  <wp:effectExtent l="0" t="0" r="16510" b="7620"/>
                  <wp:docPr id="11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6"/>
                          <pic:cNvPicPr>
                            <a:picLocks noChangeAspect="1"/>
                          </pic:cNvPicPr>
                        </pic:nvPicPr>
                        <pic:blipFill>
                          <a:blip r:embed="rId49"/>
                          <a:stretch>
                            <a:fillRect/>
                          </a:stretch>
                        </pic:blipFill>
                        <pic:spPr>
                          <a:xfrm>
                            <a:off x="0" y="0"/>
                            <a:ext cx="707390" cy="982980"/>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规格：L73xW30xH102cm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1.板材：采用健康环保的9mm+15mm实木多层板，实木多层板材质稳定，不易变形，面板拼接、胶合强度、含水率、静曲强度、弹性模量和甲醛释放量符合GB/T9846-2015和GB18580-2017的要求。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7.其它：围脚高度：40mm；下柜左右格内空尺寸：340*260*190mm； 上柜共42格，格内空95*95*100mm：上门尺寸：745*350mm,下门尺寸：364*204mm；大容量储存，节省存放空间，管理更方便。适用年龄3-6岁。</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58</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大象造型40人毛巾架</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993775" cy="945515"/>
                  <wp:effectExtent l="0" t="0" r="15875" b="6985"/>
                  <wp:docPr id="1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7"/>
                          <pic:cNvPicPr>
                            <a:picLocks noChangeAspect="1"/>
                          </pic:cNvPicPr>
                        </pic:nvPicPr>
                        <pic:blipFill>
                          <a:blip r:embed="rId81"/>
                          <a:stretch>
                            <a:fillRect/>
                          </a:stretch>
                        </pic:blipFill>
                        <pic:spPr>
                          <a:xfrm>
                            <a:off x="0" y="0"/>
                            <a:ext cx="993775" cy="945515"/>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规格：L111×W50×H99cm含轮</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1.板材：采用健康环保12mm+18mm实木多层板，实木多层板材质稳定，不易变形，面板拼接、胶合强度、含水率、静曲强度、弹性模量和甲醛释放量符合GB/T9846-2015和GB18580-2017的要求。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4.脚轮：采用TPR静音万向轮，方便移动，脚轮外观要求符合QB/T4765-2014标准要求。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5.油墨：图案图案采用优质环保油墨，使用美工机喷绘，图案更加清晰立体不易褪色，油墨可迁移元素（锑、砷、钡、镉、铬、铅、汞、硒），符合GB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6.产品：轮子高度：53mm；第一层架子高度：600mm；第二层架子高度：990mm；  柜体共40个挂勾，挂勾间距95mm；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9.其它：生动的卡通造型更加搭配课室场景、安全的圆角处理，更放心使用。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59</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环保原木活动床</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1488" behindDoc="0" locked="0" layoutInCell="1" allowOverlap="1">
                  <wp:simplePos x="0" y="0"/>
                  <wp:positionH relativeFrom="column">
                    <wp:posOffset>29210</wp:posOffset>
                  </wp:positionH>
                  <wp:positionV relativeFrom="paragraph">
                    <wp:posOffset>2492375</wp:posOffset>
                  </wp:positionV>
                  <wp:extent cx="883285" cy="469265"/>
                  <wp:effectExtent l="0" t="0" r="12065" b="6985"/>
                  <wp:wrapNone/>
                  <wp:docPr id="36" name="图片_36"/>
                  <wp:cNvGraphicFramePr/>
                  <a:graphic xmlns:a="http://schemas.openxmlformats.org/drawingml/2006/main">
                    <a:graphicData uri="http://schemas.openxmlformats.org/drawingml/2006/picture">
                      <pic:pic xmlns:pic="http://schemas.openxmlformats.org/drawingml/2006/picture">
                        <pic:nvPicPr>
                          <pic:cNvPr id="36" name="图片_36"/>
                          <pic:cNvPicPr/>
                        </pic:nvPicPr>
                        <pic:blipFill>
                          <a:blip r:embed="rId82"/>
                          <a:stretch>
                            <a:fillRect/>
                          </a:stretch>
                        </pic:blipFill>
                        <pic:spPr>
                          <a:xfrm>
                            <a:off x="0" y="0"/>
                            <a:ext cx="883285" cy="4692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规格：L140xW60xH17cm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1.板材：采用优质20.5mm厚樟子松框架+芬兰松床板+45x45mm樟子松床脚加工而成，材料环保，性能稳定，坚固稳靠。</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塑料钳合件：床脚下端安装防滑钳合脚钉，床脚上端安装凹槽ABS塑料件，塑料件扇形设计，尺寸46.5*46.5*15.5mm，凹槽孔Ф22mm，当床层叠时候，脚钉钳合在塑料件的凹槽内，使得层叠的活动床更加稳固，不易倾倒，起到安全作用，塑料件原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内空1342x540mm，床板1340*539*(12+12)mm，床板条70mm宽，12mm厚，间隔24mm；床板离地高度12cm（含脚垫12.8cm）；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6.其它：堆叠高度：(17.5+(n-1)x15.8)cm。产品简约环保，节省空间，更方便管理。适用年龄：适用年龄：3岁～6岁。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60</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帐篷</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2512" behindDoc="0" locked="0" layoutInCell="1" allowOverlap="1">
                  <wp:simplePos x="0" y="0"/>
                  <wp:positionH relativeFrom="column">
                    <wp:posOffset>165735</wp:posOffset>
                  </wp:positionH>
                  <wp:positionV relativeFrom="paragraph">
                    <wp:posOffset>80645</wp:posOffset>
                  </wp:positionV>
                  <wp:extent cx="689610" cy="636270"/>
                  <wp:effectExtent l="0" t="0" r="15240" b="11430"/>
                  <wp:wrapNone/>
                  <wp:docPr id="37" name="图片_58"/>
                  <wp:cNvGraphicFramePr/>
                  <a:graphic xmlns:a="http://schemas.openxmlformats.org/drawingml/2006/main">
                    <a:graphicData uri="http://schemas.openxmlformats.org/drawingml/2006/picture">
                      <pic:pic xmlns:pic="http://schemas.openxmlformats.org/drawingml/2006/picture">
                        <pic:nvPicPr>
                          <pic:cNvPr id="37" name="图片_58"/>
                          <pic:cNvPicPr/>
                        </pic:nvPicPr>
                        <pic:blipFill>
                          <a:blip r:embed="rId55"/>
                          <a:stretch>
                            <a:fillRect/>
                          </a:stretch>
                        </pic:blipFill>
                        <pic:spPr>
                          <a:xfrm>
                            <a:off x="0" y="0"/>
                            <a:ext cx="689610" cy="63627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规格：100-120*165cm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1.板材：采用健康环保的实木，硬度强，不易折弯。</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w:t>
            </w:r>
            <w:r>
              <w:rPr>
                <w:rFonts w:hint="eastAsia" w:ascii="仿宋" w:hAnsi="仿宋" w:eastAsia="仿宋" w:cs="仿宋"/>
                <w:kern w:val="0"/>
                <w:sz w:val="24"/>
                <w:szCs w:val="24"/>
              </w:rPr>
              <w:t xml:space="preserve"> 麻绒布：甲醛含量未检出，PH值≤5.3，染色牢度符</w:t>
            </w:r>
            <w:r>
              <w:rPr>
                <w:rStyle w:val="964"/>
                <w:rFonts w:hint="eastAsia" w:ascii="仿宋" w:hAnsi="仿宋" w:eastAsia="仿宋" w:cs="仿宋"/>
                <w:sz w:val="24"/>
                <w:szCs w:val="24"/>
                <w:lang w:bidi="ar"/>
              </w:rPr>
              <w:t>合，符合GB 18401-2010的检验标准</w:t>
            </w:r>
            <w:r>
              <w:rPr>
                <w:rFonts w:hint="eastAsia" w:ascii="仿宋" w:hAnsi="仿宋" w:eastAsia="仿宋" w:cs="仿宋"/>
                <w:color w:val="000000"/>
                <w:kern w:val="0"/>
                <w:sz w:val="24"/>
                <w:szCs w:val="24"/>
                <w:lang w:bidi="ar"/>
              </w:rPr>
              <w:t>，坐垫软硬适中，不易拉扯破损，抗污迹，易清洁。</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900" w:type="dxa"/>
            <w:gridSpan w:val="6"/>
            <w:shd w:val="clear" w:color="auto" w:fill="auto"/>
            <w:noWrap/>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大班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61</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可调6人桌.原色</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3536" behindDoc="0" locked="0" layoutInCell="1" allowOverlap="1">
                  <wp:simplePos x="0" y="0"/>
                  <wp:positionH relativeFrom="column">
                    <wp:posOffset>168275</wp:posOffset>
                  </wp:positionH>
                  <wp:positionV relativeFrom="paragraph">
                    <wp:posOffset>1788160</wp:posOffset>
                  </wp:positionV>
                  <wp:extent cx="712470" cy="493395"/>
                  <wp:effectExtent l="0" t="0" r="11430" b="1905"/>
                  <wp:wrapNone/>
                  <wp:docPr id="38" name="图片_81"/>
                  <wp:cNvGraphicFramePr/>
                  <a:graphic xmlns:a="http://schemas.openxmlformats.org/drawingml/2006/main">
                    <a:graphicData uri="http://schemas.openxmlformats.org/drawingml/2006/picture">
                      <pic:pic xmlns:pic="http://schemas.openxmlformats.org/drawingml/2006/picture">
                        <pic:nvPicPr>
                          <pic:cNvPr id="38" name="图片_81"/>
                          <pic:cNvPicPr/>
                        </pic:nvPicPr>
                        <pic:blipFill>
                          <a:blip r:embed="rId83"/>
                          <a:stretch>
                            <a:fillRect/>
                          </a:stretch>
                        </pic:blipFill>
                        <pic:spPr>
                          <a:xfrm>
                            <a:off x="0" y="0"/>
                            <a:ext cx="712470" cy="49339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规格：L120xW60xH49/52/55cm可调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62</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b/>
                <w:bCs/>
                <w:color w:val="000000"/>
                <w:kern w:val="0"/>
                <w:sz w:val="24"/>
                <w:szCs w:val="24"/>
                <w:lang w:bidi="ar"/>
              </w:rPr>
              <w:t>椅子.大班（</w:t>
            </w:r>
            <w:r>
              <w:rPr>
                <w:rFonts w:hint="eastAsia" w:ascii="仿宋" w:hAnsi="仿宋" w:eastAsia="仿宋" w:cs="仿宋"/>
                <w:b/>
                <w:bCs/>
                <w:color w:val="000000"/>
                <w:kern w:val="0"/>
                <w:sz w:val="24"/>
                <w:szCs w:val="24"/>
                <w:lang w:val="en-US" w:eastAsia="zh-CN" w:bidi="ar"/>
              </w:rPr>
              <w:t>需提供样品</w:t>
            </w:r>
            <w:r>
              <w:rPr>
                <w:rFonts w:hint="eastAsia" w:ascii="仿宋" w:hAnsi="仿宋" w:eastAsia="仿宋" w:cs="仿宋"/>
                <w:b/>
                <w:bCs/>
                <w:color w:val="000000"/>
                <w:kern w:val="0"/>
                <w:sz w:val="24"/>
                <w:szCs w:val="24"/>
                <w:lang w:bidi="ar"/>
              </w:rPr>
              <w:t>）</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4560" behindDoc="0" locked="0" layoutInCell="1" allowOverlap="1">
                  <wp:simplePos x="0" y="0"/>
                  <wp:positionH relativeFrom="column">
                    <wp:posOffset>267335</wp:posOffset>
                  </wp:positionH>
                  <wp:positionV relativeFrom="paragraph">
                    <wp:posOffset>1290955</wp:posOffset>
                  </wp:positionV>
                  <wp:extent cx="405130" cy="647700"/>
                  <wp:effectExtent l="0" t="0" r="13970" b="0"/>
                  <wp:wrapNone/>
                  <wp:docPr id="39" name="图片_82"/>
                  <wp:cNvGraphicFramePr/>
                  <a:graphic xmlns:a="http://schemas.openxmlformats.org/drawingml/2006/main">
                    <a:graphicData uri="http://schemas.openxmlformats.org/drawingml/2006/picture">
                      <pic:pic xmlns:pic="http://schemas.openxmlformats.org/drawingml/2006/picture">
                        <pic:nvPicPr>
                          <pic:cNvPr id="39" name="图片_82"/>
                          <pic:cNvPicPr/>
                        </pic:nvPicPr>
                        <pic:blipFill>
                          <a:blip r:embed="rId84"/>
                          <a:stretch>
                            <a:fillRect/>
                          </a:stretch>
                        </pic:blipFill>
                        <pic:spPr>
                          <a:xfrm>
                            <a:off x="0" y="0"/>
                            <a:ext cx="405130" cy="64770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规格：座高：31cm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1.板材：采用健康环保18mm实木多层板一次热压成型，实木多层板材质稳定，不易变形，面板拼接、胶合强度、含水率、静曲强度、弹性模量和甲醛释放量符合GB/T9846-2015和GB18580-2017的要求。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4.脚套：椅子脚采用TPR防滑脚套，有效防止划伤地板，脚套邻笨二甲酸酯，符合GB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5.其它：椅子根据人工力学个性化设计，一体成型，温馨舒适，PP塑料加固角码，更加牢固。适用年龄：3岁～6岁。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63</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b/>
                <w:bCs/>
                <w:color w:val="000000"/>
                <w:kern w:val="0"/>
                <w:sz w:val="24"/>
                <w:szCs w:val="24"/>
                <w:lang w:bidi="ar"/>
              </w:rPr>
              <w:t>可调月亮桌（</w:t>
            </w:r>
            <w:r>
              <w:rPr>
                <w:rFonts w:hint="eastAsia" w:ascii="仿宋" w:hAnsi="仿宋" w:eastAsia="仿宋" w:cs="仿宋"/>
                <w:b/>
                <w:bCs/>
                <w:color w:val="000000"/>
                <w:kern w:val="0"/>
                <w:sz w:val="24"/>
                <w:szCs w:val="24"/>
                <w:lang w:val="en-US" w:eastAsia="zh-CN" w:bidi="ar"/>
              </w:rPr>
              <w:t>需提供样品</w:t>
            </w:r>
            <w:r>
              <w:rPr>
                <w:rFonts w:hint="eastAsia" w:ascii="仿宋" w:hAnsi="仿宋" w:eastAsia="仿宋" w:cs="仿宋"/>
                <w:b/>
                <w:bCs/>
                <w:color w:val="000000"/>
                <w:kern w:val="0"/>
                <w:sz w:val="24"/>
                <w:szCs w:val="24"/>
                <w:lang w:bidi="ar"/>
              </w:rPr>
              <w:t>）</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5584" behindDoc="0" locked="0" layoutInCell="1" allowOverlap="1">
                  <wp:simplePos x="0" y="0"/>
                  <wp:positionH relativeFrom="column">
                    <wp:posOffset>162560</wp:posOffset>
                  </wp:positionH>
                  <wp:positionV relativeFrom="paragraph">
                    <wp:posOffset>1725930</wp:posOffset>
                  </wp:positionV>
                  <wp:extent cx="676275" cy="493395"/>
                  <wp:effectExtent l="0" t="0" r="9525" b="1905"/>
                  <wp:wrapNone/>
                  <wp:docPr id="40" name="图片_83"/>
                  <wp:cNvGraphicFramePr/>
                  <a:graphic xmlns:a="http://schemas.openxmlformats.org/drawingml/2006/main">
                    <a:graphicData uri="http://schemas.openxmlformats.org/drawingml/2006/picture">
                      <pic:pic xmlns:pic="http://schemas.openxmlformats.org/drawingml/2006/picture">
                        <pic:nvPicPr>
                          <pic:cNvPr id="40" name="图片_83"/>
                          <pic:cNvPicPr/>
                        </pic:nvPicPr>
                        <pic:blipFill>
                          <a:blip r:embed="rId85"/>
                          <a:stretch>
                            <a:fillRect/>
                          </a:stretch>
                        </pic:blipFill>
                        <pic:spPr>
                          <a:xfrm>
                            <a:off x="0" y="0"/>
                            <a:ext cx="676275" cy="49339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规格：L120xW60xH49/52/55cm可调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64</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可调圆桌</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6608" behindDoc="0" locked="0" layoutInCell="1" allowOverlap="1">
                  <wp:simplePos x="0" y="0"/>
                  <wp:positionH relativeFrom="column">
                    <wp:posOffset>238125</wp:posOffset>
                  </wp:positionH>
                  <wp:positionV relativeFrom="paragraph">
                    <wp:posOffset>799465</wp:posOffset>
                  </wp:positionV>
                  <wp:extent cx="569595" cy="507365"/>
                  <wp:effectExtent l="0" t="0" r="1905" b="6985"/>
                  <wp:wrapNone/>
                  <wp:docPr id="41" name="图片_84"/>
                  <wp:cNvGraphicFramePr/>
                  <a:graphic xmlns:a="http://schemas.openxmlformats.org/drawingml/2006/main">
                    <a:graphicData uri="http://schemas.openxmlformats.org/drawingml/2006/picture">
                      <pic:pic xmlns:pic="http://schemas.openxmlformats.org/drawingml/2006/picture">
                        <pic:nvPicPr>
                          <pic:cNvPr id="41" name="图片_84"/>
                          <pic:cNvPicPr/>
                        </pic:nvPicPr>
                        <pic:blipFill>
                          <a:blip r:embed="rId86"/>
                          <a:stretch>
                            <a:fillRect/>
                          </a:stretch>
                        </pic:blipFill>
                        <pic:spPr>
                          <a:xfrm>
                            <a:off x="0" y="0"/>
                            <a:ext cx="569595" cy="5073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规格：Φ90xH49、52、55cm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1.板材：主要采用实木多层板搭配实木桌腿加工而成，桌面厚度：24mm，面板实木多层板材质稳定，不易变形，面板拼接、胶合强度、含水率、静曲强度、弹性模量和甲醛释放量符合GB/T9846-2015和GB18580-2017的要求。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65</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小方桌</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7632" behindDoc="0" locked="0" layoutInCell="1" allowOverlap="1">
                  <wp:simplePos x="0" y="0"/>
                  <wp:positionH relativeFrom="column">
                    <wp:posOffset>180975</wp:posOffset>
                  </wp:positionH>
                  <wp:positionV relativeFrom="paragraph">
                    <wp:posOffset>1461770</wp:posOffset>
                  </wp:positionV>
                  <wp:extent cx="719455" cy="683260"/>
                  <wp:effectExtent l="0" t="0" r="4445" b="2540"/>
                  <wp:wrapNone/>
                  <wp:docPr id="42" name="图片_85"/>
                  <wp:cNvGraphicFramePr/>
                  <a:graphic xmlns:a="http://schemas.openxmlformats.org/drawingml/2006/main">
                    <a:graphicData uri="http://schemas.openxmlformats.org/drawingml/2006/picture">
                      <pic:pic xmlns:pic="http://schemas.openxmlformats.org/drawingml/2006/picture">
                        <pic:nvPicPr>
                          <pic:cNvPr id="42" name="图片_85"/>
                          <pic:cNvPicPr/>
                        </pic:nvPicPr>
                        <pic:blipFill>
                          <a:blip r:embed="rId87"/>
                          <a:stretch>
                            <a:fillRect/>
                          </a:stretch>
                        </pic:blipFill>
                        <pic:spPr>
                          <a:xfrm>
                            <a:off x="0" y="0"/>
                            <a:ext cx="719455" cy="68326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规格：L60xW60xH30cm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1.板材：主要采用24mm实木多层板搭配实木桌腿加工而成，面板实木多层板材质稳定，不易变形，面板拼接、胶合强度、含水率、静曲强度、弹性模量和甲醛释放量符合GB/T9846-2015和GB18580-2017的要求。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3.脚钉：脚钉采用TPR防滑脚钉，有效防止划伤地板，脚钉邻笨二甲酸酯检出，符合GB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5.其它：桌脚与桌面之间采用塑料连接件，无需任何五金安装，连接件高65mm,内径41.5mm,外径51mm，安装简易，线条圆润流畅柔美，能减少磕碰的意外。塑料连接件中邻笨二甲酸酯中DEHP、DBP、BBP等符合GB 6675.1-2014标准要求。使用年龄：3岁～6岁。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66</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书架</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8656" behindDoc="0" locked="0" layoutInCell="1" allowOverlap="1">
                  <wp:simplePos x="0" y="0"/>
                  <wp:positionH relativeFrom="column">
                    <wp:posOffset>142875</wp:posOffset>
                  </wp:positionH>
                  <wp:positionV relativeFrom="paragraph">
                    <wp:posOffset>537845</wp:posOffset>
                  </wp:positionV>
                  <wp:extent cx="713105" cy="539750"/>
                  <wp:effectExtent l="0" t="0" r="10795" b="12700"/>
                  <wp:wrapNone/>
                  <wp:docPr id="43" name="图片_86"/>
                  <wp:cNvGraphicFramePr/>
                  <a:graphic xmlns:a="http://schemas.openxmlformats.org/drawingml/2006/main">
                    <a:graphicData uri="http://schemas.openxmlformats.org/drawingml/2006/picture">
                      <pic:pic xmlns:pic="http://schemas.openxmlformats.org/drawingml/2006/picture">
                        <pic:nvPicPr>
                          <pic:cNvPr id="43" name="图片_86"/>
                          <pic:cNvPicPr/>
                        </pic:nvPicPr>
                        <pic:blipFill>
                          <a:blip r:embed="rId88"/>
                          <a:stretch>
                            <a:fillRect/>
                          </a:stretch>
                        </pic:blipFill>
                        <pic:spPr>
                          <a:xfrm>
                            <a:off x="0" y="0"/>
                            <a:ext cx="71310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规格：L93×W30×H61CM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书架上下格内空尺寸：900*60*210mm； 下格内空尺寸：900*300*110mm.产品外观要求、理化性能要求、结构安全、有害物质限量（可迁移元素、甲醛释放量等）、力学性能、警示标识等符合GB28007-2011标准要求。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7.其它：上半部分可做书本收纳，下层可以搭配教具盒，安装防潮脚钉，实用性更强，适用年龄：3岁～6岁。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67</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19680" behindDoc="0" locked="0" layoutInCell="1" allowOverlap="1">
                  <wp:simplePos x="0" y="0"/>
                  <wp:positionH relativeFrom="column">
                    <wp:posOffset>180975</wp:posOffset>
                  </wp:positionH>
                  <wp:positionV relativeFrom="paragraph">
                    <wp:posOffset>1745615</wp:posOffset>
                  </wp:positionV>
                  <wp:extent cx="719455" cy="502285"/>
                  <wp:effectExtent l="0" t="0" r="4445" b="12065"/>
                  <wp:wrapNone/>
                  <wp:docPr id="44" name="图片_74"/>
                  <wp:cNvGraphicFramePr/>
                  <a:graphic xmlns:a="http://schemas.openxmlformats.org/drawingml/2006/main">
                    <a:graphicData uri="http://schemas.openxmlformats.org/drawingml/2006/picture">
                      <pic:pic xmlns:pic="http://schemas.openxmlformats.org/drawingml/2006/picture">
                        <pic:nvPicPr>
                          <pic:cNvPr id="44" name="图片_74"/>
                          <pic:cNvPicPr/>
                        </pic:nvPicPr>
                        <pic:blipFill>
                          <a:blip r:embed="rId89"/>
                          <a:stretch>
                            <a:fillRect/>
                          </a:stretch>
                        </pic:blipFill>
                        <pic:spPr>
                          <a:xfrm>
                            <a:off x="0" y="0"/>
                            <a:ext cx="719455" cy="50228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上下格内空尺寸：290*300*232.5mm;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7.其它：柜子为2层6格无背板设计，安装防潮脚钉。配上教具盒更加方便使用，实用性更强，适用年龄：3岁～6岁。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68</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阶梯组合柜.无背板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0704" behindDoc="0" locked="0" layoutInCell="1" allowOverlap="1">
                  <wp:simplePos x="0" y="0"/>
                  <wp:positionH relativeFrom="column">
                    <wp:posOffset>244475</wp:posOffset>
                  </wp:positionH>
                  <wp:positionV relativeFrom="paragraph">
                    <wp:posOffset>734695</wp:posOffset>
                  </wp:positionV>
                  <wp:extent cx="560070" cy="539750"/>
                  <wp:effectExtent l="0" t="0" r="11430" b="12700"/>
                  <wp:wrapNone/>
                  <wp:docPr id="45" name="图片_75"/>
                  <wp:cNvGraphicFramePr/>
                  <a:graphic xmlns:a="http://schemas.openxmlformats.org/drawingml/2006/main">
                    <a:graphicData uri="http://schemas.openxmlformats.org/drawingml/2006/picture">
                      <pic:pic xmlns:pic="http://schemas.openxmlformats.org/drawingml/2006/picture">
                        <pic:nvPicPr>
                          <pic:cNvPr id="45" name="图片_75"/>
                          <pic:cNvPicPr/>
                        </pic:nvPicPr>
                        <pic:blipFill>
                          <a:blip r:embed="rId90"/>
                          <a:stretch>
                            <a:fillRect/>
                          </a:stretch>
                        </pic:blipFill>
                        <pic:spPr>
                          <a:xfrm>
                            <a:off x="0" y="0"/>
                            <a:ext cx="56007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规格：3层：L30×W30×H81cm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2层：L30×W30×H61cm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1层：L30×W30×H35cm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上下格内空尺寸：270*300*220mm；产品外观要求、理化性能要求、结构安全、有害物质限量（可迁移元素、甲醛释放量等）、力学性能、警示标识等符合GB28007-2011标准要求。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69</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3层高柜.全背板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1728" behindDoc="0" locked="0" layoutInCell="1" allowOverlap="1">
                  <wp:simplePos x="0" y="0"/>
                  <wp:positionH relativeFrom="column">
                    <wp:posOffset>251460</wp:posOffset>
                  </wp:positionH>
                  <wp:positionV relativeFrom="paragraph">
                    <wp:posOffset>615315</wp:posOffset>
                  </wp:positionV>
                  <wp:extent cx="584200" cy="539750"/>
                  <wp:effectExtent l="0" t="0" r="6350" b="12700"/>
                  <wp:wrapNone/>
                  <wp:docPr id="46" name="图片_76"/>
                  <wp:cNvGraphicFramePr/>
                  <a:graphic xmlns:a="http://schemas.openxmlformats.org/drawingml/2006/main">
                    <a:graphicData uri="http://schemas.openxmlformats.org/drawingml/2006/picture">
                      <pic:pic xmlns:pic="http://schemas.openxmlformats.org/drawingml/2006/picture">
                        <pic:nvPicPr>
                          <pic:cNvPr id="46" name="图片_76"/>
                          <pic:cNvPicPr/>
                        </pic:nvPicPr>
                        <pic:blipFill>
                          <a:blip r:embed="rId91"/>
                          <a:stretch>
                            <a:fillRect/>
                          </a:stretch>
                        </pic:blipFill>
                        <pic:spPr>
                          <a:xfrm>
                            <a:off x="0" y="0"/>
                            <a:ext cx="58420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规格：L93xW30xH81cm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4.产品：5mm中纤饰面背板；围脚高度：60mm    上中下格内空尺寸：900*280*224mm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7.其它：柜子为3层带背板大容量收纳空间，安装防潮脚钉。配上教具盒更加方便使用，实用性更强，适用年龄：3岁～6岁。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70</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8格万用高柜.全背板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2752" behindDoc="0" locked="0" layoutInCell="1" allowOverlap="1">
                  <wp:simplePos x="0" y="0"/>
                  <wp:positionH relativeFrom="column">
                    <wp:posOffset>222885</wp:posOffset>
                  </wp:positionH>
                  <wp:positionV relativeFrom="paragraph">
                    <wp:posOffset>158750</wp:posOffset>
                  </wp:positionV>
                  <wp:extent cx="571500" cy="539750"/>
                  <wp:effectExtent l="0" t="0" r="0" b="12700"/>
                  <wp:wrapNone/>
                  <wp:docPr id="51" name="图片_77"/>
                  <wp:cNvGraphicFramePr/>
                  <a:graphic xmlns:a="http://schemas.openxmlformats.org/drawingml/2006/main">
                    <a:graphicData uri="http://schemas.openxmlformats.org/drawingml/2006/picture">
                      <pic:pic xmlns:pic="http://schemas.openxmlformats.org/drawingml/2006/picture">
                        <pic:nvPicPr>
                          <pic:cNvPr id="51" name="图片_77"/>
                          <pic:cNvPicPr/>
                        </pic:nvPicPr>
                        <pic:blipFill>
                          <a:blip r:embed="rId92"/>
                          <a:stretch>
                            <a:fillRect/>
                          </a:stretch>
                        </pic:blipFill>
                        <pic:spPr>
                          <a:xfrm>
                            <a:off x="0" y="0"/>
                            <a:ext cx="57150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规格：L93xW30xH81cm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4.产品：5mm中纤饰面背板；围脚高度：60mm    上下格内空尺寸：290*280*224mm  中格内空尺寸：442.5*280*224mm；产品外观要求、理化性能要求、结构安全、有害物质限量（可迁移元素、甲醛释放量等）、力学性能、警示标识等符合GB28007-2011标准要求。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7.其它：柜子为3层8格带背板大容量收纳空间，安装防潮脚钉。配上教具盒更加方便使用，实用性更强，适用年龄：3岁～6岁。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3"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71</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长颈鹿造型门</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927735" cy="962660"/>
                  <wp:effectExtent l="0" t="0" r="5715" b="8890"/>
                  <wp:docPr id="11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0"/>
                          <pic:cNvPicPr>
                            <a:picLocks noChangeAspect="1"/>
                          </pic:cNvPicPr>
                        </pic:nvPicPr>
                        <pic:blipFill>
                          <a:blip r:embed="rId66"/>
                          <a:stretch>
                            <a:fillRect/>
                          </a:stretch>
                        </pic:blipFill>
                        <pic:spPr>
                          <a:xfrm>
                            <a:off x="0" y="0"/>
                            <a:ext cx="927735" cy="962660"/>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规格：L197xW35xH173cm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 总体最宽35cm（叶子往前突出柜体）</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柜体宽30cm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木材：主要采用15mm环保实木多层板。板材表面纹理自然逼真，质地轻盈，强度高，拉力与弯曲性能强，材质结构稳定不易变形；经防虫、干燥处理后具有防潮、防霉、抗菌、抗酸、抗污染的功能，清洗起来非常的容易，防水等级非常的高。</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2.水性漆：采用环保水性漆，全封闭涂装工艺，漆面光泽度高，无颗粒、无气泡、无渣点，颜色均匀、漆膜丰满、柔韧性好并且具有耐水、耐磨、耐老化、耐黄变、耐霉菌、干燥快等特点。</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3.五金：采用优质五金，稳固不松动，五金表面经防锈处理，强度高、硬度高、寿命长，符合国家标准规范的要求。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4.油墨：图案采用优质环保油墨，使用美工机喷绘，图案更加清晰立体不易褪色。</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pStyle w:val="6"/>
              <w:spacing w:line="240" w:lineRule="auto"/>
              <w:ind w:firstLine="0" w:firstLineChars="0"/>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 xml:space="preserve">6.连接件：采用三合一连接件，具有金属镀层抗盐雾性，L型连接件抗弯强度≥390MPa，且符合GB/T28203-2011的检验标准。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72</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2层45°弧形矮柜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3776" behindDoc="0" locked="0" layoutInCell="1" allowOverlap="1">
                  <wp:simplePos x="0" y="0"/>
                  <wp:positionH relativeFrom="column">
                    <wp:posOffset>118110</wp:posOffset>
                  </wp:positionH>
                  <wp:positionV relativeFrom="paragraph">
                    <wp:posOffset>138430</wp:posOffset>
                  </wp:positionV>
                  <wp:extent cx="561975" cy="608965"/>
                  <wp:effectExtent l="0" t="0" r="9525" b="635"/>
                  <wp:wrapNone/>
                  <wp:docPr id="48" name="图片_79"/>
                  <wp:cNvGraphicFramePr/>
                  <a:graphic xmlns:a="http://schemas.openxmlformats.org/drawingml/2006/main">
                    <a:graphicData uri="http://schemas.openxmlformats.org/drawingml/2006/picture">
                      <pic:pic xmlns:pic="http://schemas.openxmlformats.org/drawingml/2006/picture">
                        <pic:nvPicPr>
                          <pic:cNvPr id="48" name="图片_79"/>
                          <pic:cNvPicPr/>
                        </pic:nvPicPr>
                        <pic:blipFill>
                          <a:blip r:embed="rId93"/>
                          <a:stretch>
                            <a:fillRect/>
                          </a:stretch>
                        </pic:blipFill>
                        <pic:spPr>
                          <a:xfrm>
                            <a:off x="0" y="0"/>
                            <a:ext cx="561975" cy="6089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规格：L46xW32xH61cm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7.其它：围脚由桦木多层板制作。面板的外弧R600mm，内弧300mm。搭配区角空间使用率更高，安装防潮脚钉，实用性更强，适用年龄：3岁～6岁。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73</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2层90°弧形矮柜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4800" behindDoc="0" locked="0" layoutInCell="1" allowOverlap="1">
                  <wp:simplePos x="0" y="0"/>
                  <wp:positionH relativeFrom="column">
                    <wp:posOffset>164465</wp:posOffset>
                  </wp:positionH>
                  <wp:positionV relativeFrom="paragraph">
                    <wp:posOffset>632460</wp:posOffset>
                  </wp:positionV>
                  <wp:extent cx="687070" cy="495935"/>
                  <wp:effectExtent l="0" t="0" r="17780" b="18415"/>
                  <wp:wrapNone/>
                  <wp:docPr id="52" name="图片_80"/>
                  <wp:cNvGraphicFramePr/>
                  <a:graphic xmlns:a="http://schemas.openxmlformats.org/drawingml/2006/main">
                    <a:graphicData uri="http://schemas.openxmlformats.org/drawingml/2006/picture">
                      <pic:pic xmlns:pic="http://schemas.openxmlformats.org/drawingml/2006/picture">
                        <pic:nvPicPr>
                          <pic:cNvPr id="52" name="图片_80"/>
                          <pic:cNvPicPr/>
                        </pic:nvPicPr>
                        <pic:blipFill>
                          <a:blip r:embed="rId94"/>
                          <a:stretch>
                            <a:fillRect/>
                          </a:stretch>
                        </pic:blipFill>
                        <pic:spPr>
                          <a:xfrm>
                            <a:off x="0" y="0"/>
                            <a:ext cx="687070" cy="49593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规格：L85×W39×H61CM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7.其它：柜子2层4格的弧形设计，整体弧度R300mm,外弧度R600mm设计。搭配区角空间使用率更高。安装防潮脚钉，实用性更强，适用年龄：3岁～6岁。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74</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b/>
                <w:bCs/>
                <w:color w:val="000000"/>
                <w:kern w:val="0"/>
                <w:sz w:val="24"/>
                <w:szCs w:val="24"/>
                <w:lang w:bidi="ar"/>
              </w:rPr>
              <w:t>惊喜盒子木偶台（</w:t>
            </w:r>
            <w:r>
              <w:rPr>
                <w:rFonts w:hint="eastAsia" w:ascii="仿宋" w:hAnsi="仿宋" w:eastAsia="仿宋" w:cs="仿宋"/>
                <w:b/>
                <w:bCs/>
                <w:color w:val="000000"/>
                <w:kern w:val="0"/>
                <w:sz w:val="24"/>
                <w:szCs w:val="24"/>
                <w:lang w:val="en-US" w:eastAsia="zh-CN" w:bidi="ar"/>
              </w:rPr>
              <w:t>需提供样品</w:t>
            </w:r>
            <w:r>
              <w:rPr>
                <w:rFonts w:hint="eastAsia" w:ascii="仿宋" w:hAnsi="仿宋" w:eastAsia="仿宋" w:cs="仿宋"/>
                <w:b/>
                <w:bCs/>
                <w:color w:val="000000"/>
                <w:kern w:val="0"/>
                <w:sz w:val="24"/>
                <w:szCs w:val="24"/>
                <w:lang w:bidi="ar"/>
              </w:rPr>
              <w:t>）</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791845" cy="1205230"/>
                  <wp:effectExtent l="0" t="0" r="8255" b="13970"/>
                  <wp:docPr id="117" name="图片 117" descr="e732f46f15e9f1fd69e751e2dd81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e732f46f15e9f1fd69e751e2dd81c74"/>
                          <pic:cNvPicPr>
                            <a:picLocks noChangeAspect="1"/>
                          </pic:cNvPicPr>
                        </pic:nvPicPr>
                        <pic:blipFill>
                          <a:blip r:embed="rId95"/>
                          <a:stretch>
                            <a:fillRect/>
                          </a:stretch>
                        </pic:blipFill>
                        <pic:spPr>
                          <a:xfrm>
                            <a:off x="0" y="0"/>
                            <a:ext cx="791845" cy="1205230"/>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规格：L93xW32xH149cm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1.板材：主要采用环保健康18mm实木多层板+15mm饰面刨花板加工而成，实木多层板材质稳定，不易变形，面板拼接、胶合强度、含水率、静曲强度、弹性模量和甲醛释放量符合GB/T9846-2015和GB18580-2017的要求。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4.油墨：图案采用优质环保油墨，使用美工机喷绘，图案更加清晰立体不易褪色，油墨可迁移元素（锑、砷、钡、镉、铬、铅、汞、硒），符合GB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5.布艺窗帘：采用优质环保布艺窗帘，布艺窗帘的PH值和甲醛释放量符合标准GB 18401-2010要求。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6.产品：柜体尺寸：930*300*600mm；上下格内空尺寸：900*300*232.5mm；上造型篷布尺寸：单条L500xW650mm（2条为1套）；下黑板尺寸：920*520*18mm ；    圆管尺寸：Ф19xL878mm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9.其它：黑板为可擦写黑板；安装防潮脚钉，实用性更强，适用年龄：3岁～6岁。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75</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5824" behindDoc="0" locked="0" layoutInCell="1" allowOverlap="1">
                  <wp:simplePos x="0" y="0"/>
                  <wp:positionH relativeFrom="column">
                    <wp:posOffset>222250</wp:posOffset>
                  </wp:positionH>
                  <wp:positionV relativeFrom="paragraph">
                    <wp:posOffset>1863725</wp:posOffset>
                  </wp:positionV>
                  <wp:extent cx="681355" cy="504825"/>
                  <wp:effectExtent l="0" t="0" r="4445" b="9525"/>
                  <wp:wrapNone/>
                  <wp:docPr id="50" name="图片_68"/>
                  <wp:cNvGraphicFramePr/>
                  <a:graphic xmlns:a="http://schemas.openxmlformats.org/drawingml/2006/main">
                    <a:graphicData uri="http://schemas.openxmlformats.org/drawingml/2006/picture">
                      <pic:pic xmlns:pic="http://schemas.openxmlformats.org/drawingml/2006/picture">
                        <pic:nvPicPr>
                          <pic:cNvPr id="50" name="图片_68"/>
                          <pic:cNvPicPr/>
                        </pic:nvPicPr>
                        <pic:blipFill>
                          <a:blip r:embed="rId96"/>
                          <a:stretch>
                            <a:fillRect/>
                          </a:stretch>
                        </pic:blipFill>
                        <pic:spPr>
                          <a:xfrm>
                            <a:off x="0" y="0"/>
                            <a:ext cx="681355" cy="50482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上格内空尺寸：442.5*300*232.5mm 下格内空尺寸：290*300*232.5mm；产品外观要求、理化性能要求、结构安全、有害物质限量（可迁移元素、甲醛释放量等）、力学性能、警示标识等符合GB28007-2011标准要求。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7.其它：柜子为2层5格半背板设计，安装防潮脚钉。配上教具盒更加方便使用，实用性更强，适用年龄：3岁～6岁。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76</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3层矮柜.无背板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6848" behindDoc="0" locked="0" layoutInCell="1" allowOverlap="1">
                  <wp:simplePos x="0" y="0"/>
                  <wp:positionH relativeFrom="column">
                    <wp:posOffset>202565</wp:posOffset>
                  </wp:positionH>
                  <wp:positionV relativeFrom="paragraph">
                    <wp:posOffset>761365</wp:posOffset>
                  </wp:positionV>
                  <wp:extent cx="719455" cy="525145"/>
                  <wp:effectExtent l="0" t="0" r="4445" b="8255"/>
                  <wp:wrapNone/>
                  <wp:docPr id="53" name="图片_69"/>
                  <wp:cNvGraphicFramePr/>
                  <a:graphic xmlns:a="http://schemas.openxmlformats.org/drawingml/2006/main">
                    <a:graphicData uri="http://schemas.openxmlformats.org/drawingml/2006/picture">
                      <pic:pic xmlns:pic="http://schemas.openxmlformats.org/drawingml/2006/picture">
                        <pic:nvPicPr>
                          <pic:cNvPr id="53" name="图片_69"/>
                          <pic:cNvPicPr/>
                        </pic:nvPicPr>
                        <pic:blipFill>
                          <a:blip r:embed="rId97"/>
                          <a:stretch>
                            <a:fillRect/>
                          </a:stretch>
                        </pic:blipFill>
                        <pic:spPr>
                          <a:xfrm>
                            <a:off x="0" y="0"/>
                            <a:ext cx="719455" cy="52514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上下格内空尺寸：900*300*150mm；产品外观要求、理化性能要求、结构安全、有害物质限量（可迁移元素、甲醛释放量等）、力学性能、警示标识等符合GB28007-2011标准要求。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7.其它：柜子为3层无背板设计，层板使用H型方管加固防止变形；安装防潮脚钉。配上教具盒更加方便使用，实用性更强，适用年龄：3岁～6岁。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77</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3层高柜.全背板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7872" behindDoc="0" locked="0" layoutInCell="1" allowOverlap="1">
                  <wp:simplePos x="0" y="0"/>
                  <wp:positionH relativeFrom="column">
                    <wp:posOffset>308610</wp:posOffset>
                  </wp:positionH>
                  <wp:positionV relativeFrom="paragraph">
                    <wp:posOffset>485140</wp:posOffset>
                  </wp:positionV>
                  <wp:extent cx="584200" cy="539750"/>
                  <wp:effectExtent l="0" t="0" r="6350" b="12700"/>
                  <wp:wrapNone/>
                  <wp:docPr id="89" name="图片_70"/>
                  <wp:cNvGraphicFramePr/>
                  <a:graphic xmlns:a="http://schemas.openxmlformats.org/drawingml/2006/main">
                    <a:graphicData uri="http://schemas.openxmlformats.org/drawingml/2006/picture">
                      <pic:pic xmlns:pic="http://schemas.openxmlformats.org/drawingml/2006/picture">
                        <pic:nvPicPr>
                          <pic:cNvPr id="89" name="图片_70"/>
                          <pic:cNvPicPr/>
                        </pic:nvPicPr>
                        <pic:blipFill>
                          <a:blip r:embed="rId91"/>
                          <a:stretch>
                            <a:fillRect/>
                          </a:stretch>
                        </pic:blipFill>
                        <pic:spPr>
                          <a:xfrm>
                            <a:off x="0" y="0"/>
                            <a:ext cx="58420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规格：L93xW30xH81cm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4.产品：5mm中纤饰面背板；围脚高度：60mm    上中下格内空尺寸：900*280*224mm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7.其它：柜子为3层带背板大容量收纳空间，安装防潮脚钉。配上教具盒更加方便使用，实用性更强，适用年龄：3岁～6岁。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78</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积木台</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8896" behindDoc="0" locked="0" layoutInCell="1" allowOverlap="1">
                  <wp:simplePos x="0" y="0"/>
                  <wp:positionH relativeFrom="column">
                    <wp:posOffset>182245</wp:posOffset>
                  </wp:positionH>
                  <wp:positionV relativeFrom="paragraph">
                    <wp:posOffset>2014220</wp:posOffset>
                  </wp:positionV>
                  <wp:extent cx="648335" cy="539750"/>
                  <wp:effectExtent l="0" t="0" r="18415" b="12700"/>
                  <wp:wrapNone/>
                  <wp:docPr id="90" name="图片_71"/>
                  <wp:cNvGraphicFramePr/>
                  <a:graphic xmlns:a="http://schemas.openxmlformats.org/drawingml/2006/main">
                    <a:graphicData uri="http://schemas.openxmlformats.org/drawingml/2006/picture">
                      <pic:pic xmlns:pic="http://schemas.openxmlformats.org/drawingml/2006/picture">
                        <pic:nvPicPr>
                          <pic:cNvPr id="90" name="图片_71"/>
                          <pic:cNvPicPr/>
                        </pic:nvPicPr>
                        <pic:blipFill>
                          <a:blip r:embed="rId76"/>
                          <a:stretch>
                            <a:fillRect/>
                          </a:stretch>
                        </pic:blipFill>
                        <pic:spPr>
                          <a:xfrm>
                            <a:off x="0" y="0"/>
                            <a:ext cx="64833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规格：L60xW60xH50cm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1.板材：采用健康环保15mm实木多层板，实木多层板材质稳定，不易变形，面板拼接、胶合强度、含水率、静曲强度、弹性模量和甲醛释放量符合GB/T9846-2015和GB18580-2017的要求。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4.脚钉：脚钉采用TPR防滑脚钉，有效防止划伤地板，脚钉邻笨二甲酸酯检出，符合GB 6675.1-2014、GB 28007-2011标准的要求。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5.产品：底板离地高度：225mm      内空尺寸：570*520*230mm；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8.其它：方便积木的收纳和游戏，搭配区角使用，实用性更强。适用年龄：3岁～6岁。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79</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b/>
                <w:bCs/>
                <w:color w:val="000000"/>
                <w:kern w:val="0"/>
                <w:sz w:val="24"/>
                <w:szCs w:val="24"/>
                <w:lang w:bidi="ar"/>
              </w:rPr>
              <w:t>美术作品晾干柜（</w:t>
            </w:r>
            <w:r>
              <w:rPr>
                <w:rFonts w:hint="eastAsia" w:ascii="仿宋" w:hAnsi="仿宋" w:eastAsia="仿宋" w:cs="仿宋"/>
                <w:b/>
                <w:bCs/>
                <w:color w:val="000000"/>
                <w:kern w:val="0"/>
                <w:sz w:val="24"/>
                <w:szCs w:val="24"/>
                <w:lang w:val="en-US" w:eastAsia="zh-CN" w:bidi="ar"/>
              </w:rPr>
              <w:t>需提供样品</w:t>
            </w:r>
            <w:r>
              <w:rPr>
                <w:rFonts w:hint="eastAsia" w:ascii="仿宋" w:hAnsi="仿宋" w:eastAsia="仿宋" w:cs="仿宋"/>
                <w:b/>
                <w:bCs/>
                <w:color w:val="000000"/>
                <w:kern w:val="0"/>
                <w:sz w:val="24"/>
                <w:szCs w:val="24"/>
                <w:lang w:bidi="ar"/>
              </w:rPr>
              <w:t>）</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29920" behindDoc="0" locked="0" layoutInCell="1" allowOverlap="1">
                  <wp:simplePos x="0" y="0"/>
                  <wp:positionH relativeFrom="column">
                    <wp:posOffset>316865</wp:posOffset>
                  </wp:positionH>
                  <wp:positionV relativeFrom="paragraph">
                    <wp:posOffset>2337435</wp:posOffset>
                  </wp:positionV>
                  <wp:extent cx="386715" cy="539750"/>
                  <wp:effectExtent l="0" t="0" r="13335" b="12700"/>
                  <wp:wrapNone/>
                  <wp:docPr id="91" name="图片_72"/>
                  <wp:cNvGraphicFramePr/>
                  <a:graphic xmlns:a="http://schemas.openxmlformats.org/drawingml/2006/main">
                    <a:graphicData uri="http://schemas.openxmlformats.org/drawingml/2006/picture">
                      <pic:pic xmlns:pic="http://schemas.openxmlformats.org/drawingml/2006/picture">
                        <pic:nvPicPr>
                          <pic:cNvPr id="91" name="图片_72"/>
                          <pic:cNvPicPr/>
                        </pic:nvPicPr>
                        <pic:blipFill>
                          <a:blip r:embed="rId71"/>
                          <a:stretch>
                            <a:fillRect/>
                          </a:stretch>
                        </pic:blipFill>
                        <pic:spPr>
                          <a:xfrm>
                            <a:off x="0" y="0"/>
                            <a:ext cx="38671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规格：L50xW40xH75cm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1.板材：采用15mm实木多层板搭配铁架网而成，实木多层板材质稳定，不易变形，面板拼接、胶合强度、含水率、静曲强度、弹性模量和甲醛释放量符合GB/T9846-2015和GB18580-2017的要求。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铁架网：整体尺寸388*463mm，满足绘画纸张A4/A3尺寸的晾干，铁架四周采用φ4.3mm粗铁网，中间采用φ2.2mm细铁网，内空每格29.5*61mm，稳固且有助于绘画晾干，铁网为活动式，可按实际使用需求拆卸，适用于晾干不同尺寸大小的作品；铁架网采用热固性聚酯粉末涂料喷涂，涂料安全、耐湿、耐盐雾、耐老化等，符合HG/T 2006-2006标准要求。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5.塑料档格：采用优质塑料成型，共9层设计，每层之间间隔44mm，充分合理的利用空间。</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5.脚轮：采用TPR静音万向轮，方便移动，脚轮外观要求符合QB/T4765-2014标准要求。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8.其它：围脚高度：40mm；    上下格内空尺寸：470*390*55mm。方便美术成品的放置、晾干，防止美术颜料污染园所地板，铁网架方便拆卸。</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80</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美术纸筒柜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0944" behindDoc="0" locked="0" layoutInCell="1" allowOverlap="1">
                  <wp:simplePos x="0" y="0"/>
                  <wp:positionH relativeFrom="column">
                    <wp:posOffset>320040</wp:posOffset>
                  </wp:positionH>
                  <wp:positionV relativeFrom="paragraph">
                    <wp:posOffset>1722755</wp:posOffset>
                  </wp:positionV>
                  <wp:extent cx="457200" cy="539750"/>
                  <wp:effectExtent l="0" t="0" r="0" b="12700"/>
                  <wp:wrapNone/>
                  <wp:docPr id="92" name="图片_73"/>
                  <wp:cNvGraphicFramePr/>
                  <a:graphic xmlns:a="http://schemas.openxmlformats.org/drawingml/2006/main">
                    <a:graphicData uri="http://schemas.openxmlformats.org/drawingml/2006/picture">
                      <pic:pic xmlns:pic="http://schemas.openxmlformats.org/drawingml/2006/picture">
                        <pic:nvPicPr>
                          <pic:cNvPr id="92" name="图片_73"/>
                          <pic:cNvPicPr/>
                        </pic:nvPicPr>
                        <pic:blipFill>
                          <a:blip r:embed="rId72"/>
                          <a:stretch>
                            <a:fillRect/>
                          </a:stretch>
                        </pic:blipFill>
                        <pic:spPr>
                          <a:xfrm>
                            <a:off x="0" y="0"/>
                            <a:ext cx="45720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规格：L40×W40×H58cm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3.五金：采用优质五金，稳固不松动，五金表面经防锈处理，强度高、硬度高、寿命长，符合国家标准规范的要求。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4.油墨：图案采用优质环保油墨，使用美工机喷绘，图案更加清晰立体不易褪色.</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5.脚轮：优质塑料静音万向轮，方便使用过程中，移动与固定形式的快捷切换。</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pStyle w:val="6"/>
              <w:spacing w:line="240" w:lineRule="auto"/>
              <w:ind w:firstLine="0" w:firstLineChars="0"/>
              <w:rPr>
                <w:rFonts w:hint="eastAsia" w:ascii="仿宋" w:hAnsi="仿宋" w:eastAsia="仿宋" w:cs="仿宋"/>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p>
          <w:p>
            <w:pPr>
              <w:widowControl/>
              <w:jc w:val="left"/>
              <w:textAlignment w:val="center"/>
              <w:rPr>
                <w:rFonts w:hint="eastAsia" w:ascii="仿宋" w:hAnsi="仿宋" w:eastAsia="仿宋" w:cs="仿宋"/>
                <w:color w:val="000000"/>
                <w:sz w:val="24"/>
                <w:szCs w:val="24"/>
              </w:rPr>
            </w:pP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81</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美术用品收纳柜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1968" behindDoc="0" locked="0" layoutInCell="1" allowOverlap="1">
                  <wp:simplePos x="0" y="0"/>
                  <wp:positionH relativeFrom="column">
                    <wp:posOffset>111760</wp:posOffset>
                  </wp:positionH>
                  <wp:positionV relativeFrom="paragraph">
                    <wp:posOffset>989330</wp:posOffset>
                  </wp:positionV>
                  <wp:extent cx="655320" cy="539750"/>
                  <wp:effectExtent l="0" t="0" r="11430" b="12700"/>
                  <wp:wrapNone/>
                  <wp:docPr id="93" name="图片_66"/>
                  <wp:cNvGraphicFramePr/>
                  <a:graphic xmlns:a="http://schemas.openxmlformats.org/drawingml/2006/main">
                    <a:graphicData uri="http://schemas.openxmlformats.org/drawingml/2006/picture">
                      <pic:pic xmlns:pic="http://schemas.openxmlformats.org/drawingml/2006/picture">
                        <pic:nvPicPr>
                          <pic:cNvPr id="93" name="图片_66"/>
                          <pic:cNvPicPr/>
                        </pic:nvPicPr>
                        <pic:blipFill>
                          <a:blip r:embed="rId98"/>
                          <a:stretch>
                            <a:fillRect/>
                          </a:stretch>
                        </pic:blipFill>
                        <pic:spPr>
                          <a:xfrm>
                            <a:off x="0" y="0"/>
                            <a:ext cx="655320"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规格：L100xW40xH60cm（不含轮）</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木材：柜体主要采用12mm环保橡胶木拼板贴桦木纹三聚氰胺纸（活动工具收纳盒为9mm实木多层板喷涂水性漆），板材具有非常好的总体强度性能和耐磨性能，承重能力强、韧性好，保养容易，稳定性高；色泽浅，容易着色、能接受所有类型颜色的染色和涂料，易与别种木材的颜色基调相配合，油漆涂装性能好。</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4.脚轮：采用TPR静音万向轮，方便移动，脚轮外观要求符合QB/T4765-2014标准要求。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5.产品：围脚高度：40mm；       左前格内空尺寸：175*205*185mm左后格内空尺寸：175*150*490mm      中间上下格内空尺寸：600*400*185mm。木制件表面涂层/覆面材料的耐液性标准要求10%碳酸钠溶液与10%乙酸溶液，24h，不低于3级；附着力：采用涂层交叉切割法不低于3级；耐湿热：在20min70℃不低于3级；耐干热：在20min70℃不低于3级；耐冷热温差：在3周期，应无鼓泡、裂缝和明显失光；抗冲击：冲击高度50mm，不低于3级；符合GB28007-2011的检测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8.其它：方便美术成品的统一收纳，益于园所环境的整理、整洁。   </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82</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美术透明画板柜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2992" behindDoc="0" locked="0" layoutInCell="1" allowOverlap="1">
                  <wp:simplePos x="0" y="0"/>
                  <wp:positionH relativeFrom="column">
                    <wp:posOffset>250825</wp:posOffset>
                  </wp:positionH>
                  <wp:positionV relativeFrom="paragraph">
                    <wp:posOffset>1116965</wp:posOffset>
                  </wp:positionV>
                  <wp:extent cx="433705" cy="539750"/>
                  <wp:effectExtent l="0" t="0" r="4445" b="12700"/>
                  <wp:wrapNone/>
                  <wp:docPr id="94" name="图片_62"/>
                  <wp:cNvGraphicFramePr/>
                  <a:graphic xmlns:a="http://schemas.openxmlformats.org/drawingml/2006/main">
                    <a:graphicData uri="http://schemas.openxmlformats.org/drawingml/2006/picture">
                      <pic:pic xmlns:pic="http://schemas.openxmlformats.org/drawingml/2006/picture">
                        <pic:nvPicPr>
                          <pic:cNvPr id="94" name="图片_62"/>
                          <pic:cNvPicPr/>
                        </pic:nvPicPr>
                        <pic:blipFill>
                          <a:blip r:embed="rId73"/>
                          <a:stretch>
                            <a:fillRect/>
                          </a:stretch>
                        </pic:blipFill>
                        <pic:spPr>
                          <a:xfrm>
                            <a:off x="0" y="0"/>
                            <a:ext cx="43370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规格：L93×W30xH116cm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柜子板材：主要原材料采用优质环保的15mm饰面刨花板（饰面刨花板）+18mm实木多层板（画板框）而成，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画板板材：画板边框采用环保健康实木多层板生产加工而成；透明画板材质采用亚克力，透光好；画板湿水即可擦干净，多层板允许缺陷、面板拼接、修补、尺寸公差、胶合强度、含水率、静曲强度、弹性模量、甲醛释放量等符合GB 18580-2017、GB/T 9846-2015标准要求。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8.其它：围脚高度：60mm          上下格内空尺寸：440*295*230mm；透明画板尺寸：770*475mm； 透明画板可使用水性笔书画；面板开4个直径67mm通孔，可放笔筒.搭配柜子使用，让小朋友展示自己的创意涂鸦。适用年龄：3岁～6岁。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83</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4016" behindDoc="0" locked="0" layoutInCell="1" allowOverlap="1">
                  <wp:simplePos x="0" y="0"/>
                  <wp:positionH relativeFrom="column">
                    <wp:posOffset>160020</wp:posOffset>
                  </wp:positionH>
                  <wp:positionV relativeFrom="paragraph">
                    <wp:posOffset>1858645</wp:posOffset>
                  </wp:positionV>
                  <wp:extent cx="719455" cy="502285"/>
                  <wp:effectExtent l="0" t="0" r="4445" b="12065"/>
                  <wp:wrapNone/>
                  <wp:docPr id="95" name="图片_63"/>
                  <wp:cNvGraphicFramePr/>
                  <a:graphic xmlns:a="http://schemas.openxmlformats.org/drawingml/2006/main">
                    <a:graphicData uri="http://schemas.openxmlformats.org/drawingml/2006/picture">
                      <pic:pic xmlns:pic="http://schemas.openxmlformats.org/drawingml/2006/picture">
                        <pic:nvPicPr>
                          <pic:cNvPr id="95" name="图片_63"/>
                          <pic:cNvPicPr/>
                        </pic:nvPicPr>
                        <pic:blipFill>
                          <a:blip r:embed="rId89"/>
                          <a:stretch>
                            <a:fillRect/>
                          </a:stretch>
                        </pic:blipFill>
                        <pic:spPr>
                          <a:xfrm>
                            <a:off x="0" y="0"/>
                            <a:ext cx="719455" cy="50228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上下格内空尺寸：290*300*232.5mm;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7.其它：柜子为2层6格无背板设计，安装防潮脚钉。配上教具盒更加方便使用，实用性更强，适用年龄：3岁～6岁。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84</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5040" behindDoc="0" locked="0" layoutInCell="1" allowOverlap="1">
                  <wp:simplePos x="0" y="0"/>
                  <wp:positionH relativeFrom="column">
                    <wp:posOffset>169545</wp:posOffset>
                  </wp:positionH>
                  <wp:positionV relativeFrom="paragraph">
                    <wp:posOffset>544195</wp:posOffset>
                  </wp:positionV>
                  <wp:extent cx="691515" cy="520065"/>
                  <wp:effectExtent l="0" t="0" r="13335" b="13335"/>
                  <wp:wrapNone/>
                  <wp:docPr id="96" name="图片_64"/>
                  <wp:cNvGraphicFramePr/>
                  <a:graphic xmlns:a="http://schemas.openxmlformats.org/drawingml/2006/main">
                    <a:graphicData uri="http://schemas.openxmlformats.org/drawingml/2006/picture">
                      <pic:pic xmlns:pic="http://schemas.openxmlformats.org/drawingml/2006/picture">
                        <pic:nvPicPr>
                          <pic:cNvPr id="96" name="图片_64"/>
                          <pic:cNvPicPr/>
                        </pic:nvPicPr>
                        <pic:blipFill>
                          <a:blip r:embed="rId99"/>
                          <a:stretch>
                            <a:fillRect/>
                          </a:stretch>
                        </pic:blipFill>
                        <pic:spPr>
                          <a:xfrm>
                            <a:off x="0" y="0"/>
                            <a:ext cx="691515" cy="5200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上下格内空尺寸：900*300*232.5mm；产品外观要求、理化性能要求、结构安全、有害物质限量（可迁移元素、甲醛释放量等）、力学性能、警示标识等符合GB28007-2011标准要求。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7.其它：柜子为2层无背板设计，层板使用H型方管加固防止变形；安装防潮脚钉。配上教具盒更加方便使用，实用性更强，适用年龄：3岁～6岁。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85</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6格矮柜.无背板</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6064" behindDoc="0" locked="0" layoutInCell="1" allowOverlap="1">
                  <wp:simplePos x="0" y="0"/>
                  <wp:positionH relativeFrom="column">
                    <wp:posOffset>157480</wp:posOffset>
                  </wp:positionH>
                  <wp:positionV relativeFrom="paragraph">
                    <wp:posOffset>1616075</wp:posOffset>
                  </wp:positionV>
                  <wp:extent cx="712470" cy="502285"/>
                  <wp:effectExtent l="0" t="0" r="11430" b="12065"/>
                  <wp:wrapNone/>
                  <wp:docPr id="97" name="图片_65"/>
                  <wp:cNvGraphicFramePr/>
                  <a:graphic xmlns:a="http://schemas.openxmlformats.org/drawingml/2006/main">
                    <a:graphicData uri="http://schemas.openxmlformats.org/drawingml/2006/picture">
                      <pic:pic xmlns:pic="http://schemas.openxmlformats.org/drawingml/2006/picture">
                        <pic:nvPicPr>
                          <pic:cNvPr id="97" name="图片_65"/>
                          <pic:cNvPicPr/>
                        </pic:nvPicPr>
                        <pic:blipFill>
                          <a:blip r:embed="rId100"/>
                          <a:stretch>
                            <a:fillRect/>
                          </a:stretch>
                        </pic:blipFill>
                        <pic:spPr>
                          <a:xfrm>
                            <a:off x="0" y="0"/>
                            <a:ext cx="712470" cy="50228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规格：L93xW30xH61cm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4.产品：围脚高度：60mm    上下格内空尺寸：290*300*232.5mm; 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7.其它：柜子为2层6格无背板设计，安装防潮脚钉。配上教具盒更加方便使用，实用性更强，适用年龄：3岁～6岁。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86</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2层90°转角矮柜</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7088" behindDoc="0" locked="0" layoutInCell="1" allowOverlap="1">
                  <wp:simplePos x="0" y="0"/>
                  <wp:positionH relativeFrom="column">
                    <wp:posOffset>325120</wp:posOffset>
                  </wp:positionH>
                  <wp:positionV relativeFrom="paragraph">
                    <wp:posOffset>1654810</wp:posOffset>
                  </wp:positionV>
                  <wp:extent cx="398145" cy="520065"/>
                  <wp:effectExtent l="0" t="0" r="1905" b="13335"/>
                  <wp:wrapNone/>
                  <wp:docPr id="98" name="图片_59"/>
                  <wp:cNvGraphicFramePr/>
                  <a:graphic xmlns:a="http://schemas.openxmlformats.org/drawingml/2006/main">
                    <a:graphicData uri="http://schemas.openxmlformats.org/drawingml/2006/picture">
                      <pic:pic xmlns:pic="http://schemas.openxmlformats.org/drawingml/2006/picture">
                        <pic:nvPicPr>
                          <pic:cNvPr id="98" name="图片_59"/>
                          <pic:cNvPicPr/>
                        </pic:nvPicPr>
                        <pic:blipFill>
                          <a:blip r:embed="rId101"/>
                          <a:stretch>
                            <a:fillRect/>
                          </a:stretch>
                        </pic:blipFill>
                        <pic:spPr>
                          <a:xfrm>
                            <a:off x="0" y="0"/>
                            <a:ext cx="398145" cy="520065"/>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规格：L30xW30xH61cm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2.封边条：采用环保PVC封边条，封边条甲醛释放量，符合QBT 4463-2013标准要求。封边条塑化剂检测符合GB6675.1-2014标准要求。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Style w:val="964"/>
                <w:rFonts w:hint="eastAsia" w:ascii="仿宋" w:hAnsi="仿宋" w:eastAsia="仿宋" w:cs="仿宋"/>
                <w:sz w:val="24"/>
                <w:szCs w:val="24"/>
                <w:lang w:bidi="ar"/>
              </w:rPr>
              <w:br w:type="textWrapping"/>
            </w:r>
            <w:r>
              <w:rPr>
                <w:rStyle w:val="964"/>
                <w:rFonts w:hint="eastAsia" w:ascii="仿宋" w:hAnsi="仿宋" w:eastAsia="仿宋" w:cs="仿宋"/>
                <w:sz w:val="24"/>
                <w:szCs w:val="24"/>
                <w:lang w:bidi="ar"/>
              </w:rPr>
              <w:t>7</w:t>
            </w:r>
            <w:r>
              <w:rPr>
                <w:rFonts w:hint="eastAsia" w:ascii="仿宋" w:hAnsi="仿宋" w:eastAsia="仿宋" w:cs="仿宋"/>
                <w:color w:val="000000"/>
                <w:kern w:val="0"/>
                <w:sz w:val="24"/>
                <w:szCs w:val="24"/>
                <w:lang w:bidi="ar"/>
              </w:rPr>
              <w:t xml:space="preserve">.其它：安装防潮脚钉，实用性更强，适用年龄：3岁～6岁。 </w:t>
            </w:r>
            <w:r>
              <w:rPr>
                <w:rStyle w:val="964"/>
                <w:rFonts w:hint="eastAsia" w:ascii="仿宋" w:hAnsi="仿宋" w:eastAsia="仿宋" w:cs="仿宋"/>
                <w:sz w:val="24"/>
                <w:szCs w:val="24"/>
                <w:lang w:bidi="ar"/>
              </w:rPr>
              <w:t xml:space="preserve">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87</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42格茶杯架-落地款</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8112" behindDoc="0" locked="0" layoutInCell="1" allowOverlap="1">
                  <wp:simplePos x="0" y="0"/>
                  <wp:positionH relativeFrom="column">
                    <wp:posOffset>352425</wp:posOffset>
                  </wp:positionH>
                  <wp:positionV relativeFrom="paragraph">
                    <wp:posOffset>833120</wp:posOffset>
                  </wp:positionV>
                  <wp:extent cx="410845" cy="539750"/>
                  <wp:effectExtent l="0" t="0" r="8255" b="12700"/>
                  <wp:wrapNone/>
                  <wp:docPr id="99" name="图片_60"/>
                  <wp:cNvGraphicFramePr/>
                  <a:graphic xmlns:a="http://schemas.openxmlformats.org/drawingml/2006/main">
                    <a:graphicData uri="http://schemas.openxmlformats.org/drawingml/2006/picture">
                      <pic:pic xmlns:pic="http://schemas.openxmlformats.org/drawingml/2006/picture">
                        <pic:nvPicPr>
                          <pic:cNvPr id="99" name="图片_60"/>
                          <pic:cNvPicPr/>
                        </pic:nvPicPr>
                        <pic:blipFill>
                          <a:blip r:embed="rId102"/>
                          <a:stretch>
                            <a:fillRect/>
                          </a:stretch>
                        </pic:blipFill>
                        <pic:spPr>
                          <a:xfrm>
                            <a:off x="0" y="0"/>
                            <a:ext cx="410845" cy="5397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规格：L73xW30xH102cm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1.板材：采用健康环保的9mm+15mm实木多层板，实木多层板材质稳定，不易变形，面板拼接、胶合强度、含水率、静曲强度、弹性模量和甲醛释放量符合GB/T9846-2015和GB18580-2017的要求。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4.产品：外表面和内表面等儿童手指可触及的隐蔽处，均不得有锋利的锐角、毛刺，五金部件不得露出锐利尖端，产品外角均倒圆处理，以保证儿童的安全，成品表面涂层耐刮、耐热、耐冲击，结构安全稳固。</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7.其它：围脚高度：40mm；下柜左右格内空尺寸：340*260*190mm； 上柜共42格，格内空95*95*100mm：上门尺寸：745*350mm,下门尺寸：364*204mm；大容量储存，节省存放空间，管理更方便。适用年龄3-6岁。</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88</w:t>
            </w:r>
          </w:p>
        </w:tc>
        <w:tc>
          <w:tcPr>
            <w:tcW w:w="922" w:type="dxa"/>
            <w:shd w:val="clear" w:color="auto" w:fill="auto"/>
            <w:vAlign w:val="center"/>
          </w:tcPr>
          <w:p>
            <w:pPr>
              <w:widowControl/>
              <w:jc w:val="center"/>
              <w:textAlignment w:val="center"/>
              <w:rPr>
                <w:rFonts w:hint="eastAsia"/>
              </w:rPr>
            </w:pPr>
            <w:r>
              <w:rPr>
                <w:rFonts w:hint="eastAsia"/>
              </w:rPr>
              <w:t>环保原木活动床（</w:t>
            </w:r>
            <w:r>
              <w:rPr>
                <w:rFonts w:hint="eastAsia"/>
                <w:lang w:val="en-US" w:eastAsia="zh-CN"/>
              </w:rPr>
              <w:t>需提供样品</w:t>
            </w:r>
            <w:r>
              <w:rPr>
                <w:rFonts w:hint="eastAsia"/>
              </w:rPr>
              <w:t>）</w:t>
            </w:r>
          </w:p>
          <w:p>
            <w:pPr>
              <w:pStyle w:val="6"/>
              <w:rPr>
                <w:rFonts w:hint="eastAsia"/>
              </w:rPr>
            </w:pP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0"/>
                <w:szCs w:val="20"/>
              </w:rPr>
              <w:drawing>
                <wp:inline distT="0" distB="0" distL="114300" distR="114300">
                  <wp:extent cx="925195" cy="384175"/>
                  <wp:effectExtent l="0" t="0" r="8255" b="15875"/>
                  <wp:docPr id="35" name="图片 35" descr="fe77a1962c9806fd662d08948d88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e77a1962c9806fd662d08948d88ee8"/>
                          <pic:cNvPicPr>
                            <a:picLocks noChangeAspect="1"/>
                          </pic:cNvPicPr>
                        </pic:nvPicPr>
                        <pic:blipFill>
                          <a:blip r:embed="rId103"/>
                          <a:stretch>
                            <a:fillRect/>
                          </a:stretch>
                        </pic:blipFill>
                        <pic:spPr>
                          <a:xfrm>
                            <a:off x="0" y="0"/>
                            <a:ext cx="925195" cy="384175"/>
                          </a:xfrm>
                          <a:prstGeom prst="rect">
                            <a:avLst/>
                          </a:prstGeom>
                        </pic:spPr>
                      </pic:pic>
                    </a:graphicData>
                  </a:graphic>
                </wp:inline>
              </w:drawing>
            </w: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39136" behindDoc="0" locked="0" layoutInCell="1" allowOverlap="1">
                  <wp:simplePos x="0" y="0"/>
                  <wp:positionH relativeFrom="column">
                    <wp:posOffset>104140</wp:posOffset>
                  </wp:positionH>
                  <wp:positionV relativeFrom="paragraph">
                    <wp:posOffset>1882140</wp:posOffset>
                  </wp:positionV>
                  <wp:extent cx="641350" cy="298450"/>
                  <wp:effectExtent l="0" t="0" r="6350" b="6350"/>
                  <wp:wrapNone/>
                  <wp:docPr id="100" name="图片_61"/>
                  <wp:cNvGraphicFramePr/>
                  <a:graphic xmlns:a="http://schemas.openxmlformats.org/drawingml/2006/main">
                    <a:graphicData uri="http://schemas.openxmlformats.org/drawingml/2006/picture">
                      <pic:pic xmlns:pic="http://schemas.openxmlformats.org/drawingml/2006/picture">
                        <pic:nvPicPr>
                          <pic:cNvPr id="100" name="图片_61"/>
                          <pic:cNvPicPr/>
                        </pic:nvPicPr>
                        <pic:blipFill>
                          <a:blip r:embed="rId104"/>
                          <a:stretch>
                            <a:fillRect/>
                          </a:stretch>
                        </pic:blipFill>
                        <pic:spPr>
                          <a:xfrm>
                            <a:off x="0" y="0"/>
                            <a:ext cx="641350" cy="29845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规格：L140xW60xH17cm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1.板材：采用优质20.5mm厚樟子松框架+芬兰松床板+45x45mm樟子松床脚加工而成，材料环保，性能稳定，坚固稳靠。</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产品外观要求、理化性能要求、结构安全、有害物质限量（可迁移元素、甲醛释放量等）、力学性能、警示标识等符合GB28007-2011标准要求。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塑料钳合件：床脚下端安装防滑钳合脚钉，床脚上端安装凹槽ABS塑料件，塑料件扇形设计，尺寸46.5*46.5*15.5mm，凹槽孔Ф22mm，当床层叠时候，脚钉钳合在塑料件的凹槽内，使得层叠的活动床更加稳固，不易倾倒，起到安全作用，塑料件原材料塑料粒子重金属的可溶性镉、铅、铬、汞≤5mg/kg、领笨二甲酸脂等符合GB 28481-2012标准要求.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产品：内空1342x540mm，床板1340*539*(12+12)mm，床板条70mm宽，12mm厚，间隔24mm；床板离地高度12cm（含脚垫12.8cm）；产品外观要求、理化性能要求、结构安全、有害物质限量（可迁移元素、甲醛释放量等）、力学性能、警示标识等符合GB28007-2011标准要求。</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6.尼龙脚垫：采用无重金属铅、镉、铬、汞，耐老化、耐冷热循环，硬度≥71且符合GB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8.其它：堆叠高度：(17.5+(n-1)x15.8)cm。产品简约环保，节省空间，更方便管理。适用年龄：适用年龄：3岁～6岁。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张</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5"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89</w:t>
            </w:r>
          </w:p>
        </w:tc>
        <w:tc>
          <w:tcPr>
            <w:tcW w:w="92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大象造型40人毛巾架</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1064895" cy="977900"/>
                  <wp:effectExtent l="0" t="0" r="1905" b="12700"/>
                  <wp:docPr id="11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3"/>
                          <pic:cNvPicPr>
                            <a:picLocks noChangeAspect="1"/>
                          </pic:cNvPicPr>
                        </pic:nvPicPr>
                        <pic:blipFill>
                          <a:blip r:embed="rId105"/>
                          <a:stretch>
                            <a:fillRect/>
                          </a:stretch>
                        </pic:blipFill>
                        <pic:spPr>
                          <a:xfrm>
                            <a:off x="0" y="0"/>
                            <a:ext cx="1064895" cy="977900"/>
                          </a:xfrm>
                          <a:prstGeom prst="rect">
                            <a:avLst/>
                          </a:prstGeom>
                        </pic:spPr>
                      </pic:pic>
                    </a:graphicData>
                  </a:graphic>
                </wp:inline>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规格：L111×W50×H99cm含轮</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1.板材：采用健康环保12mm+18mm实木多层板，实木多层板材质稳定，不易变形，面板拼接、胶合强度、含水率、静曲强度、弹性模量和甲醛释放量符合GB/T9846-2015和GB18580-2017的要求。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4.脚轮：采用TPR静音万向轮，方便移动，脚轮外观要求符合QB/T4765-2014标准要求。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5.油墨：图案图案采用优质环保油墨，使用美工机喷绘，图案更加清晰立体不易褪色，油墨可迁移元素（锑、砷、钡、镉、铬、铅、汞、硒），符合GB 6675.4-2014标准要求。</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6.产品：轮子高度：53mm；第一层架子高度：600mm；第二层架子高度：990mm；  柜体共40个挂勾，挂勾间距95mm；</w:t>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7.尼龙脚垫：采用无重金属铅、镉、铬、汞，耐老化、耐冷热循环，硬度≥71且符合GB 28481-2012、GB/T32487-2016的检验标准。</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8.连接件：采用三合一连接件，具有金属镀层抗盐雾性，L型连接件抗弯强度≥390MPa，且符合GB/T28203-2011的检验标准。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 xml:space="preserve">9.其它：生动的卡通造型更加搭配课室场景、安全的圆角处理，更放心使用。 </w:t>
            </w:r>
          </w:p>
        </w:tc>
        <w:tc>
          <w:tcPr>
            <w:tcW w:w="732" w:type="dxa"/>
            <w:shd w:val="clear" w:color="auto" w:fill="FFFFFF"/>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FFFFFF"/>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793" w:type="dxa"/>
            <w:shd w:val="clear" w:color="auto" w:fill="auto"/>
            <w:noWrap/>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90</w:t>
            </w:r>
          </w:p>
        </w:tc>
        <w:tc>
          <w:tcPr>
            <w:tcW w:w="92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帐篷</w:t>
            </w:r>
          </w:p>
        </w:tc>
        <w:tc>
          <w:tcPr>
            <w:tcW w:w="1784" w:type="dxa"/>
            <w:shd w:val="clear" w:color="auto" w:fill="auto"/>
            <w:vAlign w:val="center"/>
          </w:tcPr>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bdr w:val="single" w:color="000000" w:sz="4" w:space="0"/>
                <w:lang w:bidi="ar"/>
              </w:rPr>
              <w:drawing>
                <wp:anchor distT="0" distB="0" distL="114300" distR="114300" simplePos="0" relativeHeight="251740160" behindDoc="0" locked="0" layoutInCell="1" allowOverlap="1">
                  <wp:simplePos x="0" y="0"/>
                  <wp:positionH relativeFrom="column">
                    <wp:posOffset>142875</wp:posOffset>
                  </wp:positionH>
                  <wp:positionV relativeFrom="paragraph">
                    <wp:posOffset>66675</wp:posOffset>
                  </wp:positionV>
                  <wp:extent cx="689610" cy="636270"/>
                  <wp:effectExtent l="0" t="0" r="15240" b="11430"/>
                  <wp:wrapNone/>
                  <wp:docPr id="102" name="图片_88"/>
                  <wp:cNvGraphicFramePr/>
                  <a:graphic xmlns:a="http://schemas.openxmlformats.org/drawingml/2006/main">
                    <a:graphicData uri="http://schemas.openxmlformats.org/drawingml/2006/picture">
                      <pic:pic xmlns:pic="http://schemas.openxmlformats.org/drawingml/2006/picture">
                        <pic:nvPicPr>
                          <pic:cNvPr id="102" name="图片_88"/>
                          <pic:cNvPicPr/>
                        </pic:nvPicPr>
                        <pic:blipFill>
                          <a:blip r:embed="rId55"/>
                          <a:stretch>
                            <a:fillRect/>
                          </a:stretch>
                        </pic:blipFill>
                        <pic:spPr>
                          <a:xfrm>
                            <a:off x="0" y="0"/>
                            <a:ext cx="689610" cy="636270"/>
                          </a:xfrm>
                          <a:prstGeom prst="rect">
                            <a:avLst/>
                          </a:prstGeom>
                          <a:noFill/>
                          <a:ln>
                            <a:noFill/>
                          </a:ln>
                        </pic:spPr>
                      </pic:pic>
                    </a:graphicData>
                  </a:graphic>
                </wp:anchor>
              </w:drawing>
            </w:r>
          </w:p>
        </w:tc>
        <w:tc>
          <w:tcPr>
            <w:tcW w:w="4998" w:type="dxa"/>
            <w:shd w:val="clear" w:color="auto" w:fill="auto"/>
            <w:vAlign w:val="center"/>
          </w:tcPr>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规格：100-120*165cm</w:t>
            </w:r>
          </w:p>
          <w:p>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1.板材：采用健康环保的实木，硬度强，不易折弯。</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w:t>
            </w:r>
            <w:r>
              <w:rPr>
                <w:rStyle w:val="964"/>
                <w:rFonts w:hint="eastAsia" w:ascii="仿宋" w:hAnsi="仿宋" w:eastAsia="仿宋" w:cs="仿宋"/>
                <w:sz w:val="24"/>
                <w:szCs w:val="24"/>
                <w:lang w:bidi="ar"/>
              </w:rPr>
              <w:t xml:space="preserve"> 麻绒布：甲醛含量未检出，PH值≤5.3，染色牢度符合，符合GB 18401-2010的检验标准</w:t>
            </w:r>
            <w:r>
              <w:rPr>
                <w:rFonts w:hint="eastAsia" w:ascii="仿宋" w:hAnsi="仿宋" w:eastAsia="仿宋" w:cs="仿宋"/>
                <w:color w:val="000000"/>
                <w:kern w:val="0"/>
                <w:sz w:val="24"/>
                <w:szCs w:val="24"/>
                <w:lang w:bidi="ar"/>
              </w:rPr>
              <w:t>，坐垫软硬适中，不易拉扯破损，抗污迹，易清洁。</w:t>
            </w:r>
          </w:p>
        </w:tc>
        <w:tc>
          <w:tcPr>
            <w:tcW w:w="732" w:type="dxa"/>
            <w:shd w:val="clear" w:color="auto" w:fill="auto"/>
            <w:vAlign w:val="center"/>
          </w:tcPr>
          <w:p>
            <w:pPr>
              <w:widowControl/>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个</w:t>
            </w:r>
          </w:p>
        </w:tc>
        <w:tc>
          <w:tcPr>
            <w:tcW w:w="671" w:type="dxa"/>
            <w:shd w:val="clear" w:color="auto" w:fill="auto"/>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5</w:t>
            </w:r>
          </w:p>
        </w:tc>
      </w:tr>
    </w:tbl>
    <w:p>
      <w:pPr>
        <w:widowControl/>
        <w:jc w:val="left"/>
        <w:textAlignment w:val="center"/>
        <w:rPr>
          <w:rFonts w:ascii="宋体" w:hAnsi="宋体" w:cs="宋体"/>
          <w:color w:val="000000"/>
          <w:kern w:val="0"/>
          <w:sz w:val="22"/>
          <w:szCs w:val="22"/>
          <w:lang w:bidi="ar"/>
        </w:rPr>
      </w:pPr>
    </w:p>
    <w:p>
      <w:pP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br w:type="page"/>
      </w:r>
    </w:p>
    <w:p>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提供样品</w:t>
      </w:r>
      <w:r>
        <w:rPr>
          <w:rFonts w:hint="eastAsia" w:ascii="仿宋" w:hAnsi="仿宋" w:eastAsia="仿宋" w:cs="仿宋"/>
          <w:color w:val="000000"/>
          <w:kern w:val="0"/>
          <w:sz w:val="24"/>
          <w:szCs w:val="24"/>
          <w:lang w:bidi="ar"/>
        </w:rPr>
        <w:t>清单：</w:t>
      </w:r>
    </w:p>
    <w:tbl>
      <w:tblPr>
        <w:tblStyle w:val="63"/>
        <w:tblW w:w="975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711"/>
        <w:gridCol w:w="1804"/>
        <w:gridCol w:w="1925"/>
        <w:gridCol w:w="1361"/>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72"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序号</w:t>
            </w:r>
          </w:p>
        </w:tc>
        <w:tc>
          <w:tcPr>
            <w:tcW w:w="1711"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品名</w:t>
            </w:r>
          </w:p>
        </w:tc>
        <w:tc>
          <w:tcPr>
            <w:tcW w:w="1804"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val="en-US" w:eastAsia="zh-CN" w:bidi="ar"/>
              </w:rPr>
              <w:t>参考</w:t>
            </w:r>
            <w:r>
              <w:rPr>
                <w:rFonts w:hint="eastAsia" w:ascii="仿宋" w:hAnsi="仿宋" w:eastAsia="仿宋" w:cs="仿宋"/>
                <w:b/>
                <w:bCs/>
                <w:color w:val="000000"/>
                <w:kern w:val="0"/>
                <w:sz w:val="24"/>
                <w:szCs w:val="24"/>
                <w:lang w:bidi="ar"/>
              </w:rPr>
              <w:t>图片</w:t>
            </w:r>
          </w:p>
        </w:tc>
        <w:tc>
          <w:tcPr>
            <w:tcW w:w="1925"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尺寸（mm）</w:t>
            </w:r>
          </w:p>
        </w:tc>
        <w:tc>
          <w:tcPr>
            <w:tcW w:w="1361"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数量</w:t>
            </w:r>
          </w:p>
        </w:tc>
        <w:tc>
          <w:tcPr>
            <w:tcW w:w="2278"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椅子.大班</w:t>
            </w:r>
          </w:p>
        </w:tc>
        <w:tc>
          <w:tcPr>
            <w:tcW w:w="1804"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34670" cy="693420"/>
                  <wp:effectExtent l="0" t="0" r="17780" b="11430"/>
                  <wp:docPr id="103" name="图片 103" descr="9da5c085d41437bea36bd6d5e44d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9da5c085d41437bea36bd6d5e44dfc9"/>
                          <pic:cNvPicPr>
                            <a:picLocks noChangeAspect="1"/>
                          </pic:cNvPicPr>
                        </pic:nvPicPr>
                        <pic:blipFill>
                          <a:blip r:embed="rId106"/>
                          <a:stretch>
                            <a:fillRect/>
                          </a:stretch>
                        </pic:blipFill>
                        <pic:spPr>
                          <a:xfrm>
                            <a:off x="0" y="0"/>
                            <a:ext cx="534670" cy="693420"/>
                          </a:xfrm>
                          <a:prstGeom prst="rect">
                            <a:avLst/>
                          </a:prstGeom>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座高：310</w:t>
            </w:r>
            <w:r>
              <w:rPr>
                <w:rFonts w:hint="eastAsia" w:ascii="仿宋" w:hAnsi="仿宋" w:eastAsia="仿宋" w:cs="仿宋"/>
                <w:sz w:val="24"/>
                <w:szCs w:val="24"/>
              </w:rPr>
              <w:br w:type="textWrapping"/>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rPr>
              <w:t>序号：62，材质说明详见采购清单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可调月亮桌</w:t>
            </w:r>
          </w:p>
        </w:tc>
        <w:tc>
          <w:tcPr>
            <w:tcW w:w="1804"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08685" cy="673735"/>
                  <wp:effectExtent l="0" t="0" r="5715" b="12065"/>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08685" cy="673735"/>
                          </a:xfrm>
                          <a:prstGeom prst="rect">
                            <a:avLst/>
                          </a:prstGeom>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L120xW60xH49/52/55cm可调</w:t>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序号：63，材质说明详见采购清单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经典木语惊喜盒子木偶台</w:t>
            </w:r>
          </w:p>
        </w:tc>
        <w:tc>
          <w:tcPr>
            <w:tcW w:w="1804" w:type="dxa"/>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1003300" cy="1521460"/>
                  <wp:effectExtent l="0" t="0" r="6350" b="2540"/>
                  <wp:docPr id="47" name="图片 47" descr="932a50b6556bd432c2d9ff2e9bb4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32a50b6556bd432c2d9ff2e9bb47b6"/>
                          <pic:cNvPicPr>
                            <a:picLocks noChangeAspect="1"/>
                          </pic:cNvPicPr>
                        </pic:nvPicPr>
                        <pic:blipFill>
                          <a:blip r:embed="rId108"/>
                          <a:stretch>
                            <a:fillRect/>
                          </a:stretch>
                        </pic:blipFill>
                        <pic:spPr>
                          <a:xfrm>
                            <a:off x="0" y="0"/>
                            <a:ext cx="1003300" cy="1521460"/>
                          </a:xfrm>
                          <a:prstGeom prst="rect">
                            <a:avLst/>
                          </a:prstGeom>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930*320*1490</w:t>
            </w:r>
            <w:r>
              <w:rPr>
                <w:rFonts w:hint="eastAsia" w:ascii="仿宋" w:hAnsi="仿宋" w:eastAsia="仿宋" w:cs="仿宋"/>
                <w:sz w:val="24"/>
                <w:szCs w:val="24"/>
              </w:rPr>
              <w:br w:type="textWrapping"/>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序号：74，材质说明详见采购清单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美术作品晾干柜</w:t>
            </w:r>
          </w:p>
        </w:tc>
        <w:tc>
          <w:tcPr>
            <w:tcW w:w="1804" w:type="dxa"/>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1004570" cy="1482725"/>
                  <wp:effectExtent l="0" t="0" r="5080" b="3175"/>
                  <wp:docPr id="18" name="图片 18" descr="48097ae6c017271ba871fb44bcf5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8097ae6c017271ba871fb44bcf519b"/>
                          <pic:cNvPicPr>
                            <a:picLocks noChangeAspect="1"/>
                          </pic:cNvPicPr>
                        </pic:nvPicPr>
                        <pic:blipFill>
                          <a:blip r:embed="rId109"/>
                          <a:stretch>
                            <a:fillRect/>
                          </a:stretch>
                        </pic:blipFill>
                        <pic:spPr>
                          <a:xfrm>
                            <a:off x="0" y="0"/>
                            <a:ext cx="1004570" cy="1482725"/>
                          </a:xfrm>
                          <a:prstGeom prst="rect">
                            <a:avLst/>
                          </a:prstGeom>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500*400*750</w:t>
            </w:r>
            <w:r>
              <w:rPr>
                <w:rFonts w:hint="eastAsia" w:ascii="仿宋" w:hAnsi="仿宋" w:eastAsia="仿宋" w:cs="仿宋"/>
                <w:sz w:val="24"/>
                <w:szCs w:val="24"/>
              </w:rPr>
              <w:br w:type="textWrapping"/>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序号：79，材质说明详见采购清单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环保原木活动床</w:t>
            </w:r>
          </w:p>
        </w:tc>
        <w:tc>
          <w:tcPr>
            <w:tcW w:w="1804"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25195" cy="384175"/>
                  <wp:effectExtent l="0" t="0" r="8255" b="15875"/>
                  <wp:docPr id="106" name="图片 106" descr="fe77a1962c9806fd662d08948d88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e77a1962c9806fd662d08948d88ee8"/>
                          <pic:cNvPicPr>
                            <a:picLocks noChangeAspect="1"/>
                          </pic:cNvPicPr>
                        </pic:nvPicPr>
                        <pic:blipFill>
                          <a:blip r:embed="rId103"/>
                          <a:stretch>
                            <a:fillRect/>
                          </a:stretch>
                        </pic:blipFill>
                        <pic:spPr>
                          <a:xfrm>
                            <a:off x="0" y="0"/>
                            <a:ext cx="925195" cy="384175"/>
                          </a:xfrm>
                          <a:prstGeom prst="rect">
                            <a:avLst/>
                          </a:prstGeom>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1400*600*170</w:t>
            </w:r>
            <w:r>
              <w:rPr>
                <w:rFonts w:hint="eastAsia" w:ascii="仿宋" w:hAnsi="仿宋" w:eastAsia="仿宋" w:cs="仿宋"/>
                <w:sz w:val="24"/>
                <w:szCs w:val="24"/>
              </w:rPr>
              <w:br w:type="textWrapping"/>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序号：88，材质说明详见采购清单</w:t>
            </w:r>
          </w:p>
        </w:tc>
      </w:tr>
    </w:tbl>
    <w:p>
      <w:pPr>
        <w:rPr>
          <w:rFonts w:hint="eastAsia" w:ascii="仿宋" w:hAnsi="仿宋" w:eastAsia="仿宋" w:cs="仿宋"/>
          <w:b/>
          <w:sz w:val="24"/>
          <w:szCs w:val="24"/>
        </w:rPr>
      </w:pPr>
      <w:r>
        <w:rPr>
          <w:rFonts w:hint="eastAsia" w:ascii="仿宋" w:hAnsi="仿宋" w:eastAsia="仿宋" w:cs="仿宋"/>
          <w:b/>
          <w:sz w:val="24"/>
          <w:szCs w:val="24"/>
          <w:lang w:val="en-US" w:eastAsia="zh-CN"/>
        </w:rPr>
        <w:t>注：（1）提供样品时，尺寸按照采购需求尺寸1:1制作</w:t>
      </w:r>
    </w:p>
    <w:p>
      <w:pPr>
        <w:pStyle w:val="24"/>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第四部分评标办法</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24"/>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）提供样品的时间：</w:t>
      </w:r>
      <w:r>
        <w:rPr>
          <w:rFonts w:hint="eastAsia" w:ascii="仿宋" w:hAnsi="仿宋" w:eastAsia="仿宋" w:cs="仿宋"/>
          <w:color w:val="auto"/>
          <w:sz w:val="24"/>
          <w:szCs w:val="24"/>
          <w:highlight w:val="none"/>
          <w:u w:val="single"/>
          <w:lang w:val="en-US" w:eastAsia="zh-CN"/>
        </w:rPr>
        <w:t>按照前附表5要求</w:t>
      </w:r>
      <w:r>
        <w:rPr>
          <w:rFonts w:hint="eastAsia" w:ascii="仿宋" w:hAnsi="仿宋" w:eastAsia="仿宋" w:cs="仿宋"/>
          <w:color w:val="auto"/>
          <w:sz w:val="24"/>
          <w:szCs w:val="24"/>
          <w:highlight w:val="none"/>
          <w:u w:val="single"/>
        </w:rPr>
        <w:t>。</w:t>
      </w:r>
    </w:p>
    <w:p>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按要求投标样品。如样品与招标文件要求有偏离，投标人在商务技术偏离表中又未说明偏离的，验收时依据投标人承诺、采购需求，样品仅供参考。未提供样品的或样品种类不全的，样品分作零分处理；不符合尺寸要求的投标样品适当扣分，严重偏离的得零分。</w:t>
      </w:r>
    </w:p>
    <w:p>
      <w:pPr>
        <w:numPr>
          <w:ilvl w:val="0"/>
          <w:numId w:val="0"/>
        </w:numPr>
        <w:adjustRightInd w:val="0"/>
        <w:snapToGrid w:val="0"/>
        <w:spacing w:line="360" w:lineRule="auto"/>
        <w:ind w:left="420" w:lef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若中标，招标人立即封存其所有投标样品，中标人不得以需要按样品进货等任何理由要求招标人返还样品；中标人在中标后不得以样品相关配件货源断供、缺货等各种理由要求调换供货产品，必须确保供货产品（包括材质、款式、颜色、做工等）和投标样品。</w:t>
      </w:r>
    </w:p>
    <w:p>
      <w:pPr>
        <w:numPr>
          <w:ilvl w:val="0"/>
          <w:numId w:val="0"/>
        </w:numPr>
        <w:adjustRightInd w:val="0"/>
        <w:snapToGrid w:val="0"/>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、总体要求</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1、本技术规范要求提出的是最低限度的基本技术要求，并未对所有技术细节作出规定，供应商应提供符合本技术要求和国家标准、行业标准的优质货物。</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2、技术要求及标准的执行</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供应商提供的货物应标明所执行的质量标准，若同一标准已颁发新标准，则按最新标准执行。若同一货物同时有几个标准（国际标准、国家标准、行业标准、企业标准等），则按最高层次的标准执行。</w:t>
      </w:r>
    </w:p>
    <w:p>
      <w:pPr>
        <w:numPr>
          <w:ilvl w:val="0"/>
          <w:numId w:val="2"/>
        </w:numPr>
        <w:spacing w:line="360" w:lineRule="auto"/>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供应商须按国家有关规定及标准完成本次采购货物的供货、运输、装卸、就位、检验、通过有关部门验收、维保期服务等各项工作。</w:t>
      </w:r>
    </w:p>
    <w:p>
      <w:pPr>
        <w:pStyle w:val="36"/>
        <w:spacing w:line="360" w:lineRule="auto"/>
        <w:ind w:firstLine="0" w:firstLineChars="0"/>
        <w:rPr>
          <w:rFonts w:hint="eastAsia" w:ascii="仿宋" w:hAnsi="仿宋" w:eastAsia="仿宋" w:cs="仿宋"/>
          <w:b/>
          <w:bCs/>
          <w:sz w:val="24"/>
          <w:szCs w:val="24"/>
        </w:rPr>
      </w:pPr>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、供货方式和供货安装期</w:t>
      </w:r>
    </w:p>
    <w:p>
      <w:pPr>
        <w:tabs>
          <w:tab w:val="left" w:pos="720"/>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1、供应商按采购人要求</w:t>
      </w:r>
      <w:r>
        <w:rPr>
          <w:rFonts w:hint="eastAsia" w:ascii="仿宋" w:hAnsi="仿宋" w:eastAsia="仿宋" w:cs="仿宋"/>
          <w:sz w:val="24"/>
          <w:szCs w:val="24"/>
          <w:lang w:val="en-US" w:eastAsia="zh-CN"/>
        </w:rPr>
        <w:t>分批</w:t>
      </w:r>
      <w:r>
        <w:rPr>
          <w:rFonts w:hint="eastAsia" w:ascii="仿宋" w:hAnsi="仿宋" w:eastAsia="仿宋" w:cs="仿宋"/>
          <w:sz w:val="24"/>
          <w:szCs w:val="24"/>
        </w:rPr>
        <w:t>供货，货到采购人指定的地点后安装、调试并通过采购人验收合格。</w:t>
      </w:r>
    </w:p>
    <w:p>
      <w:pPr>
        <w:pStyle w:val="36"/>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▲2、交货期：</w:t>
      </w:r>
      <w:r>
        <w:rPr>
          <w:rFonts w:hint="eastAsia" w:ascii="仿宋" w:hAnsi="仿宋" w:eastAsia="仿宋" w:cs="仿宋"/>
          <w:color w:val="000000" w:themeColor="text1"/>
          <w:sz w:val="24"/>
          <w:szCs w:val="24"/>
          <w:lang w:val="en-US" w:eastAsia="zh-CN"/>
          <w14:textFill>
            <w14:solidFill>
              <w14:schemeClr w14:val="tx1"/>
            </w14:solidFill>
          </w14:textFill>
        </w:rPr>
        <w:t>合同签订后30日历天内完成供货并安装完成</w:t>
      </w:r>
      <w:r>
        <w:rPr>
          <w:rFonts w:hint="eastAsia" w:ascii="仿宋" w:hAnsi="仿宋" w:eastAsia="仿宋" w:cs="仿宋"/>
          <w:sz w:val="24"/>
          <w:szCs w:val="24"/>
        </w:rPr>
        <w:t>。</w:t>
      </w:r>
    </w:p>
    <w:p>
      <w:pPr>
        <w:spacing w:line="480" w:lineRule="exact"/>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四</w:t>
      </w:r>
      <w:r>
        <w:rPr>
          <w:rFonts w:hint="eastAsia" w:ascii="仿宋" w:hAnsi="仿宋" w:eastAsia="仿宋" w:cs="仿宋"/>
          <w:b/>
          <w:bCs/>
          <w:sz w:val="24"/>
          <w:szCs w:val="24"/>
        </w:rPr>
        <w:t>、质量要求</w:t>
      </w:r>
    </w:p>
    <w:p>
      <w:pPr>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符合国家最新质量及相关行业验收规范。中标人需按本招标文件的要求完成所有</w:t>
      </w:r>
      <w:r>
        <w:rPr>
          <w:rFonts w:hint="eastAsia" w:ascii="仿宋" w:hAnsi="仿宋" w:eastAsia="仿宋" w:cs="仿宋"/>
          <w:bCs/>
          <w:sz w:val="24"/>
          <w:szCs w:val="24"/>
          <w:lang w:val="en-US" w:eastAsia="zh-CN"/>
        </w:rPr>
        <w:t>产品</w:t>
      </w:r>
      <w:r>
        <w:rPr>
          <w:rFonts w:hint="eastAsia" w:ascii="仿宋" w:hAnsi="仿宋" w:eastAsia="仿宋" w:cs="仿宋"/>
          <w:bCs/>
          <w:sz w:val="24"/>
          <w:szCs w:val="24"/>
        </w:rPr>
        <w:t>的设计、打样、制造、供货、运输、安装、验收及售后服务等工作。招标人对色泽有最终决定权。</w:t>
      </w:r>
    </w:p>
    <w:p>
      <w:pPr>
        <w:spacing w:line="480" w:lineRule="exact"/>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、质保期</w:t>
      </w:r>
    </w:p>
    <w:p>
      <w:pPr>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项目最终验收合格并正式投入使用以后的不少于</w:t>
      </w:r>
      <w:r>
        <w:rPr>
          <w:rFonts w:hint="eastAsia" w:ascii="仿宋" w:hAnsi="仿宋" w:eastAsia="仿宋" w:cs="仿宋"/>
          <w:bCs/>
          <w:sz w:val="24"/>
          <w:szCs w:val="24"/>
          <w:lang w:val="en-US" w:eastAsia="zh-CN"/>
        </w:rPr>
        <w:t>3</w:t>
      </w:r>
      <w:r>
        <w:rPr>
          <w:rFonts w:hint="eastAsia" w:ascii="仿宋" w:hAnsi="仿宋" w:eastAsia="仿宋" w:cs="仿宋"/>
          <w:bCs/>
          <w:sz w:val="24"/>
          <w:szCs w:val="24"/>
        </w:rPr>
        <w:t>年，质保期内，如因商品本身质量问题（正常损耗除外）引起的一切投诉和纠纷，由中标人负责并赔偿。</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zh-CN"/>
        </w:rPr>
        <w:t>质保期内要求免费提供维修服务和有关的技术咨询服务。对采购人的维修、维护等售后服务通知，服务单位需在接报后</w:t>
      </w:r>
      <w:r>
        <w:rPr>
          <w:rFonts w:hint="eastAsia" w:ascii="仿宋" w:hAnsi="仿宋" w:eastAsia="仿宋" w:cs="仿宋"/>
          <w:sz w:val="24"/>
          <w:szCs w:val="24"/>
        </w:rPr>
        <w:t>1</w:t>
      </w:r>
      <w:r>
        <w:rPr>
          <w:rFonts w:hint="eastAsia" w:ascii="仿宋" w:hAnsi="仿宋" w:eastAsia="仿宋" w:cs="仿宋"/>
          <w:sz w:val="24"/>
          <w:szCs w:val="24"/>
          <w:lang w:val="zh-CN"/>
        </w:rPr>
        <w:t>小时内响应，4小时内到达现场，</w:t>
      </w:r>
      <w:r>
        <w:rPr>
          <w:rFonts w:hint="eastAsia" w:ascii="仿宋" w:hAnsi="仿宋" w:eastAsia="仿宋" w:cs="仿宋"/>
          <w:spacing w:val="-6"/>
          <w:sz w:val="24"/>
          <w:szCs w:val="24"/>
        </w:rPr>
        <w:t>维修过程中所需材料在接到通知后应及时提供，最多不超过12小时。若（设备）短期无法修复，应提供相应备件并负责安装</w:t>
      </w:r>
      <w:r>
        <w:rPr>
          <w:rFonts w:hint="eastAsia" w:ascii="仿宋" w:hAnsi="仿宋" w:eastAsia="仿宋" w:cs="仿宋"/>
          <w:sz w:val="24"/>
          <w:szCs w:val="24"/>
          <w:lang w:val="zh-CN"/>
        </w:rPr>
        <w:t>。</w:t>
      </w:r>
    </w:p>
    <w:p>
      <w:pPr>
        <w:pStyle w:val="32"/>
        <w:spacing w:before="0" w:beforeLines="0" w:after="0" w:afterLines="0" w:line="36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、付款方式</w:t>
      </w:r>
    </w:p>
    <w:p>
      <w:pPr>
        <w:spacing w:line="480" w:lineRule="exact"/>
        <w:ind w:firstLine="480" w:firstLineChars="20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合同签订后7个工作日内，中标人向采购人交纳合同总价2%的履约担保（采用保函等形式），采购人支付合同总价40%的预付款，货物到场</w:t>
      </w:r>
      <w:r>
        <w:rPr>
          <w:rFonts w:hint="eastAsia" w:ascii="仿宋" w:hAnsi="仿宋" w:eastAsia="仿宋" w:cs="仿宋"/>
          <w:b w:val="0"/>
          <w:bCs w:val="0"/>
          <w:sz w:val="24"/>
          <w:szCs w:val="24"/>
          <w:lang w:val="en-US" w:eastAsia="zh-CN"/>
        </w:rPr>
        <w:t>并安装完成</w:t>
      </w:r>
      <w:r>
        <w:rPr>
          <w:rFonts w:hint="eastAsia" w:ascii="仿宋" w:hAnsi="仿宋" w:eastAsia="仿宋" w:cs="仿宋"/>
          <w:b w:val="0"/>
          <w:bCs w:val="0"/>
          <w:sz w:val="24"/>
          <w:szCs w:val="24"/>
        </w:rPr>
        <w:t>后支付合同总价的30%，验收合格后支付剩余货款30%（不计息）。</w:t>
      </w:r>
    </w:p>
    <w:p>
      <w:pPr>
        <w:spacing w:line="480" w:lineRule="exact"/>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、验收要求</w:t>
      </w:r>
    </w:p>
    <w:p>
      <w:pPr>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1、依据《杭州市政府采购合同履约和验收管理暂行办法》、</w:t>
      </w:r>
      <w:r>
        <w:rPr>
          <w:rFonts w:hint="eastAsia" w:ascii="仿宋_GB2312" w:hAnsi="仿宋_GB2312" w:eastAsia="仿宋_GB2312" w:cs="仿宋_GB2312"/>
          <w:color w:val="auto"/>
          <w:sz w:val="24"/>
          <w:highlight w:val="none"/>
          <w:lang w:val="en-US" w:eastAsia="zh-CN"/>
        </w:rPr>
        <w:t>招标文件要求、投标文件承诺的设备质量、服务标准进行验收</w:t>
      </w:r>
      <w:r>
        <w:rPr>
          <w:rFonts w:hint="eastAsia" w:ascii="仿宋" w:hAnsi="仿宋" w:eastAsia="仿宋" w:cs="仿宋"/>
          <w:kern w:val="0"/>
          <w:sz w:val="24"/>
          <w:szCs w:val="24"/>
        </w:rPr>
        <w:t>。</w:t>
      </w:r>
    </w:p>
    <w:p>
      <w:pPr>
        <w:spacing w:line="400" w:lineRule="exact"/>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sz w:val="24"/>
          <w:szCs w:val="24"/>
        </w:rPr>
        <w:t>验收</w:t>
      </w:r>
      <w:r>
        <w:rPr>
          <w:rFonts w:hint="eastAsia" w:ascii="仿宋" w:hAnsi="仿宋" w:eastAsia="仿宋" w:cs="仿宋"/>
          <w:sz w:val="24"/>
          <w:szCs w:val="24"/>
          <w:lang w:val="en-US" w:eastAsia="zh-CN"/>
        </w:rPr>
        <w:t>方式</w:t>
      </w:r>
      <w:r>
        <w:rPr>
          <w:rFonts w:hint="eastAsia" w:ascii="仿宋" w:hAnsi="仿宋" w:eastAsia="仿宋" w:cs="仿宋"/>
          <w:sz w:val="24"/>
          <w:szCs w:val="24"/>
        </w:rPr>
        <w:t>：现场验收。</w:t>
      </w:r>
    </w:p>
    <w:p>
      <w:pPr>
        <w:spacing w:line="440" w:lineRule="exact"/>
        <w:ind w:firstLine="480" w:firstLineChars="200"/>
        <w:rPr>
          <w:rFonts w:hint="eastAsia" w:ascii="仿宋_GB2312" w:hAnsi="仿宋" w:eastAsia="仿宋_GB2312" w:cs="Arial"/>
          <w:b w:val="0"/>
          <w:bCs w:val="0"/>
          <w:kern w:val="0"/>
          <w:sz w:val="24"/>
        </w:rPr>
      </w:pPr>
      <w:r>
        <w:rPr>
          <w:rFonts w:hint="eastAsia" w:ascii="仿宋_GB2312" w:hAnsi="仿宋" w:eastAsia="仿宋_GB2312" w:cs="Arial"/>
          <w:b w:val="0"/>
          <w:bCs w:val="0"/>
          <w:kern w:val="0"/>
          <w:sz w:val="24"/>
          <w:lang w:val="en-US" w:eastAsia="zh-CN"/>
        </w:rPr>
        <w:t>3、</w:t>
      </w:r>
      <w:r>
        <w:rPr>
          <w:rFonts w:hint="eastAsia" w:ascii="仿宋_GB2312" w:hAnsi="仿宋" w:eastAsia="仿宋_GB2312" w:cs="Arial"/>
          <w:b w:val="0"/>
          <w:bCs w:val="0"/>
          <w:kern w:val="0"/>
          <w:sz w:val="24"/>
        </w:rPr>
        <w:t>验收标准</w:t>
      </w:r>
    </w:p>
    <w:p>
      <w:pPr>
        <w:spacing w:line="440" w:lineRule="exact"/>
        <w:ind w:firstLine="480" w:firstLineChars="200"/>
        <w:rPr>
          <w:rFonts w:hint="eastAsia" w:ascii="仿宋_GB2312" w:hAnsi="仿宋" w:eastAsia="仿宋_GB2312" w:cs="Arial"/>
          <w:kern w:val="0"/>
          <w:sz w:val="24"/>
        </w:rPr>
      </w:pPr>
      <w:r>
        <w:rPr>
          <w:rFonts w:hint="eastAsia" w:ascii="仿宋_GB2312" w:hAnsi="仿宋" w:eastAsia="仿宋_GB2312" w:cs="Arial"/>
          <w:kern w:val="0"/>
          <w:sz w:val="24"/>
        </w:rPr>
        <w:t>应当符合国家强制性规定、政策要求、安全标准、行业或企业有关标准，满足招标文件、投标文件、合同约定要求。</w:t>
      </w:r>
    </w:p>
    <w:p>
      <w:pPr>
        <w:pStyle w:val="42"/>
        <w:tabs>
          <w:tab w:val="right" w:leader="dot" w:pos="10204"/>
        </w:tabs>
        <w:spacing w:line="400" w:lineRule="exact"/>
        <w:ind w:firstLine="480" w:firstLineChars="200"/>
        <w:jc w:val="both"/>
        <w:rPr>
          <w:rFonts w:hint="eastAsia" w:ascii="仿宋_GB2312" w:hAnsi="仿宋" w:eastAsia="仿宋_GB2312" w:cs="Arial"/>
          <w:kern w:val="0"/>
          <w:sz w:val="24"/>
        </w:rPr>
      </w:pPr>
      <w:r>
        <w:rPr>
          <w:rFonts w:hint="eastAsia" w:ascii="仿宋_GB2312" w:hAnsi="仿宋" w:eastAsia="仿宋_GB2312" w:cs="Arial"/>
          <w:kern w:val="0"/>
          <w:sz w:val="24"/>
        </w:rPr>
        <w:t>采购人有权根据需要委托具有检验资质的权威检测机构对生产过程和交付现场的产品进行抽样检测，中标供应商须无条件配合检验检测工作。履约验收产生的费用，属于首次验收过程中产生的，由采购人承担；属于首次验收不合格，重新验收过程中产生的费用由中标供应商承担。</w:t>
      </w:r>
    </w:p>
    <w:p>
      <w:pPr>
        <w:pStyle w:val="42"/>
        <w:tabs>
          <w:tab w:val="right" w:leader="dot" w:pos="10204"/>
        </w:tabs>
        <w:spacing w:line="400" w:lineRule="exact"/>
        <w:ind w:firstLine="480" w:firstLineChars="200"/>
        <w:jc w:val="both"/>
        <w:rPr>
          <w:rFonts w:hint="eastAsia" w:ascii="仿宋" w:hAnsi="仿宋" w:eastAsia="仿宋" w:cs="仿宋"/>
          <w:sz w:val="24"/>
          <w:szCs w:val="24"/>
        </w:rPr>
      </w:pPr>
      <w:r>
        <w:rPr>
          <w:rFonts w:hint="eastAsia" w:ascii="仿宋" w:hAnsi="仿宋" w:eastAsia="仿宋" w:cs="仿宋"/>
          <w:sz w:val="24"/>
          <w:szCs w:val="24"/>
        </w:rPr>
        <w:t>4、验收内容</w:t>
      </w:r>
    </w:p>
    <w:p>
      <w:pPr>
        <w:pStyle w:val="24"/>
        <w:ind w:firstLine="240" w:firstLineChars="100"/>
      </w:pPr>
      <w:r>
        <w:rPr>
          <w:rFonts w:hint="eastAsia" w:ascii="仿宋_GB2312" w:hAnsi="仿宋" w:eastAsia="仿宋_GB2312" w:cs="Arial"/>
          <w:kern w:val="0"/>
          <w:sz w:val="24"/>
        </w:rPr>
        <w:t>采购合同规定的内容。</w:t>
      </w:r>
    </w:p>
    <w:p>
      <w:pPr>
        <w:adjustRightInd w:val="0"/>
        <w:snapToGrid w:val="0"/>
        <w:spacing w:line="360" w:lineRule="auto"/>
        <w:rPr>
          <w:rFonts w:hint="eastAsia" w:ascii="宋体" w:hAnsi="宋体"/>
          <w:b/>
          <w:bCs/>
          <w:sz w:val="24"/>
          <w:lang w:val="en-US" w:eastAsia="zh-CN"/>
        </w:rPr>
      </w:pPr>
    </w:p>
    <w:p>
      <w:r>
        <w:rPr>
          <w:rFonts w:hint="eastAsia" w:ascii="仿宋" w:hAnsi="仿宋" w:eastAsia="仿宋" w:cs="仿宋_GB2312"/>
          <w:b/>
          <w:sz w:val="36"/>
          <w:szCs w:val="36"/>
        </w:rPr>
        <w:br w:type="page"/>
      </w:r>
    </w:p>
    <w:p>
      <w:pPr>
        <w:pStyle w:val="3"/>
        <w:numPr>
          <w:ilvl w:val="0"/>
          <w:numId w:val="0"/>
        </w:numPr>
        <w:spacing w:line="240" w:lineRule="auto"/>
        <w:ind w:leftChars="0"/>
        <w:jc w:val="center"/>
        <w:rPr>
          <w:rFonts w:ascii="仿宋" w:hAnsi="仿宋" w:eastAsia="仿宋" w:cs="仿宋_GB2312"/>
          <w:sz w:val="32"/>
          <w:szCs w:val="20"/>
        </w:rPr>
      </w:pPr>
      <w:bookmarkStart w:id="45" w:name="_Toc4040"/>
      <w:bookmarkStart w:id="46" w:name="_Toc6428"/>
      <w:r>
        <w:rPr>
          <w:rFonts w:hint="eastAsia" w:ascii="仿宋" w:hAnsi="仿宋" w:eastAsia="仿宋" w:cs="仿宋"/>
          <w:lang w:val="en-US" w:eastAsia="zh-CN"/>
        </w:rPr>
        <w:t>第四部分</w:t>
      </w:r>
      <w:r>
        <w:rPr>
          <w:rFonts w:hint="eastAsia" w:ascii="仿宋" w:hAnsi="仿宋" w:eastAsia="仿宋" w:cs="仿宋"/>
        </w:rPr>
        <w:t xml:space="preserve">  </w:t>
      </w:r>
      <w:bookmarkStart w:id="47" w:name="_Toc184310279"/>
      <w:bookmarkEnd w:id="47"/>
      <w:bookmarkStart w:id="48" w:name="_Toc184314463"/>
      <w:bookmarkEnd w:id="48"/>
      <w:bookmarkStart w:id="49" w:name="_Toc184314422"/>
      <w:bookmarkEnd w:id="49"/>
      <w:bookmarkStart w:id="50" w:name="_Toc184312103"/>
      <w:bookmarkEnd w:id="50"/>
      <w:bookmarkStart w:id="51" w:name="_Toc184312101"/>
      <w:bookmarkEnd w:id="51"/>
      <w:bookmarkStart w:id="52" w:name="_Toc184312078"/>
      <w:bookmarkEnd w:id="52"/>
      <w:bookmarkStart w:id="53" w:name="_Toc184313295"/>
      <w:bookmarkEnd w:id="53"/>
      <w:bookmarkStart w:id="54" w:name="_Toc184313306"/>
      <w:bookmarkEnd w:id="54"/>
      <w:bookmarkStart w:id="55" w:name="_Toc184314441"/>
      <w:bookmarkEnd w:id="55"/>
      <w:bookmarkStart w:id="56" w:name="_Toc184314467"/>
      <w:bookmarkEnd w:id="56"/>
      <w:bookmarkStart w:id="57" w:name="_Toc184312138"/>
      <w:bookmarkEnd w:id="57"/>
      <w:bookmarkStart w:id="58" w:name="_Toc184308070"/>
      <w:bookmarkEnd w:id="58"/>
      <w:bookmarkStart w:id="59" w:name="_Toc184314436"/>
      <w:bookmarkEnd w:id="59"/>
      <w:bookmarkStart w:id="60" w:name="_Toc184308100"/>
      <w:bookmarkEnd w:id="60"/>
      <w:bookmarkStart w:id="61" w:name="_Toc184313293"/>
      <w:bookmarkEnd w:id="61"/>
      <w:bookmarkStart w:id="62" w:name="_Toc184314453"/>
      <w:bookmarkEnd w:id="62"/>
      <w:bookmarkStart w:id="63" w:name="_Toc184308088"/>
      <w:bookmarkEnd w:id="63"/>
      <w:bookmarkStart w:id="64" w:name="_Toc184314470"/>
      <w:bookmarkEnd w:id="64"/>
      <w:bookmarkStart w:id="65" w:name="_Toc184314451"/>
      <w:bookmarkEnd w:id="65"/>
      <w:bookmarkStart w:id="66" w:name="_Toc184314410"/>
      <w:bookmarkEnd w:id="66"/>
      <w:bookmarkStart w:id="67" w:name="_Toc184313300"/>
      <w:bookmarkEnd w:id="67"/>
      <w:bookmarkStart w:id="68" w:name="_Toc184313297"/>
      <w:bookmarkEnd w:id="68"/>
      <w:bookmarkStart w:id="69" w:name="_Toc184310334"/>
      <w:bookmarkEnd w:id="69"/>
      <w:bookmarkStart w:id="70" w:name="_Toc184313287"/>
      <w:bookmarkEnd w:id="70"/>
      <w:bookmarkStart w:id="71" w:name="_Toc184312110"/>
      <w:bookmarkEnd w:id="71"/>
      <w:bookmarkStart w:id="72" w:name="_Toc184310327"/>
      <w:bookmarkEnd w:id="72"/>
      <w:bookmarkStart w:id="73" w:name="_Toc184308053"/>
      <w:bookmarkEnd w:id="73"/>
      <w:bookmarkStart w:id="74" w:name="_Toc184312107"/>
      <w:bookmarkEnd w:id="74"/>
      <w:bookmarkStart w:id="75" w:name="_Toc184314448"/>
      <w:bookmarkEnd w:id="75"/>
      <w:bookmarkStart w:id="76" w:name="_Toc184308085"/>
      <w:bookmarkEnd w:id="76"/>
      <w:bookmarkStart w:id="77" w:name="_Toc184312075"/>
      <w:bookmarkEnd w:id="77"/>
      <w:bookmarkStart w:id="78" w:name="_Toc184312108"/>
      <w:bookmarkEnd w:id="78"/>
      <w:bookmarkStart w:id="79" w:name="_Toc184312074"/>
      <w:bookmarkEnd w:id="79"/>
      <w:bookmarkStart w:id="80" w:name="_Toc184313305"/>
      <w:bookmarkEnd w:id="80"/>
      <w:bookmarkStart w:id="81" w:name="_Toc184308072"/>
      <w:bookmarkEnd w:id="81"/>
      <w:bookmarkStart w:id="82" w:name="_Toc184310284"/>
      <w:bookmarkEnd w:id="82"/>
      <w:bookmarkStart w:id="83" w:name="_Toc184314468"/>
      <w:bookmarkEnd w:id="83"/>
      <w:bookmarkStart w:id="84" w:name="_Toc184310272"/>
      <w:bookmarkEnd w:id="84"/>
      <w:bookmarkStart w:id="85" w:name="_Toc184313245"/>
      <w:bookmarkEnd w:id="85"/>
      <w:bookmarkStart w:id="86" w:name="_Toc184308069"/>
      <w:bookmarkEnd w:id="86"/>
      <w:bookmarkStart w:id="87" w:name="_Toc184308057"/>
      <w:bookmarkEnd w:id="87"/>
      <w:bookmarkStart w:id="88" w:name="_Toc184310304"/>
      <w:bookmarkEnd w:id="88"/>
      <w:bookmarkStart w:id="89" w:name="_Toc184308050"/>
      <w:bookmarkEnd w:id="89"/>
      <w:bookmarkStart w:id="90" w:name="_Toc184312104"/>
      <w:bookmarkEnd w:id="90"/>
      <w:bookmarkStart w:id="91" w:name="_Toc184310287"/>
      <w:bookmarkEnd w:id="91"/>
      <w:bookmarkStart w:id="92" w:name="_Toc184313243"/>
      <w:bookmarkEnd w:id="92"/>
      <w:bookmarkStart w:id="93" w:name="_Toc184310294"/>
      <w:bookmarkEnd w:id="93"/>
      <w:bookmarkStart w:id="94" w:name="_Toc184313270"/>
      <w:bookmarkEnd w:id="94"/>
      <w:bookmarkStart w:id="95" w:name="_Toc184310278"/>
      <w:bookmarkEnd w:id="95"/>
      <w:bookmarkStart w:id="96" w:name="_Toc184308038"/>
      <w:bookmarkEnd w:id="96"/>
      <w:bookmarkStart w:id="97" w:name="_Toc184312089"/>
      <w:bookmarkEnd w:id="97"/>
      <w:bookmarkStart w:id="98" w:name="_Toc184310319"/>
      <w:bookmarkEnd w:id="98"/>
      <w:bookmarkStart w:id="99" w:name="_Toc184314442"/>
      <w:bookmarkEnd w:id="99"/>
      <w:bookmarkStart w:id="100" w:name="_Toc184314461"/>
      <w:bookmarkEnd w:id="100"/>
      <w:bookmarkStart w:id="101" w:name="_Toc184308105"/>
      <w:bookmarkEnd w:id="101"/>
      <w:bookmarkStart w:id="102" w:name="_Toc184310299"/>
      <w:bookmarkEnd w:id="102"/>
      <w:bookmarkStart w:id="103" w:name="_Toc184310302"/>
      <w:bookmarkEnd w:id="103"/>
      <w:bookmarkStart w:id="104" w:name="_Toc184308046"/>
      <w:bookmarkEnd w:id="104"/>
      <w:bookmarkStart w:id="105" w:name="_Toc184313298"/>
      <w:bookmarkEnd w:id="105"/>
      <w:bookmarkStart w:id="106" w:name="_Toc184313271"/>
      <w:bookmarkEnd w:id="106"/>
      <w:bookmarkStart w:id="107" w:name="_Toc184313299"/>
      <w:bookmarkEnd w:id="107"/>
      <w:bookmarkStart w:id="108" w:name="_Toc184310285"/>
      <w:bookmarkEnd w:id="108"/>
      <w:bookmarkStart w:id="109" w:name="_Toc184310300"/>
      <w:bookmarkEnd w:id="109"/>
      <w:bookmarkStart w:id="110" w:name="_Toc184308096"/>
      <w:bookmarkEnd w:id="110"/>
      <w:bookmarkStart w:id="111" w:name="_Toc184313285"/>
      <w:bookmarkEnd w:id="111"/>
      <w:bookmarkStart w:id="112" w:name="_Toc184314449"/>
      <w:bookmarkEnd w:id="112"/>
      <w:bookmarkStart w:id="113" w:name="_Toc184312081"/>
      <w:bookmarkEnd w:id="113"/>
      <w:bookmarkStart w:id="114" w:name="_Toc184314418"/>
      <w:bookmarkEnd w:id="114"/>
      <w:bookmarkStart w:id="115" w:name="_Toc184313240"/>
      <w:bookmarkEnd w:id="115"/>
      <w:bookmarkStart w:id="116" w:name="_Toc184314421"/>
      <w:bookmarkEnd w:id="116"/>
      <w:bookmarkStart w:id="117" w:name="_Toc184314456"/>
      <w:bookmarkEnd w:id="117"/>
      <w:bookmarkStart w:id="118" w:name="_Toc184310318"/>
      <w:bookmarkEnd w:id="118"/>
      <w:bookmarkStart w:id="119" w:name="_Toc184314424"/>
      <w:bookmarkEnd w:id="119"/>
      <w:bookmarkStart w:id="120" w:name="_Toc184314416"/>
      <w:bookmarkEnd w:id="120"/>
      <w:bookmarkStart w:id="121" w:name="_Toc184310324"/>
      <w:bookmarkEnd w:id="121"/>
      <w:bookmarkStart w:id="122" w:name="_Toc184308095"/>
      <w:bookmarkEnd w:id="122"/>
      <w:bookmarkStart w:id="123" w:name="_Toc184313302"/>
      <w:bookmarkEnd w:id="123"/>
      <w:bookmarkStart w:id="124" w:name="_Toc184312077"/>
      <w:bookmarkEnd w:id="124"/>
      <w:bookmarkStart w:id="125" w:name="_Toc184312132"/>
      <w:bookmarkEnd w:id="125"/>
      <w:bookmarkStart w:id="126" w:name="_Toc184308063"/>
      <w:bookmarkEnd w:id="126"/>
      <w:bookmarkStart w:id="127" w:name="_Toc184308107"/>
      <w:bookmarkEnd w:id="127"/>
      <w:bookmarkStart w:id="128" w:name="_Toc184314482"/>
      <w:bookmarkEnd w:id="128"/>
      <w:bookmarkStart w:id="129" w:name="_Toc184314450"/>
      <w:bookmarkEnd w:id="129"/>
      <w:bookmarkStart w:id="130" w:name="_Toc184310275"/>
      <w:bookmarkEnd w:id="130"/>
      <w:bookmarkStart w:id="131" w:name="_Toc184308045"/>
      <w:bookmarkEnd w:id="131"/>
      <w:bookmarkStart w:id="132" w:name="_Toc184310307"/>
      <w:bookmarkEnd w:id="132"/>
      <w:bookmarkStart w:id="133" w:name="_Toc184314433"/>
      <w:bookmarkEnd w:id="133"/>
      <w:bookmarkStart w:id="134" w:name="_Toc184313260"/>
      <w:bookmarkEnd w:id="134"/>
      <w:bookmarkStart w:id="135" w:name="_Toc184312118"/>
      <w:bookmarkEnd w:id="135"/>
      <w:bookmarkStart w:id="136" w:name="_Toc184308103"/>
      <w:bookmarkEnd w:id="136"/>
      <w:bookmarkStart w:id="137" w:name="_Toc184312129"/>
      <w:bookmarkEnd w:id="137"/>
      <w:bookmarkStart w:id="138" w:name="_Toc184308039"/>
      <w:bookmarkEnd w:id="138"/>
      <w:bookmarkStart w:id="139" w:name="_Toc184314444"/>
      <w:bookmarkEnd w:id="139"/>
      <w:bookmarkStart w:id="140" w:name="_Toc184308092"/>
      <w:bookmarkEnd w:id="140"/>
      <w:bookmarkStart w:id="141" w:name="_Toc184312093"/>
      <w:bookmarkEnd w:id="141"/>
      <w:bookmarkStart w:id="142" w:name="_Toc184308083"/>
      <w:bookmarkEnd w:id="142"/>
      <w:bookmarkStart w:id="143" w:name="_Toc184310329"/>
      <w:bookmarkEnd w:id="143"/>
      <w:bookmarkStart w:id="144" w:name="_Toc184310328"/>
      <w:bookmarkEnd w:id="144"/>
      <w:bookmarkStart w:id="145" w:name="_Toc184310323"/>
      <w:bookmarkEnd w:id="145"/>
      <w:bookmarkStart w:id="146" w:name="_Toc184314420"/>
      <w:bookmarkEnd w:id="146"/>
      <w:bookmarkStart w:id="147" w:name="_Toc184314474"/>
      <w:bookmarkEnd w:id="147"/>
      <w:bookmarkStart w:id="148" w:name="_Toc184308042"/>
      <w:bookmarkEnd w:id="148"/>
      <w:bookmarkStart w:id="149" w:name="_Toc184313239"/>
      <w:bookmarkEnd w:id="149"/>
      <w:bookmarkStart w:id="150" w:name="_Toc184313272"/>
      <w:bookmarkEnd w:id="150"/>
      <w:bookmarkStart w:id="151" w:name="_Toc184312139"/>
      <w:bookmarkEnd w:id="151"/>
      <w:bookmarkStart w:id="152" w:name="_Toc184313281"/>
      <w:bookmarkEnd w:id="152"/>
      <w:bookmarkStart w:id="153" w:name="_Toc184314415"/>
      <w:bookmarkEnd w:id="153"/>
      <w:bookmarkStart w:id="154" w:name="_Toc184312120"/>
      <w:bookmarkEnd w:id="154"/>
      <w:bookmarkStart w:id="155" w:name="_Toc184313246"/>
      <w:bookmarkEnd w:id="155"/>
      <w:bookmarkStart w:id="156" w:name="_Toc184312130"/>
      <w:bookmarkEnd w:id="156"/>
      <w:bookmarkStart w:id="157" w:name="_Toc184312094"/>
      <w:bookmarkEnd w:id="157"/>
      <w:bookmarkStart w:id="158" w:name="_Toc184312124"/>
      <w:bookmarkEnd w:id="158"/>
      <w:bookmarkStart w:id="159" w:name="_Toc184310333"/>
      <w:bookmarkEnd w:id="159"/>
      <w:bookmarkStart w:id="160" w:name="_Toc184312134"/>
      <w:bookmarkEnd w:id="160"/>
      <w:bookmarkStart w:id="161" w:name="_Toc184314469"/>
      <w:bookmarkEnd w:id="161"/>
      <w:bookmarkStart w:id="162" w:name="_Toc184314417"/>
      <w:bookmarkEnd w:id="162"/>
      <w:bookmarkStart w:id="163" w:name="_Toc184308043"/>
      <w:bookmarkEnd w:id="163"/>
      <w:bookmarkStart w:id="164" w:name="_Toc184308093"/>
      <w:bookmarkEnd w:id="164"/>
      <w:bookmarkStart w:id="165" w:name="_Toc184313282"/>
      <w:bookmarkEnd w:id="165"/>
      <w:bookmarkStart w:id="166" w:name="_Toc184308068"/>
      <w:bookmarkEnd w:id="166"/>
      <w:bookmarkStart w:id="167" w:name="_Toc184313286"/>
      <w:bookmarkEnd w:id="167"/>
      <w:bookmarkStart w:id="168" w:name="_Toc184310344"/>
      <w:bookmarkEnd w:id="168"/>
      <w:bookmarkStart w:id="169" w:name="_Toc184310312"/>
      <w:bookmarkEnd w:id="169"/>
      <w:bookmarkStart w:id="170" w:name="_Toc184312069"/>
      <w:bookmarkEnd w:id="170"/>
      <w:bookmarkStart w:id="171" w:name="_Toc184313252"/>
      <w:bookmarkEnd w:id="171"/>
      <w:bookmarkStart w:id="172" w:name="_Toc184313244"/>
      <w:bookmarkEnd w:id="172"/>
      <w:bookmarkStart w:id="173" w:name="_Toc184312092"/>
      <w:bookmarkEnd w:id="173"/>
      <w:bookmarkStart w:id="174" w:name="_Toc184308091"/>
      <w:bookmarkEnd w:id="174"/>
      <w:bookmarkStart w:id="175" w:name="_Toc184308090"/>
      <w:bookmarkEnd w:id="175"/>
      <w:bookmarkStart w:id="176" w:name="_Toc184313249"/>
      <w:bookmarkEnd w:id="176"/>
      <w:bookmarkStart w:id="177" w:name="_Toc184312114"/>
      <w:bookmarkEnd w:id="177"/>
      <w:bookmarkStart w:id="178" w:name="_Toc184314471"/>
      <w:bookmarkEnd w:id="178"/>
      <w:bookmarkStart w:id="179" w:name="_Toc184308087"/>
      <w:bookmarkEnd w:id="179"/>
      <w:bookmarkStart w:id="180" w:name="_Toc184312109"/>
      <w:bookmarkEnd w:id="180"/>
      <w:bookmarkStart w:id="181" w:name="_Toc184312119"/>
      <w:bookmarkEnd w:id="181"/>
      <w:bookmarkStart w:id="182" w:name="_Toc184312137"/>
      <w:bookmarkEnd w:id="182"/>
      <w:bookmarkStart w:id="183" w:name="_Toc184314428"/>
      <w:bookmarkEnd w:id="183"/>
      <w:bookmarkStart w:id="184" w:name="_Toc184314472"/>
      <w:bookmarkEnd w:id="184"/>
      <w:bookmarkStart w:id="185" w:name="_Toc184308089"/>
      <w:bookmarkEnd w:id="185"/>
      <w:bookmarkStart w:id="186" w:name="_Toc184310276"/>
      <w:bookmarkEnd w:id="186"/>
      <w:bookmarkStart w:id="187" w:name="_Toc184314454"/>
      <w:bookmarkEnd w:id="187"/>
      <w:bookmarkStart w:id="188" w:name="_Toc184312113"/>
      <w:bookmarkEnd w:id="188"/>
      <w:bookmarkStart w:id="189" w:name="_Toc184312097"/>
      <w:bookmarkEnd w:id="189"/>
      <w:bookmarkStart w:id="190" w:name="_Toc184313261"/>
      <w:bookmarkEnd w:id="190"/>
      <w:bookmarkStart w:id="191" w:name="_Toc184313277"/>
      <w:bookmarkEnd w:id="191"/>
      <w:bookmarkStart w:id="192" w:name="_Toc184310342"/>
      <w:bookmarkEnd w:id="192"/>
      <w:bookmarkStart w:id="193" w:name="_Toc184314425"/>
      <w:bookmarkEnd w:id="193"/>
      <w:bookmarkStart w:id="194" w:name="_Toc184308084"/>
      <w:bookmarkEnd w:id="194"/>
      <w:bookmarkStart w:id="195" w:name="_Toc184312090"/>
      <w:bookmarkEnd w:id="195"/>
      <w:bookmarkStart w:id="196" w:name="_Toc184310316"/>
      <w:bookmarkEnd w:id="196"/>
      <w:bookmarkStart w:id="197" w:name="_Toc184308075"/>
      <w:bookmarkEnd w:id="197"/>
      <w:bookmarkStart w:id="198" w:name="_Toc184310335"/>
      <w:bookmarkEnd w:id="198"/>
      <w:bookmarkStart w:id="199" w:name="_Toc184310297"/>
      <w:bookmarkEnd w:id="199"/>
      <w:bookmarkStart w:id="200" w:name="_Toc184312072"/>
      <w:bookmarkEnd w:id="200"/>
      <w:bookmarkStart w:id="201" w:name="_Toc184314423"/>
      <w:bookmarkEnd w:id="201"/>
      <w:bookmarkStart w:id="202" w:name="_Toc184308059"/>
      <w:bookmarkEnd w:id="202"/>
      <w:bookmarkStart w:id="203" w:name="_Toc184313294"/>
      <w:bookmarkEnd w:id="203"/>
      <w:bookmarkStart w:id="204" w:name="_Toc184313262"/>
      <w:bookmarkEnd w:id="204"/>
      <w:bookmarkStart w:id="205" w:name="_Toc184312080"/>
      <w:bookmarkEnd w:id="205"/>
      <w:bookmarkStart w:id="206" w:name="_Toc184313241"/>
      <w:bookmarkEnd w:id="206"/>
      <w:bookmarkStart w:id="207" w:name="_Toc184313242"/>
      <w:bookmarkEnd w:id="207"/>
      <w:bookmarkStart w:id="208" w:name="_Toc184314462"/>
      <w:bookmarkEnd w:id="208"/>
      <w:bookmarkStart w:id="209" w:name="_Toc184310295"/>
      <w:bookmarkEnd w:id="209"/>
      <w:bookmarkStart w:id="210" w:name="_Toc184310274"/>
      <w:bookmarkEnd w:id="210"/>
      <w:bookmarkStart w:id="211" w:name="_Toc184310330"/>
      <w:bookmarkEnd w:id="211"/>
      <w:bookmarkStart w:id="212" w:name="_Toc184310281"/>
      <w:bookmarkEnd w:id="212"/>
      <w:bookmarkStart w:id="213" w:name="_Toc184312085"/>
      <w:bookmarkEnd w:id="213"/>
      <w:bookmarkStart w:id="214" w:name="_Toc184308079"/>
      <w:bookmarkEnd w:id="214"/>
      <w:bookmarkStart w:id="215" w:name="_Toc184308086"/>
      <w:bookmarkEnd w:id="215"/>
      <w:bookmarkStart w:id="216" w:name="_Toc184308098"/>
      <w:bookmarkEnd w:id="216"/>
      <w:bookmarkStart w:id="217" w:name="_Toc184312136"/>
      <w:bookmarkEnd w:id="217"/>
      <w:bookmarkStart w:id="218" w:name="_Toc184308104"/>
      <w:bookmarkEnd w:id="218"/>
      <w:bookmarkStart w:id="219" w:name="_Toc184308066"/>
      <w:bookmarkEnd w:id="219"/>
      <w:bookmarkStart w:id="220" w:name="_Toc184308102"/>
      <w:bookmarkEnd w:id="220"/>
      <w:bookmarkStart w:id="221" w:name="_Toc184312123"/>
      <w:bookmarkEnd w:id="221"/>
      <w:bookmarkStart w:id="222" w:name="_Toc184313288"/>
      <w:bookmarkEnd w:id="222"/>
      <w:bookmarkStart w:id="223" w:name="_Toc184313248"/>
      <w:bookmarkEnd w:id="223"/>
      <w:bookmarkStart w:id="224" w:name="_Toc184312125"/>
      <w:bookmarkEnd w:id="224"/>
      <w:bookmarkStart w:id="225" w:name="_Toc184313289"/>
      <w:bookmarkEnd w:id="225"/>
      <w:bookmarkStart w:id="226" w:name="_Toc184314414"/>
      <w:bookmarkEnd w:id="226"/>
      <w:bookmarkStart w:id="227" w:name="_Toc184308074"/>
      <w:bookmarkEnd w:id="227"/>
      <w:bookmarkStart w:id="228" w:name="_Toc184310280"/>
      <w:bookmarkEnd w:id="228"/>
      <w:bookmarkStart w:id="229" w:name="_Toc184313290"/>
      <w:bookmarkEnd w:id="229"/>
      <w:bookmarkStart w:id="230" w:name="_Toc184313283"/>
      <w:bookmarkEnd w:id="230"/>
      <w:bookmarkStart w:id="231" w:name="_Toc184314435"/>
      <w:bookmarkEnd w:id="231"/>
      <w:bookmarkStart w:id="232" w:name="_Toc184314481"/>
      <w:bookmarkEnd w:id="232"/>
      <w:bookmarkStart w:id="233" w:name="_Toc184314465"/>
      <w:bookmarkEnd w:id="233"/>
      <w:bookmarkStart w:id="234" w:name="_Toc184308041"/>
      <w:bookmarkEnd w:id="234"/>
      <w:bookmarkStart w:id="235" w:name="_Toc184314457"/>
      <w:bookmarkEnd w:id="235"/>
      <w:bookmarkStart w:id="236" w:name="_Toc184312117"/>
      <w:bookmarkEnd w:id="236"/>
      <w:bookmarkStart w:id="237" w:name="_Toc184314427"/>
      <w:bookmarkEnd w:id="237"/>
      <w:bookmarkStart w:id="238" w:name="_Toc184312111"/>
      <w:bookmarkEnd w:id="238"/>
      <w:bookmarkStart w:id="239" w:name="_Toc184312105"/>
      <w:bookmarkEnd w:id="239"/>
      <w:bookmarkStart w:id="240" w:name="_Toc184308065"/>
      <w:bookmarkEnd w:id="240"/>
      <w:bookmarkStart w:id="241" w:name="_Toc184310290"/>
      <w:bookmarkEnd w:id="241"/>
      <w:bookmarkStart w:id="242" w:name="_Toc184312100"/>
      <w:bookmarkEnd w:id="242"/>
      <w:bookmarkStart w:id="243" w:name="_Toc184308080"/>
      <w:bookmarkEnd w:id="243"/>
      <w:bookmarkStart w:id="244" w:name="_Toc184310332"/>
      <w:bookmarkEnd w:id="244"/>
      <w:bookmarkStart w:id="245" w:name="_Toc184314478"/>
      <w:bookmarkEnd w:id="245"/>
      <w:bookmarkStart w:id="246" w:name="_Toc184313304"/>
      <w:bookmarkEnd w:id="246"/>
      <w:bookmarkStart w:id="247" w:name="_Toc184312067"/>
      <w:bookmarkEnd w:id="247"/>
      <w:bookmarkStart w:id="248" w:name="_Toc184314413"/>
      <w:bookmarkEnd w:id="248"/>
      <w:bookmarkStart w:id="249" w:name="_Toc184314476"/>
      <w:bookmarkEnd w:id="249"/>
      <w:bookmarkStart w:id="250" w:name="_Toc184314430"/>
      <w:bookmarkEnd w:id="250"/>
      <w:bookmarkStart w:id="251" w:name="_Toc184312087"/>
      <w:bookmarkEnd w:id="251"/>
      <w:bookmarkStart w:id="252" w:name="_Toc184308060"/>
      <w:bookmarkEnd w:id="252"/>
      <w:bookmarkStart w:id="253" w:name="_Toc184314412"/>
      <w:bookmarkEnd w:id="253"/>
      <w:bookmarkStart w:id="254" w:name="_Toc184308081"/>
      <w:bookmarkEnd w:id="254"/>
      <w:bookmarkStart w:id="255" w:name="_Toc184310326"/>
      <w:bookmarkEnd w:id="255"/>
      <w:bookmarkStart w:id="256" w:name="_Toc184308062"/>
      <w:bookmarkEnd w:id="256"/>
      <w:bookmarkStart w:id="257" w:name="_Toc184314466"/>
      <w:bookmarkEnd w:id="257"/>
      <w:bookmarkStart w:id="258" w:name="_Toc184310303"/>
      <w:bookmarkEnd w:id="258"/>
      <w:bookmarkStart w:id="259" w:name="_Toc184310310"/>
      <w:bookmarkEnd w:id="259"/>
      <w:bookmarkStart w:id="260" w:name="_Toc184314429"/>
      <w:bookmarkEnd w:id="260"/>
      <w:bookmarkStart w:id="261" w:name="_Toc184313280"/>
      <w:bookmarkEnd w:id="261"/>
      <w:bookmarkStart w:id="262" w:name="_Toc184308076"/>
      <w:bookmarkEnd w:id="262"/>
      <w:bookmarkStart w:id="263" w:name="_Toc184310286"/>
      <w:bookmarkEnd w:id="263"/>
      <w:bookmarkStart w:id="264" w:name="_Toc184310313"/>
      <w:bookmarkEnd w:id="264"/>
      <w:bookmarkStart w:id="265" w:name="_Toc184314479"/>
      <w:bookmarkEnd w:id="265"/>
      <w:bookmarkStart w:id="266" w:name="_Toc184313292"/>
      <w:bookmarkEnd w:id="266"/>
      <w:bookmarkStart w:id="267" w:name="_Toc184308077"/>
      <w:bookmarkEnd w:id="267"/>
      <w:bookmarkStart w:id="268" w:name="_Toc184312106"/>
      <w:bookmarkEnd w:id="268"/>
      <w:bookmarkStart w:id="269" w:name="_Toc184310336"/>
      <w:bookmarkEnd w:id="269"/>
      <w:bookmarkStart w:id="270" w:name="_Toc184312088"/>
      <w:bookmarkEnd w:id="270"/>
      <w:bookmarkStart w:id="271" w:name="_Toc184310339"/>
      <w:bookmarkEnd w:id="271"/>
      <w:bookmarkStart w:id="272" w:name="_Toc184313273"/>
      <w:bookmarkEnd w:id="272"/>
      <w:bookmarkStart w:id="273" w:name="_Toc184310331"/>
      <w:bookmarkEnd w:id="273"/>
      <w:bookmarkStart w:id="274" w:name="_Toc184308078"/>
      <w:bookmarkEnd w:id="274"/>
      <w:bookmarkStart w:id="275" w:name="_Toc184314458"/>
      <w:bookmarkEnd w:id="275"/>
      <w:bookmarkStart w:id="276" w:name="_Toc184308036"/>
      <w:bookmarkEnd w:id="276"/>
      <w:bookmarkStart w:id="277" w:name="_Toc184313253"/>
      <w:bookmarkEnd w:id="277"/>
      <w:bookmarkStart w:id="278" w:name="_Toc184310325"/>
      <w:bookmarkEnd w:id="278"/>
      <w:bookmarkStart w:id="279" w:name="_Toc184313256"/>
      <w:bookmarkEnd w:id="279"/>
      <w:bookmarkStart w:id="280" w:name="_Toc184312091"/>
      <w:bookmarkEnd w:id="280"/>
      <w:bookmarkStart w:id="281" w:name="_Toc184312133"/>
      <w:bookmarkEnd w:id="281"/>
      <w:bookmarkStart w:id="282" w:name="_Toc184314438"/>
      <w:bookmarkEnd w:id="282"/>
      <w:bookmarkStart w:id="283" w:name="_Toc184312073"/>
      <w:bookmarkEnd w:id="283"/>
      <w:bookmarkStart w:id="284" w:name="_Toc184312127"/>
      <w:bookmarkEnd w:id="284"/>
      <w:bookmarkStart w:id="285" w:name="_Toc184314434"/>
      <w:bookmarkEnd w:id="285"/>
      <w:bookmarkStart w:id="286" w:name="_Toc184313278"/>
      <w:bookmarkEnd w:id="286"/>
      <w:bookmarkStart w:id="287" w:name="_Toc184310273"/>
      <w:bookmarkEnd w:id="287"/>
      <w:bookmarkStart w:id="288" w:name="_Toc184312098"/>
      <w:bookmarkEnd w:id="288"/>
      <w:bookmarkStart w:id="289" w:name="_Toc184310338"/>
      <w:bookmarkEnd w:id="289"/>
      <w:bookmarkStart w:id="290" w:name="_Toc184314445"/>
      <w:bookmarkEnd w:id="290"/>
      <w:bookmarkStart w:id="291" w:name="_Toc184312076"/>
      <w:bookmarkEnd w:id="291"/>
      <w:bookmarkStart w:id="292" w:name="_Toc184310337"/>
      <w:bookmarkEnd w:id="292"/>
      <w:bookmarkStart w:id="293" w:name="_Toc184313275"/>
      <w:bookmarkEnd w:id="293"/>
      <w:bookmarkStart w:id="294" w:name="_Toc184312083"/>
      <w:bookmarkEnd w:id="294"/>
      <w:bookmarkStart w:id="295" w:name="_Toc184314411"/>
      <w:bookmarkEnd w:id="295"/>
      <w:bookmarkStart w:id="296" w:name="_Toc184308055"/>
      <w:bookmarkEnd w:id="296"/>
      <w:bookmarkStart w:id="297" w:name="_Toc184313307"/>
      <w:bookmarkEnd w:id="297"/>
      <w:bookmarkStart w:id="298" w:name="_Toc184312068"/>
      <w:bookmarkEnd w:id="298"/>
      <w:bookmarkStart w:id="299" w:name="_Toc184313301"/>
      <w:bookmarkEnd w:id="299"/>
      <w:bookmarkStart w:id="300" w:name="_Toc184308056"/>
      <w:bookmarkEnd w:id="300"/>
      <w:bookmarkStart w:id="301" w:name="_Toc184313257"/>
      <w:bookmarkEnd w:id="301"/>
      <w:bookmarkStart w:id="302" w:name="_Toc184308094"/>
      <w:bookmarkEnd w:id="302"/>
      <w:bookmarkStart w:id="303" w:name="_Toc184313263"/>
      <w:bookmarkEnd w:id="303"/>
      <w:bookmarkStart w:id="304" w:name="_Toc184312082"/>
      <w:bookmarkEnd w:id="304"/>
      <w:bookmarkStart w:id="305" w:name="_Toc184313296"/>
      <w:bookmarkEnd w:id="305"/>
      <w:bookmarkStart w:id="306" w:name="_Toc184313303"/>
      <w:bookmarkEnd w:id="306"/>
      <w:bookmarkStart w:id="307" w:name="_Toc184310277"/>
      <w:bookmarkEnd w:id="307"/>
      <w:bookmarkStart w:id="308" w:name="_Toc184312122"/>
      <w:bookmarkEnd w:id="308"/>
      <w:bookmarkStart w:id="309" w:name="_Toc184310283"/>
      <w:bookmarkEnd w:id="309"/>
      <w:bookmarkStart w:id="310" w:name="_Toc184308054"/>
      <w:bookmarkEnd w:id="310"/>
      <w:bookmarkStart w:id="311" w:name="_Toc184312086"/>
      <w:bookmarkEnd w:id="311"/>
      <w:bookmarkStart w:id="312" w:name="_Toc184312115"/>
      <w:bookmarkEnd w:id="312"/>
      <w:bookmarkStart w:id="313" w:name="_Toc184312084"/>
      <w:bookmarkEnd w:id="313"/>
      <w:bookmarkStart w:id="314" w:name="_Toc184310296"/>
      <w:bookmarkEnd w:id="314"/>
      <w:bookmarkStart w:id="315" w:name="_Toc184313268"/>
      <w:bookmarkEnd w:id="315"/>
      <w:bookmarkStart w:id="316" w:name="_Toc184312116"/>
      <w:bookmarkEnd w:id="316"/>
      <w:bookmarkStart w:id="317" w:name="_Toc184310289"/>
      <w:bookmarkEnd w:id="317"/>
      <w:bookmarkStart w:id="318" w:name="_Toc184308047"/>
      <w:bookmarkEnd w:id="318"/>
      <w:bookmarkStart w:id="319" w:name="_Toc184314477"/>
      <w:bookmarkEnd w:id="319"/>
      <w:bookmarkStart w:id="320" w:name="_Toc184313308"/>
      <w:bookmarkEnd w:id="320"/>
      <w:bookmarkStart w:id="321" w:name="_Toc184310341"/>
      <w:bookmarkEnd w:id="321"/>
      <w:bookmarkStart w:id="322" w:name="_Toc184313254"/>
      <w:bookmarkEnd w:id="322"/>
      <w:bookmarkStart w:id="323" w:name="_Toc184310306"/>
      <w:bookmarkEnd w:id="323"/>
      <w:bookmarkStart w:id="324" w:name="_Toc184313269"/>
      <w:bookmarkEnd w:id="324"/>
      <w:bookmarkStart w:id="325" w:name="_Toc184310293"/>
      <w:bookmarkEnd w:id="325"/>
      <w:bookmarkStart w:id="326" w:name="_Toc184314459"/>
      <w:bookmarkEnd w:id="326"/>
      <w:bookmarkStart w:id="327" w:name="_Toc184308044"/>
      <w:bookmarkEnd w:id="327"/>
      <w:bookmarkStart w:id="328" w:name="_Toc184314419"/>
      <w:bookmarkEnd w:id="328"/>
      <w:bookmarkStart w:id="329" w:name="_Toc184314431"/>
      <w:bookmarkEnd w:id="329"/>
      <w:bookmarkStart w:id="330" w:name="_Toc184314464"/>
      <w:bookmarkEnd w:id="330"/>
      <w:bookmarkStart w:id="331" w:name="_Toc184312135"/>
      <w:bookmarkEnd w:id="331"/>
      <w:bookmarkStart w:id="332" w:name="_Toc184313266"/>
      <w:bookmarkEnd w:id="332"/>
      <w:bookmarkStart w:id="333" w:name="_Toc184312126"/>
      <w:bookmarkEnd w:id="333"/>
      <w:bookmarkStart w:id="334" w:name="_Toc184314432"/>
      <w:bookmarkEnd w:id="334"/>
      <w:bookmarkStart w:id="335" w:name="_Toc184314439"/>
      <w:bookmarkEnd w:id="335"/>
      <w:bookmarkStart w:id="336" w:name="_Toc184310288"/>
      <w:bookmarkEnd w:id="336"/>
      <w:bookmarkStart w:id="337" w:name="_Toc184310322"/>
      <w:bookmarkEnd w:id="337"/>
      <w:bookmarkStart w:id="338" w:name="_Toc184313251"/>
      <w:bookmarkEnd w:id="338"/>
      <w:bookmarkStart w:id="339" w:name="_Toc184308108"/>
      <w:bookmarkEnd w:id="339"/>
      <w:bookmarkStart w:id="340" w:name="_Toc184310314"/>
      <w:bookmarkEnd w:id="340"/>
      <w:bookmarkStart w:id="341" w:name="_Toc184313264"/>
      <w:bookmarkEnd w:id="341"/>
      <w:bookmarkStart w:id="342" w:name="_Toc184308067"/>
      <w:bookmarkEnd w:id="342"/>
      <w:bookmarkStart w:id="343" w:name="_Toc184308106"/>
      <w:bookmarkEnd w:id="343"/>
      <w:bookmarkStart w:id="344" w:name="_Toc184308051"/>
      <w:bookmarkEnd w:id="344"/>
      <w:bookmarkStart w:id="345" w:name="_Toc184312131"/>
      <w:bookmarkEnd w:id="345"/>
      <w:bookmarkStart w:id="346" w:name="_Toc184312102"/>
      <w:bookmarkEnd w:id="346"/>
      <w:bookmarkStart w:id="347" w:name="_Toc184310298"/>
      <w:bookmarkEnd w:id="347"/>
      <w:bookmarkStart w:id="348" w:name="_Toc184313258"/>
      <w:bookmarkEnd w:id="348"/>
      <w:bookmarkStart w:id="349" w:name="_Toc184310308"/>
      <w:bookmarkEnd w:id="349"/>
      <w:bookmarkStart w:id="350" w:name="_Toc184312099"/>
      <w:bookmarkEnd w:id="350"/>
      <w:bookmarkStart w:id="351" w:name="_Toc184312121"/>
      <w:bookmarkEnd w:id="351"/>
      <w:bookmarkStart w:id="352" w:name="_Toc184310343"/>
      <w:bookmarkEnd w:id="352"/>
      <w:bookmarkStart w:id="353" w:name="_Toc184314426"/>
      <w:bookmarkEnd w:id="353"/>
      <w:bookmarkStart w:id="354" w:name="_Toc184313255"/>
      <w:bookmarkEnd w:id="354"/>
      <w:bookmarkStart w:id="355" w:name="_Toc184310301"/>
      <w:bookmarkEnd w:id="355"/>
      <w:bookmarkStart w:id="356" w:name="_Toc184313276"/>
      <w:bookmarkEnd w:id="356"/>
      <w:bookmarkStart w:id="357" w:name="_Toc184314437"/>
      <w:bookmarkEnd w:id="357"/>
      <w:bookmarkStart w:id="358" w:name="_Toc184314440"/>
      <w:bookmarkEnd w:id="358"/>
      <w:bookmarkStart w:id="359" w:name="_Toc184313274"/>
      <w:bookmarkEnd w:id="359"/>
      <w:bookmarkStart w:id="360" w:name="_Toc184314446"/>
      <w:bookmarkEnd w:id="360"/>
      <w:bookmarkStart w:id="361" w:name="_Toc184308058"/>
      <w:bookmarkEnd w:id="361"/>
      <w:bookmarkStart w:id="362" w:name="_Toc184310320"/>
      <w:bookmarkEnd w:id="362"/>
      <w:bookmarkStart w:id="363" w:name="_Toc184310282"/>
      <w:bookmarkEnd w:id="363"/>
      <w:bookmarkStart w:id="364" w:name="_Toc184314443"/>
      <w:bookmarkEnd w:id="364"/>
      <w:bookmarkStart w:id="365" w:name="_Toc184312070"/>
      <w:bookmarkEnd w:id="365"/>
      <w:bookmarkStart w:id="366" w:name="_Toc184314473"/>
      <w:bookmarkEnd w:id="366"/>
      <w:bookmarkStart w:id="367" w:name="_Toc184310317"/>
      <w:bookmarkEnd w:id="367"/>
      <w:bookmarkStart w:id="368" w:name="_Toc184313250"/>
      <w:bookmarkEnd w:id="368"/>
      <w:bookmarkStart w:id="369" w:name="_Toc184308099"/>
      <w:bookmarkEnd w:id="369"/>
      <w:bookmarkStart w:id="370" w:name="_Toc184308071"/>
      <w:bookmarkEnd w:id="370"/>
      <w:bookmarkStart w:id="371" w:name="_Toc184308101"/>
      <w:bookmarkEnd w:id="371"/>
      <w:bookmarkStart w:id="372" w:name="_Toc184308052"/>
      <w:bookmarkEnd w:id="372"/>
      <w:bookmarkStart w:id="373" w:name="_Toc184312079"/>
      <w:bookmarkEnd w:id="373"/>
      <w:bookmarkStart w:id="374" w:name="_Toc184314460"/>
      <w:bookmarkEnd w:id="374"/>
      <w:bookmarkStart w:id="375" w:name="_Toc184310292"/>
      <w:bookmarkEnd w:id="375"/>
      <w:bookmarkStart w:id="376" w:name="_Toc184312071"/>
      <w:bookmarkEnd w:id="376"/>
      <w:bookmarkStart w:id="377" w:name="_Toc184310315"/>
      <w:bookmarkEnd w:id="377"/>
      <w:bookmarkStart w:id="378" w:name="_Toc184313279"/>
      <w:bookmarkEnd w:id="378"/>
      <w:bookmarkStart w:id="379" w:name="_Toc184308048"/>
      <w:bookmarkEnd w:id="379"/>
      <w:bookmarkStart w:id="380" w:name="_Toc184310309"/>
      <w:bookmarkEnd w:id="380"/>
      <w:bookmarkStart w:id="381" w:name="_Toc184312095"/>
      <w:bookmarkEnd w:id="381"/>
      <w:bookmarkStart w:id="382" w:name="_Toc184308040"/>
      <w:bookmarkEnd w:id="382"/>
      <w:bookmarkStart w:id="383" w:name="_Toc184314452"/>
      <w:bookmarkEnd w:id="383"/>
      <w:bookmarkStart w:id="384" w:name="_Toc184310311"/>
      <w:bookmarkEnd w:id="384"/>
      <w:bookmarkStart w:id="385" w:name="_Toc184308082"/>
      <w:bookmarkEnd w:id="385"/>
      <w:bookmarkStart w:id="386" w:name="_Toc184313247"/>
      <w:bookmarkEnd w:id="386"/>
      <w:bookmarkStart w:id="387" w:name="_Toc184312096"/>
      <w:bookmarkEnd w:id="387"/>
      <w:bookmarkStart w:id="388" w:name="_Toc184310305"/>
      <w:bookmarkEnd w:id="388"/>
      <w:bookmarkStart w:id="389" w:name="_Toc184312112"/>
      <w:bookmarkEnd w:id="389"/>
      <w:bookmarkStart w:id="390" w:name="_Toc184308037"/>
      <w:bookmarkEnd w:id="390"/>
      <w:bookmarkStart w:id="391" w:name="_Toc184313238"/>
      <w:bookmarkEnd w:id="391"/>
      <w:bookmarkStart w:id="392" w:name="_Toc184312128"/>
      <w:bookmarkEnd w:id="392"/>
      <w:bookmarkStart w:id="393" w:name="_Toc184308097"/>
      <w:bookmarkEnd w:id="393"/>
      <w:bookmarkStart w:id="394" w:name="_Toc184314480"/>
      <w:bookmarkEnd w:id="394"/>
      <w:bookmarkStart w:id="395" w:name="_Toc184308049"/>
      <w:bookmarkEnd w:id="395"/>
      <w:bookmarkStart w:id="396" w:name="_Toc184313259"/>
      <w:bookmarkEnd w:id="396"/>
      <w:bookmarkStart w:id="397" w:name="_Toc184313265"/>
      <w:bookmarkEnd w:id="397"/>
      <w:bookmarkStart w:id="398" w:name="_Toc184308064"/>
      <w:bookmarkEnd w:id="398"/>
      <w:bookmarkStart w:id="399" w:name="_Toc184314455"/>
      <w:bookmarkEnd w:id="399"/>
      <w:bookmarkStart w:id="400" w:name="_Toc184314475"/>
      <w:bookmarkEnd w:id="400"/>
      <w:bookmarkStart w:id="401" w:name="_Toc184313310"/>
      <w:bookmarkEnd w:id="401"/>
      <w:bookmarkStart w:id="402" w:name="_Toc184308061"/>
      <w:bookmarkEnd w:id="402"/>
      <w:bookmarkStart w:id="403" w:name="_Toc184313291"/>
      <w:bookmarkEnd w:id="403"/>
      <w:bookmarkStart w:id="404" w:name="_Toc184310291"/>
      <w:bookmarkEnd w:id="404"/>
      <w:bookmarkStart w:id="405" w:name="_Toc184313284"/>
      <w:bookmarkEnd w:id="405"/>
      <w:bookmarkStart w:id="406" w:name="_Toc184314447"/>
      <w:bookmarkEnd w:id="406"/>
      <w:bookmarkStart w:id="407" w:name="_Toc184310340"/>
      <w:bookmarkEnd w:id="407"/>
      <w:bookmarkStart w:id="408" w:name="_Toc184313309"/>
      <w:bookmarkEnd w:id="408"/>
      <w:bookmarkStart w:id="409" w:name="_Toc184310321"/>
      <w:bookmarkEnd w:id="409"/>
      <w:bookmarkStart w:id="410" w:name="_Toc184313267"/>
      <w:bookmarkEnd w:id="410"/>
      <w:bookmarkStart w:id="411" w:name="_Toc184308073"/>
      <w:bookmarkEnd w:id="411"/>
      <w:r>
        <w:rPr>
          <w:rFonts w:hint="eastAsia" w:ascii="仿宋" w:hAnsi="仿宋" w:eastAsia="仿宋" w:cs="仿宋"/>
        </w:rPr>
        <w:t>评标办法</w:t>
      </w:r>
      <w:bookmarkEnd w:id="45"/>
      <w:bookmarkEnd w:id="46"/>
    </w:p>
    <w:p>
      <w:pPr>
        <w:snapToGrid w:val="0"/>
        <w:spacing w:line="360" w:lineRule="auto"/>
        <w:jc w:val="center"/>
        <w:rPr>
          <w:rFonts w:hint="eastAsia" w:ascii="仿宋" w:hAnsi="仿宋" w:eastAsia="仿宋" w:cs="仿宋_GB2312"/>
          <w:b/>
          <w:color w:val="000000" w:themeColor="text1"/>
          <w:sz w:val="32"/>
          <w:szCs w:val="20"/>
          <w:highlight w:val="none"/>
          <w14:textFill>
            <w14:solidFill>
              <w14:schemeClr w14:val="tx1"/>
            </w14:solidFill>
          </w14:textFill>
        </w:rPr>
      </w:pPr>
      <w:r>
        <w:rPr>
          <w:rFonts w:hint="eastAsia" w:ascii="仿宋" w:hAnsi="仿宋" w:eastAsia="仿宋" w:cs="仿宋_GB2312"/>
          <w:b/>
          <w:color w:val="000000" w:themeColor="text1"/>
          <w:sz w:val="32"/>
          <w:szCs w:val="20"/>
          <w:highlight w:val="none"/>
          <w14:textFill>
            <w14:solidFill>
              <w14:schemeClr w14:val="tx1"/>
            </w14:solidFill>
          </w14:textFill>
        </w:rPr>
        <w:t>评标办法前附表</w:t>
      </w:r>
    </w:p>
    <w:tbl>
      <w:tblPr>
        <w:tblStyle w:val="62"/>
        <w:tblW w:w="10038"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764"/>
        <w:gridCol w:w="6366"/>
        <w:gridCol w:w="954"/>
      </w:tblGrid>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tblHeader/>
          <w:jc w:val="center"/>
        </w:trPr>
        <w:tc>
          <w:tcPr>
            <w:tcW w:w="954" w:type="dxa"/>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lang w:val="en-US" w:eastAsia="zh-CN"/>
              </w:rPr>
              <w:t>序号</w:t>
            </w:r>
          </w:p>
        </w:tc>
        <w:tc>
          <w:tcPr>
            <w:tcW w:w="1764"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投标文件中评标标准相应的商务技术资料目录 *</w:t>
            </w:r>
          </w:p>
        </w:tc>
        <w:tc>
          <w:tcPr>
            <w:tcW w:w="6366"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评分标准</w:t>
            </w:r>
          </w:p>
        </w:tc>
        <w:tc>
          <w:tcPr>
            <w:tcW w:w="954"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分数</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体系认证</w:t>
            </w: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1.投标人具有ISO9001质量管理体系、ISO14001环境体系、ISO45001职业健康安全管理体系认证证书，认证范围均包含学校家具的设计开发；（3分，缺项不得分）</w:t>
            </w:r>
          </w:p>
          <w:p>
            <w:pPr>
              <w:bidi w:val="0"/>
              <w:rPr>
                <w:rFonts w:hint="eastAsia" w:ascii="仿宋" w:hAnsi="仿宋" w:eastAsia="仿宋" w:cs="仿宋"/>
                <w:sz w:val="24"/>
                <w:szCs w:val="24"/>
              </w:rPr>
            </w:pPr>
            <w:r>
              <w:rPr>
                <w:rFonts w:hint="eastAsia" w:ascii="仿宋" w:hAnsi="仿宋" w:eastAsia="仿宋" w:cs="仿宋"/>
                <w:sz w:val="24"/>
                <w:szCs w:val="24"/>
              </w:rPr>
              <w:t>2.投标人获得知识产权管理体系认证证书；（1分）</w:t>
            </w:r>
          </w:p>
          <w:p>
            <w:pPr>
              <w:bidi w:val="0"/>
              <w:rPr>
                <w:rFonts w:hint="eastAsia" w:ascii="仿宋" w:hAnsi="仿宋" w:eastAsia="仿宋" w:cs="仿宋"/>
                <w:sz w:val="24"/>
                <w:szCs w:val="24"/>
              </w:rPr>
            </w:pPr>
            <w:r>
              <w:rPr>
                <w:rFonts w:hint="eastAsia" w:ascii="仿宋" w:hAnsi="仿宋" w:eastAsia="仿宋" w:cs="仿宋"/>
                <w:sz w:val="24"/>
                <w:szCs w:val="24"/>
              </w:rPr>
              <w:t>3.投标人获得安全生产标准化三级企业证书；（1分）</w:t>
            </w:r>
          </w:p>
          <w:p>
            <w:pPr>
              <w:bidi w:val="0"/>
              <w:rPr>
                <w:rFonts w:hint="eastAsia" w:ascii="仿宋" w:hAnsi="仿宋" w:eastAsia="仿宋" w:cs="仿宋"/>
                <w:sz w:val="24"/>
                <w:szCs w:val="24"/>
              </w:rPr>
            </w:pPr>
            <w:r>
              <w:rPr>
                <w:rFonts w:hint="eastAsia" w:ascii="仿宋" w:hAnsi="仿宋" w:eastAsia="仿宋" w:cs="仿宋"/>
                <w:sz w:val="24"/>
                <w:szCs w:val="24"/>
              </w:rPr>
              <w:t>4.投标人具有有效期内的两化融合管理体系评定</w:t>
            </w:r>
            <w:r>
              <w:rPr>
                <w:rFonts w:hint="eastAsia" w:ascii="仿宋" w:hAnsi="仿宋" w:eastAsia="仿宋" w:cs="仿宋"/>
                <w:sz w:val="24"/>
                <w:szCs w:val="24"/>
                <w:lang w:eastAsia="zh-Hans"/>
              </w:rPr>
              <w:t>证书</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5.投标人具有有效期内的国家级CNAS认证实验室证书的（1分）</w:t>
            </w:r>
          </w:p>
          <w:p>
            <w:pPr>
              <w:bidi w:val="0"/>
              <w:rPr>
                <w:rFonts w:hint="eastAsia" w:ascii="仿宋" w:hAnsi="仿宋" w:eastAsia="仿宋" w:cs="仿宋"/>
                <w:sz w:val="24"/>
                <w:szCs w:val="24"/>
              </w:rPr>
            </w:pPr>
            <w:r>
              <w:rPr>
                <w:rFonts w:hint="eastAsia" w:ascii="仿宋" w:hAnsi="仿宋" w:eastAsia="仿宋" w:cs="仿宋"/>
                <w:sz w:val="24"/>
                <w:szCs w:val="24"/>
              </w:rPr>
              <w:t>注：上述证书须在有效期内，提供扫描件并加盖公章。</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0-7分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同类业绩</w:t>
            </w: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投标人提供自2018年1月1日以来（以合同签订时间为准）的案例，每个案例得1分，最高得2分。注：</w:t>
            </w:r>
            <w:r>
              <w:rPr>
                <w:rFonts w:hint="eastAsia" w:ascii="仿宋" w:hAnsi="仿宋" w:eastAsia="仿宋" w:cs="仿宋"/>
                <w:sz w:val="24"/>
                <w:szCs w:val="24"/>
                <w:lang w:val="en-US" w:eastAsia="zh-CN"/>
              </w:rPr>
              <w:t>需提供合同扫描件</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0-2分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3357"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764"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环保认证</w:t>
            </w:r>
          </w:p>
        </w:tc>
        <w:tc>
          <w:tcPr>
            <w:tcW w:w="6366"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1.投标人获得绿色供应链评价四星证书；</w:t>
            </w:r>
          </w:p>
          <w:p>
            <w:pPr>
              <w:bidi w:val="0"/>
              <w:rPr>
                <w:rFonts w:hint="eastAsia" w:ascii="仿宋" w:hAnsi="仿宋" w:eastAsia="仿宋" w:cs="仿宋"/>
                <w:sz w:val="24"/>
                <w:szCs w:val="24"/>
              </w:rPr>
            </w:pPr>
            <w:r>
              <w:rPr>
                <w:rFonts w:hint="eastAsia" w:ascii="仿宋" w:hAnsi="仿宋" w:eastAsia="仿宋" w:cs="仿宋"/>
                <w:sz w:val="24"/>
                <w:szCs w:val="24"/>
              </w:rPr>
              <w:t>2.投标人获得GREENGUARD绿色卫士认证证书；</w:t>
            </w:r>
          </w:p>
          <w:p>
            <w:pPr>
              <w:bidi w:val="0"/>
              <w:rPr>
                <w:rFonts w:hint="eastAsia" w:ascii="仿宋" w:hAnsi="仿宋" w:eastAsia="仿宋" w:cs="仿宋"/>
                <w:sz w:val="24"/>
                <w:szCs w:val="24"/>
              </w:rPr>
            </w:pPr>
            <w:r>
              <w:rPr>
                <w:rFonts w:hint="eastAsia" w:ascii="仿宋" w:hAnsi="仿宋" w:eastAsia="仿宋" w:cs="仿宋"/>
                <w:sz w:val="24"/>
                <w:szCs w:val="24"/>
              </w:rPr>
              <w:t>3.投标人获得FSC森林认证证书；</w:t>
            </w:r>
          </w:p>
          <w:p>
            <w:pPr>
              <w:bidi w:val="0"/>
              <w:rPr>
                <w:rFonts w:hint="eastAsia" w:ascii="仿宋" w:hAnsi="仿宋" w:eastAsia="仿宋" w:cs="仿宋"/>
                <w:sz w:val="24"/>
                <w:szCs w:val="24"/>
              </w:rPr>
            </w:pPr>
            <w:r>
              <w:rPr>
                <w:rFonts w:hint="eastAsia" w:ascii="仿宋" w:hAnsi="仿宋" w:eastAsia="仿宋" w:cs="仿宋"/>
                <w:sz w:val="24"/>
                <w:szCs w:val="24"/>
              </w:rPr>
              <w:t>4.投标人获得中国环境标志产品认证证书；</w:t>
            </w:r>
          </w:p>
          <w:p>
            <w:pPr>
              <w:bidi w:val="0"/>
              <w:rPr>
                <w:rFonts w:hint="eastAsia" w:ascii="仿宋" w:hAnsi="仿宋" w:eastAsia="仿宋" w:cs="仿宋"/>
                <w:sz w:val="24"/>
                <w:szCs w:val="24"/>
              </w:rPr>
            </w:pPr>
            <w:r>
              <w:rPr>
                <w:rFonts w:hint="eastAsia" w:ascii="仿宋" w:hAnsi="仿宋" w:eastAsia="仿宋" w:cs="仿宋"/>
                <w:sz w:val="24"/>
                <w:szCs w:val="24"/>
              </w:rPr>
              <w:t>5.投标人获得家具产品环保卫士认证证书；</w:t>
            </w:r>
          </w:p>
          <w:p>
            <w:pPr>
              <w:bidi w:val="0"/>
              <w:rPr>
                <w:rFonts w:hint="eastAsia" w:ascii="仿宋" w:hAnsi="仿宋" w:eastAsia="仿宋" w:cs="仿宋"/>
                <w:sz w:val="24"/>
                <w:szCs w:val="24"/>
              </w:rPr>
            </w:pPr>
            <w:r>
              <w:rPr>
                <w:rFonts w:hint="eastAsia" w:ascii="仿宋" w:hAnsi="仿宋" w:eastAsia="仿宋" w:cs="仿宋"/>
                <w:sz w:val="24"/>
                <w:szCs w:val="24"/>
              </w:rPr>
              <w:t>6.投标人获得ISO14025环境标志认证国际标准Ⅲ型环境标志证书。</w:t>
            </w:r>
          </w:p>
          <w:p>
            <w:pPr>
              <w:bidi w:val="0"/>
              <w:rPr>
                <w:rFonts w:hint="eastAsia" w:ascii="仿宋" w:hAnsi="仿宋" w:eastAsia="仿宋" w:cs="仿宋"/>
                <w:sz w:val="24"/>
                <w:szCs w:val="24"/>
              </w:rPr>
            </w:pPr>
            <w:r>
              <w:rPr>
                <w:rFonts w:hint="eastAsia" w:ascii="仿宋" w:hAnsi="仿宋" w:eastAsia="仿宋" w:cs="仿宋"/>
                <w:sz w:val="24"/>
                <w:szCs w:val="24"/>
              </w:rPr>
              <w:t>上述所述材料全部提供得6分，每一项不满足扣1分，扣完为止。</w:t>
            </w:r>
          </w:p>
          <w:p>
            <w:pPr>
              <w:bidi w:val="0"/>
              <w:rPr>
                <w:rFonts w:hint="eastAsia" w:ascii="仿宋" w:hAnsi="仿宋" w:eastAsia="仿宋" w:cs="仿宋"/>
                <w:sz w:val="24"/>
                <w:szCs w:val="24"/>
              </w:rPr>
            </w:pPr>
            <w:r>
              <w:rPr>
                <w:rFonts w:hint="eastAsia" w:ascii="仿宋" w:hAnsi="仿宋" w:eastAsia="仿宋" w:cs="仿宋"/>
                <w:sz w:val="24"/>
                <w:szCs w:val="24"/>
              </w:rPr>
              <w:t>注：上述证书须在有效期内，提供扫描件并加盖公章。</w:t>
            </w:r>
          </w:p>
        </w:tc>
        <w:tc>
          <w:tcPr>
            <w:tcW w:w="954"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0-6分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954" w:type="dxa"/>
            <w:vMerge w:val="restart"/>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764" w:type="dxa"/>
            <w:vMerge w:val="restart"/>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产品认证</w:t>
            </w: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投标人获得家具产品有害物质限量证书，包含木家具桌类、木家具床类、木家具柜类、木家具架类、木家具椅类、软体家具沙发类、金属家具柜类；得3分，缺项不得分。</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0-3分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954" w:type="dxa"/>
            <w:vMerge w:val="continue"/>
            <w:vAlign w:val="center"/>
          </w:tcPr>
          <w:p>
            <w:pPr>
              <w:bidi w:val="0"/>
              <w:jc w:val="center"/>
              <w:rPr>
                <w:rFonts w:hint="eastAsia" w:ascii="仿宋" w:hAnsi="仿宋" w:eastAsia="仿宋" w:cs="仿宋"/>
                <w:sz w:val="24"/>
                <w:szCs w:val="24"/>
              </w:rPr>
            </w:pPr>
          </w:p>
        </w:tc>
        <w:tc>
          <w:tcPr>
            <w:tcW w:w="1764" w:type="dxa"/>
            <w:vMerge w:val="continue"/>
            <w:shd w:val="clear" w:color="auto" w:fill="auto"/>
            <w:vAlign w:val="center"/>
          </w:tcPr>
          <w:p>
            <w:pPr>
              <w:bidi w:val="0"/>
              <w:rPr>
                <w:rFonts w:hint="eastAsia" w:ascii="仿宋" w:hAnsi="仿宋" w:eastAsia="仿宋" w:cs="仿宋"/>
                <w:sz w:val="24"/>
                <w:szCs w:val="24"/>
              </w:rPr>
            </w:pP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投标人获得低VOCs家具产品认证证书，包含木家具、金属家具、软体家具；得3分，缺项不得分。</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0-3分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54" w:type="dxa"/>
            <w:vMerge w:val="continue"/>
            <w:vAlign w:val="center"/>
          </w:tcPr>
          <w:p>
            <w:pPr>
              <w:bidi w:val="0"/>
              <w:jc w:val="center"/>
              <w:rPr>
                <w:rFonts w:hint="eastAsia" w:ascii="仿宋" w:hAnsi="仿宋" w:eastAsia="仿宋" w:cs="仿宋"/>
                <w:sz w:val="24"/>
                <w:szCs w:val="24"/>
              </w:rPr>
            </w:pPr>
          </w:p>
        </w:tc>
        <w:tc>
          <w:tcPr>
            <w:tcW w:w="1764" w:type="dxa"/>
            <w:vMerge w:val="continue"/>
            <w:shd w:val="clear" w:color="auto" w:fill="auto"/>
            <w:vAlign w:val="center"/>
          </w:tcPr>
          <w:p>
            <w:pPr>
              <w:bidi w:val="0"/>
              <w:rPr>
                <w:rFonts w:hint="eastAsia" w:ascii="仿宋" w:hAnsi="仿宋" w:eastAsia="仿宋" w:cs="仿宋"/>
                <w:sz w:val="24"/>
                <w:szCs w:val="24"/>
              </w:rPr>
            </w:pP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投标人的投标产品需通过国家级防火阻燃产品AAA级证书，包含金属家具、钢木家具。得2分，缺项不得分。</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0-2分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vMerge w:val="continue"/>
            <w:vAlign w:val="center"/>
          </w:tcPr>
          <w:p>
            <w:pPr>
              <w:bidi w:val="0"/>
              <w:jc w:val="center"/>
              <w:rPr>
                <w:rFonts w:hint="eastAsia" w:ascii="仿宋" w:hAnsi="仿宋" w:eastAsia="仿宋" w:cs="仿宋"/>
                <w:sz w:val="24"/>
                <w:szCs w:val="24"/>
              </w:rPr>
            </w:pPr>
          </w:p>
        </w:tc>
        <w:tc>
          <w:tcPr>
            <w:tcW w:w="1764" w:type="dxa"/>
            <w:vMerge w:val="continue"/>
            <w:shd w:val="clear" w:color="auto" w:fill="auto"/>
            <w:vAlign w:val="center"/>
          </w:tcPr>
          <w:p>
            <w:pPr>
              <w:bidi w:val="0"/>
              <w:rPr>
                <w:rFonts w:hint="eastAsia" w:ascii="仿宋" w:hAnsi="仿宋" w:eastAsia="仿宋" w:cs="仿宋"/>
                <w:sz w:val="24"/>
                <w:szCs w:val="24"/>
              </w:rPr>
            </w:pP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投标人的投标产品需通过中国节能环保产品AAA级证书，包含金属家具、钢木家具。得2分，缺项不得分。</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0-2分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主要原材料检测报告</w:t>
            </w:r>
          </w:p>
        </w:tc>
        <w:tc>
          <w:tcPr>
            <w:tcW w:w="6366" w:type="dxa"/>
            <w:shd w:val="clear" w:color="auto" w:fill="auto"/>
            <w:vAlign w:val="center"/>
          </w:tcPr>
          <w:p>
            <w:pPr>
              <w:bidi w:val="0"/>
              <w:rPr>
                <w:rFonts w:hint="default" w:ascii="仿宋" w:hAnsi="仿宋" w:eastAsia="仿宋" w:cs="仿宋"/>
                <w:sz w:val="24"/>
                <w:szCs w:val="24"/>
                <w:lang w:val="en-US" w:eastAsia="zh-CN"/>
              </w:rPr>
            </w:pPr>
            <w:r>
              <w:rPr>
                <w:rFonts w:hint="eastAsia" w:ascii="仿宋" w:hAnsi="仿宋" w:eastAsia="仿宋" w:cs="仿宋"/>
                <w:sz w:val="24"/>
                <w:szCs w:val="24"/>
              </w:rPr>
              <w:t>投标人或核心产品制造商具有投标产品主要原材料检测报告，包括：实木多层板、水性漆、五金-螺丝、双饰面浸渍胶膜纸饰面刨花板、尼龙脚垫、海绵、麻绒布、三合一连接件</w:t>
            </w:r>
            <w:r>
              <w:rPr>
                <w:rFonts w:hint="eastAsia" w:ascii="仿宋" w:hAnsi="仿宋" w:eastAsia="仿宋" w:cs="仿宋"/>
                <w:sz w:val="24"/>
                <w:szCs w:val="24"/>
                <w:lang w:eastAsia="zh-CN"/>
              </w:rPr>
              <w:t>，</w:t>
            </w:r>
            <w:r>
              <w:rPr>
                <w:rFonts w:hint="eastAsia" w:ascii="仿宋" w:hAnsi="仿宋" w:eastAsia="仿宋" w:cs="仿宋"/>
                <w:sz w:val="24"/>
                <w:szCs w:val="24"/>
              </w:rPr>
              <w:t>每少提供一份扣1分，扣完为止。</w:t>
            </w:r>
            <w:r>
              <w:rPr>
                <w:rFonts w:hint="eastAsia" w:ascii="仿宋" w:hAnsi="仿宋" w:eastAsia="仿宋" w:cs="仿宋"/>
                <w:sz w:val="24"/>
                <w:szCs w:val="24"/>
                <w:lang w:val="en-US" w:eastAsia="zh-CN"/>
              </w:rPr>
              <w:t>8分。</w:t>
            </w:r>
            <w:bookmarkStart w:id="616" w:name="_GoBack"/>
            <w:bookmarkEnd w:id="616"/>
          </w:p>
          <w:p>
            <w:pPr>
              <w:bidi w:val="0"/>
              <w:rPr>
                <w:rFonts w:hint="eastAsia" w:ascii="仿宋" w:hAnsi="仿宋" w:eastAsia="仿宋" w:cs="仿宋"/>
                <w:sz w:val="24"/>
                <w:szCs w:val="24"/>
                <w:lang w:val="en-US"/>
              </w:rPr>
            </w:pPr>
            <w:r>
              <w:rPr>
                <w:rFonts w:hint="eastAsia" w:ascii="仿宋" w:hAnsi="仿宋" w:eastAsia="仿宋" w:cs="仿宋"/>
                <w:sz w:val="24"/>
                <w:szCs w:val="24"/>
                <w:lang w:val="en-US"/>
              </w:rPr>
              <w:t>注：投标人须按本项目技术要求提供具有CMA、CNAS资质的国家级检测中心出具且在有效期内的成品抽样或委托抽样检测报告。（发布标书截止日前两年内）</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0-8分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lang w:val="en-US" w:eastAsia="zh-CN"/>
              </w:rPr>
              <w:t>成品合格抽样</w:t>
            </w:r>
            <w:r>
              <w:rPr>
                <w:rFonts w:hint="eastAsia" w:ascii="仿宋" w:hAnsi="仿宋" w:eastAsia="仿宋" w:cs="仿宋"/>
                <w:sz w:val="24"/>
                <w:szCs w:val="24"/>
              </w:rPr>
              <w:t>检测报告</w:t>
            </w:r>
          </w:p>
        </w:tc>
        <w:tc>
          <w:tcPr>
            <w:tcW w:w="6366" w:type="dxa"/>
            <w:shd w:val="clear" w:color="auto" w:fill="auto"/>
            <w:vAlign w:val="center"/>
          </w:tcPr>
          <w:p>
            <w:pPr>
              <w:bidi w:val="0"/>
              <w:rPr>
                <w:rFonts w:hint="default" w:ascii="仿宋" w:hAnsi="仿宋" w:eastAsia="仿宋" w:cs="仿宋"/>
                <w:sz w:val="24"/>
                <w:szCs w:val="24"/>
                <w:lang w:val="en-US" w:eastAsia="zh-CN"/>
              </w:rPr>
            </w:pPr>
            <w:r>
              <w:rPr>
                <w:rFonts w:hint="eastAsia" w:ascii="仿宋" w:hAnsi="仿宋" w:eastAsia="仿宋" w:cs="仿宋"/>
                <w:sz w:val="24"/>
                <w:szCs w:val="24"/>
              </w:rPr>
              <w:t>投标人或核心产品制造商具有投标产品主要成品检测报告，包括：6人桌、环保原木活动床、椅子、经典木语一路顺风车售卖台、美术用品收纳柜、门洞入口、造型毛巾架。每少提供一份扣1分，扣完为止。</w:t>
            </w:r>
            <w:r>
              <w:rPr>
                <w:rFonts w:hint="eastAsia" w:ascii="仿宋" w:hAnsi="仿宋" w:eastAsia="仿宋" w:cs="仿宋"/>
                <w:sz w:val="24"/>
                <w:szCs w:val="24"/>
                <w:lang w:val="en-US" w:eastAsia="zh-CN"/>
              </w:rPr>
              <w:t>6分。</w:t>
            </w:r>
          </w:p>
          <w:p>
            <w:pPr>
              <w:bidi w:val="0"/>
              <w:rPr>
                <w:rFonts w:hint="eastAsia" w:ascii="仿宋" w:hAnsi="仿宋" w:eastAsia="仿宋" w:cs="仿宋"/>
                <w:sz w:val="24"/>
                <w:szCs w:val="24"/>
              </w:rPr>
            </w:pPr>
            <w:r>
              <w:rPr>
                <w:rFonts w:hint="eastAsia" w:ascii="仿宋" w:hAnsi="仿宋" w:eastAsia="仿宋" w:cs="仿宋"/>
                <w:sz w:val="24"/>
                <w:szCs w:val="24"/>
              </w:rPr>
              <w:t>注：投标人须按本项目技术要求提供具有CMA、CNAS资质的国家级检测中心出具且在有效期内的成品抽样或委托抽样检测报告。（发布标书截止日前两年内）（发布标书截止日前两年内）</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0-6分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售后服务方案</w:t>
            </w: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1.投标人提供具有国家标准有效期内《CTEAS商品售后服务评价体系》七星级证书，且同时获得五星评价的售后服务高级管理师≥2名的（3分）；</w:t>
            </w:r>
            <w:r>
              <w:rPr>
                <w:rFonts w:hint="eastAsia" w:ascii="仿宋" w:hAnsi="仿宋" w:eastAsia="仿宋" w:cs="仿宋"/>
                <w:sz w:val="24"/>
                <w:szCs w:val="24"/>
              </w:rPr>
              <w:br w:type="textWrapping"/>
            </w:r>
            <w:r>
              <w:rPr>
                <w:rFonts w:hint="eastAsia" w:ascii="仿宋" w:hAnsi="仿宋" w:eastAsia="仿宋" w:cs="仿宋"/>
                <w:sz w:val="24"/>
                <w:szCs w:val="24"/>
              </w:rPr>
              <w:t>2.提供详细完整的“三包”措施及售后服务措施和方案（包括服务措施、产品质量保证、回访、技术培训等）（</w:t>
            </w:r>
            <w:r>
              <w:rPr>
                <w:rFonts w:hint="eastAsia" w:ascii="仿宋" w:hAnsi="仿宋" w:eastAsia="仿宋" w:cs="仿宋"/>
                <w:sz w:val="24"/>
                <w:szCs w:val="24"/>
                <w:lang w:val="en-US" w:eastAsia="zh-CN"/>
              </w:rPr>
              <w:t>每提供一个措施方案得0.5分，最高</w:t>
            </w:r>
            <w:r>
              <w:rPr>
                <w:rFonts w:hint="eastAsia" w:ascii="仿宋" w:hAnsi="仿宋" w:eastAsia="仿宋" w:cs="仿宋"/>
                <w:sz w:val="24"/>
                <w:szCs w:val="24"/>
              </w:rPr>
              <w:t>2分）。</w:t>
            </w:r>
          </w:p>
        </w:tc>
        <w:tc>
          <w:tcPr>
            <w:tcW w:w="954"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0-5分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764" w:type="dxa"/>
            <w:shd w:val="clear" w:color="auto" w:fill="auto"/>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人员配备</w:t>
            </w: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lang w:eastAsia="zh-CN"/>
              </w:rPr>
              <w:t>根据投标人投入的项目实施人员进行打分，其中：①项目实施人员专业配置齐全、分工合理的得</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分；②项目实施人员具备与本项目相关的行业资格证书或技术能力证书的每人得</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分，最高得</w:t>
            </w:r>
            <w:r>
              <w:rPr>
                <w:rFonts w:hint="eastAsia" w:ascii="仿宋" w:hAnsi="仿宋" w:eastAsia="仿宋" w:cs="仿宋"/>
                <w:sz w:val="24"/>
                <w:szCs w:val="24"/>
                <w:lang w:val="en-US" w:eastAsia="zh-CN"/>
              </w:rPr>
              <w:t>2分</w:t>
            </w:r>
            <w:r>
              <w:rPr>
                <w:rFonts w:hint="eastAsia" w:ascii="仿宋" w:hAnsi="仿宋" w:eastAsia="仿宋" w:cs="仿宋"/>
                <w:sz w:val="24"/>
                <w:szCs w:val="24"/>
                <w:lang w:eastAsia="zh-CN"/>
              </w:rPr>
              <w:t>。以上需提供人员清单、</w:t>
            </w:r>
            <w:r>
              <w:rPr>
                <w:rFonts w:hint="eastAsia" w:ascii="仿宋" w:hAnsi="仿宋" w:eastAsia="仿宋" w:cs="仿宋"/>
                <w:sz w:val="24"/>
                <w:szCs w:val="24"/>
                <w:lang w:val="en-US" w:eastAsia="zh-CN"/>
              </w:rPr>
              <w:t>近六个月</w:t>
            </w:r>
            <w:r>
              <w:rPr>
                <w:rFonts w:hint="eastAsia" w:ascii="仿宋" w:hAnsi="仿宋" w:eastAsia="仿宋" w:cs="仿宋"/>
                <w:sz w:val="24"/>
                <w:szCs w:val="24"/>
                <w:lang w:eastAsia="zh-CN"/>
              </w:rPr>
              <w:t>社保证明、相关证书，共</w:t>
            </w:r>
            <w:r>
              <w:rPr>
                <w:rFonts w:hint="eastAsia" w:ascii="仿宋" w:hAnsi="仿宋" w:eastAsia="仿宋" w:cs="仿宋"/>
                <w:sz w:val="24"/>
                <w:szCs w:val="24"/>
                <w:lang w:val="en-US" w:eastAsia="zh-CN"/>
              </w:rPr>
              <w:t>4分。</w:t>
            </w:r>
          </w:p>
        </w:tc>
        <w:tc>
          <w:tcPr>
            <w:tcW w:w="954"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0-4分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施工方案</w:t>
            </w:r>
          </w:p>
        </w:tc>
        <w:tc>
          <w:tcPr>
            <w:tcW w:w="6366" w:type="dxa"/>
            <w:shd w:val="clear" w:color="auto" w:fill="auto"/>
            <w:vAlign w:val="center"/>
          </w:tcPr>
          <w:p>
            <w:pPr>
              <w:bidi w:val="0"/>
              <w:rPr>
                <w:rFonts w:hint="eastAsia" w:ascii="仿宋" w:hAnsi="仿宋" w:eastAsia="仿宋" w:cs="仿宋"/>
                <w:sz w:val="24"/>
                <w:szCs w:val="24"/>
                <w:lang w:eastAsia="zh-CN"/>
              </w:rPr>
            </w:pPr>
            <w:r>
              <w:rPr>
                <w:rFonts w:hint="eastAsia" w:ascii="仿宋" w:hAnsi="仿宋" w:eastAsia="仿宋" w:cs="仿宋"/>
                <w:sz w:val="24"/>
                <w:szCs w:val="24"/>
              </w:rPr>
              <w:t>1.生产实施方案：具备生产能力；在规定的时间内有计划的完成项目需求产品的生产装配</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方案符合采购需求得2分，基本满足得1分</w:t>
            </w:r>
            <w:r>
              <w:rPr>
                <w:rFonts w:hint="eastAsia" w:ascii="仿宋" w:hAnsi="仿宋" w:eastAsia="仿宋" w:cs="仿宋"/>
                <w:sz w:val="24"/>
                <w:szCs w:val="24"/>
                <w:lang w:eastAsia="zh-CN"/>
              </w:rPr>
              <w:t>。</w:t>
            </w:r>
          </w:p>
          <w:p>
            <w:pPr>
              <w:bidi w:val="0"/>
              <w:rPr>
                <w:rFonts w:hint="eastAsia" w:ascii="仿宋" w:hAnsi="仿宋" w:eastAsia="仿宋" w:cs="仿宋"/>
                <w:sz w:val="24"/>
                <w:szCs w:val="24"/>
              </w:rPr>
            </w:pPr>
            <w:r>
              <w:rPr>
                <w:rFonts w:hint="eastAsia" w:ascii="仿宋" w:hAnsi="仿宋" w:eastAsia="仿宋" w:cs="仿宋"/>
                <w:sz w:val="24"/>
                <w:szCs w:val="24"/>
              </w:rPr>
              <w:t>2.安装服务实施方案及安装方案的制定（落实送货安装时间和人员安排；根据货物交付时间节点，确保按期交付使用）</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方案符合采购需求得2分，基本满足得1分。</w:t>
            </w:r>
          </w:p>
        </w:tc>
        <w:tc>
          <w:tcPr>
            <w:tcW w:w="954" w:type="dxa"/>
            <w:vAlign w:val="center"/>
          </w:tcPr>
          <w:p>
            <w:pPr>
              <w:bidi w:val="0"/>
              <w:rPr>
                <w:rFonts w:hint="eastAsia" w:ascii="仿宋" w:hAnsi="仿宋" w:eastAsia="仿宋" w:cs="仿宋"/>
                <w:sz w:val="24"/>
                <w:szCs w:val="24"/>
              </w:rPr>
            </w:pPr>
            <w:r>
              <w:rPr>
                <w:rFonts w:hint="eastAsia" w:ascii="仿宋" w:hAnsi="仿宋" w:eastAsia="仿宋" w:cs="仿宋"/>
                <w:sz w:val="24"/>
                <w:szCs w:val="24"/>
              </w:rPr>
              <w:t>0-4分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设计方案</w:t>
            </w: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根据本次项目的采购需求并结合本项目的现场图纸及</w:t>
            </w:r>
            <w:r>
              <w:rPr>
                <w:rFonts w:hint="eastAsia" w:ascii="仿宋" w:hAnsi="仿宋" w:eastAsia="仿宋" w:cs="仿宋"/>
                <w:sz w:val="24"/>
                <w:szCs w:val="24"/>
                <w:lang w:val="en-US" w:eastAsia="zh-CN"/>
              </w:rPr>
              <w:t>采购需求</w:t>
            </w:r>
            <w:r>
              <w:rPr>
                <w:rFonts w:hint="eastAsia" w:ascii="仿宋" w:hAnsi="仿宋" w:eastAsia="仿宋" w:cs="仿宋"/>
                <w:sz w:val="24"/>
                <w:szCs w:val="24"/>
              </w:rPr>
              <w:t>，提供该项目大厅、教室（大、中、小班级布置）搭配效果图</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每提供一个</w:t>
            </w:r>
            <w:r>
              <w:rPr>
                <w:rFonts w:hint="eastAsia" w:ascii="仿宋" w:hAnsi="仿宋" w:eastAsia="仿宋" w:cs="仿宋"/>
                <w:sz w:val="24"/>
                <w:szCs w:val="24"/>
              </w:rPr>
              <w:t>效果图</w:t>
            </w:r>
            <w:r>
              <w:rPr>
                <w:rFonts w:hint="eastAsia" w:ascii="仿宋" w:hAnsi="仿宋" w:eastAsia="仿宋" w:cs="仿宋"/>
                <w:sz w:val="24"/>
                <w:szCs w:val="24"/>
                <w:lang w:val="en-US" w:eastAsia="zh-CN"/>
              </w:rPr>
              <w:t>得2分，共计</w:t>
            </w:r>
            <w:r>
              <w:rPr>
                <w:rFonts w:hint="eastAsia" w:ascii="仿宋" w:hAnsi="仿宋" w:eastAsia="仿宋" w:cs="仿宋"/>
                <w:sz w:val="24"/>
                <w:szCs w:val="24"/>
              </w:rPr>
              <w:t>8分；注：不符合要求不得分。（采购人不组织现场踏勘，</w:t>
            </w:r>
            <w:r>
              <w:rPr>
                <w:rFonts w:hint="eastAsia" w:ascii="仿宋" w:hAnsi="仿宋" w:eastAsia="仿宋" w:cs="仿宋"/>
                <w:sz w:val="24"/>
                <w:szCs w:val="24"/>
                <w:lang w:val="en-US" w:eastAsia="zh-CN"/>
              </w:rPr>
              <w:t>如有需要，</w:t>
            </w:r>
            <w:r>
              <w:rPr>
                <w:rFonts w:hint="eastAsia" w:ascii="仿宋" w:hAnsi="仿宋" w:eastAsia="仿宋" w:cs="仿宋"/>
                <w:sz w:val="24"/>
                <w:szCs w:val="24"/>
              </w:rPr>
              <w:t>供应商</w:t>
            </w:r>
            <w:r>
              <w:rPr>
                <w:rFonts w:hint="eastAsia" w:ascii="仿宋" w:hAnsi="仿宋" w:eastAsia="仿宋" w:cs="仿宋"/>
                <w:sz w:val="24"/>
                <w:szCs w:val="24"/>
                <w:lang w:val="en-US" w:eastAsia="zh-CN"/>
              </w:rPr>
              <w:t>可</w:t>
            </w:r>
            <w:r>
              <w:rPr>
                <w:rFonts w:hint="eastAsia" w:ascii="仿宋" w:hAnsi="仿宋" w:eastAsia="仿宋" w:cs="仿宋"/>
                <w:sz w:val="24"/>
                <w:szCs w:val="24"/>
              </w:rPr>
              <w:t>自行对工程现场和周围环境进行踏勘）</w:t>
            </w:r>
          </w:p>
        </w:tc>
        <w:tc>
          <w:tcPr>
            <w:tcW w:w="95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0-8分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3014" w:hRule="atLeast"/>
          <w:jc w:val="center"/>
        </w:trPr>
        <w:tc>
          <w:tcPr>
            <w:tcW w:w="954" w:type="dxa"/>
            <w:vAlign w:val="center"/>
          </w:tcPr>
          <w:p>
            <w:pPr>
              <w:bidi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764"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样品评分标准</w:t>
            </w:r>
          </w:p>
        </w:tc>
        <w:tc>
          <w:tcPr>
            <w:tcW w:w="6366" w:type="dxa"/>
            <w:shd w:val="clear" w:color="auto" w:fill="auto"/>
            <w:vAlign w:val="center"/>
          </w:tcPr>
          <w:p>
            <w:pPr>
              <w:bidi w:val="0"/>
              <w:rPr>
                <w:rFonts w:hint="eastAsia" w:ascii="仿宋" w:hAnsi="仿宋" w:eastAsia="仿宋" w:cs="仿宋"/>
                <w:sz w:val="24"/>
                <w:szCs w:val="24"/>
              </w:rPr>
            </w:pPr>
            <w:r>
              <w:rPr>
                <w:rFonts w:hint="eastAsia" w:ascii="仿宋" w:hAnsi="仿宋" w:eastAsia="仿宋" w:cs="仿宋"/>
                <w:sz w:val="24"/>
                <w:szCs w:val="24"/>
              </w:rPr>
              <w:t>1.投标人根据招标文件</w:t>
            </w:r>
            <w:r>
              <w:rPr>
                <w:rFonts w:hint="eastAsia" w:ascii="仿宋" w:hAnsi="仿宋" w:eastAsia="仿宋" w:cs="仿宋"/>
                <w:sz w:val="24"/>
                <w:szCs w:val="24"/>
                <w:lang w:val="en-US" w:eastAsia="zh-CN"/>
              </w:rPr>
              <w:t>要求</w:t>
            </w:r>
            <w:r>
              <w:rPr>
                <w:rFonts w:hint="eastAsia" w:ascii="仿宋" w:hAnsi="仿宋" w:eastAsia="仿宋" w:cs="仿宋"/>
                <w:sz w:val="24"/>
                <w:szCs w:val="24"/>
              </w:rPr>
              <w:t>提供样品：样品款式造型、质感及颜色与装饰整体效果的比较，实用性、符合性、协调性、美观性、匹配性等方面</w:t>
            </w:r>
            <w:r>
              <w:rPr>
                <w:rFonts w:hint="eastAsia" w:ascii="仿宋" w:hAnsi="仿宋" w:eastAsia="仿宋" w:cs="仿宋"/>
                <w:sz w:val="24"/>
                <w:szCs w:val="24"/>
                <w:lang w:val="en-US" w:eastAsia="zh-CN"/>
              </w:rPr>
              <w:t>进行打分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每项切合采购需求得1分，每项基本符合得0.5分，最高5</w:t>
            </w:r>
            <w:r>
              <w:rPr>
                <w:rFonts w:hint="eastAsia" w:ascii="仿宋" w:hAnsi="仿宋" w:eastAsia="仿宋" w:cs="仿宋"/>
                <w:sz w:val="24"/>
                <w:szCs w:val="24"/>
                <w:lang w:eastAsia="zh-CN"/>
              </w:rPr>
              <w:t>分</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2、样品的整体质量与性能；依据结构、使用功能、配置完善性、工艺精致性和材料优良性等评审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每项切合采购需求得1分，每项基本符合得0.5分，最高5</w:t>
            </w:r>
            <w:r>
              <w:rPr>
                <w:rFonts w:hint="eastAsia" w:ascii="仿宋" w:hAnsi="仿宋" w:eastAsia="仿宋" w:cs="仿宋"/>
                <w:sz w:val="24"/>
                <w:szCs w:val="24"/>
                <w:lang w:eastAsia="zh-CN"/>
              </w:rPr>
              <w:t>分</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sz w:val="24"/>
                <w:szCs w:val="24"/>
              </w:rPr>
              <w:t>注：投标人不提供样品则视其投标无效，样品提供不全或样品中出现投标单位名称或外观尺寸不符合要求或技术参数明显不符合招标文件要求的则样品分为0分。</w:t>
            </w:r>
          </w:p>
        </w:tc>
        <w:tc>
          <w:tcPr>
            <w:tcW w:w="954" w:type="dxa"/>
            <w:shd w:val="clear" w:color="auto" w:fill="auto"/>
            <w:vAlign w:val="center"/>
          </w:tcPr>
          <w:p>
            <w:pPr>
              <w:bidi w:val="0"/>
              <w:jc w:val="center"/>
              <w:rPr>
                <w:rFonts w:hint="eastAsia" w:ascii="仿宋" w:hAnsi="仿宋" w:eastAsia="仿宋" w:cs="仿宋"/>
                <w:sz w:val="24"/>
                <w:szCs w:val="24"/>
              </w:rPr>
            </w:pPr>
            <w:r>
              <w:rPr>
                <w:rFonts w:hint="eastAsia" w:ascii="仿宋" w:hAnsi="仿宋" w:eastAsia="仿宋" w:cs="仿宋"/>
                <w:sz w:val="24"/>
                <w:szCs w:val="24"/>
              </w:rPr>
              <w:t>0-10分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2014" w:hRule="atLeast"/>
          <w:jc w:val="center"/>
        </w:trPr>
        <w:tc>
          <w:tcPr>
            <w:tcW w:w="954" w:type="dxa"/>
            <w:vAlign w:val="center"/>
          </w:tcPr>
          <w:p>
            <w:pPr>
              <w:bidi w:val="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764" w:type="dxa"/>
            <w:shd w:val="clear" w:color="auto" w:fill="auto"/>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报价</w:t>
            </w:r>
          </w:p>
        </w:tc>
        <w:tc>
          <w:tcPr>
            <w:tcW w:w="6366" w:type="dxa"/>
            <w:shd w:val="clear" w:color="auto" w:fill="auto"/>
            <w:vAlign w:val="center"/>
          </w:tcPr>
          <w:p>
            <w:pPr>
              <w:spacing w:line="360" w:lineRule="auto"/>
              <w:outlineLvl w:val="0"/>
              <w:rPr>
                <w:rFonts w:ascii="仿宋" w:hAnsi="仿宋" w:eastAsia="仿宋" w:cs="仿宋_GB2312"/>
                <w:sz w:val="24"/>
              </w:rPr>
            </w:pPr>
            <w:r>
              <w:rPr>
                <w:rFonts w:hint="eastAsia" w:ascii="仿宋" w:hAnsi="仿宋" w:eastAsia="仿宋" w:cs="仿宋_GB2312"/>
                <w:sz w:val="24"/>
              </w:rPr>
              <w:t>有效投标报价的最低价作为评标基准价，其最低报价为满分；按［投标报价得分</w:t>
            </w:r>
            <w:r>
              <w:rPr>
                <w:rFonts w:ascii="仿宋" w:hAnsi="仿宋" w:eastAsia="仿宋" w:cs="仿宋_GB2312"/>
                <w:sz w:val="24"/>
              </w:rPr>
              <w:t>=（评标基准价/投标报价）*30］的计算公式计算。</w:t>
            </w:r>
          </w:p>
          <w:p>
            <w:pPr>
              <w:widowControl/>
              <w:shd w:val="clear" w:color="auto" w:fill="FFFFFF"/>
              <w:adjustRightInd/>
              <w:spacing w:after="225" w:line="315" w:lineRule="atLeast"/>
              <w:ind w:firstLine="420"/>
              <w:jc w:val="left"/>
              <w:rPr>
                <w:rFonts w:hint="eastAsia" w:ascii="仿宋" w:hAnsi="仿宋" w:eastAsia="仿宋" w:cs="仿宋"/>
                <w:sz w:val="24"/>
                <w:szCs w:val="24"/>
              </w:rPr>
            </w:pPr>
            <w:r>
              <w:rPr>
                <w:rFonts w:ascii="仿宋" w:hAnsi="仿宋" w:eastAsia="仿宋" w:cs="仿宋_GB2312"/>
                <w:sz w:val="24"/>
              </w:rPr>
              <w:t>评标过程中，不得去掉报价中的最高报价和最低报价。</w:t>
            </w:r>
          </w:p>
        </w:tc>
        <w:tc>
          <w:tcPr>
            <w:tcW w:w="954" w:type="dxa"/>
            <w:shd w:val="clear" w:color="auto" w:fill="auto"/>
            <w:vAlign w:val="center"/>
          </w:tcPr>
          <w:p>
            <w:pPr>
              <w:bidi w:val="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30分</w:t>
            </w:r>
          </w:p>
        </w:tc>
      </w:tr>
    </w:tbl>
    <w:p>
      <w:pPr>
        <w:snapToGrid w:val="0"/>
        <w:spacing w:line="360" w:lineRule="auto"/>
        <w:rPr>
          <w:rFonts w:hint="eastAsia" w:ascii="仿宋_GB2312" w:hAnsi="仿宋" w:eastAsia="仿宋_GB2312" w:cs="仿宋_GB2312"/>
          <w:b/>
          <w:sz w:val="32"/>
        </w:rPr>
      </w:pP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w:t>
      </w:r>
      <w:r>
        <w:rPr>
          <w:rFonts w:hint="eastAsia" w:ascii="仿宋" w:hAnsi="仿宋" w:eastAsia="仿宋" w:cs="仿宋_GB2312"/>
          <w:b/>
          <w:bCs/>
          <w:color w:val="000000" w:themeColor="text1"/>
          <w:sz w:val="24"/>
          <w14:textFill>
            <w14:solidFill>
              <w14:schemeClr w14:val="tx1"/>
            </w14:solidFill>
          </w14:textFill>
        </w:rPr>
        <w:t>（序号和内容）</w:t>
      </w:r>
      <w:r>
        <w:rPr>
          <w:rFonts w:hint="eastAsia" w:ascii="仿宋" w:hAnsi="仿宋" w:eastAsia="仿宋" w:cs="仿宋_GB2312"/>
          <w:sz w:val="24"/>
        </w:rPr>
        <w:t>提供评标标准相应的商务技术资料。</w:t>
      </w:r>
      <w:r>
        <w:rPr>
          <w:rFonts w:ascii="仿宋" w:hAnsi="仿宋" w:eastAsia="仿宋" w:cs="仿宋_GB2312"/>
          <w:sz w:val="24"/>
        </w:rPr>
        <w:t> </w:t>
      </w:r>
    </w:p>
    <w:p>
      <w:pPr>
        <w:adjustRightInd w:val="0"/>
        <w:snapToGrid w:val="0"/>
        <w:spacing w:line="360" w:lineRule="auto"/>
        <w:jc w:val="both"/>
        <w:rPr>
          <w:rFonts w:ascii="仿宋_GB2312" w:hAnsi="仿宋" w:eastAsia="仿宋_GB2312" w:cs="Times New Roman"/>
          <w:b/>
          <w:sz w:val="28"/>
          <w:szCs w:val="28"/>
        </w:rPr>
      </w:pPr>
      <w:r>
        <w:rPr>
          <w:rFonts w:hint="eastAsia" w:ascii="仿宋_GB2312" w:hAnsi="仿宋" w:eastAsia="仿宋_GB2312" w:cs="仿宋_GB2312"/>
          <w:b/>
          <w:sz w:val="32"/>
          <w:szCs w:val="24"/>
        </w:rPr>
        <w:t>一、评标方法</w:t>
      </w:r>
    </w:p>
    <w:p>
      <w:pPr>
        <w:adjustRightInd/>
        <w:spacing w:line="360" w:lineRule="auto"/>
        <w:ind w:firstLine="472" w:firstLineChars="196"/>
        <w:rPr>
          <w:rFonts w:ascii="仿宋_GB2312" w:hAnsi="仿宋" w:eastAsia="仿宋_GB2312" w:cs="Arial"/>
          <w:kern w:val="0"/>
          <w:sz w:val="24"/>
          <w:szCs w:val="24"/>
        </w:rPr>
      </w:pPr>
      <w:r>
        <w:rPr>
          <w:rFonts w:ascii="仿宋_GB2312" w:hAnsi="仿宋" w:eastAsia="仿宋_GB2312" w:cs="Arial"/>
          <w:b/>
          <w:color w:val="000000" w:themeColor="text1"/>
          <w:kern w:val="0"/>
          <w:sz w:val="24"/>
          <w:highlight w:val="none"/>
          <w14:textFill>
            <w14:solidFill>
              <w14:schemeClr w14:val="tx1"/>
            </w14:solidFill>
          </w14:textFill>
        </w:rPr>
        <w:t>1.</w:t>
      </w:r>
      <w:r>
        <w:rPr>
          <w:rFonts w:hint="eastAsia" w:ascii="仿宋_GB2312" w:hAnsi="仿宋" w:eastAsia="仿宋_GB2312" w:cs="Arial"/>
          <w:b/>
          <w:color w:val="000000" w:themeColor="text1"/>
          <w:kern w:val="0"/>
          <w:sz w:val="24"/>
          <w:highlight w:val="none"/>
          <w14:textFill>
            <w14:solidFill>
              <w14:schemeClr w14:val="tx1"/>
            </w14:solidFill>
          </w14:textFill>
        </w:rPr>
        <w:t>本项目采用综合评分法。</w:t>
      </w:r>
      <w:r>
        <w:rPr>
          <w:rFonts w:hint="eastAsia" w:ascii="仿宋_GB2312" w:hAnsi="仿宋" w:eastAsia="仿宋_GB2312" w:cs="Arial"/>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pPr>
        <w:adjustRightInd w:val="0"/>
        <w:snapToGrid w:val="0"/>
        <w:spacing w:line="360" w:lineRule="auto"/>
        <w:jc w:val="both"/>
        <w:rPr>
          <w:rFonts w:hint="eastAsia" w:ascii="仿宋_GB2312" w:hAnsi="仿宋" w:eastAsia="仿宋_GB2312" w:cs="仿宋_GB2312"/>
          <w:b/>
          <w:color w:val="000000" w:themeColor="text1"/>
          <w:sz w:val="32"/>
          <w:highlight w:val="none"/>
          <w14:textFill>
            <w14:solidFill>
              <w14:schemeClr w14:val="tx1"/>
            </w14:solidFill>
          </w14:textFill>
        </w:rPr>
      </w:pPr>
      <w:r>
        <w:rPr>
          <w:rFonts w:hint="eastAsia" w:ascii="仿宋_GB2312" w:hAnsi="仿宋" w:eastAsia="仿宋_GB2312" w:cs="仿宋_GB2312"/>
          <w:b/>
          <w:sz w:val="32"/>
          <w:szCs w:val="24"/>
        </w:rPr>
        <w:t>二、</w:t>
      </w:r>
      <w:r>
        <w:rPr>
          <w:rFonts w:hint="eastAsia" w:ascii="仿宋_GB2312" w:hAnsi="仿宋" w:eastAsia="仿宋_GB2312" w:cs="仿宋_GB2312"/>
          <w:b/>
          <w:color w:val="000000" w:themeColor="text1"/>
          <w:sz w:val="32"/>
          <w:highlight w:val="none"/>
          <w14:textFill>
            <w14:solidFill>
              <w14:schemeClr w14:val="tx1"/>
            </w14:solidFill>
          </w14:textFill>
        </w:rPr>
        <w:t>评标标准</w:t>
      </w:r>
    </w:p>
    <w:p>
      <w:pPr>
        <w:spacing w:line="360" w:lineRule="auto"/>
        <w:ind w:firstLine="472" w:firstLineChars="196"/>
        <w:rPr>
          <w:rFonts w:hint="eastAsia" w:ascii="仿宋_GB2312" w:hAnsi="仿宋" w:eastAsia="仿宋_GB2312" w:cs="Arial"/>
          <w:color w:val="000000" w:themeColor="text1"/>
          <w:kern w:val="0"/>
          <w:sz w:val="24"/>
          <w:highlight w:val="none"/>
          <w14:textFill>
            <w14:solidFill>
              <w14:schemeClr w14:val="tx1"/>
            </w14:solidFill>
          </w14:textFill>
        </w:rPr>
      </w:pPr>
      <w:r>
        <w:rPr>
          <w:rFonts w:ascii="仿宋_GB2312" w:hAnsi="仿宋_GB2312" w:eastAsia="仿宋_GB2312" w:cs="仿宋_GB2312"/>
          <w:b/>
          <w:color w:val="000000" w:themeColor="text1"/>
          <w:sz w:val="24"/>
          <w:highlight w:val="none"/>
          <w14:textFill>
            <w14:solidFill>
              <w14:schemeClr w14:val="tx1"/>
            </w14:solidFill>
          </w14:textFill>
        </w:rPr>
        <w:t>2.</w:t>
      </w:r>
      <w:r>
        <w:rPr>
          <w:color w:val="000000" w:themeColor="text1"/>
          <w:highlight w:val="none"/>
          <w14:textFill>
            <w14:solidFill>
              <w14:schemeClr w14:val="tx1"/>
            </w14:solidFill>
          </w14:textFill>
        </w:rPr>
        <w:t xml:space="preserve"> </w:t>
      </w:r>
      <w:r>
        <w:rPr>
          <w:rFonts w:hint="eastAsia" w:ascii="仿宋_GB2312" w:hAnsi="仿宋_GB2312" w:eastAsia="仿宋_GB2312" w:cs="仿宋_GB2312"/>
          <w:b/>
          <w:color w:val="000000" w:themeColor="text1"/>
          <w:sz w:val="24"/>
          <w:highlight w:val="none"/>
          <w14:textFill>
            <w14:solidFill>
              <w14:schemeClr w14:val="tx1"/>
            </w14:solidFill>
          </w14:textFill>
        </w:rPr>
        <w:t>评标标准：</w:t>
      </w:r>
      <w:r>
        <w:rPr>
          <w:rFonts w:hint="eastAsia" w:ascii="仿宋_GB2312" w:hAnsi="仿宋" w:eastAsia="仿宋_GB2312" w:cs="Arial"/>
          <w:color w:val="000000" w:themeColor="text1"/>
          <w:kern w:val="0"/>
          <w:sz w:val="24"/>
          <w:highlight w:val="none"/>
          <w14:textFill>
            <w14:solidFill>
              <w14:schemeClr w14:val="tx1"/>
            </w14:solidFill>
          </w14:textFill>
        </w:rPr>
        <w:t>见评标办法前附表。</w:t>
      </w:r>
    </w:p>
    <w:p>
      <w:pPr>
        <w:spacing w:line="360" w:lineRule="auto"/>
        <w:outlineLvl w:val="0"/>
        <w:rPr>
          <w:rFonts w:ascii="仿宋_GB2312" w:hAnsi="仿宋" w:eastAsia="仿宋_GB2312" w:cs="仿宋_GB2312"/>
          <w:b/>
          <w:color w:val="000000" w:themeColor="text1"/>
          <w:sz w:val="36"/>
          <w:szCs w:val="36"/>
          <w:highlight w:val="none"/>
          <w14:textFill>
            <w14:solidFill>
              <w14:schemeClr w14:val="tx1"/>
            </w14:solidFill>
          </w14:textFill>
        </w:rPr>
      </w:pPr>
      <w:r>
        <w:rPr>
          <w:rFonts w:hint="eastAsia" w:ascii="仿宋_GB2312" w:hAnsi="仿宋" w:eastAsia="仿宋_GB2312" w:cs="仿宋_GB2312"/>
          <w:b/>
          <w:color w:val="000000" w:themeColor="text1"/>
          <w:sz w:val="36"/>
          <w:szCs w:val="36"/>
          <w:highlight w:val="none"/>
          <w14:textFill>
            <w14:solidFill>
              <w14:schemeClr w14:val="tx1"/>
            </w14:solidFill>
          </w14:textFill>
        </w:rPr>
        <w:t>三、评标程序</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color w:val="000000" w:themeColor="text1"/>
          <w:kern w:val="0"/>
          <w:sz w:val="24"/>
          <w:highlight w:val="none"/>
          <w14:textFill>
            <w14:solidFill>
              <w14:schemeClr w14:val="tx1"/>
            </w14:solidFill>
          </w14:textFill>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pPr>
        <w:spacing w:line="360" w:lineRule="auto"/>
        <w:ind w:firstLine="472" w:firstLineChars="196"/>
        <w:rPr>
          <w:rFonts w:ascii="仿宋_GB2312" w:hAnsi="仿宋" w:eastAsia="仿宋_GB2312" w:cs="Arial"/>
          <w:color w:val="000000" w:themeColor="text1"/>
          <w:kern w:val="0"/>
          <w:sz w:val="24"/>
          <w:highlight w:val="none"/>
          <w14:textFill>
            <w14:solidFill>
              <w14:schemeClr w14:val="tx1"/>
            </w14:solidFill>
          </w14:textFill>
        </w:rPr>
      </w:pPr>
      <w:r>
        <w:rPr>
          <w:rFonts w:ascii="仿宋_GB2312" w:hAnsi="仿宋" w:eastAsia="仿宋_GB2312" w:cs="Arial"/>
          <w:b/>
          <w:color w:val="000000" w:themeColor="text1"/>
          <w:kern w:val="0"/>
          <w:sz w:val="24"/>
          <w:highlight w:val="none"/>
          <w14:textFill>
            <w14:solidFill>
              <w14:schemeClr w14:val="tx1"/>
            </w14:solidFill>
          </w14:textFill>
        </w:rPr>
        <w:t xml:space="preserve">3.2 </w:t>
      </w:r>
      <w:r>
        <w:rPr>
          <w:rFonts w:hint="eastAsia" w:ascii="仿宋_GB2312" w:hAnsi="仿宋" w:eastAsia="仿宋_GB2312" w:cs="Arial"/>
          <w:b/>
          <w:color w:val="000000" w:themeColor="text1"/>
          <w:kern w:val="0"/>
          <w:sz w:val="24"/>
          <w:highlight w:val="none"/>
          <w14:textFill>
            <w14:solidFill>
              <w14:schemeClr w14:val="tx1"/>
            </w14:solidFill>
          </w14:textFill>
        </w:rPr>
        <w:t>比较与评价。</w:t>
      </w:r>
      <w:r>
        <w:rPr>
          <w:rFonts w:ascii="仿宋_GB2312" w:hAnsi="仿宋" w:eastAsia="仿宋_GB2312" w:cs="Arial"/>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color w:val="000000" w:themeColor="text1"/>
          <w:kern w:val="0"/>
          <w:sz w:val="24"/>
          <w:highlight w:val="none"/>
          <w14:textFill>
            <w14:solidFill>
              <w14:schemeClr w14:val="tx1"/>
            </w14:solidFill>
          </w14:textFill>
        </w:rPr>
      </w:pPr>
      <w:r>
        <w:rPr>
          <w:rFonts w:ascii="仿宋_GB2312" w:hAnsi="仿宋" w:eastAsia="仿宋_GB2312" w:cs="Arial"/>
          <w:b/>
          <w:color w:val="000000" w:themeColor="text1"/>
          <w:kern w:val="0"/>
          <w:sz w:val="24"/>
          <w:highlight w:val="none"/>
          <w14:textFill>
            <w14:solidFill>
              <w14:schemeClr w14:val="tx1"/>
            </w14:solidFill>
          </w14:textFill>
        </w:rPr>
        <w:t>3.3汇总商务技术得分。</w:t>
      </w:r>
      <w:r>
        <w:rPr>
          <w:rFonts w:hint="eastAsia" w:ascii="仿宋_GB2312" w:hAnsi="仿宋" w:eastAsia="仿宋_GB2312" w:cs="Arial"/>
          <w:color w:val="000000" w:themeColor="text1"/>
          <w:kern w:val="0"/>
          <w:sz w:val="24"/>
          <w:highlight w:val="none"/>
          <w14:textFill>
            <w14:solidFill>
              <w14:schemeClr w14:val="tx1"/>
            </w14:solidFill>
          </w14:textFill>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color w:val="000000" w:themeColor="text1"/>
          <w:kern w:val="0"/>
          <w:sz w:val="24"/>
          <w:highlight w:val="none"/>
          <w14:textFill>
            <w14:solidFill>
              <w14:schemeClr w14:val="tx1"/>
            </w14:solidFill>
          </w14:textFill>
        </w:rPr>
      </w:pPr>
      <w:r>
        <w:rPr>
          <w:rFonts w:ascii="仿宋_GB2312" w:hAnsi="仿宋" w:eastAsia="仿宋_GB2312" w:cs="Arial"/>
          <w:b/>
          <w:color w:val="000000" w:themeColor="text1"/>
          <w:kern w:val="0"/>
          <w:sz w:val="24"/>
          <w:highlight w:val="none"/>
          <w14:textFill>
            <w14:solidFill>
              <w14:schemeClr w14:val="tx1"/>
            </w14:solidFill>
          </w14:textFill>
        </w:rPr>
        <w:t>3.4报价评审。</w:t>
      </w:r>
    </w:p>
    <w:p>
      <w:pPr>
        <w:pStyle w:val="134"/>
        <w:spacing w:before="0"/>
        <w:ind w:firstLine="508" w:firstLineChars="212"/>
        <w:rPr>
          <w:rFonts w:ascii="仿宋_GB2312" w:hAnsi="仿宋" w:eastAsia="仿宋_GB2312" w:cs="Arial"/>
          <w:color w:val="000000" w:themeColor="text1"/>
          <w:kern w:val="0"/>
          <w:highlight w:val="none"/>
          <w14:textFill>
            <w14:solidFill>
              <w14:schemeClr w14:val="tx1"/>
            </w14:solidFill>
          </w14:textFill>
        </w:rPr>
      </w:pPr>
      <w:r>
        <w:rPr>
          <w:rFonts w:ascii="仿宋_GB2312" w:hAnsi="仿宋" w:eastAsia="仿宋_GB2312" w:cs="Arial"/>
          <w:color w:val="000000" w:themeColor="text1"/>
          <w:kern w:val="0"/>
          <w:highlight w:val="none"/>
          <w14:textFill>
            <w14:solidFill>
              <w14:schemeClr w14:val="tx1"/>
            </w14:solidFill>
          </w14:textFill>
        </w:rPr>
        <w:t>3.4.1投标文件报价出现前后不一致的，按照下列规定修正：</w:t>
      </w:r>
    </w:p>
    <w:p>
      <w:pPr>
        <w:pStyle w:val="134"/>
        <w:spacing w:before="0"/>
        <w:ind w:firstLine="480"/>
        <w:rPr>
          <w:rFonts w:ascii="仿宋" w:hAnsi="仿宋" w:eastAsia="仿宋" w:cs="仿宋"/>
          <w:color w:val="000000" w:themeColor="text1"/>
          <w:kern w:val="0"/>
          <w:szCs w:val="24"/>
          <w:highlight w:val="none"/>
          <w14:textFill>
            <w14:solidFill>
              <w14:schemeClr w14:val="tx1"/>
            </w14:solidFill>
          </w14:textFill>
        </w:rPr>
      </w:pPr>
      <w:r>
        <w:rPr>
          <w:rFonts w:ascii="仿宋" w:hAnsi="仿宋" w:eastAsia="仿宋" w:cs="仿宋"/>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pPr>
        <w:pStyle w:val="134"/>
        <w:spacing w:before="0"/>
        <w:ind w:firstLine="480"/>
        <w:rPr>
          <w:rFonts w:ascii="仿宋" w:hAnsi="仿宋" w:eastAsia="仿宋" w:cs="仿宋"/>
          <w:color w:val="000000" w:themeColor="text1"/>
          <w:kern w:val="0"/>
          <w:szCs w:val="24"/>
          <w:highlight w:val="none"/>
          <w14:textFill>
            <w14:solidFill>
              <w14:schemeClr w14:val="tx1"/>
            </w14:solidFill>
          </w14:textFill>
        </w:rPr>
      </w:pPr>
      <w:r>
        <w:rPr>
          <w:rFonts w:ascii="仿宋" w:hAnsi="仿宋" w:eastAsia="仿宋" w:cs="仿宋"/>
          <w:color w:val="000000" w:themeColor="text1"/>
          <w:kern w:val="0"/>
          <w:szCs w:val="24"/>
          <w:highlight w:val="none"/>
          <w14:textFill>
            <w14:solidFill>
              <w14:schemeClr w14:val="tx1"/>
            </w14:solidFill>
          </w14:textFill>
        </w:rPr>
        <w:t>3.4.1.2大写金额和小写金额不一致的，以大写金额为准;</w:t>
      </w:r>
    </w:p>
    <w:p>
      <w:pPr>
        <w:pStyle w:val="134"/>
        <w:spacing w:before="0"/>
        <w:ind w:firstLine="480"/>
        <w:rPr>
          <w:rFonts w:ascii="仿宋" w:hAnsi="仿宋" w:eastAsia="仿宋" w:cs="仿宋"/>
          <w:color w:val="000000" w:themeColor="text1"/>
          <w:kern w:val="0"/>
          <w:szCs w:val="24"/>
          <w:highlight w:val="none"/>
          <w14:textFill>
            <w14:solidFill>
              <w14:schemeClr w14:val="tx1"/>
            </w14:solidFill>
          </w14:textFill>
        </w:rPr>
      </w:pPr>
      <w:r>
        <w:rPr>
          <w:rFonts w:ascii="仿宋" w:hAnsi="仿宋" w:eastAsia="仿宋" w:cs="仿宋"/>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pPr>
        <w:pStyle w:val="134"/>
        <w:spacing w:before="0"/>
        <w:ind w:firstLine="480"/>
        <w:rPr>
          <w:rFonts w:ascii="仿宋" w:hAnsi="仿宋" w:eastAsia="仿宋" w:cs="仿宋"/>
          <w:color w:val="000000" w:themeColor="text1"/>
          <w:kern w:val="0"/>
          <w:szCs w:val="24"/>
          <w:highlight w:val="none"/>
          <w14:textFill>
            <w14:solidFill>
              <w14:schemeClr w14:val="tx1"/>
            </w14:solidFill>
          </w14:textFill>
        </w:rPr>
      </w:pPr>
      <w:r>
        <w:rPr>
          <w:rFonts w:ascii="仿宋" w:hAnsi="仿宋" w:eastAsia="仿宋" w:cs="仿宋"/>
          <w:color w:val="000000" w:themeColor="text1"/>
          <w:kern w:val="0"/>
          <w:szCs w:val="24"/>
          <w:highlight w:val="none"/>
          <w14:textFill>
            <w14:solidFill>
              <w14:schemeClr w14:val="tx1"/>
            </w14:solidFill>
          </w14:textFill>
        </w:rPr>
        <w:t>3.4.1.4总价金额与按单价汇总金额不一致的，以单价金额计算结果为准。</w:t>
      </w:r>
    </w:p>
    <w:p>
      <w:pPr>
        <w:pStyle w:val="134"/>
        <w:spacing w:before="0"/>
        <w:ind w:firstLine="480"/>
        <w:rPr>
          <w:rFonts w:ascii="仿宋" w:hAnsi="仿宋" w:eastAsia="仿宋" w:cs="仿宋"/>
          <w:color w:val="000000" w:themeColor="text1"/>
          <w:kern w:val="0"/>
          <w:szCs w:val="24"/>
          <w:highlight w:val="none"/>
          <w14:textFill>
            <w14:solidFill>
              <w14:schemeClr w14:val="tx1"/>
            </w14:solidFill>
          </w14:textFill>
        </w:rPr>
      </w:pPr>
      <w:r>
        <w:rPr>
          <w:rFonts w:ascii="仿宋" w:hAnsi="仿宋" w:eastAsia="仿宋" w:cs="仿宋"/>
          <w:color w:val="000000" w:themeColor="text1"/>
          <w:kern w:val="0"/>
          <w:szCs w:val="24"/>
          <w:highlight w:val="none"/>
          <w14:textFill>
            <w14:solidFill>
              <w14:schemeClr w14:val="tx1"/>
            </w14:solidFill>
          </w14:textFill>
        </w:rPr>
        <w:t>3.4.1.5同时出现两种以上不一致的，按照3.4.1</w:t>
      </w:r>
      <w:r>
        <w:rPr>
          <w:rFonts w:hint="eastAsia" w:ascii="仿宋" w:hAnsi="仿宋" w:eastAsia="仿宋" w:cs="仿宋"/>
          <w:color w:val="000000" w:themeColor="text1"/>
          <w:kern w:val="0"/>
          <w:szCs w:val="24"/>
          <w:highlight w:val="none"/>
          <w14:textFill>
            <w14:solidFill>
              <w14:schemeClr w14:val="tx1"/>
            </w14:solidFill>
          </w14:textFill>
        </w:rPr>
        <w:t>规定的顺序修正。修正后的报价按照财政部第</w:t>
      </w:r>
      <w:r>
        <w:rPr>
          <w:rFonts w:ascii="仿宋" w:hAnsi="仿宋" w:eastAsia="仿宋" w:cs="仿宋"/>
          <w:color w:val="000000" w:themeColor="text1"/>
          <w:kern w:val="0"/>
          <w:szCs w:val="24"/>
          <w:highlight w:val="none"/>
          <w14:textFill>
            <w14:solidFill>
              <w14:schemeClr w14:val="tx1"/>
            </w14:solidFill>
          </w14:textFill>
        </w:rPr>
        <w:t xml:space="preserve">87号令 </w:t>
      </w:r>
      <w:r>
        <w:rPr>
          <w:rFonts w:hint="eastAsia" w:ascii="仿宋" w:hAnsi="仿宋" w:eastAsia="仿宋" w:cs="仿宋"/>
          <w:color w:val="000000" w:themeColor="text1"/>
          <w:kern w:val="0"/>
          <w:szCs w:val="24"/>
          <w:highlight w:val="none"/>
          <w14:textFill>
            <w14:solidFill>
              <w14:schemeClr w14:val="tx1"/>
            </w14:solidFill>
          </w14:textFill>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3.4.2</w:t>
      </w:r>
      <w:r>
        <w:rPr>
          <w:rFonts w:hint="eastAsia" w:ascii="仿宋" w:hAnsi="仿宋" w:eastAsia="仿宋" w:cs="仿宋"/>
          <w:color w:val="000000" w:themeColor="text1"/>
          <w:kern w:val="0"/>
          <w:sz w:val="24"/>
          <w:highlight w:val="none"/>
          <w14:textFill>
            <w14:solidFill>
              <w14:schemeClr w14:val="tx1"/>
            </w14:solidFill>
          </w14:textFill>
        </w:rPr>
        <w:t>投标文件出现不是唯一的、有选择性投标报价的，投标无效。</w:t>
      </w:r>
    </w:p>
    <w:p>
      <w:pPr>
        <w:snapToGrid w:val="0"/>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ascii="仿宋" w:hAnsi="仿宋" w:eastAsia="仿宋" w:cs="仿宋"/>
          <w:color w:val="000000" w:themeColor="text1"/>
          <w:kern w:val="0"/>
          <w:sz w:val="24"/>
          <w:highlight w:val="none"/>
          <w14:textFill>
            <w14:solidFill>
              <w14:schemeClr w14:val="tx1"/>
            </w14:solidFill>
          </w14:textFill>
        </w:rPr>
        <w:t>3.4.3</w:t>
      </w:r>
      <w:r>
        <w:rPr>
          <w:rFonts w:hint="eastAsia" w:ascii="仿宋" w:hAnsi="仿宋" w:eastAsia="仿宋" w:cs="仿宋"/>
          <w:color w:val="000000" w:themeColor="text1"/>
          <w:kern w:val="0"/>
          <w:sz w:val="24"/>
          <w:highlight w:val="none"/>
          <w14:textFill>
            <w14:solidFill>
              <w14:schemeClr w14:val="tx1"/>
            </w14:solidFill>
          </w14:textFill>
        </w:rPr>
        <w:t>投标报价超过招标文件中规定的预算金额或者最高限价的，投标无效。</w:t>
      </w:r>
    </w:p>
    <w:p>
      <w:pPr>
        <w:pStyle w:val="134"/>
        <w:spacing w:before="0"/>
        <w:ind w:firstLine="480"/>
        <w:rPr>
          <w:rFonts w:ascii="仿宋" w:hAnsi="仿宋" w:eastAsia="仿宋" w:cs="仿宋"/>
          <w:color w:val="000000" w:themeColor="text1"/>
          <w:kern w:val="0"/>
          <w:szCs w:val="24"/>
          <w:highlight w:val="none"/>
          <w14:textFill>
            <w14:solidFill>
              <w14:schemeClr w14:val="tx1"/>
            </w14:solidFill>
          </w14:textFill>
        </w:rPr>
      </w:pPr>
      <w:r>
        <w:rPr>
          <w:rFonts w:ascii="仿宋" w:hAnsi="仿宋" w:eastAsia="仿宋" w:cs="仿宋"/>
          <w:color w:val="000000" w:themeColor="text1"/>
          <w:kern w:val="0"/>
          <w:szCs w:val="24"/>
          <w:highlight w:val="none"/>
          <w14:textFill>
            <w14:solidFill>
              <w14:schemeClr w14:val="tx1"/>
            </w14:solidFill>
          </w14:textFill>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pPr>
        <w:pStyle w:val="134"/>
        <w:spacing w:before="0"/>
        <w:ind w:firstLine="480"/>
        <w:rPr>
          <w:rFonts w:ascii="仿宋" w:hAnsi="仿宋" w:eastAsia="仿宋" w:cs="仿宋"/>
          <w:color w:val="000000" w:themeColor="text1"/>
          <w:kern w:val="0"/>
          <w:szCs w:val="24"/>
          <w:highlight w:val="none"/>
          <w14:textFill>
            <w14:solidFill>
              <w14:schemeClr w14:val="tx1"/>
            </w14:solidFill>
          </w14:textFill>
        </w:rPr>
      </w:pPr>
      <w:r>
        <w:rPr>
          <w:rFonts w:ascii="仿宋" w:hAnsi="仿宋" w:eastAsia="仿宋" w:cs="仿宋"/>
          <w:color w:val="000000" w:themeColor="text1"/>
          <w:kern w:val="0"/>
          <w:szCs w:val="24"/>
          <w:highlight w:val="none"/>
          <w14:textFill>
            <w14:solidFill>
              <w14:schemeClr w14:val="tx1"/>
            </w14:solidFill>
          </w14:textFill>
        </w:rPr>
        <w:t>3.4.5</w:t>
      </w:r>
      <w:r>
        <w:rPr>
          <w:rFonts w:hint="eastAsia" w:ascii="仿宋" w:hAnsi="仿宋" w:eastAsia="仿宋" w:cs="仿宋"/>
          <w:color w:val="000000" w:themeColor="text1"/>
          <w:kern w:val="0"/>
          <w:szCs w:val="24"/>
          <w:highlight w:val="none"/>
          <w14:textFill>
            <w14:solidFill>
              <w14:schemeClr w14:val="tx1"/>
            </w14:solidFill>
          </w14:textFill>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color w:val="000000" w:themeColor="text1"/>
          <w:kern w:val="0"/>
          <w:szCs w:val="24"/>
          <w:highlight w:val="none"/>
          <w14:textFill>
            <w14:solidFill>
              <w14:schemeClr w14:val="tx1"/>
            </w14:solidFill>
          </w14:textFill>
        </w:rPr>
        <w:t>10%的扣除，用扣除后的价格参与评审。接受大中型企业与小</w:t>
      </w:r>
      <w:r>
        <w:rPr>
          <w:rFonts w:hint="eastAsia" w:ascii="仿宋" w:hAnsi="仿宋" w:eastAsia="仿宋" w:cs="仿宋"/>
          <w:color w:val="000000" w:themeColor="text1"/>
          <w:kern w:val="0"/>
          <w:szCs w:val="24"/>
          <w:highlight w:val="none"/>
          <w14:textFill>
            <w14:solidFill>
              <w14:schemeClr w14:val="tx1"/>
            </w14:solidFill>
          </w14:textFill>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color w:val="000000" w:themeColor="text1"/>
          <w:kern w:val="0"/>
          <w:szCs w:val="24"/>
          <w:highlight w:val="none"/>
          <w14:textFill>
            <w14:solidFill>
              <w14:schemeClr w14:val="tx1"/>
            </w14:solidFill>
          </w14:textFill>
        </w:rPr>
        <w:t>30%以上的，对联合体或者大中型企业的报价给予3%的扣除，用扣除后的价格参加评审。组成联合体或者接受分包的小</w:t>
      </w:r>
      <w:r>
        <w:rPr>
          <w:rFonts w:hint="eastAsia" w:ascii="仿宋" w:hAnsi="仿宋" w:eastAsia="仿宋" w:cs="仿宋"/>
          <w:color w:val="000000" w:themeColor="text1"/>
          <w:kern w:val="0"/>
          <w:szCs w:val="24"/>
          <w:highlight w:val="none"/>
          <w14:textFill>
            <w14:solidFill>
              <w14:schemeClr w14:val="tx1"/>
            </w14:solidFill>
          </w14:textFill>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rPr>
      </w:pPr>
      <w:r>
        <w:rPr>
          <w:rFonts w:ascii="仿宋_GB2312" w:hAnsi="仿宋" w:eastAsia="仿宋_GB2312" w:cs="Arial"/>
          <w:b/>
          <w:color w:val="000000" w:themeColor="text1"/>
          <w:kern w:val="0"/>
          <w:sz w:val="24"/>
          <w:highlight w:val="none"/>
          <w14:textFill>
            <w14:solidFill>
              <w14:schemeClr w14:val="tx1"/>
            </w14:solidFill>
          </w14:textFill>
        </w:rPr>
        <w:t>3.5</w:t>
      </w:r>
      <w:r>
        <w:rPr>
          <w:rFonts w:hint="eastAsia" w:ascii="仿宋_GB2312" w:hAnsi="仿宋" w:eastAsia="仿宋_GB2312" w:cs="Arial"/>
          <w:b/>
          <w:color w:val="000000" w:themeColor="text1"/>
          <w:kern w:val="0"/>
          <w:sz w:val="24"/>
          <w:highlight w:val="none"/>
          <w14:textFill>
            <w14:solidFill>
              <w14:schemeClr w14:val="tx1"/>
            </w14:solidFill>
          </w14:textFill>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p>
    <w:p>
      <w:pPr>
        <w:spacing w:line="360" w:lineRule="auto"/>
        <w:rPr>
          <w:rFonts w:ascii="仿宋_GB2312" w:hAnsi="仿宋" w:eastAsia="仿宋_GB2312" w:cs="Arial"/>
          <w:b/>
          <w:color w:val="000000" w:themeColor="text1"/>
          <w:kern w:val="0"/>
          <w:sz w:val="24"/>
          <w:highlight w:val="none"/>
          <w14:textFill>
            <w14:solidFill>
              <w14:schemeClr w14:val="tx1"/>
            </w14:solidFill>
          </w14:textFill>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color w:val="000000" w:themeColor="text1"/>
          <w:kern w:val="0"/>
          <w:sz w:val="24"/>
          <w:highlight w:val="none"/>
          <w14:textFill>
            <w14:solidFill>
              <w14:schemeClr w14:val="tx1"/>
            </w14:solidFill>
          </w14:textFill>
        </w:rPr>
      </w:pPr>
      <w:r>
        <w:rPr>
          <w:rFonts w:ascii="仿宋_GB2312" w:hAnsi="仿宋" w:eastAsia="仿宋_GB2312" w:cs="Arial"/>
          <w:b/>
          <w:color w:val="000000" w:themeColor="text1"/>
          <w:kern w:val="0"/>
          <w:sz w:val="24"/>
          <w:highlight w:val="none"/>
          <w14:textFill>
            <w14:solidFill>
              <w14:schemeClr w14:val="tx1"/>
            </w14:solidFill>
          </w14:textFill>
        </w:rPr>
        <w:t>3.6编写评标报告。</w:t>
      </w:r>
      <w:r>
        <w:rPr>
          <w:rFonts w:ascii="仿宋_GB2312" w:hAnsi="仿宋" w:eastAsia="仿宋_GB2312" w:cs="Arial"/>
          <w:color w:val="000000" w:themeColor="text1"/>
          <w:kern w:val="0"/>
          <w:sz w:val="24"/>
          <w:highlight w:val="none"/>
          <w14:textFill>
            <w14:solidFill>
              <w14:schemeClr w14:val="tx1"/>
            </w14:solidFill>
          </w14:textFill>
        </w:rPr>
        <w:t>评标委员会根据全体评标成员签字的原始评标记录和评标结果编写评标报告。</w:t>
      </w:r>
      <w:r>
        <w:rPr>
          <w:rFonts w:hint="eastAsia" w:ascii="仿宋_GB2312" w:hAnsi="仿宋" w:eastAsia="仿宋_GB2312" w:cs="Arial"/>
          <w:color w:val="000000" w:themeColor="text1"/>
          <w:kern w:val="0"/>
          <w:sz w:val="24"/>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color w:val="000000" w:themeColor="text1"/>
          <w:sz w:val="32"/>
          <w:highlight w:val="none"/>
          <w14:textFill>
            <w14:solidFill>
              <w14:schemeClr w14:val="tx1"/>
            </w14:solidFill>
          </w14:textFill>
        </w:rPr>
      </w:pPr>
      <w:r>
        <w:rPr>
          <w:rFonts w:hint="eastAsia" w:ascii="仿宋_GB2312" w:hAnsi="仿宋" w:eastAsia="仿宋_GB2312" w:cs="仿宋_GB2312"/>
          <w:b/>
          <w:color w:val="000000" w:themeColor="text1"/>
          <w:sz w:val="32"/>
          <w:highlight w:val="none"/>
          <w14:textFill>
            <w14:solidFill>
              <w14:schemeClr w14:val="tx1"/>
            </w14:solidFill>
          </w14:textFill>
        </w:rPr>
        <w:t>四、评标中的其他事项</w:t>
      </w:r>
    </w:p>
    <w:p>
      <w:pPr>
        <w:pStyle w:val="134"/>
        <w:pageBreakBefore w:val="0"/>
        <w:widowControl w:val="0"/>
        <w:kinsoku/>
        <w:wordWrap/>
        <w:overflowPunct/>
        <w:topLinePunct w:val="0"/>
        <w:autoSpaceDE/>
        <w:autoSpaceDN/>
        <w:bidi w:val="0"/>
        <w:spacing w:before="0" w:line="360" w:lineRule="auto"/>
        <w:ind w:firstLine="472" w:firstLineChars="196"/>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b/>
          <w:color w:val="000000" w:themeColor="text1"/>
          <w:kern w:val="0"/>
          <w:sz w:val="24"/>
          <w:szCs w:val="24"/>
          <w:highlight w:val="none"/>
          <w14:textFill>
            <w14:solidFill>
              <w14:schemeClr w14:val="tx1"/>
            </w14:solidFill>
          </w14:textFill>
        </w:rPr>
        <w:t>4.1</w:t>
      </w:r>
      <w:r>
        <w:rPr>
          <w:rFonts w:hint="eastAsia" w:ascii="仿宋_GB2312" w:hAnsi="仿宋" w:eastAsia="仿宋_GB2312" w:cs="Arial"/>
          <w:b/>
          <w:color w:val="000000" w:themeColor="text1"/>
          <w:kern w:val="0"/>
          <w:sz w:val="24"/>
          <w:szCs w:val="24"/>
          <w:highlight w:val="none"/>
          <w14:textFill>
            <w14:solidFill>
              <w14:schemeClr w14:val="tx1"/>
            </w14:solidFill>
          </w14:textFill>
        </w:rPr>
        <w:t>投标人澄清、说明或者补正。</w:t>
      </w:r>
      <w:r>
        <w:rPr>
          <w:rFonts w:hint="eastAsia" w:ascii="仿宋_GB2312" w:hAnsi="仿宋" w:eastAsia="仿宋_GB2312" w:cs="Arial"/>
          <w:color w:val="000000" w:themeColor="text1"/>
          <w:kern w:val="0"/>
          <w:sz w:val="24"/>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6"/>
        <w:pageBreakBefore w:val="0"/>
        <w:widowControl w:val="0"/>
        <w:kinsoku/>
        <w:wordWrap/>
        <w:overflowPunct/>
        <w:topLinePunct w:val="0"/>
        <w:autoSpaceDE/>
        <w:autoSpaceDN/>
        <w:bidi w:val="0"/>
        <w:spacing w:line="360" w:lineRule="auto"/>
        <w:ind w:left="954" w:leftChars="226" w:hanging="479" w:firstLineChars="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Arial"/>
          <w:b/>
          <w:color w:val="000000" w:themeColor="text1"/>
          <w:kern w:val="0"/>
          <w:sz w:val="24"/>
          <w:szCs w:val="24"/>
          <w:highlight w:val="none"/>
          <w14:textFill>
            <w14:solidFill>
              <w14:schemeClr w14:val="tx1"/>
            </w14:solidFill>
          </w14:textFill>
        </w:rPr>
        <w:t>4.2投标无效。</w:t>
      </w:r>
      <w:r>
        <w:rPr>
          <w:rFonts w:hint="eastAsia" w:ascii="仿宋_GB2312" w:hAnsi="仿宋" w:eastAsia="仿宋_GB2312" w:cs="仿宋_GB2312"/>
          <w:color w:val="000000" w:themeColor="text1"/>
          <w:sz w:val="24"/>
          <w:szCs w:val="24"/>
          <w:highlight w:val="none"/>
          <w14:textFill>
            <w14:solidFill>
              <w14:schemeClr w14:val="tx1"/>
            </w14:solidFill>
          </w14:textFill>
        </w:rPr>
        <w:t>有下列情况之一的，投标无效：</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4.2.1投标人不具备招标文件中规定的资格要求的（投标人未提供有效的资格文件的，视为投标人不具备招标文件中规定的资格要求）；</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4.2.2投标文件未按照招标文件要求签署、盖章的；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color w:val="000000" w:themeColor="text1"/>
          <w:kern w:val="0"/>
          <w:sz w:val="24"/>
          <w:szCs w:val="24"/>
          <w:highlight w:val="none"/>
          <w14:textFill>
            <w14:solidFill>
              <w14:schemeClr w14:val="tx1"/>
            </w14:solidFill>
          </w14:textFill>
        </w:rPr>
        <w:t>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4.2.4投标文件含有采购人不能接受的附加条件的；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4.2.5投标文件中承诺的投标有效期少于招标文件中载明的投标有效期的；</w:t>
      </w:r>
    </w:p>
    <w:p>
      <w:pPr>
        <w:pageBreakBefore w:val="0"/>
        <w:widowControl w:val="0"/>
        <w:kinsoku/>
        <w:wordWrap/>
        <w:overflowPunct/>
        <w:topLinePunct w:val="0"/>
        <w:autoSpaceDE/>
        <w:autoSpaceDN/>
        <w:bidi w:val="0"/>
        <w:snapToGrid w:val="0"/>
        <w:spacing w:line="360" w:lineRule="auto"/>
        <w:ind w:firstLine="120" w:firstLineChars="50"/>
        <w:jc w:val="left"/>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 xml:space="preserve">  </w:t>
      </w:r>
      <w:r>
        <w:rPr>
          <w:rFonts w:hint="eastAsia" w:ascii="仿宋_GB2312" w:hAnsi="仿宋" w:eastAsia="仿宋_GB2312" w:cs="Arial"/>
          <w:color w:val="000000" w:themeColor="text1"/>
          <w:kern w:val="0"/>
          <w:sz w:val="24"/>
          <w:szCs w:val="24"/>
          <w:highlight w:val="none"/>
          <w14:textFill>
            <w14:solidFill>
              <w14:schemeClr w14:val="tx1"/>
            </w14:solidFill>
          </w14:textFill>
        </w:rPr>
        <w:t xml:space="preserve"> </w:t>
      </w:r>
      <w:r>
        <w:rPr>
          <w:rFonts w:ascii="仿宋_GB2312" w:hAnsi="仿宋" w:eastAsia="仿宋_GB2312" w:cs="Arial"/>
          <w:color w:val="000000" w:themeColor="text1"/>
          <w:kern w:val="0"/>
          <w:sz w:val="24"/>
          <w:szCs w:val="24"/>
          <w:highlight w:val="none"/>
          <w14:textFill>
            <w14:solidFill>
              <w14:schemeClr w14:val="tx1"/>
            </w14:solidFill>
          </w14:textFill>
        </w:rPr>
        <w:t>4.2.6投标文件出现不是唯一的、有选择性投标报价的;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4.2.7投标报价超过招标文件中规定的预算金额或者最高限价的;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4.2.9投标人对根据修正原则修正后的报价不确认的；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4.2.10投标人提供虚假材料投标的；</w:t>
      </w:r>
    </w:p>
    <w:p>
      <w:pPr>
        <w:pageBreakBefore w:val="0"/>
        <w:widowControl w:val="0"/>
        <w:kinsoku/>
        <w:wordWrap/>
        <w:overflowPunct/>
        <w:topLinePunct w:val="0"/>
        <w:autoSpaceDE/>
        <w:autoSpaceDN/>
        <w:bidi w:val="0"/>
        <w:spacing w:line="360" w:lineRule="auto"/>
        <w:ind w:firstLine="240" w:firstLineChars="1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 xml:space="preserve">  4.2.11投标人有恶意串通、妨碍其他投标人的竞争行为、损害采购人或者其他投标人的合法权益情形的；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4.2.12投标人仅提交备份投标文件，没有在电子交易平台传输递交投标文件的，投标无效；</w:t>
      </w:r>
    </w:p>
    <w:p>
      <w:pPr>
        <w:pStyle w:val="2"/>
        <w:pageBreakBefore w:val="0"/>
        <w:widowControl w:val="0"/>
        <w:numPr>
          <w:ilvl w:val="0"/>
          <w:numId w:val="0"/>
        </w:numPr>
        <w:kinsoku/>
        <w:wordWrap/>
        <w:overflowPunct/>
        <w:topLinePunct w:val="0"/>
        <w:autoSpaceDE/>
        <w:autoSpaceDN/>
        <w:bidi w:val="0"/>
        <w:spacing w:line="360" w:lineRule="auto"/>
        <w:ind w:leftChars="205"/>
        <w:textAlignment w:val="auto"/>
        <w:rPr>
          <w:rFonts w:cs="Arial"/>
          <w:b w:val="0"/>
          <w:bCs w:val="0"/>
          <w:color w:val="000000" w:themeColor="text1"/>
          <w:kern w:val="0"/>
          <w:sz w:val="24"/>
          <w:szCs w:val="24"/>
          <w:highlight w:val="none"/>
          <w:lang w:val="en-US"/>
          <w14:textFill>
            <w14:solidFill>
              <w14:schemeClr w14:val="tx1"/>
            </w14:solidFill>
          </w14:textFill>
        </w:rPr>
      </w:pPr>
      <w:r>
        <w:rPr>
          <w:rFonts w:cs="Arial"/>
          <w:b w:val="0"/>
          <w:bCs w:val="0"/>
          <w:color w:val="000000" w:themeColor="text1"/>
          <w:kern w:val="0"/>
          <w:sz w:val="24"/>
          <w:szCs w:val="24"/>
          <w:highlight w:val="none"/>
          <w:lang w:val="en-US"/>
          <w14:textFill>
            <w14:solidFill>
              <w14:schemeClr w14:val="tx1"/>
            </w14:solidFill>
          </w14:textFill>
        </w:rPr>
        <w:t xml:space="preserve">4.2.13 </w:t>
      </w:r>
      <w:r>
        <w:rPr>
          <w:rFonts w:hint="eastAsia" w:cs="Arial"/>
          <w:b w:val="0"/>
          <w:bCs w:val="0"/>
          <w:color w:val="000000" w:themeColor="text1"/>
          <w:kern w:val="0"/>
          <w:sz w:val="24"/>
          <w:szCs w:val="24"/>
          <w:highlight w:val="none"/>
          <w:lang w:val="en-US"/>
          <w14:textFill>
            <w14:solidFill>
              <w14:schemeClr w14:val="tx1"/>
            </w14:solidFill>
          </w14:textFill>
        </w:rPr>
        <w:t>投标文件不满足招标文件的其它实质性要求的；</w:t>
      </w:r>
    </w:p>
    <w:p>
      <w:pPr>
        <w:pageBreakBefore w:val="0"/>
        <w:widowControl w:val="0"/>
        <w:kinsoku/>
        <w:wordWrap/>
        <w:overflowPunct/>
        <w:topLinePunct w:val="0"/>
        <w:autoSpaceDE/>
        <w:autoSpaceDN/>
        <w:bidi w:val="0"/>
        <w:spacing w:line="360" w:lineRule="auto"/>
        <w:ind w:firstLine="480" w:firstLineChars="200"/>
        <w:textAlignment w:val="auto"/>
        <w:rPr>
          <w:rFonts w:ascii="仿宋_GB2312" w:hAnsi="仿宋" w:eastAsia="仿宋_GB2312" w:cs="Arial"/>
          <w:color w:val="000000" w:themeColor="text1"/>
          <w:kern w:val="0"/>
          <w:sz w:val="24"/>
          <w:szCs w:val="24"/>
          <w:highlight w:val="none"/>
          <w14:textFill>
            <w14:solidFill>
              <w14:schemeClr w14:val="tx1"/>
            </w14:solidFill>
          </w14:textFill>
        </w:rPr>
      </w:pPr>
      <w:r>
        <w:rPr>
          <w:rFonts w:ascii="仿宋_GB2312" w:hAnsi="仿宋" w:eastAsia="仿宋_GB2312" w:cs="Arial"/>
          <w:color w:val="000000" w:themeColor="text1"/>
          <w:kern w:val="0"/>
          <w:sz w:val="24"/>
          <w:szCs w:val="24"/>
          <w:highlight w:val="none"/>
          <w14:textFill>
            <w14:solidFill>
              <w14:schemeClr w14:val="tx1"/>
            </w14:solidFill>
          </w14:textFill>
        </w:rPr>
        <w:t>4.2.14法律、法规、规章（适用本市的）及省级以上规范性文件（适用本市的）规定的其他无效情形。</w:t>
      </w:r>
    </w:p>
    <w:p>
      <w:pPr>
        <w:pStyle w:val="6"/>
        <w:pageBreakBefore w:val="0"/>
        <w:widowControl w:val="0"/>
        <w:kinsoku/>
        <w:wordWrap/>
        <w:overflowPunct/>
        <w:topLinePunct w:val="0"/>
        <w:autoSpaceDE/>
        <w:autoSpaceDN/>
        <w:bidi w:val="0"/>
        <w:snapToGrid w:val="0"/>
        <w:spacing w:line="360" w:lineRule="auto"/>
        <w:ind w:left="0" w:leftChars="0" w:firstLine="482" w:firstLineChars="20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b/>
          <w:color w:val="000000" w:themeColor="text1"/>
          <w:sz w:val="24"/>
          <w:szCs w:val="24"/>
          <w:highlight w:val="none"/>
          <w14:textFill>
            <w14:solidFill>
              <w14:schemeClr w14:val="tx1"/>
            </w14:solidFill>
          </w14:textFill>
        </w:rPr>
        <w:t>5.废标。</w:t>
      </w:r>
      <w:r>
        <w:rPr>
          <w:rFonts w:hint="eastAsia" w:ascii="仿宋_GB2312" w:hAnsi="仿宋" w:eastAsia="仿宋_GB2312" w:cs="仿宋_GB2312"/>
          <w:color w:val="000000" w:themeColor="text1"/>
          <w:sz w:val="24"/>
          <w:szCs w:val="24"/>
          <w:highlight w:val="none"/>
          <w14:textFill>
            <w14:solidFill>
              <w14:schemeClr w14:val="tx1"/>
            </w14:solidFill>
          </w14:textFill>
        </w:rPr>
        <w:t>根据《中华人民共和国政府采购法》第三十六条之规定，在采购中，出现下列情形之一的，应予废标：</w:t>
      </w:r>
    </w:p>
    <w:p>
      <w:pPr>
        <w:pStyle w:val="6"/>
        <w:pageBreakBefore w:val="0"/>
        <w:widowControl w:val="0"/>
        <w:kinsoku/>
        <w:wordWrap/>
        <w:overflowPunct/>
        <w:topLinePunct w:val="0"/>
        <w:autoSpaceDE/>
        <w:autoSpaceDN/>
        <w:bidi w:val="0"/>
        <w:snapToGrid w:val="0"/>
        <w:spacing w:line="360" w:lineRule="auto"/>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5.1符合专业条件的供应商或者对招标文件作实质响应的供应商不足3家的；</w:t>
      </w:r>
    </w:p>
    <w:p>
      <w:pPr>
        <w:pStyle w:val="6"/>
        <w:pageBreakBefore w:val="0"/>
        <w:widowControl w:val="0"/>
        <w:kinsoku/>
        <w:wordWrap/>
        <w:overflowPunct/>
        <w:topLinePunct w:val="0"/>
        <w:autoSpaceDE/>
        <w:autoSpaceDN/>
        <w:bidi w:val="0"/>
        <w:snapToGrid w:val="0"/>
        <w:spacing w:line="360" w:lineRule="auto"/>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5.2出现影响采购公正的违法、违规行为的；</w:t>
      </w:r>
    </w:p>
    <w:p>
      <w:pPr>
        <w:pStyle w:val="6"/>
        <w:pageBreakBefore w:val="0"/>
        <w:widowControl w:val="0"/>
        <w:kinsoku/>
        <w:wordWrap/>
        <w:overflowPunct/>
        <w:topLinePunct w:val="0"/>
        <w:autoSpaceDE/>
        <w:autoSpaceDN/>
        <w:bidi w:val="0"/>
        <w:snapToGrid w:val="0"/>
        <w:spacing w:line="360" w:lineRule="auto"/>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5.3投标人的报价均超过了采购预算，采购人不能支付的；</w:t>
      </w:r>
    </w:p>
    <w:p>
      <w:pPr>
        <w:pStyle w:val="6"/>
        <w:pageBreakBefore w:val="0"/>
        <w:widowControl w:val="0"/>
        <w:kinsoku/>
        <w:wordWrap/>
        <w:overflowPunct/>
        <w:topLinePunct w:val="0"/>
        <w:autoSpaceDE/>
        <w:autoSpaceDN/>
        <w:bidi w:val="0"/>
        <w:snapToGrid w:val="0"/>
        <w:spacing w:line="360" w:lineRule="auto"/>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5.4因重大变故，采购任务取消的。</w:t>
      </w:r>
    </w:p>
    <w:p>
      <w:pPr>
        <w:pStyle w:val="6"/>
        <w:pageBreakBefore w:val="0"/>
        <w:widowControl w:val="0"/>
        <w:kinsoku/>
        <w:wordWrap/>
        <w:overflowPunct/>
        <w:topLinePunct w:val="0"/>
        <w:autoSpaceDE/>
        <w:autoSpaceDN/>
        <w:bidi w:val="0"/>
        <w:snapToGrid w:val="0"/>
        <w:spacing w:line="360" w:lineRule="auto"/>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hint="eastAsia" w:ascii="仿宋_GB2312" w:hAnsi="仿宋" w:eastAsia="仿宋_GB2312" w:cs="仿宋_GB2312"/>
          <w:color w:val="000000" w:themeColor="text1"/>
          <w:sz w:val="24"/>
          <w:szCs w:val="24"/>
          <w:highlight w:val="none"/>
          <w14:textFill>
            <w14:solidFill>
              <w14:schemeClr w14:val="tx1"/>
            </w14:solidFill>
          </w14:textFill>
        </w:rPr>
        <w:t>废标后，采购机构应当将废标理由通知所有投标人。</w:t>
      </w:r>
    </w:p>
    <w:p>
      <w:pPr>
        <w:pStyle w:val="6"/>
        <w:pageBreakBefore w:val="0"/>
        <w:widowControl w:val="0"/>
        <w:kinsoku/>
        <w:wordWrap/>
        <w:overflowPunct/>
        <w:topLinePunct w:val="0"/>
        <w:autoSpaceDE/>
        <w:autoSpaceDN/>
        <w:bidi w:val="0"/>
        <w:snapToGrid w:val="0"/>
        <w:spacing w:line="360" w:lineRule="auto"/>
        <w:ind w:left="0" w:leftChars="0" w:firstLine="482" w:firstLineChars="20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b/>
          <w:color w:val="000000" w:themeColor="text1"/>
          <w:sz w:val="24"/>
          <w:szCs w:val="24"/>
          <w:highlight w:val="none"/>
          <w14:textFill>
            <w14:solidFill>
              <w14:schemeClr w14:val="tx1"/>
            </w14:solidFill>
          </w14:textFill>
        </w:rPr>
        <w:t>6.修改招标文件，重新组织采购活动。</w:t>
      </w:r>
      <w:r>
        <w:rPr>
          <w:rFonts w:hint="eastAsia" w:ascii="仿宋_GB2312" w:hAnsi="仿宋" w:eastAsia="仿宋_GB2312" w:cs="仿宋_GB2312"/>
          <w:color w:val="000000" w:themeColor="text1"/>
          <w:sz w:val="24"/>
          <w:szCs w:val="24"/>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6"/>
        <w:pageBreakBefore w:val="0"/>
        <w:widowControl w:val="0"/>
        <w:kinsoku/>
        <w:wordWrap/>
        <w:overflowPunct/>
        <w:topLinePunct w:val="0"/>
        <w:autoSpaceDE/>
        <w:autoSpaceDN/>
        <w:bidi w:val="0"/>
        <w:snapToGrid w:val="0"/>
        <w:spacing w:line="360" w:lineRule="auto"/>
        <w:ind w:left="0" w:leftChars="0" w:firstLine="482" w:firstLineChars="20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hint="eastAsia" w:ascii="仿宋_GB2312" w:hAnsi="Helvetica" w:eastAsia="仿宋_GB2312" w:cs="Helvetica"/>
          <w:b/>
          <w:color w:val="000000" w:themeColor="text1"/>
          <w:kern w:val="0"/>
          <w:sz w:val="24"/>
          <w:szCs w:val="24"/>
          <w:highlight w:val="none"/>
          <w14:textFill>
            <w14:solidFill>
              <w14:schemeClr w14:val="tx1"/>
            </w14:solidFill>
          </w14:textFill>
        </w:rPr>
        <w:t>7.重新开展采购。</w:t>
      </w:r>
      <w:r>
        <w:rPr>
          <w:rFonts w:hint="eastAsia" w:ascii="仿宋_GB2312" w:hAnsi="仿宋" w:eastAsia="仿宋_GB2312" w:cs="仿宋_GB2312"/>
          <w:color w:val="000000" w:themeColor="text1"/>
          <w:sz w:val="24"/>
          <w:szCs w:val="24"/>
          <w:highlight w:val="none"/>
          <w14:textFill>
            <w14:solidFill>
              <w14:schemeClr w14:val="tx1"/>
            </w14:solidFill>
          </w14:textFill>
        </w:rPr>
        <w:t>有政府采购法第七十一条、第七十二条规定的违法行为之一，影响或者可能影响中标、成交结果的，依照下列规定处理：</w:t>
      </w:r>
    </w:p>
    <w:p>
      <w:pPr>
        <w:pStyle w:val="6"/>
        <w:pageBreakBefore w:val="0"/>
        <w:widowControl w:val="0"/>
        <w:kinsoku/>
        <w:wordWrap/>
        <w:overflowPunct/>
        <w:topLinePunct w:val="0"/>
        <w:autoSpaceDE/>
        <w:autoSpaceDN/>
        <w:bidi w:val="0"/>
        <w:snapToGrid w:val="0"/>
        <w:spacing w:line="360" w:lineRule="auto"/>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7.1未确定中标或者中标人的，终止本次政府采购活动，重新开展政府采购</w:t>
      </w:r>
      <w:r>
        <w:rPr>
          <w:rFonts w:hint="eastAsia" w:ascii="仿宋_GB2312" w:hAnsi="仿宋" w:eastAsia="仿宋_GB2312" w:cs="仿宋_GB2312"/>
          <w:color w:val="000000" w:themeColor="text1"/>
          <w:sz w:val="24"/>
          <w:szCs w:val="24"/>
          <w:highlight w:val="none"/>
          <w14:textFill>
            <w14:solidFill>
              <w14:schemeClr w14:val="tx1"/>
            </w14:solidFill>
          </w14:textFill>
        </w:rPr>
        <w:t>活动。</w:t>
      </w:r>
    </w:p>
    <w:p>
      <w:pPr>
        <w:pStyle w:val="6"/>
        <w:pageBreakBefore w:val="0"/>
        <w:widowControl w:val="0"/>
        <w:kinsoku/>
        <w:wordWrap/>
        <w:overflowPunct/>
        <w:topLinePunct w:val="0"/>
        <w:autoSpaceDE/>
        <w:autoSpaceDN/>
        <w:bidi w:val="0"/>
        <w:snapToGrid w:val="0"/>
        <w:spacing w:line="360" w:lineRule="auto"/>
        <w:ind w:left="0" w:leftChars="0" w:firstLine="480" w:firstLineChars="20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6"/>
        <w:pageBreakBefore w:val="0"/>
        <w:widowControl w:val="0"/>
        <w:kinsoku/>
        <w:wordWrap/>
        <w:overflowPunct/>
        <w:topLinePunct w:val="0"/>
        <w:autoSpaceDE/>
        <w:autoSpaceDN/>
        <w:bidi w:val="0"/>
        <w:snapToGrid w:val="0"/>
        <w:spacing w:line="360" w:lineRule="auto"/>
        <w:ind w:left="0" w:leftChars="0" w:firstLine="480" w:firstLineChars="20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7.3政府采购合同已签订但尚未履行的，撤销合同，从合格的中标或者成交候选人中另行确定中标或者中标人；没有合格的中标或者成交候选人的，重新开展政府采购活动。</w:t>
      </w:r>
    </w:p>
    <w:p>
      <w:pPr>
        <w:pStyle w:val="6"/>
        <w:pageBreakBefore w:val="0"/>
        <w:widowControl w:val="0"/>
        <w:kinsoku/>
        <w:wordWrap/>
        <w:overflowPunct/>
        <w:topLinePunct w:val="0"/>
        <w:autoSpaceDE/>
        <w:autoSpaceDN/>
        <w:bidi w:val="0"/>
        <w:snapToGrid w:val="0"/>
        <w:spacing w:line="360" w:lineRule="auto"/>
        <w:ind w:left="0" w:leftChars="0" w:firstLine="480" w:firstLineChars="20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7.4政府采购合同已经履行，给采购人、供应</w:t>
      </w:r>
      <w:r>
        <w:rPr>
          <w:rFonts w:hint="eastAsia" w:ascii="仿宋_GB2312" w:hAnsi="仿宋" w:eastAsia="仿宋_GB2312" w:cs="仿宋_GB2312"/>
          <w:color w:val="000000" w:themeColor="text1"/>
          <w:sz w:val="24"/>
          <w:szCs w:val="24"/>
          <w:highlight w:val="none"/>
          <w14:textFill>
            <w14:solidFill>
              <w14:schemeClr w14:val="tx1"/>
            </w14:solidFill>
          </w14:textFill>
        </w:rPr>
        <w:t>商造成损失的，由责任人承担赔偿责任。</w:t>
      </w:r>
    </w:p>
    <w:p>
      <w:pPr>
        <w:pStyle w:val="6"/>
        <w:pageBreakBefore w:val="0"/>
        <w:widowControl w:val="0"/>
        <w:kinsoku/>
        <w:wordWrap/>
        <w:overflowPunct/>
        <w:topLinePunct w:val="0"/>
        <w:autoSpaceDE/>
        <w:autoSpaceDN/>
        <w:bidi w:val="0"/>
        <w:snapToGrid w:val="0"/>
        <w:spacing w:line="360" w:lineRule="auto"/>
        <w:ind w:left="0" w:leftChars="0" w:firstLine="480" w:firstLineChars="200"/>
        <w:textAlignment w:val="auto"/>
        <w:rPr>
          <w:rFonts w:ascii="仿宋_GB2312" w:hAnsi="仿宋" w:eastAsia="仿宋_GB2312" w:cs="仿宋_GB2312"/>
          <w:color w:val="000000" w:themeColor="text1"/>
          <w:sz w:val="24"/>
          <w:szCs w:val="24"/>
          <w:highlight w:val="none"/>
          <w14:textFill>
            <w14:solidFill>
              <w14:schemeClr w14:val="tx1"/>
            </w14:solidFill>
          </w14:textFill>
        </w:rPr>
      </w:pPr>
      <w:r>
        <w:rPr>
          <w:rFonts w:ascii="仿宋_GB2312" w:hAnsi="仿宋" w:eastAsia="仿宋_GB2312" w:cs="仿宋_GB2312"/>
          <w:color w:val="000000" w:themeColor="text1"/>
          <w:sz w:val="24"/>
          <w:szCs w:val="24"/>
          <w:highlight w:val="none"/>
          <w14:textFill>
            <w14:solidFill>
              <w14:schemeClr w14:val="tx1"/>
            </w14:solidFill>
          </w14:textFill>
        </w:rPr>
        <w:t>7.5政府采购当事人有其他违反政府采购</w:t>
      </w:r>
      <w:r>
        <w:rPr>
          <w:rFonts w:hint="eastAsia" w:ascii="仿宋_GB2312" w:hAnsi="仿宋" w:eastAsia="仿宋_GB2312" w:cs="仿宋_GB2312"/>
          <w:color w:val="000000" w:themeColor="text1"/>
          <w:sz w:val="24"/>
          <w:szCs w:val="24"/>
          <w:highlight w:val="none"/>
          <w14:textFill>
            <w14:solidFill>
              <w14:schemeClr w14:val="tx1"/>
            </w14:solidFill>
          </w14:textFill>
        </w:rPr>
        <w:t>法</w:t>
      </w:r>
      <w:r>
        <w:rPr>
          <w:rFonts w:hint="eastAsia" w:ascii="仿宋_GB2312" w:hAnsi="仿宋" w:eastAsia="仿宋_GB2312" w:cs="Arial"/>
          <w:color w:val="000000" w:themeColor="text1"/>
          <w:kern w:val="0"/>
          <w:sz w:val="24"/>
          <w:szCs w:val="24"/>
          <w:highlight w:val="none"/>
          <w14:textFill>
            <w14:solidFill>
              <w14:schemeClr w14:val="tx1"/>
            </w14:solidFill>
          </w14:textFill>
        </w:rPr>
        <w:t>或者政府采购法实施条例等法律法规规定</w:t>
      </w:r>
      <w:r>
        <w:rPr>
          <w:rFonts w:hint="eastAsia" w:ascii="仿宋_GB2312" w:hAnsi="仿宋" w:eastAsia="仿宋_GB2312" w:cs="仿宋_GB2312"/>
          <w:color w:val="000000" w:themeColor="text1"/>
          <w:sz w:val="24"/>
          <w:szCs w:val="24"/>
          <w:highlight w:val="none"/>
          <w14:textFill>
            <w14:solidFill>
              <w14:schemeClr w14:val="tx1"/>
            </w14:solidFill>
          </w14:textFill>
        </w:rPr>
        <w:t>的行为，经改正后仍然影响或者可能影响中标、成交结果或者依法被认定为中标、成交无效的，依照</w:t>
      </w:r>
      <w:r>
        <w:rPr>
          <w:rFonts w:ascii="仿宋_GB2312" w:hAnsi="仿宋" w:eastAsia="仿宋_GB2312" w:cs="仿宋_GB2312"/>
          <w:color w:val="000000" w:themeColor="text1"/>
          <w:sz w:val="24"/>
          <w:szCs w:val="24"/>
          <w:highlight w:val="none"/>
          <w14:textFill>
            <w14:solidFill>
              <w14:schemeClr w14:val="tx1"/>
            </w14:solidFill>
          </w14:textFill>
        </w:rPr>
        <w:t>7.1-7.4规定处理。</w:t>
      </w:r>
    </w:p>
    <w:p>
      <w:pPr>
        <w:snapToGrid w:val="0"/>
        <w:spacing w:line="360" w:lineRule="auto"/>
        <w:rPr>
          <w:rFonts w:ascii="仿宋" w:hAnsi="仿宋" w:eastAsia="仿宋" w:cs="仿宋_GB2312"/>
          <w:b/>
          <w:sz w:val="24"/>
        </w:rPr>
      </w:pPr>
    </w:p>
    <w:bookmarkEnd w:id="44"/>
    <w:p>
      <w:pPr>
        <w:snapToGrid w:val="0"/>
        <w:spacing w:line="360" w:lineRule="auto"/>
        <w:rPr>
          <w:rFonts w:hint="eastAsia" w:ascii="仿宋" w:hAnsi="仿宋" w:eastAsia="仿宋" w:cs="仿宋"/>
        </w:rPr>
      </w:pPr>
      <w:bookmarkStart w:id="412" w:name="第五部分"/>
      <w:bookmarkStart w:id="413" w:name="_Toc86217003"/>
      <w:r>
        <w:rPr>
          <w:rFonts w:ascii="仿宋_GB2312" w:hAnsi="仿宋" w:eastAsia="仿宋_GB2312" w:cs="仿宋_GB2312"/>
          <w:b/>
          <w:sz w:val="36"/>
          <w:szCs w:val="36"/>
        </w:rPr>
        <w:t xml:space="preserve">   </w:t>
      </w:r>
      <w:bookmarkStart w:id="414" w:name="_Toc2586"/>
      <w:bookmarkStart w:id="415" w:name="_Toc25740"/>
    </w:p>
    <w:p>
      <w:pPr>
        <w:pStyle w:val="3"/>
        <w:spacing w:line="240" w:lineRule="auto"/>
        <w:jc w:val="center"/>
        <w:rPr>
          <w:rFonts w:ascii="仿宋" w:hAnsi="仿宋" w:eastAsia="仿宋" w:cs="仿宋"/>
        </w:rPr>
      </w:pPr>
      <w:r>
        <w:rPr>
          <w:rFonts w:hint="eastAsia" w:ascii="仿宋" w:hAnsi="仿宋" w:eastAsia="仿宋" w:cs="仿宋"/>
        </w:rPr>
        <w:t>第五部分  拟签订的合同文本</w:t>
      </w:r>
      <w:bookmarkEnd w:id="414"/>
      <w:bookmarkEnd w:id="415"/>
    </w:p>
    <w:p>
      <w:pPr>
        <w:spacing w:line="360" w:lineRule="auto"/>
        <w:rPr>
          <w:rFonts w:ascii="仿宋_GB2312" w:hAnsi="楷体" w:eastAsia="仿宋_GB2312"/>
          <w:sz w:val="24"/>
        </w:rPr>
      </w:pPr>
    </w:p>
    <w:p>
      <w:pPr>
        <w:rPr>
          <w:rFonts w:ascii="楷体" w:hAnsi="楷体" w:eastAsia="楷体"/>
          <w:color w:val="000000" w:themeColor="text1"/>
          <w:sz w:val="24"/>
          <w:highlight w:val="none"/>
          <w:u w:val="single"/>
          <w14:textFill>
            <w14:solidFill>
              <w14:schemeClr w14:val="tx1"/>
            </w14:solidFill>
          </w14:textFill>
        </w:rPr>
      </w:pPr>
      <w:r>
        <w:rPr>
          <w:rFonts w:hint="eastAsia" w:ascii="楷体" w:hAnsi="楷体" w:eastAsia="楷体"/>
          <w:color w:val="000000" w:themeColor="text1"/>
          <w:sz w:val="24"/>
          <w:highlight w:val="none"/>
          <w14:textFill>
            <w14:solidFill>
              <w14:schemeClr w14:val="tx1"/>
            </w14:solidFill>
          </w14:textFill>
        </w:rPr>
        <w:t>合同编号：</w:t>
      </w:r>
      <w:r>
        <w:rPr>
          <w:rFonts w:ascii="楷体" w:hAnsi="楷体" w:eastAsia="楷体"/>
          <w:color w:val="000000" w:themeColor="text1"/>
          <w:sz w:val="24"/>
          <w:highlight w:val="none"/>
          <w:u w:val="single"/>
          <w14:textFill>
            <w14:solidFill>
              <w14:schemeClr w14:val="tx1"/>
            </w14:solidFill>
          </w14:textFill>
        </w:rPr>
        <w:t xml:space="preserve">           </w:t>
      </w:r>
    </w:p>
    <w:p>
      <w:pPr>
        <w:spacing w:line="480" w:lineRule="auto"/>
        <w:jc w:val="center"/>
        <w:rPr>
          <w:rFonts w:ascii="楷体" w:hAnsi="楷体" w:eastAsia="楷体"/>
          <w:b/>
          <w:color w:val="000000" w:themeColor="text1"/>
          <w:sz w:val="28"/>
          <w:szCs w:val="28"/>
          <w:highlight w:val="none"/>
          <w14:textFill>
            <w14:solidFill>
              <w14:schemeClr w14:val="tx1"/>
            </w14:solidFill>
          </w14:textFill>
        </w:rPr>
      </w:pPr>
    </w:p>
    <w:p>
      <w:pPr>
        <w:spacing w:line="480" w:lineRule="auto"/>
        <w:jc w:val="both"/>
        <w:rPr>
          <w:rFonts w:ascii="仿宋" w:hAnsi="仿宋" w:eastAsia="仿宋"/>
          <w:b/>
          <w:color w:val="000000" w:themeColor="text1"/>
          <w:sz w:val="24"/>
          <w:highlight w:val="none"/>
          <w14:textFill>
            <w14:solidFill>
              <w14:schemeClr w14:val="tx1"/>
            </w14:solidFill>
          </w14:textFill>
        </w:rPr>
      </w:pPr>
    </w:p>
    <w:p>
      <w:pPr>
        <w:spacing w:line="480" w:lineRule="auto"/>
        <w:jc w:val="center"/>
        <w:rPr>
          <w:rFonts w:ascii="仿宋_GB2312" w:hAnsi="仿宋" w:eastAsia="仿宋_GB2312" w:cs="仿宋_GB2312"/>
          <w:b/>
          <w:color w:val="000000" w:themeColor="text1"/>
          <w:sz w:val="36"/>
          <w:szCs w:val="36"/>
          <w:highlight w:val="none"/>
          <w14:textFill>
            <w14:solidFill>
              <w14:schemeClr w14:val="tx1"/>
            </w14:solidFill>
          </w14:textFill>
        </w:rPr>
      </w:pPr>
      <w:r>
        <w:rPr>
          <w:rFonts w:hint="eastAsia" w:ascii="仿宋_GB2312" w:hAnsi="仿宋" w:eastAsia="仿宋_GB2312" w:cs="仿宋_GB2312"/>
          <w:b/>
          <w:color w:val="000000" w:themeColor="text1"/>
          <w:sz w:val="36"/>
          <w:szCs w:val="36"/>
          <w:highlight w:val="none"/>
          <w14:textFill>
            <w14:solidFill>
              <w14:schemeClr w14:val="tx1"/>
            </w14:solidFill>
          </w14:textFill>
        </w:rPr>
        <w:t>政府采购合同参考范本</w:t>
      </w:r>
    </w:p>
    <w:p>
      <w:pPr>
        <w:spacing w:line="480" w:lineRule="auto"/>
        <w:jc w:val="center"/>
        <w:rPr>
          <w:rFonts w:ascii="仿宋_GB2312" w:hAnsi="仿宋" w:eastAsia="仿宋_GB2312" w:cs="仿宋_GB2312"/>
          <w:b/>
          <w:color w:val="000000" w:themeColor="text1"/>
          <w:sz w:val="36"/>
          <w:szCs w:val="36"/>
          <w:highlight w:val="none"/>
          <w14:textFill>
            <w14:solidFill>
              <w14:schemeClr w14:val="tx1"/>
            </w14:solidFill>
          </w14:textFill>
        </w:rPr>
      </w:pPr>
      <w:r>
        <w:rPr>
          <w:rFonts w:hint="eastAsia" w:ascii="仿宋_GB2312" w:hAnsi="仿宋" w:eastAsia="仿宋_GB2312" w:cs="仿宋_GB2312"/>
          <w:b/>
          <w:color w:val="000000" w:themeColor="text1"/>
          <w:sz w:val="36"/>
          <w:szCs w:val="36"/>
          <w:highlight w:val="none"/>
          <w14:textFill>
            <w14:solidFill>
              <w14:schemeClr w14:val="tx1"/>
            </w14:solidFill>
          </w14:textFill>
        </w:rPr>
        <w:t>（货物类）</w:t>
      </w:r>
    </w:p>
    <w:p>
      <w:pPr>
        <w:pStyle w:val="705"/>
        <w:ind w:left="0" w:leftChars="0" w:firstLine="0" w:firstLineChars="0"/>
        <w:rPr>
          <w:rFonts w:ascii="仿宋" w:hAnsi="仿宋" w:eastAsia="仿宋"/>
          <w:color w:val="000000" w:themeColor="text1"/>
          <w:szCs w:val="24"/>
          <w:highlight w:val="none"/>
          <w14:textFill>
            <w14:solidFill>
              <w14:schemeClr w14:val="tx1"/>
            </w14:solidFill>
          </w14:textFill>
        </w:rPr>
      </w:pPr>
    </w:p>
    <w:p>
      <w:pPr>
        <w:pStyle w:val="705"/>
        <w:jc w:val="center"/>
        <w:rPr>
          <w:rFonts w:ascii="仿宋" w:hAnsi="仿宋" w:eastAsia="仿宋"/>
          <w:color w:val="000000" w:themeColor="text1"/>
          <w:szCs w:val="24"/>
          <w:highlight w:val="none"/>
          <w14:textFill>
            <w14:solidFill>
              <w14:schemeClr w14:val="tx1"/>
            </w14:solidFill>
          </w14:textFill>
        </w:rPr>
      </w:pPr>
    </w:p>
    <w:p>
      <w:pPr>
        <w:pStyle w:val="705"/>
        <w:ind w:firstLine="2843" w:firstLineChars="1180"/>
        <w:rPr>
          <w:rFonts w:ascii="仿宋" w:hAnsi="仿宋" w:eastAsia="仿宋"/>
          <w:b/>
          <w:color w:val="000000" w:themeColor="text1"/>
          <w:szCs w:val="24"/>
          <w:highlight w:val="none"/>
          <w14:textFill>
            <w14:solidFill>
              <w14:schemeClr w14:val="tx1"/>
            </w14:solidFill>
          </w14:textFill>
        </w:rPr>
      </w:pPr>
      <w:r>
        <w:rPr>
          <w:rFonts w:hint="eastAsia" w:ascii="仿宋" w:hAnsi="仿宋" w:eastAsia="仿宋"/>
          <w:b/>
          <w:color w:val="000000" w:themeColor="text1"/>
          <w:szCs w:val="24"/>
          <w:highlight w:val="none"/>
          <w14:textFill>
            <w14:solidFill>
              <w14:schemeClr w14:val="tx1"/>
            </w14:solidFill>
          </w14:textFill>
        </w:rPr>
        <w:t>第一部分</w:t>
      </w:r>
      <w:r>
        <w:rPr>
          <w:rFonts w:ascii="仿宋" w:hAnsi="仿宋" w:eastAsia="仿宋"/>
          <w:b/>
          <w:color w:val="000000" w:themeColor="text1"/>
          <w:szCs w:val="24"/>
          <w:highlight w:val="none"/>
          <w14:textFill>
            <w14:solidFill>
              <w14:schemeClr w14:val="tx1"/>
            </w14:solidFill>
          </w14:textFill>
        </w:rPr>
        <w:t xml:space="preserve"> </w:t>
      </w:r>
      <w:r>
        <w:rPr>
          <w:rFonts w:hint="eastAsia" w:ascii="仿宋" w:hAnsi="仿宋" w:eastAsia="仿宋"/>
          <w:b/>
          <w:color w:val="000000" w:themeColor="text1"/>
          <w:szCs w:val="24"/>
          <w:highlight w:val="none"/>
          <w14:textFill>
            <w14:solidFill>
              <w14:schemeClr w14:val="tx1"/>
            </w14:solidFill>
          </w14:textFill>
        </w:rPr>
        <w:t>合同书</w:t>
      </w:r>
    </w:p>
    <w:p>
      <w:pPr>
        <w:pStyle w:val="705"/>
        <w:ind w:left="0" w:leftChars="0" w:firstLine="0" w:firstLineChars="0"/>
        <w:rPr>
          <w:rFonts w:ascii="仿宋" w:hAnsi="仿宋" w:eastAsia="仿宋"/>
          <w:color w:val="000000" w:themeColor="text1"/>
          <w:szCs w:val="24"/>
          <w:highlight w:val="none"/>
          <w14:textFill>
            <w14:solidFill>
              <w14:schemeClr w14:val="tx1"/>
            </w14:solidFill>
          </w14:textFill>
        </w:rPr>
      </w:pPr>
    </w:p>
    <w:p>
      <w:pPr>
        <w:spacing w:before="120" w:line="22" w:lineRule="atLeast"/>
        <w:rPr>
          <w:rFonts w:ascii="仿宋" w:hAnsi="仿宋" w:eastAsia="仿宋"/>
          <w:color w:val="000000" w:themeColor="text1"/>
          <w:sz w:val="24"/>
          <w:highlight w:val="none"/>
          <w14:textFill>
            <w14:solidFill>
              <w14:schemeClr w14:val="tx1"/>
            </w14:solidFill>
          </w14:textFill>
        </w:rPr>
      </w:pPr>
    </w:p>
    <w:p>
      <w:pPr>
        <w:spacing w:before="120" w:line="22" w:lineRule="atLeast"/>
        <w:ind w:left="96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项目名称：</w:t>
      </w:r>
      <w:r>
        <w:rPr>
          <w:rFonts w:ascii="仿宋" w:hAnsi="仿宋" w:eastAsia="仿宋"/>
          <w:color w:val="000000" w:themeColor="text1"/>
          <w:sz w:val="24"/>
          <w:highlight w:val="none"/>
          <w:u w:val="single"/>
          <w14:textFill>
            <w14:solidFill>
              <w14:schemeClr w14:val="tx1"/>
            </w14:solidFill>
          </w14:textFill>
        </w:rPr>
        <w:t xml:space="preserve">                                   </w:t>
      </w:r>
    </w:p>
    <w:p>
      <w:pPr>
        <w:pStyle w:val="603"/>
        <w:spacing w:before="120" w:line="22" w:lineRule="atLeast"/>
        <w:rPr>
          <w:rFonts w:ascii="仿宋" w:hAnsi="仿宋" w:eastAsia="仿宋"/>
          <w:color w:val="000000" w:themeColor="text1"/>
          <w:szCs w:val="24"/>
          <w:highlight w:val="none"/>
          <w14:textFill>
            <w14:solidFill>
              <w14:schemeClr w14:val="tx1"/>
            </w14:solidFill>
          </w14:textFill>
        </w:rPr>
      </w:pPr>
    </w:p>
    <w:p>
      <w:pPr>
        <w:pStyle w:val="603"/>
        <w:spacing w:before="120" w:line="22" w:lineRule="atLeast"/>
        <w:rPr>
          <w:rFonts w:ascii="仿宋" w:hAnsi="仿宋" w:eastAsia="仿宋"/>
          <w:color w:val="000000" w:themeColor="text1"/>
          <w:szCs w:val="24"/>
          <w:highlight w:val="none"/>
          <w14:textFill>
            <w14:solidFill>
              <w14:schemeClr w14:val="tx1"/>
            </w14:solidFill>
          </w14:textFill>
        </w:rPr>
      </w:pPr>
    </w:p>
    <w:p>
      <w:pPr>
        <w:rPr>
          <w:rFonts w:ascii="仿宋" w:hAnsi="仿宋" w:eastAsia="仿宋"/>
          <w:color w:val="000000" w:themeColor="text1"/>
          <w:sz w:val="24"/>
          <w:highlight w:val="none"/>
          <w14:textFill>
            <w14:solidFill>
              <w14:schemeClr w14:val="tx1"/>
            </w14:solidFill>
          </w14:textFill>
        </w:rPr>
      </w:pPr>
    </w:p>
    <w:p>
      <w:pPr>
        <w:spacing w:before="120" w:line="22" w:lineRule="atLeast"/>
        <w:ind w:left="960"/>
        <w:rPr>
          <w:rFonts w:ascii="仿宋" w:hAnsi="仿宋" w:eastAsia="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甲方：</w:t>
      </w:r>
      <w:r>
        <w:rPr>
          <w:rFonts w:ascii="仿宋" w:hAnsi="仿宋" w:eastAsia="仿宋"/>
          <w:color w:val="000000" w:themeColor="text1"/>
          <w:sz w:val="24"/>
          <w:highlight w:val="none"/>
          <w:u w:val="single"/>
          <w14:textFill>
            <w14:solidFill>
              <w14:schemeClr w14:val="tx1"/>
            </w14:solidFill>
          </w14:textFill>
        </w:rPr>
        <w:t xml:space="preserve">                                       </w:t>
      </w:r>
    </w:p>
    <w:p>
      <w:pPr>
        <w:spacing w:before="120" w:line="22" w:lineRule="atLeast"/>
        <w:rPr>
          <w:rFonts w:ascii="仿宋" w:hAnsi="仿宋" w:eastAsia="仿宋"/>
          <w:color w:val="000000" w:themeColor="text1"/>
          <w:sz w:val="24"/>
          <w:highlight w:val="none"/>
          <w14:textFill>
            <w14:solidFill>
              <w14:schemeClr w14:val="tx1"/>
            </w14:solidFill>
          </w14:textFill>
        </w:rPr>
      </w:pPr>
    </w:p>
    <w:p>
      <w:pPr>
        <w:spacing w:before="120" w:line="22" w:lineRule="atLeast"/>
        <w:ind w:left="960"/>
        <w:rPr>
          <w:rFonts w:ascii="仿宋" w:hAnsi="仿宋" w:eastAsia="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乙方：</w:t>
      </w:r>
      <w:r>
        <w:rPr>
          <w:rFonts w:ascii="仿宋" w:hAnsi="仿宋" w:eastAsia="仿宋"/>
          <w:color w:val="000000" w:themeColor="text1"/>
          <w:sz w:val="24"/>
          <w:highlight w:val="none"/>
          <w:u w:val="single"/>
          <w14:textFill>
            <w14:solidFill>
              <w14:schemeClr w14:val="tx1"/>
            </w14:solidFill>
          </w14:textFill>
        </w:rPr>
        <w:t xml:space="preserve">                                       </w:t>
      </w:r>
    </w:p>
    <w:p>
      <w:pPr>
        <w:spacing w:before="120" w:line="22" w:lineRule="atLeast"/>
        <w:rPr>
          <w:rFonts w:ascii="仿宋" w:hAnsi="仿宋" w:eastAsia="仿宋"/>
          <w:color w:val="000000" w:themeColor="text1"/>
          <w:sz w:val="24"/>
          <w:highlight w:val="none"/>
          <w14:textFill>
            <w14:solidFill>
              <w14:schemeClr w14:val="tx1"/>
            </w14:solidFill>
          </w14:textFill>
        </w:rPr>
      </w:pPr>
    </w:p>
    <w:p>
      <w:pPr>
        <w:spacing w:before="120" w:line="22" w:lineRule="atLeast"/>
        <w:ind w:firstLine="960" w:firstLineChars="400"/>
        <w:rPr>
          <w:rFonts w:ascii="仿宋" w:hAnsi="仿宋" w:eastAsia="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签订地：</w:t>
      </w:r>
      <w:r>
        <w:rPr>
          <w:rFonts w:ascii="仿宋" w:hAnsi="仿宋" w:eastAsia="仿宋"/>
          <w:color w:val="000000" w:themeColor="text1"/>
          <w:sz w:val="24"/>
          <w:highlight w:val="none"/>
          <w:u w:val="single"/>
          <w14:textFill>
            <w14:solidFill>
              <w14:schemeClr w14:val="tx1"/>
            </w14:solidFill>
          </w14:textFill>
        </w:rPr>
        <w:t xml:space="preserve">                                     </w:t>
      </w:r>
    </w:p>
    <w:p>
      <w:pPr>
        <w:spacing w:before="120" w:line="22" w:lineRule="atLeast"/>
        <w:rPr>
          <w:rFonts w:ascii="仿宋" w:hAnsi="仿宋" w:eastAsia="仿宋"/>
          <w:color w:val="000000" w:themeColor="text1"/>
          <w:sz w:val="24"/>
          <w:highlight w:val="none"/>
          <w14:textFill>
            <w14:solidFill>
              <w14:schemeClr w14:val="tx1"/>
            </w14:solidFill>
          </w14:textFill>
        </w:rPr>
      </w:pPr>
    </w:p>
    <w:p>
      <w:pPr>
        <w:spacing w:before="120" w:line="22" w:lineRule="atLeast"/>
        <w:ind w:firstLine="960" w:firstLineChars="400"/>
        <w:rPr>
          <w:rFonts w:ascii="仿宋" w:hAnsi="仿宋" w:eastAsia="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签订日期：</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月</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日</w:t>
      </w:r>
    </w:p>
    <w:p>
      <w:pPr>
        <w:widowControl/>
        <w:jc w:val="left"/>
        <w:rPr>
          <w:rFonts w:ascii="仿宋" w:hAnsi="仿宋" w:eastAsia="仿宋"/>
          <w:color w:val="000000" w:themeColor="text1"/>
          <w:kern w:val="0"/>
          <w:sz w:val="24"/>
          <w:highlight w:val="none"/>
          <w14:textFill>
            <w14:solidFill>
              <w14:schemeClr w14:val="tx1"/>
            </w14:solidFill>
          </w14:textFill>
        </w:rPr>
        <w:sectPr>
          <w:pgSz w:w="11907" w:h="16840"/>
          <w:pgMar w:top="680" w:right="1417" w:bottom="454" w:left="1417" w:header="851" w:footer="851" w:gutter="0"/>
          <w:pgNumType w:fmt="decimal"/>
          <w:cols w:space="720" w:num="1"/>
        </w:sectPr>
      </w:pP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bookmarkStart w:id="416" w:name="_Toc3029"/>
      <w:bookmarkStart w:id="417" w:name="_Toc24059"/>
      <w:bookmarkStart w:id="418" w:name="_Toc2232"/>
      <w:r>
        <w:rPr>
          <w:rFonts w:ascii="仿宋" w:hAnsi="仿宋" w:eastAsia="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年</w:t>
      </w:r>
      <w:r>
        <w:rPr>
          <w:rFonts w:ascii="仿宋" w:hAnsi="仿宋" w:eastAsia="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月</w:t>
      </w:r>
      <w:r>
        <w:rPr>
          <w:rFonts w:ascii="仿宋" w:hAnsi="仿宋" w:eastAsia="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日</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lang w:eastAsia="zh-CN"/>
          <w14:textFill>
            <w14:solidFill>
              <w14:schemeClr w14:val="tx1"/>
            </w14:solidFill>
          </w14:textFill>
        </w:rPr>
        <w:t>（采购人名称）</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以</w:t>
      </w:r>
      <w:r>
        <w:rPr>
          <w:rFonts w:ascii="仿宋" w:hAnsi="仿宋" w:eastAsia="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olor w:val="000000" w:themeColor="text1"/>
          <w:sz w:val="24"/>
          <w:highlight w:val="none"/>
          <w14:textFill>
            <w14:solidFill>
              <w14:schemeClr w14:val="tx1"/>
            </w14:solidFill>
          </w14:textFill>
        </w:rPr>
        <w:t>对</w:t>
      </w:r>
      <w:r>
        <w:rPr>
          <w:rFonts w:ascii="仿宋" w:hAnsi="仿宋" w:eastAsia="仿宋"/>
          <w:color w:val="000000" w:themeColor="text1"/>
          <w:sz w:val="24"/>
          <w:highlight w:val="none"/>
          <w:u w:val="single"/>
          <w14:textFill>
            <w14:solidFill>
              <w14:schemeClr w14:val="tx1"/>
            </w14:solidFill>
          </w14:textFill>
        </w:rPr>
        <w:t xml:space="preserve">   （同前</w:t>
      </w:r>
      <w:r>
        <w:rPr>
          <w:rFonts w:hint="eastAsia" w:ascii="仿宋" w:hAnsi="仿宋" w:eastAsia="仿宋"/>
          <w:color w:val="000000" w:themeColor="text1"/>
          <w:sz w:val="24"/>
          <w:highlight w:val="none"/>
          <w:u w:val="single"/>
          <w14:textFill>
            <w14:solidFill>
              <w14:schemeClr w14:val="tx1"/>
            </w14:solidFill>
          </w14:textFill>
        </w:rPr>
        <w:t>页项目名称）</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项目进行了采购。经</w:t>
      </w:r>
      <w:r>
        <w:rPr>
          <w:rFonts w:ascii="仿宋" w:hAnsi="仿宋" w:eastAsia="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olor w:val="000000" w:themeColor="text1"/>
          <w:sz w:val="24"/>
          <w:highlight w:val="none"/>
          <w14:textFill>
            <w14:solidFill>
              <w14:schemeClr w14:val="tx1"/>
            </w14:solidFill>
          </w14:textFill>
        </w:rPr>
        <w:t>评定，</w:t>
      </w:r>
      <w:r>
        <w:rPr>
          <w:rFonts w:ascii="仿宋" w:hAnsi="仿宋" w:eastAsia="仿宋"/>
          <w:color w:val="000000" w:themeColor="text1"/>
          <w:sz w:val="24"/>
          <w:highlight w:val="none"/>
          <w:u w:val="single"/>
          <w14:textFill>
            <w14:solidFill>
              <w14:schemeClr w14:val="tx1"/>
            </w14:solidFill>
          </w14:textFill>
        </w:rPr>
        <w:t xml:space="preserve">   （中标供应商名称）</w:t>
      </w:r>
      <w:r>
        <w:rPr>
          <w:rFonts w:hint="eastAsia" w:ascii="仿宋" w:hAnsi="仿宋" w:eastAsia="仿宋"/>
          <w:color w:val="000000" w:themeColor="text1"/>
          <w:sz w:val="24"/>
          <w:highlight w:val="none"/>
          <w14:textFill>
            <w14:solidFill>
              <w14:schemeClr w14:val="tx1"/>
            </w14:solidFill>
          </w14:textFill>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根据《中华人民共和国民法典》、《中华人民共和国政府采购法》等相关法律法规之规定，按照平等、自愿、公平、诚实信用和绿色的原则，经</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lang w:eastAsia="zh-CN"/>
          <w14:textFill>
            <w14:solidFill>
              <w14:schemeClr w14:val="tx1"/>
            </w14:solidFill>
          </w14:textFill>
        </w:rPr>
        <w:t>（采购人名称）</w:t>
      </w:r>
      <w:r>
        <w:rPr>
          <w:rFonts w:ascii="仿宋" w:hAnsi="仿宋" w:eastAsia="仿宋"/>
          <w:color w:val="000000" w:themeColor="text1"/>
          <w:sz w:val="24"/>
          <w:highlight w:val="none"/>
          <w:u w:val="single"/>
          <w14:textFill>
            <w14:solidFill>
              <w14:schemeClr w14:val="tx1"/>
            </w14:solidFill>
          </w14:textFill>
        </w:rPr>
        <w:t xml:space="preserve">   </w:t>
      </w:r>
      <w:r>
        <w:rPr>
          <w:rFonts w:ascii="仿宋" w:hAnsi="仿宋" w:eastAsia="仿宋"/>
          <w:color w:val="000000" w:themeColor="text1"/>
          <w:sz w:val="24"/>
          <w:highlight w:val="none"/>
          <w:lang w:val="zh-CN"/>
          <w14:textFill>
            <w14:solidFill>
              <w14:schemeClr w14:val="tx1"/>
            </w14:solidFill>
          </w14:textFill>
        </w:rPr>
        <w:t>(以下简称：甲方)和</w:t>
      </w:r>
      <w:r>
        <w:rPr>
          <w:rFonts w:ascii="仿宋" w:hAnsi="仿宋" w:eastAsia="仿宋"/>
          <w:color w:val="000000" w:themeColor="text1"/>
          <w:sz w:val="24"/>
          <w:highlight w:val="none"/>
          <w:u w:val="single"/>
          <w14:textFill>
            <w14:solidFill>
              <w14:schemeClr w14:val="tx1"/>
            </w14:solidFill>
          </w14:textFill>
        </w:rPr>
        <w:t xml:space="preserve">   （中标供应商名称）   </w:t>
      </w:r>
      <w:r>
        <w:rPr>
          <w:rFonts w:ascii="仿宋" w:hAnsi="仿宋" w:eastAsia="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olor w:val="000000" w:themeColor="text1"/>
          <w:sz w:val="24"/>
          <w:highlight w:val="none"/>
          <w14:textFill>
            <w14:solidFill>
              <w14:schemeClr w14:val="tx1"/>
            </w14:solidFill>
          </w14:textFill>
        </w:rPr>
        <w:t>条款，以兹共同遵守、全面履行。</w:t>
      </w:r>
    </w:p>
    <w:bookmarkEnd w:id="416"/>
    <w:bookmarkEnd w:id="417"/>
    <w:bookmarkEnd w:id="418"/>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19" w:name="_Toc24300"/>
      <w:bookmarkStart w:id="420" w:name="_Toc27126"/>
      <w:bookmarkStart w:id="421" w:name="_Toc21295"/>
      <w:r>
        <w:rPr>
          <w:rFonts w:ascii="仿宋" w:hAnsi="仿宋" w:eastAsia="仿宋"/>
          <w:b/>
          <w:color w:val="000000" w:themeColor="text1"/>
          <w:sz w:val="24"/>
          <w:highlight w:val="none"/>
          <w14:textFill>
            <w14:solidFill>
              <w14:schemeClr w14:val="tx1"/>
            </w14:solidFill>
          </w14:textFill>
        </w:rPr>
        <w:t xml:space="preserve">1.1 </w:t>
      </w:r>
      <w:r>
        <w:rPr>
          <w:rFonts w:hint="eastAsia" w:ascii="仿宋" w:hAnsi="仿宋" w:eastAsia="仿宋"/>
          <w:b/>
          <w:color w:val="000000" w:themeColor="text1"/>
          <w:sz w:val="24"/>
          <w:highlight w:val="none"/>
          <w14:textFill>
            <w14:solidFill>
              <w14:schemeClr w14:val="tx1"/>
            </w14:solidFill>
          </w14:textFill>
        </w:rPr>
        <w:t>合同组成部分</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1.1.1 </w:t>
      </w:r>
      <w:r>
        <w:rPr>
          <w:rFonts w:hint="eastAsia" w:ascii="仿宋" w:hAnsi="仿宋" w:eastAsia="仿宋"/>
          <w:color w:val="000000" w:themeColor="text1"/>
          <w:sz w:val="24"/>
          <w:highlight w:val="none"/>
          <w14:textFill>
            <w14:solidFill>
              <w14:schemeClr w14:val="tx1"/>
            </w14:solidFill>
          </w14:textFill>
        </w:rPr>
        <w:t>本合同及其补充合同、变更协议；</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1.1.2 </w:t>
      </w:r>
      <w:r>
        <w:rPr>
          <w:rFonts w:hint="eastAsia" w:ascii="仿宋" w:hAnsi="仿宋" w:eastAsia="仿宋"/>
          <w:color w:val="000000" w:themeColor="text1"/>
          <w:sz w:val="24"/>
          <w:highlight w:val="none"/>
          <w14:textFill>
            <w14:solidFill>
              <w14:schemeClr w14:val="tx1"/>
            </w14:solidFill>
          </w14:textFill>
        </w:rPr>
        <w:t>中标通知书；</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1.1.3 </w:t>
      </w:r>
      <w:r>
        <w:rPr>
          <w:rFonts w:hint="eastAsia" w:ascii="仿宋" w:hAnsi="仿宋" w:eastAsia="仿宋"/>
          <w:color w:val="000000" w:themeColor="text1"/>
          <w:sz w:val="24"/>
          <w:highlight w:val="none"/>
          <w14:textFill>
            <w14:solidFill>
              <w14:schemeClr w14:val="tx1"/>
            </w14:solidFill>
          </w14:textFill>
        </w:rPr>
        <w:t>投标文件（含澄清或者说明文件）；</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1.1.4 </w:t>
      </w:r>
      <w:r>
        <w:rPr>
          <w:rFonts w:hint="eastAsia" w:ascii="仿宋" w:hAnsi="仿宋" w:eastAsia="仿宋"/>
          <w:color w:val="000000" w:themeColor="text1"/>
          <w:sz w:val="24"/>
          <w:highlight w:val="none"/>
          <w14:textFill>
            <w14:solidFill>
              <w14:schemeClr w14:val="tx1"/>
            </w14:solidFill>
          </w14:textFill>
        </w:rPr>
        <w:t>招标文件（含澄清或者修改文件）；</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1.1.5 </w:t>
      </w:r>
      <w:r>
        <w:rPr>
          <w:rFonts w:hint="eastAsia" w:ascii="仿宋" w:hAnsi="仿宋" w:eastAsia="仿宋"/>
          <w:color w:val="000000" w:themeColor="text1"/>
          <w:sz w:val="24"/>
          <w:highlight w:val="none"/>
          <w14:textFill>
            <w14:solidFill>
              <w14:schemeClr w14:val="tx1"/>
            </w14:solidFill>
          </w14:textFill>
        </w:rPr>
        <w:t>其他相关采购文件。</w:t>
      </w:r>
    </w:p>
    <w:bookmarkEnd w:id="419"/>
    <w:bookmarkEnd w:id="420"/>
    <w:bookmarkEnd w:id="421"/>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22" w:name="_Toc23292"/>
      <w:bookmarkStart w:id="423" w:name="_Toc21631"/>
      <w:bookmarkStart w:id="424" w:name="_Toc21551"/>
      <w:r>
        <w:rPr>
          <w:rFonts w:ascii="仿宋" w:hAnsi="仿宋" w:eastAsia="仿宋"/>
          <w:b/>
          <w:color w:val="000000" w:themeColor="text1"/>
          <w:sz w:val="24"/>
          <w:highlight w:val="none"/>
          <w14:textFill>
            <w14:solidFill>
              <w14:schemeClr w14:val="tx1"/>
            </w14:solidFill>
          </w14:textFill>
        </w:rPr>
        <w:t xml:space="preserve">1.2 </w:t>
      </w:r>
      <w:r>
        <w:rPr>
          <w:rFonts w:hint="eastAsia" w:ascii="仿宋" w:hAnsi="仿宋" w:eastAsia="仿宋"/>
          <w:b/>
          <w:color w:val="000000" w:themeColor="text1"/>
          <w:sz w:val="24"/>
          <w:highlight w:val="none"/>
          <w14:textFill>
            <w14:solidFill>
              <w14:schemeClr w14:val="tx1"/>
            </w14:solidFill>
          </w14:textFill>
        </w:rPr>
        <w:t>货物</w:t>
      </w:r>
    </w:p>
    <w:p>
      <w:pPr>
        <w:spacing w:line="560" w:lineRule="exact"/>
        <w:ind w:firstLine="480" w:firstLineChars="200"/>
        <w:rPr>
          <w:rFonts w:ascii="仿宋" w:hAnsi="仿宋" w:eastAsia="仿宋"/>
          <w:color w:val="000000" w:themeColor="text1"/>
          <w:sz w:val="24"/>
          <w:highlight w:val="none"/>
          <w:u w:val="singl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1.2.1 </w:t>
      </w:r>
      <w:r>
        <w:rPr>
          <w:rFonts w:hint="eastAsia" w:ascii="仿宋" w:hAnsi="仿宋" w:eastAsia="仿宋"/>
          <w:color w:val="000000" w:themeColor="text1"/>
          <w:sz w:val="24"/>
          <w:highlight w:val="none"/>
          <w14:textFill>
            <w14:solidFill>
              <w14:schemeClr w14:val="tx1"/>
            </w14:solidFill>
          </w14:textFill>
        </w:rPr>
        <w:t>货物名称：</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0" w:firstLineChars="200"/>
        <w:rPr>
          <w:rFonts w:ascii="仿宋" w:hAnsi="仿宋" w:eastAsia="仿宋"/>
          <w:color w:val="000000" w:themeColor="text1"/>
          <w:sz w:val="24"/>
          <w:highlight w:val="none"/>
          <w:u w:val="singl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1.2.2 </w:t>
      </w:r>
      <w:r>
        <w:rPr>
          <w:rFonts w:hint="eastAsia" w:ascii="仿宋" w:hAnsi="仿宋" w:eastAsia="仿宋"/>
          <w:color w:val="000000" w:themeColor="text1"/>
          <w:sz w:val="24"/>
          <w:highlight w:val="none"/>
          <w14:textFill>
            <w14:solidFill>
              <w14:schemeClr w14:val="tx1"/>
            </w14:solidFill>
          </w14:textFill>
        </w:rPr>
        <w:t>货物数量：</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1.2.3 </w:t>
      </w:r>
      <w:r>
        <w:rPr>
          <w:rFonts w:hint="eastAsia" w:ascii="仿宋" w:hAnsi="仿宋" w:eastAsia="仿宋"/>
          <w:color w:val="000000" w:themeColor="text1"/>
          <w:sz w:val="24"/>
          <w:highlight w:val="none"/>
          <w14:textFill>
            <w14:solidFill>
              <w14:schemeClr w14:val="tx1"/>
            </w14:solidFill>
          </w14:textFill>
        </w:rPr>
        <w:t>货物质量：</w:t>
      </w:r>
      <w:r>
        <w:rPr>
          <w:rFonts w:hint="eastAsia" w:ascii="仿宋" w:hAnsi="仿宋" w:eastAsia="仿宋"/>
          <w:color w:val="000000" w:themeColor="text1"/>
          <w:sz w:val="24"/>
          <w:highlight w:val="none"/>
          <w:u w:val="single"/>
          <w14:textFill>
            <w14:solidFill>
              <w14:schemeClr w14:val="tx1"/>
            </w14:solidFill>
          </w14:textFill>
        </w:rPr>
        <w:t>　　　　　　　　　</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w:t>
      </w:r>
    </w:p>
    <w:bookmarkEnd w:id="422"/>
    <w:bookmarkEnd w:id="423"/>
    <w:bookmarkEnd w:id="424"/>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25" w:name="_Toc22618"/>
      <w:bookmarkStart w:id="426" w:name="_Toc1814"/>
      <w:bookmarkStart w:id="427" w:name="_Toc10340"/>
      <w:r>
        <w:rPr>
          <w:rFonts w:ascii="仿宋" w:hAnsi="仿宋" w:eastAsia="仿宋"/>
          <w:b/>
          <w:color w:val="000000" w:themeColor="text1"/>
          <w:sz w:val="24"/>
          <w:highlight w:val="none"/>
          <w14:textFill>
            <w14:solidFill>
              <w14:schemeClr w14:val="tx1"/>
            </w14:solidFill>
          </w14:textFill>
        </w:rPr>
        <w:t xml:space="preserve">1.3 </w:t>
      </w:r>
      <w:r>
        <w:rPr>
          <w:rFonts w:hint="eastAsia" w:ascii="仿宋" w:hAnsi="仿宋" w:eastAsia="仿宋"/>
          <w:b/>
          <w:color w:val="000000" w:themeColor="text1"/>
          <w:sz w:val="24"/>
          <w:highlight w:val="none"/>
          <w14:textFill>
            <w14:solidFill>
              <w14:schemeClr w14:val="tx1"/>
            </w14:solidFill>
          </w14:textFill>
        </w:rPr>
        <w:t>价款</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本合同总价为：￥</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元（大写：</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元人民币）。</w:t>
      </w:r>
    </w:p>
    <w:p>
      <w:pPr>
        <w:spacing w:line="560" w:lineRule="exact"/>
        <w:ind w:firstLine="480" w:firstLineChars="200"/>
        <w:rPr>
          <w:rFonts w:ascii="仿宋" w:hAnsi="仿宋" w:eastAsia="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3"/>
              <w:spacing w:line="560" w:lineRule="exact"/>
              <w:ind w:firstLine="200"/>
              <w:jc w:val="center"/>
              <w:rPr>
                <w:rFonts w:ascii="仿宋" w:hAnsi="仿宋" w:eastAsia="仿宋"/>
                <w:color w:val="000000" w:themeColor="text1"/>
                <w:sz w:val="24"/>
                <w:szCs w:val="24"/>
                <w:highlight w:val="none"/>
                <w14:textFill>
                  <w14:solidFill>
                    <w14:schemeClr w14:val="tx1"/>
                  </w14:solidFill>
                </w14:textFill>
              </w:rPr>
            </w:pPr>
          </w:p>
        </w:tc>
      </w:tr>
      <w:bookmarkEnd w:id="425"/>
      <w:bookmarkEnd w:id="426"/>
      <w:bookmarkEnd w:id="427"/>
    </w:tbl>
    <w:p>
      <w:pPr>
        <w:spacing w:line="560" w:lineRule="exact"/>
        <w:ind w:firstLine="482" w:firstLineChars="200"/>
        <w:rPr>
          <w:rFonts w:hint="eastAsia"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1.4 付款方式、时间和条件</w:t>
      </w:r>
    </w:p>
    <w:p>
      <w:pPr>
        <w:spacing w:line="560" w:lineRule="exact"/>
        <w:ind w:firstLine="480" w:firstLineChars="200"/>
        <w:rPr>
          <w:rFonts w:hint="eastAsia" w:ascii="仿宋" w:hAnsi="仿宋" w:eastAsia="仿宋"/>
          <w:color w:val="000000" w:themeColor="text1"/>
          <w:sz w:val="24"/>
          <w:highlight w:val="none"/>
          <w14:textFill>
            <w14:solidFill>
              <w14:schemeClr w14:val="tx1"/>
            </w14:solidFill>
          </w14:textFill>
        </w:rPr>
      </w:pPr>
      <w:bookmarkStart w:id="428" w:name="_Toc32071"/>
      <w:bookmarkStart w:id="429" w:name="_Toc19304"/>
      <w:bookmarkStart w:id="430" w:name="_Toc2846"/>
      <w:r>
        <w:rPr>
          <w:rFonts w:hint="eastAsia" w:ascii="仿宋" w:hAnsi="仿宋" w:eastAsia="仿宋"/>
          <w:color w:val="000000" w:themeColor="text1"/>
          <w:sz w:val="24"/>
          <w:highlight w:val="none"/>
          <w14:textFill>
            <w14:solidFill>
              <w14:schemeClr w14:val="tx1"/>
            </w14:solidFill>
          </w14:textFill>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1.4.2乙方可登录政采云前台大厅选择金融服务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1.4.3甲方迟延支付乙方款项的，向乙方支付逾期利息。双方可以在合同专用条款中约定逾期利率，约定利率不得低于合同订立时</w:t>
      </w:r>
      <w:r>
        <w:rPr>
          <w:rFonts w:ascii="仿宋" w:hAnsi="仿宋" w:eastAsia="仿宋"/>
          <w:color w:val="000000" w:themeColor="text1"/>
          <w:sz w:val="24"/>
          <w:highlight w:val="none"/>
          <w14:textFill>
            <w14:solidFill>
              <w14:schemeClr w14:val="tx1"/>
            </w14:solidFill>
          </w14:textFill>
        </w:rPr>
        <w:t>1年</w:t>
      </w:r>
      <w:r>
        <w:rPr>
          <w:rFonts w:hint="eastAsia" w:ascii="仿宋" w:hAnsi="仿宋" w:eastAsia="仿宋"/>
          <w:color w:val="000000" w:themeColor="text1"/>
          <w:sz w:val="24"/>
          <w:highlight w:val="none"/>
          <w14:textFill>
            <w14:solidFill>
              <w14:schemeClr w14:val="tx1"/>
            </w14:solidFill>
          </w14:textFill>
        </w:rPr>
        <w:t>期贷款市场报价利率；未作约定的，按照每日利率万分之五支付逾期利息。</w:t>
      </w:r>
    </w:p>
    <w:p>
      <w:pPr>
        <w:spacing w:line="560" w:lineRule="exact"/>
        <w:ind w:firstLine="480" w:firstLineChars="200"/>
        <w:outlineLvl w:val="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1.4.4资金支付的方式、时间和条件详见</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0" w:firstLineChars="200"/>
        <w:outlineLvl w:val="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1.4.5</w:t>
      </w:r>
      <w:r>
        <w:rPr>
          <w:rFonts w:hint="eastAsia" w:ascii="仿宋" w:hAnsi="仿宋" w:eastAsia="仿宋"/>
          <w:color w:val="000000" w:themeColor="text1"/>
          <w:sz w:val="24"/>
          <w:highlight w:val="none"/>
          <w14:textFill>
            <w14:solidFill>
              <w14:schemeClr w14:val="tx1"/>
            </w14:solidFill>
          </w14:textFill>
        </w:rPr>
        <w:t>乙方</w:t>
      </w:r>
      <w:r>
        <w:rPr>
          <w:rFonts w:ascii="仿宋" w:hAnsi="仿宋" w:eastAsia="仿宋"/>
          <w:color w:val="000000" w:themeColor="text1"/>
          <w:sz w:val="24"/>
          <w:highlight w:val="none"/>
          <w14:textFill>
            <w14:solidFill>
              <w14:schemeClr w14:val="tx1"/>
            </w14:solidFill>
          </w14:textFill>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color w:val="000000" w:themeColor="text1"/>
          <w:sz w:val="24"/>
          <w:highlight w:val="none"/>
          <w14:textFill>
            <w14:solidFill>
              <w14:schemeClr w14:val="tx1"/>
            </w14:solidFill>
          </w14:textFill>
        </w:rPr>
        <w:t>杭财采监〔</w:t>
      </w:r>
      <w:r>
        <w:rPr>
          <w:rFonts w:ascii="仿宋" w:hAnsi="仿宋" w:eastAsia="仿宋"/>
          <w:color w:val="000000" w:themeColor="text1"/>
          <w:sz w:val="24"/>
          <w:highlight w:val="none"/>
          <w14:textFill>
            <w14:solidFill>
              <w14:schemeClr w14:val="tx1"/>
            </w14:solidFill>
          </w14:textFill>
        </w:rPr>
        <w:t>2021〕17号）。</w:t>
      </w:r>
    </w:p>
    <w:bookmarkEnd w:id="428"/>
    <w:bookmarkEnd w:id="429"/>
    <w:bookmarkEnd w:id="430"/>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 xml:space="preserve">1.5 </w:t>
      </w:r>
      <w:r>
        <w:rPr>
          <w:rFonts w:hint="eastAsia" w:ascii="仿宋" w:hAnsi="仿宋" w:eastAsia="仿宋"/>
          <w:b/>
          <w:color w:val="000000" w:themeColor="text1"/>
          <w:sz w:val="24"/>
          <w:highlight w:val="none"/>
          <w14:textFill>
            <w14:solidFill>
              <w14:schemeClr w14:val="tx1"/>
            </w14:solidFill>
          </w14:textFill>
        </w:rPr>
        <w:t>货物交付期限、地点和方式</w:t>
      </w:r>
    </w:p>
    <w:p>
      <w:pPr>
        <w:spacing w:line="560" w:lineRule="exact"/>
        <w:ind w:firstLine="480" w:firstLineChars="200"/>
        <w:rPr>
          <w:rFonts w:ascii="仿宋" w:hAnsi="仿宋" w:eastAsia="仿宋"/>
          <w:color w:val="000000" w:themeColor="text1"/>
          <w:sz w:val="24"/>
          <w:highlight w:val="none"/>
          <w:u w:val="singl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1.5.1 </w:t>
      </w:r>
      <w:r>
        <w:rPr>
          <w:rFonts w:hint="eastAsia" w:ascii="仿宋" w:hAnsi="仿宋" w:eastAsia="仿宋"/>
          <w:color w:val="000000" w:themeColor="text1"/>
          <w:sz w:val="24"/>
          <w:highlight w:val="none"/>
          <w14:textFill>
            <w14:solidFill>
              <w14:schemeClr w14:val="tx1"/>
            </w14:solidFill>
          </w14:textFill>
        </w:rPr>
        <w:t>交付期限：</w:t>
      </w:r>
      <w:r>
        <w:rPr>
          <w:rFonts w:ascii="仿宋" w:hAnsi="仿宋" w:eastAsia="仿宋"/>
          <w:color w:val="000000" w:themeColor="text1"/>
          <w:sz w:val="24"/>
          <w:highlight w:val="none"/>
          <w14:textFill>
            <w14:solidFill>
              <w14:schemeClr w14:val="tx1"/>
            </w14:solidFill>
          </w14:textFill>
        </w:rPr>
        <w:t>详见</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1.5.2 </w:t>
      </w:r>
      <w:r>
        <w:rPr>
          <w:rFonts w:hint="eastAsia" w:ascii="仿宋" w:hAnsi="仿宋" w:eastAsia="仿宋"/>
          <w:color w:val="000000" w:themeColor="text1"/>
          <w:sz w:val="24"/>
          <w:highlight w:val="none"/>
          <w14:textFill>
            <w14:solidFill>
              <w14:schemeClr w14:val="tx1"/>
            </w14:solidFill>
          </w14:textFill>
        </w:rPr>
        <w:t>交付地点：</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w:t>
      </w:r>
    </w:p>
    <w:p>
      <w:pPr>
        <w:spacing w:line="360" w:lineRule="auto"/>
        <w:ind w:firstLine="480" w:firstLineChars="200"/>
        <w:rPr>
          <w:rFonts w:ascii="仿宋_GB2312" w:hAnsi="楷体" w:eastAsia="仿宋_GB2312"/>
          <w:sz w:val="24"/>
        </w:rPr>
      </w:pPr>
      <w:r>
        <w:rPr>
          <w:rFonts w:ascii="仿宋" w:hAnsi="仿宋" w:eastAsia="仿宋"/>
          <w:color w:val="000000" w:themeColor="text1"/>
          <w:sz w:val="24"/>
          <w:highlight w:val="none"/>
          <w14:textFill>
            <w14:solidFill>
              <w14:schemeClr w14:val="tx1"/>
            </w14:solidFill>
          </w14:textFill>
        </w:rPr>
        <w:t xml:space="preserve">1.5.3 </w:t>
      </w:r>
      <w:r>
        <w:rPr>
          <w:rFonts w:hint="eastAsia" w:ascii="仿宋" w:hAnsi="仿宋" w:eastAsia="仿宋"/>
          <w:color w:val="000000" w:themeColor="text1"/>
          <w:sz w:val="24"/>
          <w:highlight w:val="none"/>
          <w14:textFill>
            <w14:solidFill>
              <w14:schemeClr w14:val="tx1"/>
            </w14:solidFill>
          </w14:textFill>
        </w:rPr>
        <w:t>交付方式：</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31" w:name="_Toc21423"/>
      <w:bookmarkStart w:id="432" w:name="_Toc27250"/>
      <w:bookmarkStart w:id="433" w:name="_Toc19554"/>
      <w:bookmarkStart w:id="434" w:name="_Toc16021"/>
      <w:bookmarkStart w:id="435" w:name="_Toc15583"/>
      <w:bookmarkStart w:id="436" w:name="_Toc28375"/>
      <w:r>
        <w:rPr>
          <w:rFonts w:ascii="仿宋" w:hAnsi="仿宋" w:eastAsia="仿宋"/>
          <w:b/>
          <w:color w:val="000000" w:themeColor="text1"/>
          <w:sz w:val="24"/>
          <w:highlight w:val="none"/>
          <w14:textFill>
            <w14:solidFill>
              <w14:schemeClr w14:val="tx1"/>
            </w14:solidFill>
          </w14:textFill>
        </w:rPr>
        <w:t xml:space="preserve">1.6 </w:t>
      </w:r>
      <w:r>
        <w:rPr>
          <w:rFonts w:hint="eastAsia" w:ascii="仿宋" w:hAnsi="仿宋" w:eastAsia="仿宋"/>
          <w:b/>
          <w:color w:val="000000" w:themeColor="text1"/>
          <w:sz w:val="24"/>
          <w:highlight w:val="none"/>
          <w14:textFill>
            <w14:solidFill>
              <w14:schemeClr w14:val="tx1"/>
            </w14:solidFill>
          </w14:textFill>
        </w:rPr>
        <w:t>违约责任</w:t>
      </w:r>
      <w:bookmarkEnd w:id="431"/>
      <w:bookmarkEnd w:id="432"/>
      <w:bookmarkEnd w:id="433"/>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1.6.1 </w:t>
      </w:r>
      <w:r>
        <w:rPr>
          <w:rFonts w:hint="eastAsia" w:ascii="仿宋" w:hAnsi="仿宋" w:eastAsia="仿宋"/>
          <w:color w:val="000000" w:themeColor="text1"/>
          <w:sz w:val="24"/>
          <w:highlight w:val="none"/>
          <w14:textFill>
            <w14:solidFill>
              <w14:schemeClr w14:val="tx1"/>
            </w14:solidFill>
          </w14:textFill>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0.05</w:t>
      </w:r>
      <w:r>
        <w:rPr>
          <w:rFonts w:ascii="仿宋" w:hAnsi="仿宋" w:eastAsia="仿宋"/>
          <w:color w:val="000000" w:themeColor="text1"/>
          <w:sz w:val="24"/>
          <w:highlight w:val="none"/>
          <w:u w:val="single"/>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%计算，最高限额为本合同总价的</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20</w:t>
      </w:r>
      <w:r>
        <w:rPr>
          <w:rFonts w:ascii="仿宋" w:hAnsi="仿宋" w:eastAsia="仿宋"/>
          <w:color w:val="000000" w:themeColor="text1"/>
          <w:sz w:val="24"/>
          <w:highlight w:val="none"/>
          <w:u w:val="single"/>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1.6.2 </w:t>
      </w:r>
      <w:r>
        <w:rPr>
          <w:rFonts w:hint="eastAsia" w:ascii="仿宋" w:hAnsi="仿宋" w:eastAsia="仿宋"/>
          <w:color w:val="000000" w:themeColor="text1"/>
          <w:sz w:val="24"/>
          <w:highlight w:val="none"/>
          <w14:textFill>
            <w14:solidFill>
              <w14:schemeClr w14:val="tx1"/>
            </w14:solidFill>
          </w14:textFill>
        </w:rPr>
        <w:t>除不可抗力外，如果甲方没有按照本合同约定的付款方式付款，那么乙方可要求甲方支付违约金，违约金按每迟延付款一日的应付而未付款的</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0.05</w:t>
      </w:r>
      <w:r>
        <w:rPr>
          <w:rFonts w:ascii="仿宋" w:hAnsi="仿宋" w:eastAsia="仿宋"/>
          <w:color w:val="000000" w:themeColor="text1"/>
          <w:sz w:val="24"/>
          <w:highlight w:val="none"/>
          <w:u w:val="single"/>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%计算，最高限额为本合同总价的</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20</w:t>
      </w:r>
      <w:r>
        <w:rPr>
          <w:rFonts w:ascii="仿宋" w:hAnsi="仿宋" w:eastAsia="仿宋"/>
          <w:color w:val="000000" w:themeColor="text1"/>
          <w:sz w:val="24"/>
          <w:highlight w:val="none"/>
          <w:u w:val="single"/>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1.6.3 </w:t>
      </w:r>
      <w:r>
        <w:rPr>
          <w:rFonts w:hint="eastAsia" w:ascii="仿宋" w:hAnsi="仿宋" w:eastAsia="仿宋"/>
          <w:color w:val="000000" w:themeColor="text1"/>
          <w:sz w:val="24"/>
          <w:highlight w:val="none"/>
          <w14:textFill>
            <w14:solidFill>
              <w14:schemeClr w14:val="tx1"/>
            </w14:solidFill>
          </w14:textFill>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1.6.4 </w:t>
      </w:r>
      <w:r>
        <w:rPr>
          <w:rFonts w:hint="eastAsia" w:ascii="仿宋" w:hAnsi="仿宋" w:eastAsia="仿宋"/>
          <w:color w:val="000000" w:themeColor="text1"/>
          <w:sz w:val="24"/>
          <w:highlight w:val="none"/>
          <w14:textFill>
            <w14:solidFill>
              <w14:schemeClr w14:val="tx1"/>
            </w14:solidFill>
          </w14:textFill>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1.6.5 </w:t>
      </w:r>
      <w:r>
        <w:rPr>
          <w:rFonts w:hint="eastAsia" w:ascii="仿宋" w:hAnsi="仿宋" w:eastAsia="仿宋"/>
          <w:color w:val="000000" w:themeColor="text1"/>
          <w:sz w:val="24"/>
          <w:highlight w:val="none"/>
          <w14:textFill>
            <w14:solidFill>
              <w14:schemeClr w14:val="tx1"/>
            </w14:solidFill>
          </w14:textFill>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1.6.6 </w:t>
      </w:r>
      <w:r>
        <w:rPr>
          <w:rFonts w:hint="eastAsia" w:ascii="仿宋" w:hAnsi="仿宋" w:eastAsia="仿宋"/>
          <w:color w:val="000000" w:themeColor="text1"/>
          <w:sz w:val="24"/>
          <w:highlight w:val="none"/>
          <w14:textFill>
            <w14:solidFill>
              <w14:schemeClr w14:val="tx1"/>
            </w14:solidFill>
          </w14:textFill>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720" w:firstLineChars="300"/>
        <w:rPr>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1.6.7违约责任</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另有约定的，从其约定。</w:t>
      </w:r>
    </w:p>
    <w:bookmarkEnd w:id="434"/>
    <w:bookmarkEnd w:id="435"/>
    <w:bookmarkEnd w:id="436"/>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37" w:name="_Toc331685783"/>
      <w:r>
        <w:rPr>
          <w:rFonts w:ascii="仿宋" w:hAnsi="仿宋" w:eastAsia="仿宋"/>
          <w:b/>
          <w:color w:val="000000" w:themeColor="text1"/>
          <w:sz w:val="24"/>
          <w:highlight w:val="none"/>
          <w14:textFill>
            <w14:solidFill>
              <w14:schemeClr w14:val="tx1"/>
            </w14:solidFill>
          </w14:textFill>
        </w:rPr>
        <w:t xml:space="preserve">1.7 </w:t>
      </w:r>
      <w:r>
        <w:rPr>
          <w:rFonts w:hint="eastAsia" w:ascii="仿宋" w:hAnsi="仿宋" w:eastAsia="仿宋"/>
          <w:b/>
          <w:color w:val="000000" w:themeColor="text1"/>
          <w:sz w:val="24"/>
          <w:highlight w:val="none"/>
          <w14:textFill>
            <w14:solidFill>
              <w14:schemeClr w14:val="tx1"/>
            </w14:solidFill>
          </w14:textFill>
        </w:rPr>
        <w:t>合同争议的解决</w:t>
      </w:r>
    </w:p>
    <w:p>
      <w:pPr>
        <w:spacing w:line="560" w:lineRule="exact"/>
        <w:ind w:left="-61" w:leftChars="-29" w:right="-420" w:rightChars="-200" w:firstLine="240" w:firstLineChars="1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000000" w:themeColor="text1"/>
          <w:sz w:val="24"/>
          <w:highlight w:val="none"/>
          <w:u w:val="single"/>
          <w14:textFill>
            <w14:solidFill>
              <w14:schemeClr w14:val="tx1"/>
            </w14:solidFill>
          </w14:textFill>
        </w:rPr>
        <w:t xml:space="preserve"> 合同专用条款  </w:t>
      </w:r>
      <w:r>
        <w:rPr>
          <w:rFonts w:hint="eastAsia" w:ascii="仿宋" w:hAnsi="仿宋" w:eastAsia="仿宋"/>
          <w:color w:val="000000" w:themeColor="text1"/>
          <w:sz w:val="24"/>
          <w:highlight w:val="none"/>
          <w14:textFill>
            <w14:solidFill>
              <w14:schemeClr w14:val="tx1"/>
            </w14:solidFill>
          </w14:textFill>
        </w:rPr>
        <w:t>条款规定的方式解决：</w:t>
      </w:r>
    </w:p>
    <w:p>
      <w:pPr>
        <w:spacing w:line="560" w:lineRule="exact"/>
        <w:ind w:left="-420" w:leftChars="-200" w:right="-420" w:rightChars="-200" w:firstLine="600" w:firstLineChars="25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1.7.1 </w:t>
      </w:r>
      <w:r>
        <w:rPr>
          <w:rFonts w:hint="eastAsia" w:ascii="仿宋" w:hAnsi="仿宋" w:eastAsia="仿宋"/>
          <w:color w:val="000000" w:themeColor="text1"/>
          <w:sz w:val="24"/>
          <w:highlight w:val="none"/>
          <w14:textFill>
            <w14:solidFill>
              <w14:schemeClr w14:val="tx1"/>
            </w14:solidFill>
          </w14:textFill>
        </w:rPr>
        <w:t>将争议提交</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仲裁委员会依申请仲裁时其现行有效的仲裁规则裁决；</w:t>
      </w:r>
    </w:p>
    <w:p>
      <w:pPr>
        <w:spacing w:line="560" w:lineRule="exact"/>
        <w:ind w:left="-420" w:leftChars="-200" w:right="-420" w:rightChars="-200" w:firstLine="600" w:firstLineChars="25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1.7.2 </w:t>
      </w:r>
      <w:r>
        <w:rPr>
          <w:rFonts w:hint="eastAsia" w:ascii="仿宋" w:hAnsi="仿宋" w:eastAsia="仿宋"/>
          <w:color w:val="000000" w:themeColor="text1"/>
          <w:sz w:val="24"/>
          <w:highlight w:val="none"/>
          <w14:textFill>
            <w14:solidFill>
              <w14:schemeClr w14:val="tx1"/>
            </w14:solidFill>
          </w14:textFill>
        </w:rPr>
        <w:t>向</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人民法院起诉。</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38" w:name="_Toc15322"/>
      <w:bookmarkStart w:id="439" w:name="_Toc11173"/>
      <w:bookmarkStart w:id="440" w:name="_Toc7245"/>
      <w:r>
        <w:rPr>
          <w:rFonts w:ascii="仿宋" w:hAnsi="仿宋" w:eastAsia="仿宋"/>
          <w:b/>
          <w:color w:val="000000" w:themeColor="text1"/>
          <w:sz w:val="24"/>
          <w:highlight w:val="none"/>
          <w14:textFill>
            <w14:solidFill>
              <w14:schemeClr w14:val="tx1"/>
            </w14:solidFill>
          </w14:textFill>
        </w:rPr>
        <w:t xml:space="preserve">1.8 </w:t>
      </w:r>
      <w:r>
        <w:rPr>
          <w:rFonts w:hint="eastAsia" w:ascii="仿宋" w:hAnsi="仿宋" w:eastAsia="仿宋"/>
          <w:b/>
          <w:color w:val="000000" w:themeColor="text1"/>
          <w:sz w:val="24"/>
          <w:highlight w:val="none"/>
          <w14:textFill>
            <w14:solidFill>
              <w14:schemeClr w14:val="tx1"/>
            </w14:solidFill>
          </w14:textFill>
        </w:rPr>
        <w:t>合同生效</w:t>
      </w:r>
      <w:bookmarkEnd w:id="438"/>
      <w:bookmarkEnd w:id="439"/>
      <w:bookmarkEnd w:id="440"/>
    </w:p>
    <w:p>
      <w:pPr>
        <w:spacing w:line="560" w:lineRule="exact"/>
        <w:ind w:firstLine="480"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本合同自双方当事人盖章或者签字时生效。</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b/>
          <w:color w:val="000000" w:themeColor="text1"/>
          <w:sz w:val="24"/>
          <w:highlight w:val="none"/>
          <w:lang w:val="zh-CN"/>
          <w14:textFill>
            <w14:solidFill>
              <w14:schemeClr w14:val="tx1"/>
            </w14:solidFill>
          </w14:textFill>
        </w:rPr>
        <w:t>甲方</w:t>
      </w:r>
      <w:r>
        <w:rPr>
          <w:rFonts w:hint="eastAsia" w:ascii="仿宋" w:hAnsi="仿宋" w:eastAsia="仿宋"/>
          <w:color w:val="000000" w:themeColor="text1"/>
          <w:sz w:val="24"/>
          <w:highlight w:val="none"/>
          <w:lang w:val="zh-CN"/>
          <w14:textFill>
            <w14:solidFill>
              <w14:schemeClr w14:val="tx1"/>
            </w14:solidFill>
          </w14:textFill>
        </w:rPr>
        <w:t>：</w:t>
      </w:r>
      <w:r>
        <w:rPr>
          <w:rFonts w:ascii="仿宋" w:hAnsi="仿宋" w:eastAsia="仿宋"/>
          <w:color w:val="000000" w:themeColor="text1"/>
          <w:sz w:val="24"/>
          <w:highlight w:val="none"/>
          <w:lang w:val="zh-CN"/>
          <w14:textFill>
            <w14:solidFill>
              <w14:schemeClr w14:val="tx1"/>
            </w14:solidFill>
          </w14:textFill>
        </w:rPr>
        <w:t xml:space="preserve">                             </w:t>
      </w:r>
      <w:r>
        <w:rPr>
          <w:rFonts w:ascii="仿宋" w:hAnsi="仿宋" w:eastAsia="仿宋"/>
          <w:b/>
          <w:color w:val="000000" w:themeColor="text1"/>
          <w:sz w:val="24"/>
          <w:highlight w:val="none"/>
          <w:lang w:val="zh-CN"/>
          <w14:textFill>
            <w14:solidFill>
              <w14:schemeClr w14:val="tx1"/>
            </w14:solidFill>
          </w14:textFill>
        </w:rPr>
        <w:t xml:space="preserve">      乙方</w:t>
      </w:r>
      <w:r>
        <w:rPr>
          <w:rFonts w:hint="eastAsia" w:ascii="仿宋" w:hAnsi="仿宋" w:eastAsia="仿宋"/>
          <w:color w:val="000000" w:themeColor="text1"/>
          <w:sz w:val="24"/>
          <w:highlight w:val="none"/>
          <w:lang w:val="zh-CN"/>
          <w14:textFill>
            <w14:solidFill>
              <w14:schemeClr w14:val="tx1"/>
            </w14:solidFill>
          </w14:textFill>
        </w:rPr>
        <w:t>：</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统一社会信用代码：</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统一社会信用代码或身份证号码：</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住所：</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住所：</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法定代表人或</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法定代表人</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授权代表（签字）：</w:t>
      </w:r>
      <w:r>
        <w:rPr>
          <w:rFonts w:ascii="仿宋" w:hAnsi="仿宋" w:eastAsia="仿宋"/>
          <w:color w:val="000000" w:themeColor="text1"/>
          <w:sz w:val="24"/>
          <w:highlight w:val="none"/>
          <w:lang w:val="zh-CN"/>
          <w14:textFill>
            <w14:solidFill>
              <w14:schemeClr w14:val="tx1"/>
            </w14:solidFill>
          </w14:textFill>
        </w:rPr>
        <w:t xml:space="preserve">                        或授权代表（签字）: </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联系人：</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联系人：</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约定送达地址：</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约定送达地址：</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邮政编码：</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邮政编码：</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电话</w:t>
      </w:r>
      <w:r>
        <w:rPr>
          <w:rFonts w:ascii="仿宋" w:hAnsi="仿宋" w:eastAsia="仿宋"/>
          <w:color w:val="000000" w:themeColor="text1"/>
          <w:sz w:val="24"/>
          <w:highlight w:val="none"/>
          <w:lang w:val="zh-CN"/>
          <w14:textFill>
            <w14:solidFill>
              <w14:schemeClr w14:val="tx1"/>
            </w14:solidFill>
          </w14:textFill>
        </w:rPr>
        <w:t xml:space="preserve">:                                    电话: </w:t>
      </w:r>
    </w:p>
    <w:p>
      <w:pPr>
        <w:autoSpaceDE w:val="0"/>
        <w:autoSpaceDN w:val="0"/>
        <w:spacing w:line="560" w:lineRule="exact"/>
        <w:rPr>
          <w:rFonts w:ascii="仿宋" w:hAnsi="仿宋" w:eastAsia="仿宋"/>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传真</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传真</w:t>
      </w:r>
      <w:r>
        <w:rPr>
          <w:rFonts w:ascii="仿宋" w:hAnsi="仿宋" w:eastAsia="仿宋"/>
          <w:color w:val="000000" w:themeColor="text1"/>
          <w:sz w:val="24"/>
          <w:highlight w:val="none"/>
          <w:lang w:val="zh-CN"/>
          <w14:textFill>
            <w14:solidFill>
              <w14:schemeClr w14:val="tx1"/>
            </w14:solidFill>
          </w14:textFill>
        </w:rPr>
        <w:t>:</w:t>
      </w:r>
    </w:p>
    <w:p>
      <w:pPr>
        <w:autoSpaceDE w:val="0"/>
        <w:autoSpaceDN w:val="0"/>
        <w:spacing w:line="56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zh-CN"/>
          <w14:textFill>
            <w14:solidFill>
              <w14:schemeClr w14:val="tx1"/>
            </w14:solidFill>
          </w14:textFill>
        </w:rPr>
        <w:t>电子邮箱：</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lang w:val="zh-CN"/>
          <w14:textFill>
            <w14:solidFill>
              <w14:schemeClr w14:val="tx1"/>
            </w14:solidFill>
          </w14:textFill>
        </w:rPr>
        <w:t>电子邮箱：</w:t>
      </w:r>
    </w:p>
    <w:p>
      <w:pPr>
        <w:autoSpaceDE w:val="0"/>
        <w:autoSpaceDN w:val="0"/>
        <w:spacing w:line="56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开户银行：</w:t>
      </w:r>
      <w:r>
        <w:rPr>
          <w:rFonts w:ascii="仿宋" w:hAnsi="仿宋" w:eastAsia="仿宋"/>
          <w:color w:val="000000" w:themeColor="text1"/>
          <w:sz w:val="24"/>
          <w:highlight w:val="none"/>
          <w14:textFill>
            <w14:solidFill>
              <w14:schemeClr w14:val="tx1"/>
            </w14:solidFill>
          </w14:textFill>
        </w:rPr>
        <w:t xml:space="preserve">                               开户银行： </w:t>
      </w:r>
    </w:p>
    <w:p>
      <w:pPr>
        <w:autoSpaceDE w:val="0"/>
        <w:autoSpaceDN w:val="0"/>
        <w:spacing w:line="56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开户名称：</w:t>
      </w:r>
      <w:r>
        <w:rPr>
          <w:rFonts w:ascii="仿宋" w:hAnsi="仿宋" w:eastAsia="仿宋"/>
          <w:color w:val="000000" w:themeColor="text1"/>
          <w:sz w:val="24"/>
          <w:highlight w:val="none"/>
          <w14:textFill>
            <w14:solidFill>
              <w14:schemeClr w14:val="tx1"/>
            </w14:solidFill>
          </w14:textFill>
        </w:rPr>
        <w:t xml:space="preserve">                               开户名称： </w:t>
      </w:r>
    </w:p>
    <w:p>
      <w:pPr>
        <w:widowControl/>
        <w:jc w:val="left"/>
        <w:rPr>
          <w:rFonts w:ascii="仿宋_GB2312" w:hAnsi="楷体" w:eastAsia="仿宋_GB2312"/>
          <w:b/>
          <w:sz w:val="24"/>
        </w:rPr>
      </w:pPr>
      <w:r>
        <w:rPr>
          <w:rFonts w:hint="eastAsia" w:ascii="仿宋" w:hAnsi="仿宋" w:eastAsia="仿宋"/>
          <w:color w:val="000000" w:themeColor="text1"/>
          <w:sz w:val="24"/>
          <w:highlight w:val="none"/>
          <w14:textFill>
            <w14:solidFill>
              <w14:schemeClr w14:val="tx1"/>
            </w14:solidFill>
          </w14:textFill>
        </w:rPr>
        <w:t>开户账号：</w:t>
      </w:r>
      <w:r>
        <w:rPr>
          <w:rFonts w:ascii="仿宋" w:hAnsi="仿宋" w:eastAsia="仿宋"/>
          <w:color w:val="000000" w:themeColor="text1"/>
          <w:sz w:val="24"/>
          <w:highlight w:val="none"/>
          <w:lang w:val="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开户账号：</w:t>
      </w:r>
      <w:r>
        <w:rPr>
          <w:rFonts w:hint="eastAsia" w:ascii="仿宋_GB2312" w:hAnsi="楷体" w:eastAsia="仿宋_GB2312"/>
          <w:b/>
        </w:rPr>
        <w:br w:type="page"/>
      </w:r>
    </w:p>
    <w:bookmarkEnd w:id="437"/>
    <w:p>
      <w:pPr>
        <w:pStyle w:val="705"/>
        <w:spacing w:line="560" w:lineRule="exact"/>
        <w:ind w:firstLine="482"/>
        <w:jc w:val="center"/>
        <w:rPr>
          <w:rFonts w:ascii="仿宋" w:hAnsi="仿宋" w:eastAsia="仿宋"/>
          <w:b/>
          <w:color w:val="000000" w:themeColor="text1"/>
          <w:szCs w:val="24"/>
          <w:highlight w:val="none"/>
          <w14:textFill>
            <w14:solidFill>
              <w14:schemeClr w14:val="tx1"/>
            </w14:solidFill>
          </w14:textFill>
        </w:rPr>
      </w:pPr>
      <w:bookmarkStart w:id="441" w:name="_Toc331685784"/>
      <w:r>
        <w:rPr>
          <w:rFonts w:hint="eastAsia" w:ascii="仿宋" w:hAnsi="仿宋" w:eastAsia="仿宋"/>
          <w:b/>
          <w:color w:val="000000" w:themeColor="text1"/>
          <w:szCs w:val="24"/>
          <w:highlight w:val="none"/>
          <w14:textFill>
            <w14:solidFill>
              <w14:schemeClr w14:val="tx1"/>
            </w14:solidFill>
          </w14:textFill>
        </w:rPr>
        <w:t>第二部分</w:t>
      </w:r>
      <w:r>
        <w:rPr>
          <w:rFonts w:ascii="仿宋" w:hAnsi="仿宋" w:eastAsia="仿宋"/>
          <w:b/>
          <w:color w:val="000000" w:themeColor="text1"/>
          <w:szCs w:val="24"/>
          <w:highlight w:val="none"/>
          <w14:textFill>
            <w14:solidFill>
              <w14:schemeClr w14:val="tx1"/>
            </w14:solidFill>
          </w14:textFill>
        </w:rPr>
        <w:t xml:space="preserve"> </w:t>
      </w:r>
      <w:r>
        <w:rPr>
          <w:rFonts w:hint="eastAsia" w:ascii="仿宋" w:hAnsi="仿宋" w:eastAsia="仿宋"/>
          <w:b/>
          <w:color w:val="000000" w:themeColor="text1"/>
          <w:szCs w:val="24"/>
          <w:highlight w:val="none"/>
          <w14:textFill>
            <w14:solidFill>
              <w14:schemeClr w14:val="tx1"/>
            </w14:solidFill>
          </w14:textFill>
        </w:rPr>
        <w:t>合同一般条款</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42" w:name="_Ref467379205"/>
      <w:bookmarkStart w:id="443" w:name="_Ref467379214"/>
      <w:bookmarkStart w:id="444" w:name="_Ref467379094"/>
      <w:bookmarkStart w:id="445" w:name="_Toc16917"/>
      <w:bookmarkStart w:id="446" w:name="_Ref467378499"/>
      <w:bookmarkStart w:id="447" w:name="_Ref467379109"/>
      <w:bookmarkStart w:id="448" w:name="_Ref467379195"/>
      <w:bookmarkStart w:id="449" w:name="_Ref467378404"/>
      <w:bookmarkStart w:id="450" w:name="_Toc487900349"/>
      <w:bookmarkStart w:id="451" w:name="_Ref467378463"/>
      <w:bookmarkStart w:id="452" w:name="_Toc279701240"/>
      <w:bookmarkStart w:id="453" w:name="_Toc28763"/>
      <w:bookmarkStart w:id="454" w:name="_Toc259093669"/>
      <w:bookmarkStart w:id="455" w:name="_Ref467379225"/>
      <w:bookmarkStart w:id="456" w:name="_Ref467379101"/>
      <w:bookmarkStart w:id="457" w:name="_Toc19614"/>
      <w:r>
        <w:rPr>
          <w:rFonts w:ascii="仿宋" w:hAnsi="仿宋" w:eastAsia="仿宋"/>
          <w:b/>
          <w:color w:val="000000" w:themeColor="text1"/>
          <w:sz w:val="24"/>
          <w:highlight w:val="none"/>
          <w14:textFill>
            <w14:solidFill>
              <w14:schemeClr w14:val="tx1"/>
            </w14:solidFill>
          </w14:textFill>
        </w:rPr>
        <w:t xml:space="preserve">2.1 </w:t>
      </w:r>
      <w:r>
        <w:rPr>
          <w:rFonts w:hint="eastAsia" w:ascii="仿宋" w:hAnsi="仿宋" w:eastAsia="仿宋"/>
          <w:b/>
          <w:color w:val="000000" w:themeColor="text1"/>
          <w:sz w:val="24"/>
          <w:highlight w:val="none"/>
          <w14:textFill>
            <w14:solidFill>
              <w14:schemeClr w14:val="tx1"/>
            </w14:solidFill>
          </w14:textFill>
        </w:rPr>
        <w:t>定义</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本合同中的下列词语应按以下内容进行解释：</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2.1.1 </w:t>
      </w:r>
      <w:r>
        <w:rPr>
          <w:rFonts w:hint="eastAsia" w:ascii="仿宋" w:hAnsi="仿宋" w:eastAsia="仿宋"/>
          <w:color w:val="000000" w:themeColor="text1"/>
          <w:sz w:val="24"/>
          <w:highlight w:val="none"/>
          <w14:textFill>
            <w14:solidFill>
              <w14:schemeClr w14:val="tx1"/>
            </w14:solidFill>
          </w14:textFill>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2.1.2 </w:t>
      </w:r>
      <w:r>
        <w:rPr>
          <w:rFonts w:hint="eastAsia" w:ascii="仿宋" w:hAnsi="仿宋" w:eastAsia="仿宋"/>
          <w:color w:val="000000" w:themeColor="text1"/>
          <w:sz w:val="24"/>
          <w:highlight w:val="none"/>
          <w14:textFill>
            <w14:solidFill>
              <w14:schemeClr w14:val="tx1"/>
            </w14:solidFill>
          </w14:textFill>
        </w:rPr>
        <w:t>“合同价”系指根据合同约定，中标供应商在完全履行合同义务后，采购人应支付给中标供应商的价格。</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2.1.3 </w:t>
      </w:r>
      <w:r>
        <w:rPr>
          <w:rFonts w:hint="eastAsia" w:ascii="仿宋" w:hAnsi="仿宋" w:eastAsia="仿宋"/>
          <w:color w:val="000000" w:themeColor="text1"/>
          <w:sz w:val="24"/>
          <w:highlight w:val="none"/>
          <w14:textFill>
            <w14:solidFill>
              <w14:schemeClr w14:val="tx1"/>
            </w14:solidFill>
          </w14:textFill>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bookmarkStart w:id="458" w:name="_Ref467378840"/>
      <w:r>
        <w:rPr>
          <w:rFonts w:ascii="仿宋" w:hAnsi="仿宋" w:eastAsia="仿宋"/>
          <w:color w:val="000000" w:themeColor="text1"/>
          <w:sz w:val="24"/>
          <w:highlight w:val="none"/>
          <w14:textFill>
            <w14:solidFill>
              <w14:schemeClr w14:val="tx1"/>
            </w14:solidFill>
          </w14:textFill>
        </w:rPr>
        <w:t xml:space="preserve">2.1.4 </w:t>
      </w:r>
      <w:r>
        <w:rPr>
          <w:rFonts w:hint="eastAsia" w:ascii="仿宋" w:hAnsi="仿宋" w:eastAsia="仿宋"/>
          <w:color w:val="000000" w:themeColor="text1"/>
          <w:sz w:val="24"/>
          <w:highlight w:val="none"/>
          <w14:textFill>
            <w14:solidFill>
              <w14:schemeClr w14:val="tx1"/>
            </w14:solidFill>
          </w14:textFill>
        </w:rPr>
        <w:t>“甲方”系指与中标供应商签署合同的采购人</w:t>
      </w:r>
      <w:bookmarkEnd w:id="458"/>
      <w:r>
        <w:rPr>
          <w:rFonts w:hint="eastAsia" w:ascii="仿宋" w:hAnsi="仿宋" w:eastAsia="仿宋"/>
          <w:color w:val="000000" w:themeColor="text1"/>
          <w:sz w:val="24"/>
          <w:highlight w:val="none"/>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bookmarkStart w:id="459" w:name="_Ref467379400"/>
      <w:r>
        <w:rPr>
          <w:rFonts w:ascii="仿宋" w:hAnsi="仿宋" w:eastAsia="仿宋"/>
          <w:color w:val="000000" w:themeColor="text1"/>
          <w:sz w:val="24"/>
          <w:highlight w:val="none"/>
          <w14:textFill>
            <w14:solidFill>
              <w14:schemeClr w14:val="tx1"/>
            </w14:solidFill>
          </w14:textFill>
        </w:rPr>
        <w:t xml:space="preserve">2.1.5 </w:t>
      </w:r>
      <w:r>
        <w:rPr>
          <w:rFonts w:hint="eastAsia" w:ascii="仿宋" w:hAnsi="仿宋" w:eastAsia="仿宋"/>
          <w:color w:val="000000" w:themeColor="text1"/>
          <w:sz w:val="24"/>
          <w:highlight w:val="none"/>
          <w14:textFill>
            <w14:solidFill>
              <w14:schemeClr w14:val="tx1"/>
            </w14:solidFill>
          </w14:textFill>
        </w:rPr>
        <w:t>“乙方”系指根据合同约定交付货物的中标供应商</w:t>
      </w:r>
      <w:bookmarkEnd w:id="459"/>
      <w:r>
        <w:rPr>
          <w:rFonts w:hint="eastAsia" w:ascii="仿宋" w:hAnsi="仿宋" w:eastAsia="仿宋"/>
          <w:color w:val="000000" w:themeColor="text1"/>
          <w:sz w:val="24"/>
          <w:highlight w:val="none"/>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bookmarkStart w:id="460" w:name="_Ref467379436"/>
      <w:r>
        <w:rPr>
          <w:rFonts w:ascii="仿宋" w:hAnsi="仿宋" w:eastAsia="仿宋"/>
          <w:color w:val="000000" w:themeColor="text1"/>
          <w:sz w:val="24"/>
          <w:highlight w:val="none"/>
          <w14:textFill>
            <w14:solidFill>
              <w14:schemeClr w14:val="tx1"/>
            </w14:solidFill>
          </w14:textFill>
        </w:rPr>
        <w:t xml:space="preserve">2.1.6 </w:t>
      </w:r>
      <w:r>
        <w:rPr>
          <w:rFonts w:hint="eastAsia" w:ascii="仿宋" w:hAnsi="仿宋" w:eastAsia="仿宋"/>
          <w:color w:val="000000" w:themeColor="text1"/>
          <w:sz w:val="24"/>
          <w:highlight w:val="none"/>
          <w14:textFill>
            <w14:solidFill>
              <w14:schemeClr w14:val="tx1"/>
            </w14:solidFill>
          </w14:textFill>
        </w:rPr>
        <w:t>“现场”系指合同约定货物将要运至或者安装的地点。</w:t>
      </w:r>
      <w:bookmarkEnd w:id="460"/>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61" w:name="_Toc487900350"/>
      <w:bookmarkStart w:id="462" w:name="_Toc13336"/>
      <w:bookmarkStart w:id="463" w:name="_Toc259093670"/>
      <w:bookmarkStart w:id="464" w:name="_Toc279701241"/>
      <w:bookmarkStart w:id="465" w:name="_Toc27635"/>
      <w:bookmarkStart w:id="466" w:name="_Toc32504"/>
      <w:r>
        <w:rPr>
          <w:rFonts w:ascii="仿宋" w:hAnsi="仿宋" w:eastAsia="仿宋"/>
          <w:b/>
          <w:color w:val="000000" w:themeColor="text1"/>
          <w:sz w:val="24"/>
          <w:highlight w:val="none"/>
          <w14:textFill>
            <w14:solidFill>
              <w14:schemeClr w14:val="tx1"/>
            </w14:solidFill>
          </w14:textFill>
        </w:rPr>
        <w:t xml:space="preserve">2.2 </w:t>
      </w:r>
      <w:r>
        <w:rPr>
          <w:rFonts w:hint="eastAsia" w:ascii="仿宋" w:hAnsi="仿宋" w:eastAsia="仿宋"/>
          <w:b/>
          <w:color w:val="000000" w:themeColor="text1"/>
          <w:sz w:val="24"/>
          <w:highlight w:val="none"/>
          <w14:textFill>
            <w14:solidFill>
              <w14:schemeClr w14:val="tx1"/>
            </w14:solidFill>
          </w14:textFill>
        </w:rPr>
        <w:t>技术规范</w:t>
      </w:r>
      <w:bookmarkEnd w:id="461"/>
      <w:bookmarkEnd w:id="462"/>
      <w:bookmarkEnd w:id="463"/>
      <w:bookmarkEnd w:id="464"/>
      <w:bookmarkEnd w:id="465"/>
      <w:bookmarkEnd w:id="466"/>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货物所应遵守的技术规范应与采购文件规定的技术规范和技术规范附件</w:t>
      </w:r>
      <w:r>
        <w:rPr>
          <w:rFonts w:ascii="仿宋" w:hAnsi="仿宋" w:eastAsia="仿宋"/>
          <w:color w:val="000000" w:themeColor="text1"/>
          <w:sz w:val="24"/>
          <w:highlight w:val="none"/>
          <w14:textFill>
            <w14:solidFill>
              <w14:schemeClr w14:val="tx1"/>
            </w14:solidFill>
          </w14:textFill>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67" w:name="_Toc27853"/>
      <w:bookmarkStart w:id="468" w:name="_Toc487900351"/>
      <w:bookmarkStart w:id="469" w:name="_Toc31634"/>
      <w:bookmarkStart w:id="470" w:name="_Toc9829"/>
      <w:bookmarkStart w:id="471" w:name="_Toc279701242"/>
      <w:bookmarkStart w:id="472" w:name="_Toc259093671"/>
      <w:r>
        <w:rPr>
          <w:rFonts w:ascii="仿宋" w:hAnsi="仿宋" w:eastAsia="仿宋"/>
          <w:b/>
          <w:color w:val="000000" w:themeColor="text1"/>
          <w:sz w:val="24"/>
          <w:highlight w:val="none"/>
          <w14:textFill>
            <w14:solidFill>
              <w14:schemeClr w14:val="tx1"/>
            </w14:solidFill>
          </w14:textFill>
        </w:rPr>
        <w:t xml:space="preserve">2.3 </w:t>
      </w:r>
      <w:r>
        <w:rPr>
          <w:rFonts w:hint="eastAsia" w:ascii="仿宋" w:hAnsi="仿宋" w:eastAsia="仿宋"/>
          <w:b/>
          <w:color w:val="000000" w:themeColor="text1"/>
          <w:sz w:val="24"/>
          <w:highlight w:val="none"/>
          <w14:textFill>
            <w14:solidFill>
              <w14:schemeClr w14:val="tx1"/>
            </w14:solidFill>
          </w14:textFill>
        </w:rPr>
        <w:t>知识产权</w:t>
      </w:r>
      <w:bookmarkEnd w:id="467"/>
      <w:bookmarkEnd w:id="468"/>
      <w:bookmarkEnd w:id="469"/>
      <w:bookmarkEnd w:id="470"/>
      <w:bookmarkEnd w:id="471"/>
      <w:bookmarkEnd w:id="472"/>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2.3.1 </w:t>
      </w:r>
      <w:r>
        <w:rPr>
          <w:rFonts w:hint="eastAsia" w:ascii="仿宋" w:hAnsi="仿宋" w:eastAsia="仿宋"/>
          <w:color w:val="000000" w:themeColor="text1"/>
          <w:sz w:val="24"/>
          <w:highlight w:val="none"/>
          <w14:textFill>
            <w14:solidFill>
              <w14:schemeClr w14:val="tx1"/>
            </w14:solidFill>
          </w14:textFill>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2.3.2具有知识产权的计算机软件等货物的知识产权归属，详见</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73" w:name="_Toc4194"/>
      <w:bookmarkStart w:id="474" w:name="_Toc11932"/>
      <w:bookmarkStart w:id="475" w:name="_Toc29149"/>
      <w:r>
        <w:rPr>
          <w:rFonts w:ascii="仿宋" w:hAnsi="仿宋" w:eastAsia="仿宋"/>
          <w:b/>
          <w:color w:val="000000" w:themeColor="text1"/>
          <w:sz w:val="24"/>
          <w:highlight w:val="none"/>
          <w14:textFill>
            <w14:solidFill>
              <w14:schemeClr w14:val="tx1"/>
            </w14:solidFill>
          </w14:textFill>
        </w:rPr>
        <w:t xml:space="preserve">2.4 </w:t>
      </w:r>
      <w:r>
        <w:rPr>
          <w:rFonts w:hint="eastAsia" w:ascii="仿宋" w:hAnsi="仿宋" w:eastAsia="仿宋"/>
          <w:b/>
          <w:color w:val="000000" w:themeColor="text1"/>
          <w:sz w:val="24"/>
          <w:highlight w:val="none"/>
          <w14:textFill>
            <w14:solidFill>
              <w14:schemeClr w14:val="tx1"/>
            </w14:solidFill>
          </w14:textFill>
        </w:rPr>
        <w:t>包装和装运</w:t>
      </w:r>
      <w:bookmarkEnd w:id="473"/>
      <w:bookmarkEnd w:id="474"/>
      <w:bookmarkEnd w:id="475"/>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2.4.1除</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另有约定外</w:t>
      </w:r>
      <w:r>
        <w:rPr>
          <w:rFonts w:ascii="仿宋" w:hAnsi="仿宋" w:eastAsia="仿宋"/>
          <w:color w:val="000000" w:themeColor="text1"/>
          <w:sz w:val="24"/>
          <w:highlight w:val="none"/>
          <w14:textFill>
            <w14:solidFill>
              <w14:schemeClr w14:val="tx1"/>
            </w14:solidFill>
          </w14:textFill>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2.4.2 </w:t>
      </w:r>
      <w:r>
        <w:rPr>
          <w:rFonts w:hint="eastAsia" w:ascii="仿宋" w:hAnsi="仿宋" w:eastAsia="仿宋"/>
          <w:color w:val="000000" w:themeColor="text1"/>
          <w:sz w:val="24"/>
          <w:highlight w:val="none"/>
          <w14:textFill>
            <w14:solidFill>
              <w14:schemeClr w14:val="tx1"/>
            </w14:solidFill>
          </w14:textFill>
        </w:rPr>
        <w:t>装运货物的要求和通知，详见</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76" w:name="_Ref467379536"/>
      <w:bookmarkStart w:id="477" w:name="_Ref467379542"/>
      <w:bookmarkStart w:id="478" w:name="_Toc279701245"/>
      <w:bookmarkStart w:id="479" w:name="_Toc487900354"/>
      <w:bookmarkStart w:id="480" w:name="_Ref467378591"/>
      <w:bookmarkStart w:id="481" w:name="_Ref467378541"/>
      <w:bookmarkStart w:id="482" w:name="_Ref467379527"/>
      <w:bookmarkStart w:id="483" w:name="_Toc259093674"/>
      <w:bookmarkStart w:id="484" w:name="_Toc26182"/>
      <w:bookmarkStart w:id="485" w:name="_Toc19074"/>
      <w:bookmarkStart w:id="486" w:name="_Toc30272"/>
      <w:r>
        <w:rPr>
          <w:rFonts w:ascii="仿宋" w:hAnsi="仿宋" w:eastAsia="仿宋"/>
          <w:b/>
          <w:color w:val="000000" w:themeColor="text1"/>
          <w:sz w:val="24"/>
          <w:highlight w:val="none"/>
          <w14:textFill>
            <w14:solidFill>
              <w14:schemeClr w14:val="tx1"/>
            </w14:solidFill>
          </w14:textFill>
        </w:rPr>
        <w:t>2.</w:t>
      </w:r>
      <w:bookmarkEnd w:id="476"/>
      <w:bookmarkEnd w:id="477"/>
      <w:bookmarkEnd w:id="478"/>
      <w:bookmarkEnd w:id="479"/>
      <w:bookmarkEnd w:id="480"/>
      <w:bookmarkEnd w:id="481"/>
      <w:bookmarkEnd w:id="482"/>
      <w:bookmarkEnd w:id="483"/>
      <w:r>
        <w:rPr>
          <w:rFonts w:ascii="仿宋" w:hAnsi="仿宋" w:eastAsia="仿宋"/>
          <w:b/>
          <w:color w:val="000000" w:themeColor="text1"/>
          <w:sz w:val="24"/>
          <w:highlight w:val="none"/>
          <w14:textFill>
            <w14:solidFill>
              <w14:schemeClr w14:val="tx1"/>
            </w14:solidFill>
          </w14:textFill>
        </w:rPr>
        <w:t xml:space="preserve">5 </w:t>
      </w:r>
      <w:r>
        <w:rPr>
          <w:rFonts w:hint="eastAsia" w:ascii="仿宋" w:hAnsi="仿宋" w:eastAsia="仿宋"/>
          <w:b/>
          <w:color w:val="000000" w:themeColor="text1"/>
          <w:sz w:val="24"/>
          <w:highlight w:val="none"/>
          <w14:textFill>
            <w14:solidFill>
              <w14:schemeClr w14:val="tx1"/>
            </w14:solidFill>
          </w14:textFill>
        </w:rPr>
        <w:t>履约检查和问题反馈</w:t>
      </w:r>
      <w:bookmarkEnd w:id="484"/>
      <w:bookmarkEnd w:id="485"/>
      <w:bookmarkEnd w:id="486"/>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bookmarkStart w:id="487" w:name="_Ref467379657"/>
      <w:r>
        <w:rPr>
          <w:rFonts w:ascii="仿宋" w:hAnsi="仿宋" w:eastAsia="仿宋"/>
          <w:color w:val="000000" w:themeColor="text1"/>
          <w:sz w:val="24"/>
          <w:highlight w:val="none"/>
          <w14:textFill>
            <w14:solidFill>
              <w14:schemeClr w14:val="tx1"/>
            </w14:solidFill>
          </w14:textFill>
        </w:rPr>
        <w:t>2.5.1</w:t>
      </w:r>
      <w:bookmarkEnd w:id="487"/>
      <w:bookmarkStart w:id="488" w:name="_Toc186431854"/>
      <w:bookmarkStart w:id="489" w:name="_Ref467379807"/>
      <w:bookmarkStart w:id="490" w:name="_Ref467379793"/>
      <w:bookmarkStart w:id="491" w:name="_Toc279701247"/>
      <w:bookmarkStart w:id="492" w:name="_Toc487900357"/>
      <w:bookmarkStart w:id="493" w:name="_Toc259093676"/>
      <w:r>
        <w:rPr>
          <w:rFonts w:hint="eastAsia" w:ascii="仿宋" w:hAnsi="仿宋" w:eastAsia="仿宋"/>
          <w:color w:val="000000" w:themeColor="text1"/>
          <w:sz w:val="24"/>
          <w:highlight w:val="none"/>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2.5.2 </w:t>
      </w:r>
      <w:r>
        <w:rPr>
          <w:rFonts w:hint="eastAsia" w:ascii="仿宋" w:hAnsi="仿宋" w:eastAsia="仿宋"/>
          <w:color w:val="000000" w:themeColor="text1"/>
          <w:sz w:val="24"/>
          <w:highlight w:val="none"/>
          <w14:textFill>
            <w14:solidFill>
              <w14:schemeClr w14:val="tx1"/>
            </w14:solidFill>
          </w14:textFill>
        </w:rPr>
        <w:t>合同履行期间，甲方有权将履行过程中出现的问题反馈给乙方，双方当事人应以书面形式约定需要完善和改进的内容</w:t>
      </w:r>
      <w:bookmarkEnd w:id="488"/>
      <w:bookmarkStart w:id="494" w:name="_Toc186431855"/>
      <w:r>
        <w:rPr>
          <w:rFonts w:hint="eastAsia" w:ascii="仿宋" w:hAnsi="仿宋" w:eastAsia="仿宋"/>
          <w:color w:val="000000" w:themeColor="text1"/>
          <w:sz w:val="24"/>
          <w:highlight w:val="none"/>
          <w14:textFill>
            <w14:solidFill>
              <w14:schemeClr w14:val="tx1"/>
            </w14:solidFill>
          </w14:textFill>
        </w:rPr>
        <w:t>。</w:t>
      </w:r>
    </w:p>
    <w:bookmarkEnd w:id="489"/>
    <w:bookmarkEnd w:id="490"/>
    <w:bookmarkEnd w:id="491"/>
    <w:bookmarkEnd w:id="492"/>
    <w:bookmarkEnd w:id="493"/>
    <w:bookmarkEnd w:id="494"/>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495" w:name="_Toc259093677"/>
      <w:bookmarkStart w:id="496" w:name="_Ref467379923"/>
      <w:bookmarkStart w:id="497" w:name="_Toc279701248"/>
      <w:bookmarkStart w:id="498" w:name="_Toc487900358"/>
      <w:bookmarkStart w:id="499" w:name="_Ref467379852"/>
      <w:bookmarkStart w:id="500" w:name="_Ref467379863"/>
      <w:bookmarkStart w:id="501" w:name="_Toc3225"/>
      <w:bookmarkStart w:id="502" w:name="_Toc774"/>
      <w:bookmarkStart w:id="503" w:name="_Toc16110"/>
      <w:r>
        <w:rPr>
          <w:rFonts w:ascii="仿宋" w:hAnsi="仿宋" w:eastAsia="仿宋"/>
          <w:b/>
          <w:color w:val="000000" w:themeColor="text1"/>
          <w:sz w:val="24"/>
          <w:highlight w:val="none"/>
          <w14:textFill>
            <w14:solidFill>
              <w14:schemeClr w14:val="tx1"/>
            </w14:solidFill>
          </w14:textFill>
        </w:rPr>
        <w:t xml:space="preserve">2.6 </w:t>
      </w:r>
      <w:r>
        <w:rPr>
          <w:rFonts w:hint="eastAsia" w:ascii="仿宋" w:hAnsi="仿宋" w:eastAsia="仿宋"/>
          <w:b/>
          <w:color w:val="000000" w:themeColor="text1"/>
          <w:sz w:val="24"/>
          <w:highlight w:val="none"/>
          <w14:textFill>
            <w14:solidFill>
              <w14:schemeClr w14:val="tx1"/>
            </w14:solidFill>
          </w14:textFill>
        </w:rPr>
        <w:t>技术资料</w:t>
      </w:r>
      <w:bookmarkEnd w:id="495"/>
      <w:bookmarkEnd w:id="496"/>
      <w:bookmarkEnd w:id="497"/>
      <w:bookmarkEnd w:id="498"/>
      <w:bookmarkEnd w:id="499"/>
      <w:bookmarkEnd w:id="500"/>
      <w:r>
        <w:rPr>
          <w:rFonts w:hint="eastAsia" w:ascii="仿宋" w:hAnsi="仿宋" w:eastAsia="仿宋"/>
          <w:b/>
          <w:color w:val="000000" w:themeColor="text1"/>
          <w:sz w:val="24"/>
          <w:highlight w:val="none"/>
          <w14:textFill>
            <w14:solidFill>
              <w14:schemeClr w14:val="tx1"/>
            </w14:solidFill>
          </w14:textFill>
        </w:rPr>
        <w:t>和保密义务</w:t>
      </w:r>
      <w:bookmarkEnd w:id="501"/>
      <w:bookmarkEnd w:id="502"/>
      <w:bookmarkEnd w:id="503"/>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2.6.1 </w:t>
      </w:r>
      <w:r>
        <w:rPr>
          <w:rFonts w:hint="eastAsia" w:ascii="仿宋" w:hAnsi="仿宋" w:eastAsia="仿宋"/>
          <w:color w:val="000000" w:themeColor="text1"/>
          <w:sz w:val="24"/>
          <w:highlight w:val="none"/>
          <w14:textFill>
            <w14:solidFill>
              <w14:schemeClr w14:val="tx1"/>
            </w14:solidFill>
          </w14:textFill>
        </w:rPr>
        <w:t>乙方有权依据合同约定和项目需要，向甲方了解有关情况，调阅有关资料等，甲方应予积极配合；</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2.6.2 </w:t>
      </w:r>
      <w:r>
        <w:rPr>
          <w:rFonts w:hint="eastAsia" w:ascii="仿宋" w:hAnsi="仿宋" w:eastAsia="仿宋"/>
          <w:color w:val="000000" w:themeColor="text1"/>
          <w:sz w:val="24"/>
          <w:highlight w:val="none"/>
          <w14:textFill>
            <w14:solidFill>
              <w14:schemeClr w14:val="tx1"/>
            </w14:solidFill>
          </w14:textFill>
        </w:rPr>
        <w:t>乙方有义务妥善保管和保护由甲方提供的前款信息和资料等；</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2.6.3 </w:t>
      </w:r>
      <w:r>
        <w:rPr>
          <w:rFonts w:hint="eastAsia" w:ascii="仿宋" w:hAnsi="仿宋" w:eastAsia="仿宋"/>
          <w:color w:val="000000" w:themeColor="text1"/>
          <w:sz w:val="24"/>
          <w:highlight w:val="none"/>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04" w:name="_Toc7860"/>
      <w:r>
        <w:rPr>
          <w:rFonts w:ascii="仿宋" w:hAnsi="仿宋" w:eastAsia="仿宋"/>
          <w:b/>
          <w:color w:val="000000" w:themeColor="text1"/>
          <w:sz w:val="24"/>
          <w:highlight w:val="none"/>
          <w14:textFill>
            <w14:solidFill>
              <w14:schemeClr w14:val="tx1"/>
            </w14:solidFill>
          </w14:textFill>
        </w:rPr>
        <w:t xml:space="preserve">2.7 </w:t>
      </w:r>
      <w:r>
        <w:rPr>
          <w:rFonts w:hint="eastAsia" w:ascii="仿宋" w:hAnsi="仿宋" w:eastAsia="仿宋"/>
          <w:b/>
          <w:color w:val="000000" w:themeColor="text1"/>
          <w:sz w:val="24"/>
          <w:highlight w:val="none"/>
          <w14:textFill>
            <w14:solidFill>
              <w14:schemeClr w14:val="tx1"/>
            </w14:solidFill>
          </w14:textFill>
        </w:rPr>
        <w:t>质量保证</w:t>
      </w:r>
      <w:bookmarkEnd w:id="504"/>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2.7.1 </w:t>
      </w:r>
      <w:r>
        <w:rPr>
          <w:rFonts w:hint="eastAsia" w:ascii="仿宋" w:hAnsi="仿宋" w:eastAsia="仿宋"/>
          <w:color w:val="000000" w:themeColor="text1"/>
          <w:sz w:val="24"/>
          <w:highlight w:val="none"/>
          <w14:textFill>
            <w14:solidFill>
              <w14:schemeClr w14:val="tx1"/>
            </w14:solidFill>
          </w14:textFill>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2.7.2 </w:t>
      </w:r>
      <w:r>
        <w:rPr>
          <w:rFonts w:hint="eastAsia" w:ascii="仿宋" w:hAnsi="仿宋" w:eastAsia="仿宋"/>
          <w:color w:val="000000" w:themeColor="text1"/>
          <w:sz w:val="24"/>
          <w:highlight w:val="none"/>
          <w14:textFill>
            <w14:solidFill>
              <w14:schemeClr w14:val="tx1"/>
            </w14:solidFill>
          </w14:textFill>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05" w:name="_Toc17244"/>
      <w:bookmarkStart w:id="506" w:name="_Toc259093681"/>
      <w:bookmarkStart w:id="507" w:name="_Toc487900362"/>
      <w:bookmarkStart w:id="508" w:name="_Toc279701252"/>
      <w:r>
        <w:rPr>
          <w:rFonts w:ascii="仿宋" w:hAnsi="仿宋" w:eastAsia="仿宋"/>
          <w:b/>
          <w:color w:val="000000" w:themeColor="text1"/>
          <w:sz w:val="24"/>
          <w:highlight w:val="none"/>
          <w14:textFill>
            <w14:solidFill>
              <w14:schemeClr w14:val="tx1"/>
            </w14:solidFill>
          </w14:textFill>
        </w:rPr>
        <w:t xml:space="preserve">2.8 </w:t>
      </w:r>
      <w:r>
        <w:rPr>
          <w:rFonts w:hint="eastAsia" w:ascii="仿宋" w:hAnsi="仿宋" w:eastAsia="仿宋"/>
          <w:b/>
          <w:color w:val="000000" w:themeColor="text1"/>
          <w:sz w:val="24"/>
          <w:highlight w:val="none"/>
          <w14:textFill>
            <w14:solidFill>
              <w14:schemeClr w14:val="tx1"/>
            </w14:solidFill>
          </w14:textFill>
        </w:rPr>
        <w:t>货物的风险负担</w:t>
      </w:r>
      <w:bookmarkEnd w:id="505"/>
    </w:p>
    <w:p>
      <w:pPr>
        <w:spacing w:line="560" w:lineRule="exact"/>
        <w:ind w:firstLine="480"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货物或者在途货物或者交付给第一承运人后的货物毁损、灭失的风险负担详见</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09" w:name="_Toc14055"/>
      <w:r>
        <w:rPr>
          <w:rFonts w:ascii="仿宋" w:hAnsi="仿宋" w:eastAsia="仿宋"/>
          <w:b/>
          <w:color w:val="000000" w:themeColor="text1"/>
          <w:sz w:val="24"/>
          <w:highlight w:val="none"/>
          <w14:textFill>
            <w14:solidFill>
              <w14:schemeClr w14:val="tx1"/>
            </w14:solidFill>
          </w14:textFill>
        </w:rPr>
        <w:t xml:space="preserve">2.9 </w:t>
      </w:r>
      <w:r>
        <w:rPr>
          <w:rFonts w:hint="eastAsia" w:ascii="仿宋" w:hAnsi="仿宋" w:eastAsia="仿宋"/>
          <w:b/>
          <w:color w:val="000000" w:themeColor="text1"/>
          <w:sz w:val="24"/>
          <w:highlight w:val="none"/>
          <w14:textFill>
            <w14:solidFill>
              <w14:schemeClr w14:val="tx1"/>
            </w14:solidFill>
          </w14:textFill>
        </w:rPr>
        <w:t>延迟交货</w:t>
      </w:r>
      <w:bookmarkEnd w:id="506"/>
      <w:bookmarkEnd w:id="507"/>
      <w:bookmarkEnd w:id="508"/>
      <w:bookmarkEnd w:id="509"/>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10" w:name="_Toc7502"/>
      <w:bookmarkStart w:id="511" w:name="_Toc259093683"/>
      <w:bookmarkStart w:id="512" w:name="_Ref467378121"/>
      <w:bookmarkStart w:id="513" w:name="_Toc279701254"/>
      <w:bookmarkStart w:id="514" w:name="_Toc487900364"/>
      <w:r>
        <w:rPr>
          <w:rFonts w:ascii="仿宋" w:hAnsi="仿宋" w:eastAsia="仿宋"/>
          <w:b/>
          <w:color w:val="000000" w:themeColor="text1"/>
          <w:sz w:val="24"/>
          <w:highlight w:val="none"/>
          <w14:textFill>
            <w14:solidFill>
              <w14:schemeClr w14:val="tx1"/>
            </w14:solidFill>
          </w14:textFill>
        </w:rPr>
        <w:t xml:space="preserve">2.10 </w:t>
      </w:r>
      <w:r>
        <w:rPr>
          <w:rFonts w:hint="eastAsia" w:ascii="仿宋" w:hAnsi="仿宋" w:eastAsia="仿宋"/>
          <w:b/>
          <w:color w:val="000000" w:themeColor="text1"/>
          <w:sz w:val="24"/>
          <w:highlight w:val="none"/>
          <w14:textFill>
            <w14:solidFill>
              <w14:schemeClr w14:val="tx1"/>
            </w14:solidFill>
          </w14:textFill>
        </w:rPr>
        <w:t>合同变更</w:t>
      </w:r>
      <w:bookmarkEnd w:id="510"/>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515" w:name="_Toc259093688"/>
      <w:bookmarkStart w:id="516" w:name="_Toc279701259"/>
      <w:bookmarkStart w:id="517" w:name="_Toc487900369"/>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18" w:name="_Toc15237"/>
      <w:bookmarkStart w:id="519" w:name="_Toc22955"/>
      <w:bookmarkStart w:id="520" w:name="_Toc10366"/>
      <w:r>
        <w:rPr>
          <w:rFonts w:ascii="仿宋" w:hAnsi="仿宋" w:eastAsia="仿宋"/>
          <w:b/>
          <w:color w:val="000000" w:themeColor="text1"/>
          <w:sz w:val="24"/>
          <w:highlight w:val="none"/>
          <w14:textFill>
            <w14:solidFill>
              <w14:schemeClr w14:val="tx1"/>
            </w14:solidFill>
          </w14:textFill>
        </w:rPr>
        <w:t xml:space="preserve">2.11 </w:t>
      </w:r>
      <w:r>
        <w:rPr>
          <w:rFonts w:hint="eastAsia" w:ascii="仿宋" w:hAnsi="仿宋" w:eastAsia="仿宋"/>
          <w:b/>
          <w:color w:val="000000" w:themeColor="text1"/>
          <w:sz w:val="24"/>
          <w:highlight w:val="none"/>
          <w14:textFill>
            <w14:solidFill>
              <w14:schemeClr w14:val="tx1"/>
            </w14:solidFill>
          </w14:textFill>
        </w:rPr>
        <w:t>合同转让</w:t>
      </w:r>
      <w:bookmarkEnd w:id="515"/>
      <w:bookmarkEnd w:id="516"/>
      <w:bookmarkEnd w:id="517"/>
      <w:r>
        <w:rPr>
          <w:rFonts w:hint="eastAsia" w:ascii="仿宋" w:hAnsi="仿宋" w:eastAsia="仿宋"/>
          <w:b/>
          <w:color w:val="000000" w:themeColor="text1"/>
          <w:sz w:val="24"/>
          <w:highlight w:val="none"/>
          <w14:textFill>
            <w14:solidFill>
              <w14:schemeClr w14:val="tx1"/>
            </w14:solidFill>
          </w14:textFill>
        </w:rPr>
        <w:t>和分包</w:t>
      </w:r>
      <w:bookmarkEnd w:id="518"/>
      <w:bookmarkEnd w:id="519"/>
      <w:bookmarkEnd w:id="520"/>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21" w:name="_Toc16508"/>
      <w:bookmarkStart w:id="522" w:name="_Toc14066"/>
      <w:bookmarkStart w:id="523" w:name="_Toc13566"/>
      <w:r>
        <w:rPr>
          <w:rFonts w:ascii="仿宋" w:hAnsi="仿宋" w:eastAsia="仿宋"/>
          <w:b/>
          <w:color w:val="000000" w:themeColor="text1"/>
          <w:sz w:val="24"/>
          <w:highlight w:val="none"/>
          <w14:textFill>
            <w14:solidFill>
              <w14:schemeClr w14:val="tx1"/>
            </w14:solidFill>
          </w14:textFill>
        </w:rPr>
        <w:t xml:space="preserve">2.12 </w:t>
      </w:r>
      <w:r>
        <w:rPr>
          <w:rFonts w:hint="eastAsia" w:ascii="仿宋" w:hAnsi="仿宋" w:eastAsia="仿宋"/>
          <w:b/>
          <w:color w:val="000000" w:themeColor="text1"/>
          <w:sz w:val="24"/>
          <w:highlight w:val="none"/>
          <w14:textFill>
            <w14:solidFill>
              <w14:schemeClr w14:val="tx1"/>
            </w14:solidFill>
          </w14:textFill>
        </w:rPr>
        <w:t>不可抗力</w:t>
      </w:r>
      <w:bookmarkEnd w:id="521"/>
      <w:bookmarkEnd w:id="522"/>
      <w:bookmarkEnd w:id="523"/>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2.12.2 </w:t>
      </w:r>
      <w:r>
        <w:rPr>
          <w:rFonts w:hint="eastAsia" w:ascii="仿宋" w:hAnsi="仿宋" w:eastAsia="仿宋"/>
          <w:color w:val="000000" w:themeColor="text1"/>
          <w:sz w:val="24"/>
          <w:highlight w:val="none"/>
          <w14:textFill>
            <w14:solidFill>
              <w14:schemeClr w14:val="tx1"/>
            </w14:solidFill>
          </w14:textFill>
        </w:rPr>
        <w:t>因不可抗力致使不能实现合同目的的，当事人可以解除合同；</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2.12.3 </w:t>
      </w:r>
      <w:r>
        <w:rPr>
          <w:rFonts w:hint="eastAsia" w:ascii="仿宋" w:hAnsi="仿宋" w:eastAsia="仿宋"/>
          <w:color w:val="000000" w:themeColor="text1"/>
          <w:sz w:val="24"/>
          <w:highlight w:val="none"/>
          <w14:textFill>
            <w14:solidFill>
              <w14:schemeClr w14:val="tx1"/>
            </w14:solidFill>
          </w14:textFill>
        </w:rPr>
        <w:t>因不可抗力致使合同有变更必要的，双方当事人应在</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约定时间内以书面形式变更合同；</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2.12.4受不可抗力影响的一方在不可抗力发生后，应在</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约定时间内，将有关部门出具的证明文件送达对方当事人。</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24" w:name="_Toc30676"/>
      <w:bookmarkStart w:id="525" w:name="_Toc6969"/>
      <w:bookmarkStart w:id="526" w:name="_Toc487900365"/>
      <w:bookmarkStart w:id="527" w:name="_Toc689"/>
      <w:bookmarkStart w:id="528" w:name="_Toc279701255"/>
      <w:bookmarkStart w:id="529" w:name="_Toc259093684"/>
      <w:r>
        <w:rPr>
          <w:rFonts w:ascii="仿宋" w:hAnsi="仿宋" w:eastAsia="仿宋"/>
          <w:b/>
          <w:color w:val="000000" w:themeColor="text1"/>
          <w:sz w:val="24"/>
          <w:highlight w:val="none"/>
          <w14:textFill>
            <w14:solidFill>
              <w14:schemeClr w14:val="tx1"/>
            </w14:solidFill>
          </w14:textFill>
        </w:rPr>
        <w:t xml:space="preserve">2.13 </w:t>
      </w:r>
      <w:r>
        <w:rPr>
          <w:rFonts w:hint="eastAsia" w:ascii="仿宋" w:hAnsi="仿宋" w:eastAsia="仿宋"/>
          <w:b/>
          <w:color w:val="000000" w:themeColor="text1"/>
          <w:sz w:val="24"/>
          <w:highlight w:val="none"/>
          <w14:textFill>
            <w14:solidFill>
              <w14:schemeClr w14:val="tx1"/>
            </w14:solidFill>
          </w14:textFill>
        </w:rPr>
        <w:t>税费</w:t>
      </w:r>
      <w:bookmarkEnd w:id="524"/>
      <w:bookmarkEnd w:id="525"/>
      <w:bookmarkEnd w:id="526"/>
      <w:bookmarkEnd w:id="527"/>
      <w:bookmarkEnd w:id="528"/>
      <w:bookmarkEnd w:id="529"/>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30" w:name="_Toc7102"/>
      <w:bookmarkStart w:id="531" w:name="_Toc8298"/>
      <w:bookmarkStart w:id="532" w:name="_Toc16959"/>
      <w:bookmarkStart w:id="533" w:name="_Toc259093687"/>
      <w:bookmarkStart w:id="534" w:name="_Toc279701258"/>
      <w:bookmarkStart w:id="535" w:name="_Toc487900368"/>
      <w:r>
        <w:rPr>
          <w:rFonts w:ascii="仿宋" w:hAnsi="仿宋" w:eastAsia="仿宋"/>
          <w:b/>
          <w:color w:val="000000" w:themeColor="text1"/>
          <w:sz w:val="24"/>
          <w:highlight w:val="none"/>
          <w14:textFill>
            <w14:solidFill>
              <w14:schemeClr w14:val="tx1"/>
            </w14:solidFill>
          </w14:textFill>
        </w:rPr>
        <w:t>2.14乙方破产</w:t>
      </w:r>
      <w:bookmarkEnd w:id="530"/>
      <w:bookmarkEnd w:id="531"/>
      <w:bookmarkEnd w:id="532"/>
      <w:bookmarkEnd w:id="533"/>
      <w:bookmarkEnd w:id="534"/>
      <w:bookmarkEnd w:id="535"/>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36" w:name="_Toc15387"/>
      <w:bookmarkStart w:id="537" w:name="_Toc29333"/>
      <w:bookmarkStart w:id="538" w:name="_Toc6134"/>
      <w:r>
        <w:rPr>
          <w:rFonts w:ascii="仿宋" w:hAnsi="仿宋" w:eastAsia="仿宋"/>
          <w:b/>
          <w:color w:val="000000" w:themeColor="text1"/>
          <w:sz w:val="24"/>
          <w:highlight w:val="none"/>
          <w14:textFill>
            <w14:solidFill>
              <w14:schemeClr w14:val="tx1"/>
            </w14:solidFill>
          </w14:textFill>
        </w:rPr>
        <w:t xml:space="preserve">2.15 </w:t>
      </w:r>
      <w:r>
        <w:rPr>
          <w:rFonts w:hint="eastAsia" w:ascii="仿宋" w:hAnsi="仿宋" w:eastAsia="仿宋"/>
          <w:b/>
          <w:color w:val="000000" w:themeColor="text1"/>
          <w:sz w:val="24"/>
          <w:highlight w:val="none"/>
          <w14:textFill>
            <w14:solidFill>
              <w14:schemeClr w14:val="tx1"/>
            </w14:solidFill>
          </w14:textFill>
        </w:rPr>
        <w:t>合同中止、终止</w:t>
      </w:r>
      <w:bookmarkEnd w:id="536"/>
      <w:bookmarkEnd w:id="537"/>
      <w:bookmarkEnd w:id="538"/>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2.15.1 </w:t>
      </w:r>
      <w:r>
        <w:rPr>
          <w:rFonts w:hint="eastAsia" w:ascii="仿宋" w:hAnsi="仿宋" w:eastAsia="仿宋"/>
          <w:color w:val="000000" w:themeColor="text1"/>
          <w:sz w:val="24"/>
          <w:highlight w:val="none"/>
          <w14:textFill>
            <w14:solidFill>
              <w14:schemeClr w14:val="tx1"/>
            </w14:solidFill>
          </w14:textFill>
        </w:rPr>
        <w:t>双方当事人不得擅自中止或者终止合同；</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39" w:name="_Toc6596"/>
      <w:bookmarkStart w:id="540" w:name="_Toc1125"/>
      <w:bookmarkStart w:id="541" w:name="_Toc14563"/>
      <w:r>
        <w:rPr>
          <w:rFonts w:ascii="仿宋" w:hAnsi="仿宋" w:eastAsia="仿宋"/>
          <w:b/>
          <w:color w:val="000000" w:themeColor="text1"/>
          <w:sz w:val="24"/>
          <w:highlight w:val="none"/>
          <w14:textFill>
            <w14:solidFill>
              <w14:schemeClr w14:val="tx1"/>
            </w14:solidFill>
          </w14:textFill>
        </w:rPr>
        <w:t>2.16检验和验收</w:t>
      </w:r>
      <w:bookmarkEnd w:id="539"/>
      <w:bookmarkEnd w:id="540"/>
      <w:bookmarkEnd w:id="541"/>
    </w:p>
    <w:p>
      <w:pPr>
        <w:tabs>
          <w:tab w:val="left" w:pos="360"/>
          <w:tab w:val="left" w:pos="540"/>
          <w:tab w:val="left" w:pos="1080"/>
        </w:tabs>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2.16.1货物交付前，乙方应对货物的质量、数量等方面进行详细、全面的检验，并向甲方出具证明货物符合合同约定的文件；货物交付时，乙方在</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2.16.3 </w:t>
      </w:r>
      <w:r>
        <w:rPr>
          <w:rFonts w:hint="eastAsia" w:ascii="仿宋" w:hAnsi="仿宋" w:eastAsia="仿宋"/>
          <w:color w:val="000000" w:themeColor="text1"/>
          <w:sz w:val="24"/>
          <w:highlight w:val="none"/>
          <w14:textFill>
            <w14:solidFill>
              <w14:schemeClr w14:val="tx1"/>
            </w14:solidFill>
          </w14:textFill>
        </w:rPr>
        <w:t>检验和验收标准、程序等具体内容以及前述验收书的效力详见</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i/>
          <w:color w:val="000000" w:themeColor="text1"/>
          <w:sz w:val="24"/>
          <w:highlight w:val="none"/>
          <w14:textFill>
            <w14:solidFill>
              <w14:schemeClr w14:val="tx1"/>
            </w14:solidFill>
          </w14:textFill>
        </w:rPr>
        <w:t>。</w:t>
      </w:r>
    </w:p>
    <w:bookmarkEnd w:id="511"/>
    <w:bookmarkEnd w:id="512"/>
    <w:bookmarkEnd w:id="513"/>
    <w:bookmarkEnd w:id="514"/>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42" w:name="_Toc259093690"/>
      <w:bookmarkStart w:id="543" w:name="_Toc487900371"/>
      <w:bookmarkStart w:id="544" w:name="_Toc279701261"/>
      <w:bookmarkStart w:id="545" w:name="_Toc19604"/>
      <w:bookmarkStart w:id="546" w:name="_Toc11284"/>
      <w:bookmarkStart w:id="547" w:name="_Toc25182"/>
      <w:r>
        <w:rPr>
          <w:rFonts w:ascii="仿宋" w:hAnsi="仿宋" w:eastAsia="仿宋"/>
          <w:b/>
          <w:color w:val="000000" w:themeColor="text1"/>
          <w:sz w:val="24"/>
          <w:highlight w:val="none"/>
          <w14:textFill>
            <w14:solidFill>
              <w14:schemeClr w14:val="tx1"/>
            </w14:solidFill>
          </w14:textFill>
        </w:rPr>
        <w:t xml:space="preserve">2.17 </w:t>
      </w:r>
      <w:r>
        <w:rPr>
          <w:rFonts w:hint="eastAsia" w:ascii="仿宋" w:hAnsi="仿宋" w:eastAsia="仿宋"/>
          <w:b/>
          <w:color w:val="000000" w:themeColor="text1"/>
          <w:sz w:val="24"/>
          <w:highlight w:val="none"/>
          <w14:textFill>
            <w14:solidFill>
              <w14:schemeClr w14:val="tx1"/>
            </w14:solidFill>
          </w14:textFill>
        </w:rPr>
        <w:t>通知</w:t>
      </w:r>
      <w:bookmarkEnd w:id="542"/>
      <w:bookmarkEnd w:id="543"/>
      <w:bookmarkEnd w:id="544"/>
      <w:r>
        <w:rPr>
          <w:rFonts w:hint="eastAsia" w:ascii="仿宋" w:hAnsi="仿宋" w:eastAsia="仿宋"/>
          <w:b/>
          <w:color w:val="000000" w:themeColor="text1"/>
          <w:sz w:val="24"/>
          <w:highlight w:val="none"/>
          <w14:textFill>
            <w14:solidFill>
              <w14:schemeClr w14:val="tx1"/>
            </w14:solidFill>
          </w14:textFill>
        </w:rPr>
        <w:t>和送达</w:t>
      </w:r>
      <w:bookmarkEnd w:id="545"/>
      <w:bookmarkEnd w:id="546"/>
      <w:bookmarkEnd w:id="547"/>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bookmarkStart w:id="548" w:name="_Toc3135"/>
      <w:bookmarkStart w:id="549" w:name="_Toc6698"/>
      <w:bookmarkStart w:id="550" w:name="_Toc279701262"/>
      <w:bookmarkStart w:id="551" w:name="_Toc487900372"/>
      <w:bookmarkStart w:id="552" w:name="_Toc259093691"/>
      <w:r>
        <w:rPr>
          <w:rFonts w:ascii="仿宋" w:hAnsi="仿宋" w:eastAsia="仿宋"/>
          <w:color w:val="000000" w:themeColor="text1"/>
          <w:sz w:val="24"/>
          <w:highlight w:val="none"/>
          <w14:textFill>
            <w14:solidFill>
              <w14:schemeClr w14:val="tx1"/>
            </w14:solidFill>
          </w14:textFill>
        </w:rPr>
        <w:t>2.17.1</w:t>
      </w:r>
      <w:r>
        <w:rPr>
          <w:rFonts w:hint="eastAsia" w:ascii="仿宋" w:hAnsi="仿宋" w:eastAsia="仿宋"/>
          <w:color w:val="000000" w:themeColor="text1"/>
          <w:sz w:val="24"/>
          <w:highlight w:val="none"/>
          <w14:textFill>
            <w14:solidFill>
              <w14:schemeClr w14:val="tx1"/>
            </w14:solidFill>
          </w14:textFill>
        </w:rPr>
        <w:t>任何一方因履行合同而以合同第一部分尾部所列明的传真或电子邮件</w:t>
      </w:r>
      <w:r>
        <w:rPr>
          <w:rFonts w:ascii="仿宋" w:hAnsi="仿宋" w:eastAsia="仿宋"/>
          <w:color w:val="000000" w:themeColor="text1"/>
          <w:sz w:val="24"/>
          <w:highlight w:val="none"/>
          <w14:textFill>
            <w14:solidFill>
              <w14:schemeClr w14:val="tx1"/>
            </w14:solidFill>
          </w14:textFill>
        </w:rPr>
        <w:t xml:space="preserve"> </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olor w:val="000000" w:themeColor="text1"/>
          <w:sz w:val="24"/>
          <w:highlight w:val="none"/>
          <w:u w:val="singl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bookmarkEnd w:id="548"/>
      <w:bookmarkEnd w:id="549"/>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bookmarkStart w:id="553" w:name="_Toc23128"/>
      <w:bookmarkStart w:id="554" w:name="_Toc23294"/>
      <w:r>
        <w:rPr>
          <w:rFonts w:ascii="仿宋" w:hAnsi="仿宋" w:eastAsia="仿宋"/>
          <w:color w:val="000000" w:themeColor="text1"/>
          <w:sz w:val="24"/>
          <w:highlight w:val="none"/>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themeColor="text1"/>
          <w:sz w:val="24"/>
          <w:highlight w:val="none"/>
          <w14:textFill>
            <w14:solidFill>
              <w14:schemeClr w14:val="tx1"/>
            </w14:solidFill>
          </w14:textFill>
        </w:rPr>
        <w:t>的，邮件挂号寄出或者交邮之日之次日视为送达。</w:t>
      </w:r>
      <w:bookmarkEnd w:id="553"/>
      <w:bookmarkEnd w:id="554"/>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55" w:name="_Toc30599"/>
      <w:bookmarkStart w:id="556" w:name="_Toc4355"/>
      <w:bookmarkStart w:id="557" w:name="_Toc18540"/>
      <w:r>
        <w:rPr>
          <w:rFonts w:ascii="仿宋" w:hAnsi="仿宋" w:eastAsia="仿宋"/>
          <w:b/>
          <w:color w:val="000000" w:themeColor="text1"/>
          <w:sz w:val="24"/>
          <w:highlight w:val="none"/>
          <w14:textFill>
            <w14:solidFill>
              <w14:schemeClr w14:val="tx1"/>
            </w14:solidFill>
          </w14:textFill>
        </w:rPr>
        <w:t xml:space="preserve">2.18 </w:t>
      </w:r>
      <w:r>
        <w:rPr>
          <w:rFonts w:hint="eastAsia" w:ascii="仿宋" w:hAnsi="仿宋" w:eastAsia="仿宋"/>
          <w:b/>
          <w:color w:val="000000" w:themeColor="text1"/>
          <w:sz w:val="24"/>
          <w:highlight w:val="none"/>
          <w14:textFill>
            <w14:solidFill>
              <w14:schemeClr w14:val="tx1"/>
            </w14:solidFill>
          </w14:textFill>
        </w:rPr>
        <w:t>计量单位</w:t>
      </w:r>
      <w:bookmarkEnd w:id="550"/>
      <w:bookmarkEnd w:id="551"/>
      <w:bookmarkEnd w:id="552"/>
      <w:bookmarkEnd w:id="555"/>
      <w:bookmarkEnd w:id="556"/>
      <w:bookmarkEnd w:id="557"/>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除技术规范中另有规定外</w:t>
      </w:r>
      <w:r>
        <w:rPr>
          <w:rFonts w:ascii="仿宋" w:hAnsi="仿宋" w:eastAsia="仿宋"/>
          <w:color w:val="000000" w:themeColor="text1"/>
          <w:sz w:val="24"/>
          <w:highlight w:val="none"/>
          <w14:textFill>
            <w14:solidFill>
              <w14:schemeClr w14:val="tx1"/>
            </w14:solidFill>
          </w14:textFill>
        </w:rPr>
        <w:t>,合同的计量单位均使用国家法定计量单位。</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58" w:name="_Toc279701263"/>
      <w:bookmarkStart w:id="559" w:name="_Toc259093692"/>
      <w:bookmarkStart w:id="560" w:name="_Toc18567"/>
      <w:bookmarkStart w:id="561" w:name="_Toc487900373"/>
      <w:bookmarkStart w:id="562" w:name="_Toc12773"/>
      <w:bookmarkStart w:id="563" w:name="_Toc10330"/>
      <w:r>
        <w:rPr>
          <w:rFonts w:ascii="仿宋" w:hAnsi="仿宋" w:eastAsia="仿宋"/>
          <w:b/>
          <w:color w:val="000000" w:themeColor="text1"/>
          <w:sz w:val="24"/>
          <w:highlight w:val="none"/>
          <w14:textFill>
            <w14:solidFill>
              <w14:schemeClr w14:val="tx1"/>
            </w14:solidFill>
          </w14:textFill>
        </w:rPr>
        <w:t xml:space="preserve">2.19 </w:t>
      </w:r>
      <w:r>
        <w:rPr>
          <w:rFonts w:hint="eastAsia" w:ascii="仿宋" w:hAnsi="仿宋" w:eastAsia="仿宋"/>
          <w:b/>
          <w:color w:val="000000" w:themeColor="text1"/>
          <w:sz w:val="24"/>
          <w:highlight w:val="none"/>
          <w14:textFill>
            <w14:solidFill>
              <w14:schemeClr w14:val="tx1"/>
            </w14:solidFill>
          </w14:textFill>
        </w:rPr>
        <w:t>合同使用的文字和适用的法律</w:t>
      </w:r>
      <w:bookmarkEnd w:id="558"/>
      <w:bookmarkEnd w:id="559"/>
      <w:bookmarkEnd w:id="560"/>
      <w:bookmarkEnd w:id="561"/>
      <w:bookmarkEnd w:id="562"/>
      <w:bookmarkEnd w:id="563"/>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2.19.1 </w:t>
      </w:r>
      <w:r>
        <w:rPr>
          <w:rFonts w:hint="eastAsia" w:ascii="仿宋" w:hAnsi="仿宋" w:eastAsia="仿宋"/>
          <w:color w:val="000000" w:themeColor="text1"/>
          <w:sz w:val="24"/>
          <w:highlight w:val="none"/>
          <w14:textFill>
            <w14:solidFill>
              <w14:schemeClr w14:val="tx1"/>
            </w14:solidFill>
          </w14:textFill>
        </w:rPr>
        <w:t>合同使用汉语书就、变更和解释；</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2.19.2 </w:t>
      </w:r>
      <w:r>
        <w:rPr>
          <w:rFonts w:hint="eastAsia" w:ascii="仿宋" w:hAnsi="仿宋" w:eastAsia="仿宋"/>
          <w:color w:val="000000" w:themeColor="text1"/>
          <w:sz w:val="24"/>
          <w:highlight w:val="none"/>
          <w14:textFill>
            <w14:solidFill>
              <w14:schemeClr w14:val="tx1"/>
            </w14:solidFill>
          </w14:textFill>
        </w:rPr>
        <w:t>合同适用中华人民共和国法律。</w:t>
      </w:r>
    </w:p>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64" w:name="_Toc12004"/>
      <w:bookmarkStart w:id="565" w:name="_Toc259093693"/>
      <w:bookmarkStart w:id="566" w:name="_Toc3148"/>
      <w:bookmarkStart w:id="567" w:name="_Toc279701264"/>
      <w:bookmarkStart w:id="568" w:name="_Toc16673"/>
      <w:bookmarkStart w:id="569" w:name="_Toc487900374"/>
      <w:r>
        <w:rPr>
          <w:rFonts w:ascii="仿宋" w:hAnsi="仿宋" w:eastAsia="仿宋"/>
          <w:b/>
          <w:color w:val="000000" w:themeColor="text1"/>
          <w:sz w:val="24"/>
          <w:highlight w:val="none"/>
          <w14:textFill>
            <w14:solidFill>
              <w14:schemeClr w14:val="tx1"/>
            </w14:solidFill>
          </w14:textFill>
        </w:rPr>
        <w:t xml:space="preserve">2.20 </w:t>
      </w:r>
      <w:r>
        <w:rPr>
          <w:rFonts w:hint="eastAsia" w:ascii="仿宋" w:hAnsi="仿宋" w:eastAsia="仿宋"/>
          <w:b/>
          <w:color w:val="000000" w:themeColor="text1"/>
          <w:sz w:val="24"/>
          <w:highlight w:val="none"/>
          <w14:textFill>
            <w14:solidFill>
              <w14:schemeClr w14:val="tx1"/>
            </w14:solidFill>
          </w14:textFill>
        </w:rPr>
        <w:t>履约保证金</w:t>
      </w:r>
      <w:bookmarkEnd w:id="564"/>
      <w:bookmarkEnd w:id="565"/>
      <w:bookmarkEnd w:id="566"/>
      <w:bookmarkEnd w:id="567"/>
      <w:bookmarkEnd w:id="568"/>
    </w:p>
    <w:p>
      <w:pPr>
        <w:pStyle w:val="961"/>
        <w:spacing w:before="0" w:beforeAutospacing="0" w:after="0" w:afterAutospacing="0" w:line="360" w:lineRule="auto"/>
        <w:ind w:firstLine="420"/>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 xml:space="preserve">2.20.1 </w:t>
      </w:r>
      <w:r>
        <w:rPr>
          <w:rFonts w:hint="eastAsia" w:ascii="仿宋" w:hAnsi="仿宋" w:eastAsia="仿宋"/>
          <w:color w:val="000000" w:themeColor="text1"/>
          <w:highlight w:val="none"/>
          <w14:textFill>
            <w14:solidFill>
              <w14:schemeClr w14:val="tx1"/>
            </w14:solidFill>
          </w14:textFill>
        </w:rPr>
        <w:t>采购文件要求乙方提交履约保证金的，乙方应按</w:t>
      </w:r>
      <w:r>
        <w:rPr>
          <w:rFonts w:hint="eastAsia" w:ascii="仿宋" w:hAnsi="仿宋" w:eastAsia="仿宋"/>
          <w:b/>
          <w:i/>
          <w:color w:val="000000" w:themeColor="text1"/>
          <w:highlight w:val="none"/>
          <w:u w:val="single"/>
          <w14:textFill>
            <w14:solidFill>
              <w14:schemeClr w14:val="tx1"/>
            </w14:solidFill>
          </w14:textFill>
        </w:rPr>
        <w:t>合同专用条款</w:t>
      </w:r>
      <w:r>
        <w:rPr>
          <w:rFonts w:hint="eastAsia" w:ascii="仿宋" w:hAnsi="仿宋" w:eastAsia="仿宋"/>
          <w:color w:val="000000" w:themeColor="text1"/>
          <w:highlight w:val="none"/>
          <w14:textFill>
            <w14:solidFill>
              <w14:schemeClr w14:val="tx1"/>
            </w14:solidFill>
          </w14:textFill>
        </w:rPr>
        <w:t>约定的方式，以支票、汇票、本票或者金融机构、担保机构出具的保函等非现金形式，提交不超过合同金额</w:t>
      </w:r>
      <w:r>
        <w:rPr>
          <w:rFonts w:hint="eastAsia" w:ascii="仿宋" w:hAnsi="仿宋" w:eastAsia="仿宋"/>
          <w:color w:val="000000" w:themeColor="text1"/>
          <w:highlight w:val="none"/>
          <w:lang w:val="en-US" w:eastAsia="zh-CN"/>
          <w14:textFill>
            <w14:solidFill>
              <w14:schemeClr w14:val="tx1"/>
            </w14:solidFill>
          </w14:textFill>
        </w:rPr>
        <w:t>2.</w:t>
      </w:r>
      <w:r>
        <w:rPr>
          <w:rFonts w:ascii="仿宋" w:hAnsi="仿宋" w:eastAsia="仿宋"/>
          <w:color w:val="000000" w:themeColor="text1"/>
          <w:highlight w:val="none"/>
          <w14:textFill>
            <w14:solidFill>
              <w14:schemeClr w14:val="tx1"/>
            </w14:solidFill>
          </w14:textFill>
        </w:rPr>
        <w:t>5%的履约保证金；鼓励和支持乙方以银行、保险公司出具的保函形式提供履约保证。</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2.20.2  </w:t>
      </w:r>
      <w:r>
        <w:rPr>
          <w:rFonts w:hint="eastAsia" w:ascii="仿宋" w:hAnsi="仿宋" w:eastAsia="仿宋"/>
          <w:color w:val="000000" w:themeColor="text1"/>
          <w:sz w:val="24"/>
          <w:highlight w:val="none"/>
          <w14:textFill>
            <w14:solidFill>
              <w14:schemeClr w14:val="tx1"/>
            </w14:solidFill>
          </w14:textFill>
        </w:rPr>
        <w:t>履约保证金在</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约定期间内不予退还。乙方在前述约定期间届满前能履行完合同约定义务事项的，甲方在前述约定期间届满之日起</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5</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个工作日内，按</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约定的方式将履约保证金退还乙方，逾期退还的，乙方可要求甲方支付违约金，违约金按每迟延退还一日的应退还而未退还金额的</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0.05</w:t>
      </w:r>
      <w:r>
        <w:rPr>
          <w:rFonts w:ascii="仿宋" w:hAnsi="仿宋" w:eastAsia="仿宋"/>
          <w:color w:val="000000" w:themeColor="text1"/>
          <w:sz w:val="24"/>
          <w:highlight w:val="none"/>
          <w:u w:val="single"/>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%计算，最高限额为本合同履约保证金的</w:t>
      </w:r>
      <w:r>
        <w:rPr>
          <w:rFonts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u w:val="single"/>
          <w14:textFill>
            <w14:solidFill>
              <w14:schemeClr w14:val="tx1"/>
            </w14:solidFill>
          </w14:textFill>
        </w:rPr>
        <w:t>20</w:t>
      </w:r>
      <w:r>
        <w:rPr>
          <w:rFonts w:ascii="仿宋" w:hAnsi="仿宋" w:eastAsia="仿宋"/>
          <w:color w:val="000000" w:themeColor="text1"/>
          <w:sz w:val="24"/>
          <w:highlight w:val="none"/>
          <w:u w:val="single"/>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 xml:space="preserve">%； </w:t>
      </w:r>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2.20.3 </w:t>
      </w:r>
      <w:r>
        <w:rPr>
          <w:rFonts w:hint="eastAsia" w:ascii="仿宋" w:hAnsi="仿宋" w:eastAsia="仿宋"/>
          <w:color w:val="000000" w:themeColor="text1"/>
          <w:sz w:val="24"/>
          <w:highlight w:val="none"/>
          <w14:textFill>
            <w14:solidFill>
              <w14:schemeClr w14:val="tx1"/>
            </w14:solidFill>
          </w14:textFill>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2.2</w:t>
      </w:r>
      <w:r>
        <w:rPr>
          <w:rFonts w:hint="eastAsia" w:ascii="仿宋" w:hAnsi="仿宋" w:eastAsia="仿宋"/>
          <w:color w:val="000000" w:themeColor="text1"/>
          <w:sz w:val="24"/>
          <w:highlight w:val="none"/>
          <w:lang w:val="en-US" w:eastAsia="zh-CN"/>
          <w14:textFill>
            <w14:solidFill>
              <w14:schemeClr w14:val="tx1"/>
            </w14:solidFill>
          </w14:textFill>
        </w:rPr>
        <w:t>0</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 甲方根据杭州市政府采购网公布的供应商履约评价情况减免履约保证金。乙方履约验收评价总分为</w:t>
      </w:r>
      <w:r>
        <w:rPr>
          <w:rFonts w:ascii="仿宋" w:hAnsi="仿宋" w:eastAsia="仿宋"/>
          <w:color w:val="000000" w:themeColor="text1"/>
          <w:sz w:val="24"/>
          <w:highlight w:val="none"/>
          <w14:textFill>
            <w14:solidFill>
              <w14:schemeClr w14:val="tx1"/>
            </w14:solidFill>
          </w14:textFill>
        </w:rPr>
        <w:t>100分的，甲方免收履约保证金；评价总分在90分以上的，收取履约保证金</w:t>
      </w:r>
      <w:r>
        <w:rPr>
          <w:rFonts w:hint="eastAsia" w:ascii="仿宋" w:hAnsi="仿宋" w:eastAsia="仿宋"/>
          <w:color w:val="000000" w:themeColor="text1"/>
          <w:sz w:val="24"/>
          <w:highlight w:val="none"/>
          <w14:textFill>
            <w14:solidFill>
              <w14:schemeClr w14:val="tx1"/>
            </w14:solidFill>
          </w14:textFill>
        </w:rPr>
        <w:t>为</w:t>
      </w:r>
      <w:r>
        <w:rPr>
          <w:rFonts w:ascii="仿宋" w:hAnsi="仿宋" w:eastAsia="仿宋"/>
          <w:color w:val="000000" w:themeColor="text1"/>
          <w:sz w:val="24"/>
          <w:highlight w:val="none"/>
          <w14:textFill>
            <w14:solidFill>
              <w14:schemeClr w14:val="tx1"/>
            </w14:solidFill>
          </w14:textFill>
        </w:rPr>
        <w:t>合同金额2%；评价总分在不满90分或者暂无评分的，收取履约保证金</w:t>
      </w:r>
      <w:r>
        <w:rPr>
          <w:rFonts w:hint="eastAsia" w:ascii="仿宋" w:hAnsi="仿宋" w:eastAsia="仿宋"/>
          <w:color w:val="000000" w:themeColor="text1"/>
          <w:sz w:val="24"/>
          <w:highlight w:val="none"/>
          <w14:textFill>
            <w14:solidFill>
              <w14:schemeClr w14:val="tx1"/>
            </w14:solidFill>
          </w14:textFill>
        </w:rPr>
        <w:t>为</w:t>
      </w:r>
      <w:r>
        <w:rPr>
          <w:rFonts w:ascii="仿宋" w:hAnsi="仿宋" w:eastAsia="仿宋"/>
          <w:color w:val="000000" w:themeColor="text1"/>
          <w:sz w:val="24"/>
          <w:highlight w:val="none"/>
          <w14:textFill>
            <w14:solidFill>
              <w14:schemeClr w14:val="tx1"/>
            </w14:solidFill>
          </w14:textFill>
        </w:rPr>
        <w:t>合同金额</w:t>
      </w:r>
      <w:r>
        <w:rPr>
          <w:rFonts w:hint="eastAsia" w:ascii="仿宋" w:hAnsi="仿宋" w:eastAsia="仿宋"/>
          <w:color w:val="000000" w:themeColor="text1"/>
          <w:sz w:val="24"/>
          <w:highlight w:val="none"/>
          <w:lang w:val="en-US" w:eastAsia="zh-CN"/>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5%。</w:t>
      </w:r>
    </w:p>
    <w:bookmarkEnd w:id="569"/>
    <w:p>
      <w:pPr>
        <w:spacing w:line="560" w:lineRule="exact"/>
        <w:ind w:firstLine="482" w:firstLineChars="200"/>
        <w:outlineLvl w:val="0"/>
        <w:rPr>
          <w:rFonts w:ascii="仿宋" w:hAnsi="仿宋" w:eastAsia="仿宋"/>
          <w:b/>
          <w:color w:val="000000" w:themeColor="text1"/>
          <w:sz w:val="24"/>
          <w:highlight w:val="none"/>
          <w14:textFill>
            <w14:solidFill>
              <w14:schemeClr w14:val="tx1"/>
            </w14:solidFill>
          </w14:textFill>
        </w:rPr>
      </w:pPr>
      <w:bookmarkStart w:id="570" w:name="_Toc6885"/>
      <w:bookmarkStart w:id="571" w:name="_Toc14001"/>
      <w:bookmarkStart w:id="572" w:name="_Toc19890"/>
      <w:r>
        <w:rPr>
          <w:rFonts w:ascii="仿宋" w:hAnsi="仿宋" w:eastAsia="仿宋"/>
          <w:b/>
          <w:color w:val="000000" w:themeColor="text1"/>
          <w:sz w:val="24"/>
          <w:highlight w:val="none"/>
          <w14:textFill>
            <w14:solidFill>
              <w14:schemeClr w14:val="tx1"/>
            </w14:solidFill>
          </w14:textFill>
        </w:rPr>
        <w:t xml:space="preserve">2.21 </w:t>
      </w:r>
      <w:r>
        <w:rPr>
          <w:rFonts w:hint="eastAsia" w:ascii="仿宋" w:hAnsi="仿宋" w:eastAsia="仿宋"/>
          <w:b/>
          <w:color w:val="000000" w:themeColor="text1"/>
          <w:sz w:val="24"/>
          <w:highlight w:val="none"/>
          <w14:textFill>
            <w14:solidFill>
              <w14:schemeClr w14:val="tx1"/>
            </w14:solidFill>
          </w14:textFill>
        </w:rPr>
        <w:t>合同份数</w:t>
      </w:r>
      <w:bookmarkEnd w:id="570"/>
      <w:bookmarkEnd w:id="571"/>
      <w:bookmarkEnd w:id="572"/>
    </w:p>
    <w:p>
      <w:pPr>
        <w:spacing w:line="56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合同份数按</w:t>
      </w:r>
      <w:r>
        <w:rPr>
          <w:rFonts w:hint="eastAsia" w:ascii="仿宋" w:hAnsi="仿宋" w:eastAsia="仿宋"/>
          <w:b/>
          <w:i/>
          <w:color w:val="000000" w:themeColor="text1"/>
          <w:sz w:val="24"/>
          <w:highlight w:val="none"/>
          <w:u w:val="single"/>
          <w14:textFill>
            <w14:solidFill>
              <w14:schemeClr w14:val="tx1"/>
            </w14:solidFill>
          </w14:textFill>
        </w:rPr>
        <w:t>合同专用条款</w:t>
      </w:r>
      <w:r>
        <w:rPr>
          <w:rFonts w:hint="eastAsia" w:ascii="仿宋" w:hAnsi="仿宋" w:eastAsia="仿宋"/>
          <w:color w:val="000000" w:themeColor="text1"/>
          <w:sz w:val="24"/>
          <w:highlight w:val="none"/>
          <w14:textFill>
            <w14:solidFill>
              <w14:schemeClr w14:val="tx1"/>
            </w14:solidFill>
          </w14:textFill>
        </w:rPr>
        <w:t>规定，每份均具有同等法律效力。</w:t>
      </w:r>
    </w:p>
    <w:bookmarkEnd w:id="441"/>
    <w:p>
      <w:pPr>
        <w:spacing w:line="560" w:lineRule="exact"/>
        <w:ind w:left="-420" w:leftChars="-200" w:right="-420" w:rightChars="-200" w:firstLine="480" w:firstLineChars="200"/>
        <w:rPr>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条款号</w:t>
            </w:r>
          </w:p>
        </w:tc>
        <w:tc>
          <w:tcPr>
            <w:tcW w:w="8275" w:type="dxa"/>
            <w:vAlign w:val="center"/>
          </w:tcPr>
          <w:p>
            <w:pPr>
              <w:spacing w:line="360" w:lineRule="auto"/>
              <w:jc w:val="center"/>
              <w:rPr>
                <w:rFonts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1.4.4</w:t>
            </w:r>
          </w:p>
        </w:tc>
        <w:tc>
          <w:tcPr>
            <w:tcW w:w="8275" w:type="dxa"/>
            <w:vAlign w:val="center"/>
          </w:tcPr>
          <w:p>
            <w:pPr>
              <w:spacing w:line="360" w:lineRule="auto"/>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lang w:eastAsia="zh-CN"/>
                <w14:textFill>
                  <w14:solidFill>
                    <w14:schemeClr w14:val="tx1"/>
                  </w14:solidFill>
                </w14:textFill>
              </w:rPr>
              <w:t>支付方式：</w:t>
            </w:r>
          </w:p>
          <w:p>
            <w:pPr>
              <w:spacing w:line="480" w:lineRule="exac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s="仿宋"/>
                <w:b w:val="0"/>
                <w:bCs w:val="0"/>
                <w:sz w:val="24"/>
                <w:szCs w:val="24"/>
              </w:rPr>
              <w:t>合同签订后7个工作日内，中标人向采购人交纳合同总价2%的履约担保（采用保函等形式），采购人支付合同总价40%的预付款，货物到场</w:t>
            </w:r>
            <w:r>
              <w:rPr>
                <w:rFonts w:hint="eastAsia" w:ascii="仿宋" w:hAnsi="仿宋" w:eastAsia="仿宋" w:cs="仿宋"/>
                <w:b w:val="0"/>
                <w:bCs w:val="0"/>
                <w:sz w:val="24"/>
                <w:szCs w:val="24"/>
                <w:lang w:val="en-US" w:eastAsia="zh-CN"/>
              </w:rPr>
              <w:t>并安装完成</w:t>
            </w:r>
            <w:r>
              <w:rPr>
                <w:rFonts w:hint="eastAsia" w:ascii="仿宋" w:hAnsi="仿宋" w:eastAsia="仿宋" w:cs="仿宋"/>
                <w:b w:val="0"/>
                <w:bCs w:val="0"/>
                <w:sz w:val="24"/>
                <w:szCs w:val="24"/>
              </w:rPr>
              <w:t>后支付合同总价的30%，验收合格后支付剩余货款30%（不计息）。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1.5.1 </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交货期</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合同签订后30日历天内完成供货并安装完成</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1.5.2</w:t>
            </w:r>
          </w:p>
        </w:tc>
        <w:tc>
          <w:tcPr>
            <w:tcW w:w="8275" w:type="dxa"/>
            <w:vAlign w:val="center"/>
          </w:tcPr>
          <w:p>
            <w:pPr>
              <w:spacing w:line="360" w:lineRule="auto"/>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交付地点：</w:t>
            </w:r>
            <w:r>
              <w:rPr>
                <w:rFonts w:hint="eastAsia" w:ascii="仿宋" w:hAnsi="仿宋" w:eastAsia="仿宋"/>
                <w:color w:val="000000" w:themeColor="text1"/>
                <w:sz w:val="24"/>
                <w:highlight w:val="none"/>
                <w:lang w:eastAsia="zh-CN"/>
                <w14:textFill>
                  <w14:solidFill>
                    <w14:schemeClr w14:val="tx1"/>
                  </w14:solidFill>
                </w14:textFill>
              </w:rPr>
              <w:t>采购人指定地点</w:t>
            </w:r>
            <w:r>
              <w:rPr>
                <w:rFonts w:hint="eastAsia" w:ascii="仿宋_GB2312" w:hAnsi="仿宋" w:eastAsia="仿宋_GB2312"/>
                <w:color w:val="000000" w:themeColor="text1"/>
                <w:kern w:val="0"/>
                <w:sz w:val="24"/>
                <w:highlight w:val="none"/>
                <w:lang w:val="en-US" w:eastAsia="zh-CN"/>
                <w14:textFill>
                  <w14:solidFill>
                    <w14:schemeClr w14:val="tx1"/>
                  </w14:solidFill>
                </w14:textFill>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1.5.3 </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交付方式：现场交付。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1.6.7</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1.7.</w:t>
            </w:r>
            <w:r>
              <w:rPr>
                <w:rFonts w:hint="eastAsia" w:ascii="仿宋" w:hAnsi="仿宋" w:eastAsia="仿宋"/>
                <w:color w:val="000000" w:themeColor="text1"/>
                <w:sz w:val="24"/>
                <w:highlight w:val="none"/>
                <w14:textFill>
                  <w14:solidFill>
                    <w14:schemeClr w14:val="tx1"/>
                  </w14:solidFill>
                </w14:textFill>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1.7.2</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1.7.2</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2.3.2</w:t>
            </w:r>
          </w:p>
        </w:tc>
        <w:tc>
          <w:tcPr>
            <w:tcW w:w="8275" w:type="dxa"/>
            <w:vAlign w:val="center"/>
          </w:tcPr>
          <w:p>
            <w:pPr>
              <w:spacing w:line="360" w:lineRule="auto"/>
              <w:ind w:right="-420" w:right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基于甲方需求经二次开发后，</w:t>
            </w:r>
            <w:r>
              <w:rPr>
                <w:rFonts w:ascii="仿宋" w:hAnsi="仿宋" w:eastAsia="仿宋"/>
                <w:color w:val="000000" w:themeColor="text1"/>
                <w:sz w:val="24"/>
                <w:highlight w:val="none"/>
                <w14:textFill>
                  <w14:solidFill>
                    <w14:schemeClr w14:val="tx1"/>
                  </w14:solidFill>
                </w14:textFill>
              </w:rPr>
              <w:t>具有知识产权的软件的知识产权</w:t>
            </w:r>
            <w:r>
              <w:rPr>
                <w:rFonts w:hint="eastAsia" w:ascii="仿宋" w:hAnsi="仿宋" w:eastAsia="仿宋"/>
                <w:color w:val="000000" w:themeColor="text1"/>
                <w:sz w:val="24"/>
                <w:highlight w:val="none"/>
                <w14:textFill>
                  <w14:solidFill>
                    <w14:schemeClr w14:val="tx1"/>
                  </w14:solidFill>
                </w14:textFill>
              </w:rPr>
              <w:t>归甲方。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2.4.1</w:t>
            </w:r>
          </w:p>
        </w:tc>
        <w:tc>
          <w:tcPr>
            <w:tcW w:w="8275" w:type="dxa"/>
            <w:vAlign w:val="center"/>
          </w:tcPr>
          <w:p>
            <w:pPr>
              <w:spacing w:line="360" w:lineRule="auto"/>
              <w:ind w:left="-420" w:leftChars="-200" w:right="-420" w:rightChars="-200"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2.4.2</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接到甲方发货通知后，</w:t>
            </w:r>
            <w:r>
              <w:rPr>
                <w:rFonts w:hint="eastAsia" w:ascii="仿宋" w:hAnsi="仿宋" w:eastAsia="仿宋"/>
                <w:color w:val="000000" w:themeColor="text1"/>
                <w:sz w:val="24"/>
                <w:highlight w:val="none"/>
                <w:lang w:val="en-US" w:eastAsia="zh-CN"/>
                <w14:textFill>
                  <w14:solidFill>
                    <w14:schemeClr w14:val="tx1"/>
                  </w14:solidFill>
                </w14:textFill>
              </w:rPr>
              <w:t>7</w:t>
            </w:r>
            <w:r>
              <w:rPr>
                <w:rFonts w:hint="eastAsia" w:ascii="仿宋" w:hAnsi="仿宋" w:eastAsia="仿宋"/>
                <w:color w:val="000000" w:themeColor="text1"/>
                <w:sz w:val="24"/>
                <w:highlight w:val="none"/>
                <w14:textFill>
                  <w14:solidFill>
                    <w14:schemeClr w14:val="tx1"/>
                  </w14:solidFill>
                </w14:textFill>
              </w:rPr>
              <w:t>个自然日内将装运货物运送到现场。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2.8 </w:t>
            </w:r>
          </w:p>
        </w:tc>
        <w:tc>
          <w:tcPr>
            <w:tcW w:w="8275" w:type="dxa"/>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货物或者在途货物或者交付给第一承运人后的货物毁损、灭失的风险由乙方承担一切责任并赔偿甲方损失。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2.12.3</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因不可抗力致使合同有变更必要的，双方当事人应在15日内以书面形式变更合同；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2.12.4</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受不可抗力影响的一方在不可抗力发生后，应在</w:t>
            </w:r>
            <w:r>
              <w:rPr>
                <w:rFonts w:hint="eastAsia" w:ascii="仿宋" w:hAnsi="仿宋" w:eastAsia="仿宋"/>
                <w:color w:val="000000" w:themeColor="text1"/>
                <w:sz w:val="24"/>
                <w:highlight w:val="none"/>
                <w14:textFill>
                  <w14:solidFill>
                    <w14:schemeClr w14:val="tx1"/>
                  </w14:solidFill>
                </w14:textFill>
              </w:rPr>
              <w:t>15日内以书面形式通知对方当事人，并在15日内，将有关部门出具的证明文件送达对方当事人。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2.16.1</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货物交付前，乙方应对货物的质量、数量等方面进行详细、全面的检验，并向甲方出具证明货物符合合同约定的文件；货物交付时，乙方在</w:t>
            </w:r>
            <w:r>
              <w:rPr>
                <w:rFonts w:hint="eastAsia" w:ascii="仿宋" w:hAnsi="仿宋" w:eastAsia="仿宋"/>
                <w:color w:val="000000" w:themeColor="text1"/>
                <w:sz w:val="24"/>
                <w:highlight w:val="none"/>
                <w14:textFill>
                  <w14:solidFill>
                    <w14:schemeClr w14:val="tx1"/>
                  </w14:solidFill>
                </w14:textFill>
              </w:rPr>
              <w:t>15日内组织验收，并可依法邀请相关方参加，验收应出具验收书。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2.16.3</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检验和验收标准、程序等具体内容以及前述验收书的效力，采用本行业通用标准。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2.20.1</w:t>
            </w:r>
          </w:p>
        </w:tc>
        <w:tc>
          <w:tcPr>
            <w:tcW w:w="8275" w:type="dxa"/>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采购文件要求乙方提交履约保证金的，乙方应提交合同价</w:t>
            </w:r>
            <w:r>
              <w:rPr>
                <w:rFonts w:hint="eastAsia" w:ascii="仿宋" w:hAnsi="仿宋" w:eastAsia="仿宋"/>
                <w:color w:val="000000" w:themeColor="text1"/>
                <w:sz w:val="24"/>
                <w:highlight w:val="none"/>
                <w:lang w:val="en-US" w:eastAsia="zh-CN"/>
                <w14:textFill>
                  <w14:solidFill>
                    <w14:schemeClr w14:val="tx1"/>
                  </w14:solidFill>
                </w14:textFill>
              </w:rPr>
              <w:t>2.5</w:t>
            </w:r>
            <w:r>
              <w:rPr>
                <w:rFonts w:hint="eastAsia" w:ascii="仿宋" w:hAnsi="仿宋" w:eastAsia="仿宋"/>
                <w:color w:val="000000" w:themeColor="text1"/>
                <w:sz w:val="24"/>
                <w:highlight w:val="none"/>
                <w14:textFill>
                  <w14:solidFill>
                    <w14:schemeClr w14:val="tx1"/>
                  </w14:solidFill>
                </w14:textFill>
              </w:rPr>
              <w:t>%的履约保证金，以支票、汇票、本票或者金融机构、担保机构出具的保函等非现金形式；鼓励和支持乙方以银行、保险公司出具的保函形式提供履约保证。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2.20.2 </w:t>
            </w:r>
          </w:p>
        </w:tc>
        <w:tc>
          <w:tcPr>
            <w:tcW w:w="8275" w:type="dxa"/>
            <w:vAlign w:val="center"/>
          </w:tcPr>
          <w:p>
            <w:pPr>
              <w:spacing w:line="360" w:lineRule="auto"/>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lang w:eastAsia="zh-CN"/>
                <w14:textFill>
                  <w14:solidFill>
                    <w14:schemeClr w14:val="tx1"/>
                  </w14:solidFill>
                </w14:textFill>
              </w:rPr>
              <w:t>履约保证金在合同约定期间内不予退还。乙方在前述约定期间届满前能履行完合同约定义务事项的，甲方在前述约定期间届满之日起 5 个工作日内，将履约保证金无息退还乙方，逾期退还的，乙方可要求甲方支付违约金，违约金按每迟延退还一日的应退还而未退还金额的  0.05  %计算，最高限额为本合同履约保证金的20%。项目验收结束后，甲方应及时退还。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2.21 </w:t>
            </w:r>
          </w:p>
        </w:tc>
        <w:tc>
          <w:tcPr>
            <w:tcW w:w="8275" w:type="dxa"/>
            <w:vAlign w:val="center"/>
          </w:tcPr>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本合同一式</w:t>
            </w:r>
            <w:r>
              <w:rPr>
                <w:rFonts w:hint="eastAsia" w:ascii="仿宋" w:hAnsi="仿宋" w:eastAsia="仿宋"/>
                <w:color w:val="000000" w:themeColor="text1"/>
                <w:sz w:val="24"/>
                <w:highlight w:val="none"/>
                <w:lang w:val="en-US" w:eastAsia="zh-CN"/>
                <w14:textFill>
                  <w14:solidFill>
                    <w14:schemeClr w14:val="tx1"/>
                  </w14:solidFill>
                </w14:textFill>
              </w:rPr>
              <w:t>六</w:t>
            </w:r>
            <w:r>
              <w:rPr>
                <w:rFonts w:hint="eastAsia" w:ascii="仿宋" w:hAnsi="仿宋" w:eastAsia="仿宋"/>
                <w:color w:val="000000" w:themeColor="text1"/>
                <w:sz w:val="24"/>
                <w:highlight w:val="none"/>
                <w14:textFill>
                  <w14:solidFill>
                    <w14:schemeClr w14:val="tx1"/>
                  </w14:solidFill>
                </w14:textFill>
              </w:rPr>
              <w:t>份。</w:t>
            </w:r>
          </w:p>
        </w:tc>
      </w:tr>
    </w:tbl>
    <w:p>
      <w:pPr>
        <w:widowControl/>
        <w:adjustRightInd/>
        <w:jc w:val="left"/>
        <w:rPr>
          <w:rFonts w:ascii="仿宋_GB2312" w:hAnsi="仿宋_GB2312" w:eastAsia="仿宋_GB2312" w:cs="仿宋_GB2312"/>
          <w:b/>
          <w:sz w:val="24"/>
        </w:rPr>
      </w:pPr>
    </w:p>
    <w:p>
      <w:pPr>
        <w:widowControl/>
        <w:adjustRightInd/>
        <w:jc w:val="left"/>
        <w:rPr>
          <w:rFonts w:ascii="仿宋_GB2312" w:hAnsi="仿宋_GB2312" w:eastAsia="仿宋_GB2312" w:cs="仿宋_GB2312"/>
          <w:b/>
          <w:sz w:val="24"/>
        </w:rPr>
      </w:pPr>
    </w:p>
    <w:p>
      <w:pPr>
        <w:spacing w:line="360" w:lineRule="auto"/>
        <w:ind w:left="720" w:firstLine="723" w:firstLineChars="200"/>
        <w:outlineLvl w:val="0"/>
        <w:rPr>
          <w:rFonts w:ascii="仿宋" w:hAnsi="仿宋" w:eastAsia="仿宋" w:cs="仿宋_GB2312"/>
          <w:b/>
          <w:sz w:val="36"/>
          <w:szCs w:val="20"/>
        </w:rPr>
      </w:pPr>
      <w:r>
        <w:rPr>
          <w:rFonts w:hint="eastAsia" w:ascii="仿宋_GB2312" w:hAnsi="仿宋_GB2312" w:eastAsia="仿宋_GB2312" w:cs="仿宋_GB2312"/>
          <w:b/>
          <w:sz w:val="36"/>
          <w:szCs w:val="20"/>
        </w:rPr>
        <w:br w:type="page"/>
      </w:r>
      <w:bookmarkStart w:id="573" w:name="_Toc7933"/>
      <w:bookmarkStart w:id="574" w:name="_Toc7181"/>
      <w:r>
        <w:rPr>
          <w:rFonts w:hint="eastAsia" w:ascii="仿宋" w:hAnsi="仿宋" w:eastAsia="仿宋" w:cs="仿宋_GB2312"/>
          <w:b/>
          <w:sz w:val="44"/>
          <w:szCs w:val="44"/>
        </w:rPr>
        <w:t>第六部分</w:t>
      </w:r>
      <w:bookmarkEnd w:id="412"/>
      <w:r>
        <w:rPr>
          <w:rFonts w:ascii="仿宋" w:hAnsi="仿宋" w:eastAsia="仿宋" w:cs="仿宋_GB2312"/>
          <w:b/>
          <w:sz w:val="44"/>
          <w:szCs w:val="44"/>
        </w:rPr>
        <w:t xml:space="preserve"> </w:t>
      </w:r>
      <w:bookmarkEnd w:id="413"/>
      <w:r>
        <w:rPr>
          <w:rFonts w:hint="eastAsia" w:ascii="仿宋" w:hAnsi="仿宋" w:eastAsia="仿宋" w:cs="仿宋_GB2312"/>
          <w:b/>
          <w:sz w:val="44"/>
          <w:szCs w:val="44"/>
        </w:rPr>
        <w:t>应提交的有关格式范例</w:t>
      </w:r>
      <w:bookmarkEnd w:id="573"/>
      <w:bookmarkEnd w:id="574"/>
    </w:p>
    <w:p>
      <w:pPr>
        <w:spacing w:line="360" w:lineRule="auto"/>
        <w:jc w:val="center"/>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bookmarkStart w:id="575" w:name="_Toc31563"/>
      <w:bookmarkStart w:id="576" w:name="_Toc1605"/>
      <w:r>
        <w:rPr>
          <w:rFonts w:hint="eastAsia" w:ascii="仿宋_GB2312" w:hAnsi="仿宋" w:eastAsia="仿宋_GB2312" w:cs="仿宋_GB2312"/>
          <w:b/>
          <w:kern w:val="0"/>
          <w:sz w:val="36"/>
          <w:szCs w:val="36"/>
        </w:rPr>
        <w:t>资格文件部分</w:t>
      </w:r>
      <w:bookmarkEnd w:id="575"/>
      <w:bookmarkEnd w:id="576"/>
    </w:p>
    <w:p>
      <w:pPr>
        <w:spacing w:line="360" w:lineRule="auto"/>
        <w:jc w:val="center"/>
        <w:outlineLvl w:val="0"/>
        <w:rPr>
          <w:rFonts w:ascii="仿宋_GB2312" w:hAnsi="仿宋" w:eastAsia="仿宋_GB2312" w:cs="仿宋_GB2312"/>
          <w:b/>
          <w:kern w:val="0"/>
          <w:sz w:val="36"/>
          <w:szCs w:val="36"/>
        </w:rPr>
      </w:pPr>
      <w:bookmarkStart w:id="577" w:name="_Toc28401"/>
      <w:bookmarkStart w:id="578" w:name="_Toc12325"/>
      <w:r>
        <w:rPr>
          <w:rFonts w:hint="eastAsia" w:ascii="仿宋_GB2312" w:hAnsi="仿宋" w:eastAsia="仿宋_GB2312" w:cs="仿宋_GB2312"/>
          <w:b/>
          <w:kern w:val="0"/>
          <w:sz w:val="36"/>
          <w:szCs w:val="36"/>
        </w:rPr>
        <w:t>目录</w:t>
      </w:r>
      <w:bookmarkEnd w:id="577"/>
      <w:bookmarkEnd w:id="578"/>
    </w:p>
    <w:p>
      <w:pPr>
        <w:spacing w:line="360" w:lineRule="auto"/>
        <w:jc w:val="center"/>
        <w:rPr>
          <w:rFonts w:ascii="仿宋_GB2312" w:hAnsi="仿宋" w:eastAsia="仿宋_GB2312" w:cs="仿宋_GB2312"/>
          <w:b/>
          <w:kern w:val="0"/>
          <w:sz w:val="36"/>
          <w:szCs w:val="36"/>
        </w:rPr>
      </w:pPr>
    </w:p>
    <w:p>
      <w:pPr>
        <w:snapToGrid w:val="0"/>
        <w:spacing w:line="360" w:lineRule="auto"/>
        <w:outlineLvl w:val="0"/>
        <w:rPr>
          <w:rFonts w:ascii="仿宋_GB2312" w:hAnsi="仿宋" w:eastAsia="仿宋_GB2312" w:cs="仿宋_GB2312"/>
          <w:sz w:val="24"/>
        </w:rPr>
      </w:pPr>
      <w:bookmarkStart w:id="579" w:name="_Toc20946"/>
      <w:bookmarkStart w:id="580" w:name="_Toc32458"/>
      <w:r>
        <w:rPr>
          <w:rFonts w:hint="eastAsia" w:ascii="仿宋_GB2312" w:hAnsi="仿宋" w:eastAsia="仿宋_GB2312" w:cs="仿宋_GB2312"/>
          <w:sz w:val="24"/>
        </w:rPr>
        <w:t>（</w:t>
      </w:r>
      <w:r>
        <w:rPr>
          <w:rFonts w:ascii="仿宋_GB2312" w:hAnsi="仿宋" w:eastAsia="仿宋_GB2312" w:cs="仿宋_GB2312"/>
          <w:sz w:val="24"/>
        </w:rPr>
        <w:t>1）符合参加政府采购活动应当具备的一般条件的承诺函……</w:t>
      </w:r>
      <w:r>
        <w:rPr>
          <w:rFonts w:hint="eastAsia" w:ascii="仿宋_GB2312" w:hAnsi="仿宋" w:eastAsia="仿宋_GB2312" w:cs="仿宋_GB2312"/>
          <w:sz w:val="24"/>
        </w:rPr>
        <w:t>………（页码）</w:t>
      </w:r>
      <w:bookmarkEnd w:id="579"/>
      <w:bookmarkEnd w:id="580"/>
    </w:p>
    <w:p>
      <w:pPr>
        <w:snapToGrid w:val="0"/>
        <w:spacing w:line="360" w:lineRule="auto"/>
        <w:outlineLvl w:val="0"/>
        <w:rPr>
          <w:rFonts w:ascii="仿宋_GB2312" w:hAnsi="仿宋" w:eastAsia="仿宋_GB2312" w:cs="仿宋_GB2312"/>
          <w:sz w:val="24"/>
        </w:rPr>
      </w:pPr>
      <w:bookmarkStart w:id="581" w:name="_Toc10541"/>
      <w:bookmarkStart w:id="582" w:name="_Toc23666"/>
      <w:r>
        <w:rPr>
          <w:rFonts w:hint="eastAsia" w:ascii="仿宋_GB2312" w:hAnsi="仿宋" w:eastAsia="仿宋_GB2312" w:cs="仿宋_GB2312"/>
          <w:sz w:val="24"/>
        </w:rPr>
        <w:t>（</w:t>
      </w:r>
      <w:r>
        <w:rPr>
          <w:rFonts w:ascii="仿宋_GB2312" w:hAnsi="仿宋" w:eastAsia="仿宋_GB2312" w:cs="仿宋_GB2312"/>
          <w:sz w:val="24"/>
        </w:rPr>
        <w:t>2）落实政府采购政策需满足的资格要求……</w:t>
      </w:r>
      <w:r>
        <w:rPr>
          <w:rFonts w:hint="eastAsia" w:ascii="仿宋_GB2312" w:hAnsi="仿宋" w:eastAsia="仿宋_GB2312" w:cs="仿宋_GB2312"/>
          <w:sz w:val="24"/>
        </w:rPr>
        <w:t>…………………………（页码）</w:t>
      </w:r>
      <w:bookmarkEnd w:id="581"/>
      <w:bookmarkEnd w:id="582"/>
    </w:p>
    <w:p>
      <w:pPr>
        <w:snapToGrid w:val="0"/>
        <w:spacing w:line="360" w:lineRule="auto"/>
        <w:outlineLvl w:val="0"/>
        <w:rPr>
          <w:rFonts w:ascii="仿宋_GB2312" w:hAnsi="仿宋" w:eastAsia="仿宋_GB2312" w:cs="仿宋_GB2312"/>
          <w:sz w:val="24"/>
        </w:rPr>
      </w:pPr>
      <w:bookmarkStart w:id="583" w:name="_Toc29473"/>
      <w:bookmarkStart w:id="584" w:name="_Toc24338"/>
      <w:r>
        <w:rPr>
          <w:rFonts w:hint="eastAsia" w:ascii="仿宋_GB2312" w:hAnsi="仿宋" w:eastAsia="仿宋_GB2312" w:cs="仿宋_GB2312"/>
          <w:sz w:val="24"/>
        </w:rPr>
        <w:t>（</w:t>
      </w:r>
      <w:r>
        <w:rPr>
          <w:rFonts w:ascii="仿宋_GB2312" w:hAnsi="仿宋" w:eastAsia="仿宋_GB2312" w:cs="仿宋_GB2312"/>
          <w:sz w:val="24"/>
        </w:rPr>
        <w:t>3）本项目的特定资格要求</w:t>
      </w:r>
      <w:r>
        <w:rPr>
          <w:rFonts w:hint="eastAsia" w:ascii="仿宋_GB2312" w:hAnsi="仿宋" w:eastAsia="仿宋_GB2312" w:cs="仿宋_GB2312"/>
          <w:sz w:val="24"/>
        </w:rPr>
        <w:t>（如有）……………………………………（页码）</w:t>
      </w:r>
      <w:bookmarkEnd w:id="583"/>
      <w:bookmarkEnd w:id="584"/>
    </w:p>
    <w:p>
      <w:pPr>
        <w:snapToGrid w:val="0"/>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pPr>
        <w:snapToGrid w:val="0"/>
        <w:spacing w:line="360" w:lineRule="auto"/>
        <w:rPr>
          <w:rFonts w:ascii="仿宋_GB2312" w:hAnsi="仿宋" w:eastAsia="仿宋_GB2312" w:cs="仿宋_GB2312"/>
          <w:sz w:val="24"/>
        </w:rPr>
      </w:pPr>
      <w:r>
        <w:rPr>
          <w:rFonts w:hint="eastAsia" w:ascii="仿宋_GB2312" w:hAnsi="仿宋_GB2312" w:eastAsia="仿宋_GB2312" w:cs="仿宋_GB2312"/>
          <w:sz w:val="24"/>
        </w:rPr>
        <w:t>杭州市临安区人民政府锦城街道办事处、浙江华夏工程管理有限公司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w:t>
      </w:r>
      <w:r>
        <w:rPr>
          <w:rFonts w:hint="eastAsia" w:ascii="仿宋_GB2312" w:hAnsi="仿宋" w:eastAsia="仿宋_GB2312" w:cs="仿宋_GB2312"/>
          <w:sz w:val="24"/>
          <w:u w:val="single"/>
        </w:rPr>
        <w:t>杭州市临安区锦城街道新城幼儿园木制品家具采购</w:t>
      </w:r>
      <w:r>
        <w:rPr>
          <w:rFonts w:hint="eastAsia" w:ascii="仿宋_GB2312" w:hAnsi="仿宋" w:eastAsia="仿宋_GB2312" w:cs="仿宋_GB2312"/>
          <w:sz w:val="24"/>
        </w:rPr>
        <w:t>【招标编号：</w:t>
      </w:r>
      <w:r>
        <w:rPr>
          <w:rFonts w:hint="eastAsia" w:ascii="仿宋_GB2312" w:hAnsi="仿宋" w:eastAsia="仿宋_GB2312"/>
          <w:color w:val="000000" w:themeColor="text1"/>
          <w:sz w:val="24"/>
          <w14:textFill>
            <w14:solidFill>
              <w14:schemeClr w14:val="tx1"/>
            </w14:solidFill>
          </w14:textFill>
        </w:rPr>
        <w:t>***号</w:t>
      </w:r>
      <w:r>
        <w:rPr>
          <w:rFonts w:hint="eastAsia" w:ascii="仿宋_GB2312" w:hAnsi="仿宋" w:eastAsia="仿宋_GB2312" w:cs="仿宋_GB2312"/>
          <w:sz w:val="24"/>
        </w:rPr>
        <w:t>】政府采购活动，郑重承诺：</w:t>
      </w:r>
    </w:p>
    <w:p>
      <w:pPr>
        <w:snapToGrid w:val="0"/>
        <w:spacing w:line="360" w:lineRule="auto"/>
        <w:ind w:firstLine="360" w:firstLineChars="150"/>
        <w:rPr>
          <w:rFonts w:ascii="仿宋_GB2312" w:hAnsi="仿宋" w:eastAsia="仿宋_GB2312" w:cs="仿宋_GB2312"/>
          <w:sz w:val="24"/>
        </w:rPr>
      </w:pPr>
      <w:r>
        <w:rPr>
          <w:rFonts w:hint="eastAsia" w:ascii="仿宋_GB2312" w:hAnsi="仿宋" w:eastAsia="仿宋_GB2312" w:cs="仿宋_GB2312"/>
          <w:sz w:val="24"/>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具有独立承担民事责任的能力；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 xml:space="preserve">具有良好的商业信誉和健全的财务会计制度； </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具有履行合同所必需的设备和专业技术能力；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有依法缴纳税收和社会保障资金的良好记录；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5、</w:t>
      </w:r>
      <w:r>
        <w:rPr>
          <w:rFonts w:ascii="仿宋_GB2312" w:hAnsi="仿宋" w:eastAsia="仿宋_GB2312"/>
          <w:sz w:val="24"/>
        </w:rPr>
        <w:t>参加政府采购活动前三年内，在经营活动中没有重大违法记录；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6、</w:t>
      </w:r>
      <w:r>
        <w:rPr>
          <w:rFonts w:ascii="仿宋_GB2312" w:hAnsi="仿宋" w:eastAsia="仿宋_GB2312"/>
          <w:sz w:val="24"/>
        </w:rPr>
        <w:t>具有法律、行政法规规定的其他条件。</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pPr>
        <w:snapToGrid w:val="0"/>
        <w:spacing w:before="50" w:after="50" w:line="360" w:lineRule="auto"/>
        <w:ind w:firstLine="472" w:firstLineChars="196"/>
        <w:jc w:val="left"/>
        <w:rPr>
          <w:rFonts w:ascii="仿宋_GB2312" w:hAnsi="宋体" w:eastAsia="仿宋_GB2312"/>
          <w:sz w:val="24"/>
        </w:rPr>
      </w:pPr>
      <w:r>
        <w:rPr>
          <w:rFonts w:hint="eastAsia" w:ascii="仿宋_GB2312" w:hAnsi="仿宋" w:eastAsia="仿宋_GB2312" w:cs="仿宋_GB2312"/>
          <w:b/>
          <w:sz w:val="24"/>
        </w:rPr>
        <w:t>（根据招标公告落实政府采购政策需满足的资格要求选择提供相应的材料；未要求的，无需提供）</w:t>
      </w:r>
    </w:p>
    <w:p>
      <w:pPr>
        <w:snapToGrid w:val="0"/>
        <w:spacing w:before="50" w:after="50" w:line="360" w:lineRule="auto"/>
        <w:ind w:firstLine="241" w:firstLineChars="100"/>
        <w:jc w:val="left"/>
        <w:rPr>
          <w:rFonts w:ascii="仿宋_GB2312" w:hAnsi="仿宋" w:eastAsia="仿宋_GB2312" w:cs="仿宋_GB2312"/>
          <w:color w:val="000000" w:themeColor="text1"/>
          <w:sz w:val="24"/>
          <w14:textFill>
            <w14:solidFill>
              <w14:schemeClr w14:val="tx1"/>
            </w14:solidFill>
          </w14:textFill>
        </w:rPr>
      </w:pPr>
      <w:r>
        <w:rPr>
          <w:rFonts w:ascii="仿宋_GB2312" w:hAnsi="仿宋" w:eastAsia="仿宋_GB2312" w:cs="仿宋_GB2312"/>
          <w:b/>
          <w:color w:val="000000" w:themeColor="text1"/>
          <w:sz w:val="24"/>
          <w14:textFill>
            <w14:solidFill>
              <w14:schemeClr w14:val="tx1"/>
            </w14:solidFill>
          </w14:textFill>
        </w:rPr>
        <w:t>A</w:t>
      </w:r>
      <w:r>
        <w:rPr>
          <w:rFonts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s="仿宋_GB2312"/>
          <w:color w:val="000000" w:themeColor="text1"/>
          <w:sz w:val="24"/>
          <w14:textFill>
            <w14:solidFill>
              <w14:schemeClr w14:val="tx1"/>
            </w14:solidFill>
          </w14:textFill>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color w:val="000000" w:themeColor="text1"/>
          <w:sz w:val="24"/>
          <w14:textFill>
            <w14:solidFill>
              <w14:schemeClr w14:val="tx1"/>
            </w14:solidFill>
          </w14:textFill>
        </w:rPr>
        <w:t>5</w:t>
      </w:r>
      <w:r>
        <w:rPr>
          <w:rFonts w:hint="eastAsia" w:ascii="仿宋_GB2312" w:hAnsi="仿宋" w:eastAsia="仿宋_GB2312" w:cs="仿宋_GB2312"/>
          <w:color w:val="000000" w:themeColor="text1"/>
          <w:sz w:val="24"/>
          <w14:textFill>
            <w14:solidFill>
              <w14:schemeClr w14:val="tx1"/>
            </w14:solidFill>
          </w14:textFill>
        </w:rPr>
        <w:t>）。</w:t>
      </w:r>
      <w:r>
        <w:rPr>
          <w:rFonts w:ascii="仿宋_GB2312" w:hAnsi="仿宋" w:eastAsia="仿宋_GB2312" w:cs="仿宋_GB2312"/>
          <w:color w:val="000000" w:themeColor="text1"/>
          <w:sz w:val="24"/>
          <w14:textFill>
            <w14:solidFill>
              <w14:schemeClr w14:val="tx1"/>
            </w14:solidFill>
          </w14:textFill>
        </w:rPr>
        <w:t xml:space="preserve"> </w:t>
      </w:r>
    </w:p>
    <w:p>
      <w:pPr>
        <w:widowControl/>
        <w:spacing w:line="360" w:lineRule="auto"/>
        <w:ind w:firstLine="472" w:firstLineChars="196"/>
        <w:jc w:val="left"/>
        <w:rPr>
          <w:rFonts w:ascii="仿宋_GB2312" w:hAnsi="仿宋" w:eastAsia="仿宋_GB2312" w:cs="仿宋_GB2312"/>
          <w:b/>
          <w:sz w:val="24"/>
        </w:rPr>
      </w:pPr>
    </w:p>
    <w:p>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kern w:val="0"/>
          <w:sz w:val="32"/>
          <w:szCs w:val="32"/>
          <w:lang w:val="zh-CN"/>
        </w:rPr>
      </w:pPr>
      <w:r>
        <w:rPr>
          <w:rFonts w:ascii="仿宋_GB2312" w:hAnsi="仿宋" w:eastAsia="仿宋_GB2312" w:cs="仿宋_GB2312"/>
          <w:b/>
          <w:sz w:val="24"/>
        </w:rPr>
        <w:t xml:space="preserve">    </w:t>
      </w: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 w:hAnsi="仿宋" w:eastAsia="仿宋"/>
          <w:sz w:val="24"/>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w:t>
      </w:r>
      <w:r>
        <w:rPr>
          <w:rFonts w:ascii="仿宋_GB2312" w:hAnsi="仿宋" w:eastAsia="仿宋_GB2312" w:cs="仿宋_GB2312"/>
          <w:sz w:val="24"/>
        </w:rPr>
        <w:t>5</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2"/>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widowControl/>
        <w:spacing w:line="360" w:lineRule="auto"/>
        <w:ind w:left="150"/>
        <w:jc w:val="center"/>
        <w:rPr>
          <w:rFonts w:ascii="仿宋_GB2312" w:hAnsi="仿宋" w:eastAsia="仿宋_GB2312" w:cs="仿宋_GB2312"/>
          <w:b/>
          <w:kern w:val="0"/>
          <w:sz w:val="32"/>
          <w:szCs w:val="32"/>
        </w:rPr>
      </w:pPr>
    </w:p>
    <w:p>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pPr>
        <w:spacing w:line="360" w:lineRule="auto"/>
        <w:jc w:val="center"/>
        <w:rPr>
          <w:rFonts w:ascii="仿宋_GB2312" w:hAnsi="仿宋" w:eastAsia="仿宋_GB2312"/>
          <w:sz w:val="24"/>
        </w:rPr>
      </w:pPr>
      <w:r>
        <w:rPr>
          <w:rFonts w:hint="eastAsia" w:ascii="仿宋_GB2312" w:hAnsi="仿宋" w:eastAsia="仿宋_GB2312" w:cs="仿宋_GB2312"/>
          <w:sz w:val="24"/>
        </w:rPr>
        <w:t>（本项目无特定资格要求）</w:t>
      </w: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rPr>
          <w:rFonts w:ascii="仿宋_GB2312" w:hAnsi="仿宋" w:eastAsia="仿宋_GB2312" w:cs="仿宋_GB2312"/>
          <w:b/>
          <w:kern w:val="0"/>
          <w:sz w:val="36"/>
          <w:szCs w:val="36"/>
        </w:rPr>
      </w:pPr>
    </w:p>
    <w:p>
      <w:pPr>
        <w:pStyle w:val="61"/>
        <w:ind w:firstLine="420"/>
      </w:pPr>
    </w:p>
    <w:p>
      <w:pPr>
        <w:spacing w:line="360" w:lineRule="auto"/>
        <w:ind w:right="420" w:firstLine="3614" w:firstLineChars="1000"/>
        <w:rPr>
          <w:rFonts w:ascii="仿宋_GB2312" w:hAnsi="仿宋" w:eastAsia="仿宋_GB2312" w:cs="仿宋_GB2312"/>
          <w:b/>
          <w:kern w:val="0"/>
          <w:sz w:val="36"/>
          <w:szCs w:val="36"/>
        </w:rPr>
      </w:pPr>
    </w:p>
    <w:p>
      <w:pP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br w:type="page"/>
      </w:r>
    </w:p>
    <w:p>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Pr>
        <w:spacing w:line="360" w:lineRule="auto"/>
        <w:jc w:val="center"/>
        <w:rPr>
          <w:rFonts w:ascii="仿宋_GB2312" w:hAnsi="仿宋" w:eastAsia="仿宋_GB2312" w:cs="仿宋_GB2312"/>
          <w:b/>
          <w:kern w:val="0"/>
          <w:sz w:val="24"/>
        </w:rPr>
      </w:pPr>
    </w:p>
    <w:p>
      <w:pPr>
        <w:spacing w:line="360" w:lineRule="auto"/>
        <w:jc w:val="center"/>
        <w:outlineLvl w:val="0"/>
        <w:rPr>
          <w:rFonts w:ascii="仿宋_GB2312" w:hAnsi="仿宋" w:eastAsia="仿宋_GB2312" w:cs="仿宋_GB2312"/>
          <w:b/>
          <w:kern w:val="0"/>
          <w:sz w:val="28"/>
          <w:szCs w:val="28"/>
        </w:rPr>
      </w:pPr>
      <w:bookmarkStart w:id="585" w:name="_Toc15056"/>
      <w:bookmarkStart w:id="586" w:name="_Toc5557"/>
      <w:r>
        <w:rPr>
          <w:rFonts w:hint="eastAsia" w:ascii="仿宋_GB2312" w:hAnsi="仿宋" w:eastAsia="仿宋_GB2312" w:cs="仿宋_GB2312"/>
          <w:b/>
          <w:kern w:val="0"/>
          <w:sz w:val="28"/>
          <w:szCs w:val="28"/>
        </w:rPr>
        <w:t>目录</w:t>
      </w:r>
      <w:bookmarkEnd w:id="585"/>
      <w:bookmarkEnd w:id="586"/>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2）授权委托书或法定代表人（单位负责人、自然人本人）身份证明</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3）联合协议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4）分包意向协议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5）符合性审查资料</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6）评标标准相应的商务技术资料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rPr>
          <w:rFonts w:hint="eastAsia"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7）</w:t>
      </w:r>
      <w:r>
        <w:rPr>
          <w:rFonts w:hint="eastAsia" w:ascii="仿宋_GB2312" w:hAnsi="仿宋" w:eastAsia="仿宋_GB2312" w:cs="仿宋_GB2312"/>
          <w:sz w:val="24"/>
          <w:lang w:val="en-US" w:eastAsia="zh-CN"/>
        </w:rPr>
        <w:t>投标标的清单</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hint="eastAsia" w:ascii="仿宋_GB2312" w:hAnsi="仿宋" w:eastAsia="仿宋_GB2312" w:cs="仿宋_GB2312"/>
          <w:sz w:val="24"/>
          <w:lang w:val="en-US" w:eastAsia="zh-CN"/>
        </w:rPr>
        <w:t>8</w:t>
      </w:r>
      <w:r>
        <w:rPr>
          <w:rFonts w:ascii="仿宋_GB2312" w:hAnsi="仿宋" w:eastAsia="仿宋_GB2312" w:cs="仿宋_GB2312"/>
          <w:sz w:val="24"/>
        </w:rPr>
        <w:t>）商务技术偏离表</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hint="eastAsia" w:ascii="仿宋_GB2312" w:hAnsi="仿宋" w:eastAsia="仿宋_GB2312" w:cs="仿宋_GB2312"/>
          <w:sz w:val="24"/>
          <w:lang w:val="en-US" w:eastAsia="zh-CN"/>
        </w:rPr>
        <w:t>9</w:t>
      </w:r>
      <w:r>
        <w:rPr>
          <w:rFonts w:hint="eastAsia" w:ascii="仿宋_GB2312" w:hAnsi="仿宋" w:eastAsia="仿宋_GB2312" w:cs="仿宋_GB2312"/>
          <w:sz w:val="24"/>
          <w:lang w:val="zh-CN"/>
        </w:rPr>
        <w:t>）政府采购供应商廉洁自律承诺书</w:t>
      </w:r>
      <w:r>
        <w:rPr>
          <w:rFonts w:hint="eastAsia" w:cs="仿宋_GB2312"/>
        </w:rPr>
        <w:t>…………………………………………………（页码）</w:t>
      </w: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rPr>
          <w:rFonts w:ascii="仿宋_GB2312" w:hAnsi="仿宋" w:eastAsia="仿宋_GB2312" w:cs="仿宋_GB2312"/>
          <w:b/>
          <w:kern w:val="0"/>
          <w:sz w:val="32"/>
          <w:szCs w:val="32"/>
        </w:rPr>
      </w:pPr>
    </w:p>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sz w:val="32"/>
          <w:szCs w:val="32"/>
        </w:rPr>
      </w:pPr>
      <w:bookmarkStart w:id="587" w:name="_Toc12418"/>
      <w:bookmarkStart w:id="588" w:name="_Toc1099"/>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bookmarkEnd w:id="587"/>
      <w:bookmarkEnd w:id="588"/>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杭州市临安区人民政府锦城街道办事处、浙江华夏工程管理有限公司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w:t>
      </w:r>
      <w:r>
        <w:rPr>
          <w:rFonts w:hint="eastAsia" w:ascii="仿宋_GB2312" w:hAnsi="仿宋" w:eastAsia="仿宋_GB2312" w:cs="仿宋_GB2312"/>
          <w:sz w:val="24"/>
          <w:u w:val="single"/>
        </w:rPr>
        <w:t>杭州市临安区锦城街道新城幼儿园木制品家具采购</w:t>
      </w:r>
      <w:r>
        <w:rPr>
          <w:rFonts w:hint="eastAsia" w:ascii="仿宋_GB2312" w:hAnsi="仿宋" w:eastAsia="仿宋_GB2312" w:cs="仿宋_GB2312"/>
          <w:sz w:val="24"/>
        </w:rPr>
        <w:t>【招标编号：</w:t>
      </w:r>
      <w:r>
        <w:rPr>
          <w:rFonts w:hint="eastAsia" w:ascii="仿宋_GB2312" w:hAnsi="仿宋" w:eastAsia="仿宋_GB2312"/>
          <w:color w:val="000000" w:themeColor="text1"/>
          <w:sz w:val="24"/>
          <w14:textFill>
            <w14:solidFill>
              <w14:schemeClr w14:val="tx1"/>
            </w14:solidFill>
          </w14:textFill>
        </w:rPr>
        <w:t>**号</w:t>
      </w:r>
      <w:r>
        <w:rPr>
          <w:rFonts w:hint="eastAsia" w:ascii="仿宋_GB2312" w:hAnsi="仿宋" w:eastAsia="仿宋_GB2312" w:cs="仿宋_GB2312"/>
          <w:sz w:val="24"/>
        </w:rPr>
        <w:t>】招标的有关活动，并对此项目进行投标。为此：</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2.1.2落实政府采购政策需满足的资格要求</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2.1.3本项目的特定资格要求</w:t>
      </w:r>
      <w:r>
        <w:rPr>
          <w:rFonts w:hint="eastAsia" w:ascii="仿宋_GB2312" w:hAnsi="仿宋" w:eastAsia="仿宋_GB2312" w:cs="仿宋_GB2312"/>
          <w:sz w:val="24"/>
        </w:rPr>
        <w:t>（如果有）。</w:t>
      </w:r>
    </w:p>
    <w:p>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2.2.3联合协议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2.2.4分包意向协议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2.2.5符合性审查资料；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2.2.6评标标准相应的商务技术资料；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2.2.7商务技术偏离表；</w:t>
      </w:r>
    </w:p>
    <w:p>
      <w:pPr>
        <w:snapToGrid w:val="0"/>
        <w:spacing w:line="360" w:lineRule="auto"/>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2.3.1开标一览表（报价表）；</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2.3.2中小企业声明函</w:t>
      </w:r>
      <w:r>
        <w:rPr>
          <w:rFonts w:hint="eastAsia" w:ascii="仿宋_GB2312" w:hAnsi="仿宋" w:eastAsia="仿宋_GB2312" w:cs="仿宋_GB2312"/>
          <w:sz w:val="24"/>
        </w:rPr>
        <w:t>（如果有）。</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pPr>
        <w:snapToGrid w:val="0"/>
        <w:spacing w:line="360" w:lineRule="auto"/>
        <w:ind w:left="420" w:leftChars="200" w:firstLine="4200" w:firstLineChars="1750"/>
        <w:rPr>
          <w:rFonts w:ascii="仿宋_GB2312" w:hAnsi="仿宋" w:eastAsia="仿宋_GB2312" w:cs="仿宋_GB2312"/>
          <w:kern w:val="0"/>
          <w:sz w:val="24"/>
          <w:u w:val="single"/>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br w:type="page"/>
      </w: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杭州市临安区人民政府锦城街道办事处、浙江华夏工程管理有限公司 ：</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lang w:val="zh-CN"/>
        </w:rPr>
      </w:pPr>
      <w:r>
        <w:rPr>
          <w:rFonts w:ascii="仿宋_GB2312" w:hAnsi="仿宋" w:eastAsia="仿宋_GB2312" w:cs="仿宋_GB2312"/>
          <w:b/>
          <w:kern w:val="0"/>
          <w:sz w:val="32"/>
          <w:szCs w:val="32"/>
          <w:lang w:val="zh-CN"/>
        </w:rPr>
        <w:t xml:space="preserve">      </w:t>
      </w:r>
      <w:r>
        <w:rPr>
          <w:rFonts w:ascii="仿宋_GB2312" w:hAnsi="仿宋" w:eastAsia="仿宋_GB2312" w:cs="仿宋_GB2312"/>
          <w:b/>
          <w:kern w:val="0"/>
          <w:sz w:val="32"/>
          <w:szCs w:val="32"/>
        </w:rPr>
        <w:t xml:space="preserve"> </w:t>
      </w:r>
      <w:r>
        <w:rPr>
          <w:rFonts w:hint="eastAsia" w:ascii="仿宋_GB2312" w:hAnsi="仿宋" w:eastAsia="仿宋_GB2312" w:cs="仿宋_GB2312"/>
          <w:b/>
          <w:kern w:val="0"/>
          <w:sz w:val="32"/>
          <w:szCs w:val="32"/>
          <w:lang w:val="zh-CN"/>
        </w:rPr>
        <w:t>授权委托书（适用于联合体投标）</w:t>
      </w:r>
    </w:p>
    <w:p>
      <w:pPr>
        <w:pStyle w:val="61"/>
        <w:ind w:firstLine="420"/>
      </w:pPr>
    </w:p>
    <w:p>
      <w:pPr>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杭州市临安区人民政府锦城街道办事处、浙江华夏工程管理有限公司 ：</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152"/>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2"/>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pPr>
              <w:pStyle w:val="152"/>
              <w:adjustRightInd w:val="0"/>
              <w:spacing w:line="360" w:lineRule="auto"/>
              <w:rPr>
                <w:rFonts w:ascii="仿宋_GB2312" w:hAnsi="仿宋" w:eastAsia="仿宋_GB2312"/>
                <w:bCs/>
                <w:sz w:val="24"/>
              </w:rPr>
            </w:pPr>
          </w:p>
        </w:tc>
      </w:tr>
    </w:tbl>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2"/>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pPr>
        <w:jc w:val="center"/>
        <w:rPr>
          <w:rFonts w:ascii="仿宋_GB2312" w:hAnsi="仿宋" w:eastAsia="仿宋_GB2312" w:cs="仿宋_GB2312"/>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499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55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1</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cs="仿宋_GB2312"/>
                <w:sz w:val="24"/>
              </w:rPr>
              <w:t>投标文件按照招标文件要求签署、盖章。</w:t>
            </w:r>
          </w:p>
        </w:tc>
        <w:tc>
          <w:tcPr>
            <w:tcW w:w="2551" w:type="dxa"/>
            <w:vAlign w:val="center"/>
          </w:tcPr>
          <w:p>
            <w:pPr>
              <w:rPr>
                <w:rFonts w:ascii="仿宋" w:hAnsi="仿宋" w:eastAsia="仿宋"/>
                <w:sz w:val="24"/>
              </w:rPr>
            </w:pPr>
            <w:r>
              <w:rPr>
                <w:rFonts w:hint="eastAsia" w:ascii="仿宋" w:hAnsi="仿宋" w:eastAsia="仿宋"/>
                <w:sz w:val="24"/>
              </w:rPr>
              <w:t>需要使用电子签名或者签字盖章的投标文件的组成部分</w:t>
            </w:r>
          </w:p>
        </w:tc>
        <w:tc>
          <w:tcPr>
            <w:tcW w:w="1418" w:type="dxa"/>
          </w:tcPr>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r>
              <w:rPr>
                <w:rFonts w:hint="eastAsia" w:ascii="仿宋" w:eastAsia="仿宋" w:cs="仿宋_GB2312"/>
                <w:sz w:val="24"/>
              </w:rPr>
              <w:t>第</w:t>
            </w:r>
            <w:r>
              <w:rPr>
                <w:rFonts w:ascii="仿宋" w:eastAsia="仿宋" w:cs="仿宋_GB2312"/>
                <w:sz w:val="24"/>
                <w:u w:val="single"/>
              </w:rPr>
              <w:t xml:space="preserve">  </w:t>
            </w:r>
            <w:r>
              <w:rPr>
                <w:rFonts w:hint="eastAsia" w:asci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rPr>
            </w:pPr>
            <w:r>
              <w:rPr>
                <w:rFonts w:ascii="仿宋_GB2312" w:hAnsi="仿宋" w:eastAsia="仿宋_GB2312"/>
                <w:sz w:val="24"/>
              </w:rPr>
              <w:t>2</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rPr>
            </w:pPr>
            <w:r>
              <w:rPr>
                <w:rFonts w:hint="eastAsia" w:ascii="仿宋_GB2312" w:hAnsi="仿宋" w:eastAsia="仿宋_GB2312" w:cs="仿宋_GB2312"/>
                <w:sz w:val="24"/>
              </w:rPr>
              <w:t>节能产品认证证书（本项目</w:t>
            </w:r>
            <w:r>
              <w:rPr>
                <w:rFonts w:hint="eastAsia" w:ascii="仿宋_GB2312" w:hAnsi="仿宋" w:eastAsia="仿宋_GB2312"/>
                <w:sz w:val="24"/>
              </w:rPr>
              <w:t>拟采购的产品不属于政府强制采购的节能产品品目清单范围的</w:t>
            </w:r>
            <w:r>
              <w:rPr>
                <w:rFonts w:hint="eastAsia" w:ascii="仿宋_GB2312" w:hAnsi="仿宋" w:eastAsia="仿宋_GB2312" w:cs="仿宋_GB2312"/>
                <w:sz w:val="24"/>
              </w:rPr>
              <w:t>，无需提供）</w:t>
            </w:r>
          </w:p>
        </w:tc>
        <w:tc>
          <w:tcPr>
            <w:tcW w:w="1418" w:type="dxa"/>
          </w:tcPr>
          <w:p>
            <w:pPr>
              <w:rPr>
                <w:rFonts w:ascii="仿宋" w:hAnsi="仿宋" w:eastAsia="仿宋" w:cs="仿宋_GB2312"/>
                <w:sz w:val="24"/>
              </w:rPr>
            </w:pPr>
          </w:p>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pPr>
              <w:pStyle w:val="2"/>
              <w:rPr>
                <w:lang w:val="en-US"/>
              </w:rPr>
            </w:pPr>
            <w:r>
              <w:rPr>
                <w:rFonts w:hint="eastAsia" w:ascii="仿宋" w:eastAsia="仿宋" w:cs="仿宋_GB2312"/>
                <w:b w:val="0"/>
                <w:bCs w:val="0"/>
                <w:sz w:val="24"/>
                <w:szCs w:val="24"/>
                <w:lang w:val="en-US"/>
              </w:rPr>
              <w:t>第</w:t>
            </w:r>
            <w:r>
              <w:rPr>
                <w:rFonts w:ascii="仿宋" w:eastAsia="仿宋" w:cs="仿宋_GB2312"/>
                <w:b w:val="0"/>
                <w:bCs w:val="0"/>
                <w:sz w:val="24"/>
                <w:szCs w:val="24"/>
                <w:u w:val="single"/>
                <w:lang w:val="en-US"/>
              </w:rPr>
              <w:t xml:space="preserve">  </w:t>
            </w:r>
            <w:r>
              <w:rPr>
                <w:rFonts w:hint="eastAsia" w:ascii="仿宋" w:eastAsia="仿宋"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3</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sz w:val="24"/>
              </w:rPr>
              <w:t>投标文件中承诺的投标有效期不少于招标文件中载明的投标有效期。</w:t>
            </w:r>
          </w:p>
        </w:tc>
        <w:tc>
          <w:tcPr>
            <w:tcW w:w="2551" w:type="dxa"/>
            <w:vAlign w:val="center"/>
          </w:tcPr>
          <w:p>
            <w:pPr>
              <w:rPr>
                <w:rFonts w:ascii="仿宋" w:hAnsi="仿宋" w:eastAsia="仿宋"/>
                <w:sz w:val="24"/>
              </w:rPr>
            </w:pPr>
            <w:r>
              <w:rPr>
                <w:rFonts w:hint="eastAsia" w:ascii="仿宋" w:hAnsi="仿宋" w:eastAsia="仿宋"/>
                <w:sz w:val="24"/>
              </w:rPr>
              <w:t>投标函</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4</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投标文件满足招标文件的其它实质性要求。</w:t>
            </w:r>
          </w:p>
        </w:tc>
        <w:tc>
          <w:tcPr>
            <w:tcW w:w="2551" w:type="dxa"/>
            <w:vAlign w:val="center"/>
          </w:tcPr>
          <w:p>
            <w:pPr>
              <w:rPr>
                <w:rFonts w:ascii="仿宋" w:hAnsi="仿宋" w:eastAsia="仿宋"/>
                <w:sz w:val="24"/>
              </w:rPr>
            </w:pPr>
            <w:r>
              <w:rPr>
                <w:rFonts w:hint="eastAsia" w:ascii="仿宋_GB2312" w:hAnsi="仿宋" w:eastAsia="仿宋_GB2312" w:cs="仿宋_GB2312"/>
                <w:kern w:val="0"/>
                <w:sz w:val="24"/>
              </w:rPr>
              <w:t>招标文件其它实质性要求相应的材料（“▲”</w:t>
            </w:r>
            <w:r>
              <w:rPr>
                <w:rFonts w:ascii="仿宋_GB2312" w:hAnsi="仿宋" w:eastAsia="仿宋_GB2312" w:cs="仿宋_GB2312"/>
                <w:kern w:val="0"/>
                <w:sz w:val="24"/>
              </w:rPr>
              <w:t xml:space="preserve"> </w:t>
            </w:r>
            <w:r>
              <w:rPr>
                <w:rFonts w:hint="eastAsia" w:ascii="仿宋_GB2312" w:hAnsi="仿宋" w:eastAsia="仿宋_GB2312" w:cs="仿宋_GB2312"/>
                <w:kern w:val="0"/>
                <w:sz w:val="24"/>
              </w:rPr>
              <w:t>系指实质性要求条款，招标文件无其它实质性要求的，无需提供）</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pPr>
      <w:r>
        <w:rPr>
          <w:rFonts w:hint="eastAsia" w:ascii="仿宋_GB2312" w:hAnsi="仿宋" w:eastAsia="仿宋_GB2312" w:cs="仿宋_GB2312"/>
          <w:b/>
          <w:kern w:val="0"/>
          <w:sz w:val="32"/>
          <w:szCs w:val="32"/>
        </w:rPr>
        <w:t>六、评标标准相应的商务技术资料</w:t>
      </w:r>
    </w:p>
    <w:p>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p>
    <w:p>
      <w:pPr>
        <w:jc w:val="center"/>
        <w:rPr>
          <w:rFonts w:cs="仿宋_GB2312" w:asciiTheme="minorEastAsia" w:hAnsiTheme="minorEastAsia" w:eastAsiaTheme="minorEastAsia"/>
          <w:b/>
          <w:kern w:val="0"/>
          <w:sz w:val="32"/>
          <w:szCs w:val="32"/>
        </w:rPr>
      </w:pPr>
    </w:p>
    <w:p>
      <w:pPr>
        <w:ind w:firstLine="2891" w:firstLineChars="900"/>
        <w:rPr>
          <w:rFonts w:hint="eastAsia" w:ascii="仿宋" w:hAnsi="仿宋" w:eastAsia="仿宋" w:cs="仿宋"/>
          <w:b/>
          <w:kern w:val="0"/>
          <w:sz w:val="32"/>
          <w:szCs w:val="32"/>
        </w:rPr>
      </w:pPr>
      <w:r>
        <w:rPr>
          <w:rFonts w:hint="eastAsia" w:ascii="仿宋" w:hAnsi="仿宋" w:eastAsia="仿宋" w:cs="仿宋"/>
          <w:b/>
          <w:kern w:val="0"/>
          <w:sz w:val="32"/>
          <w:szCs w:val="32"/>
        </w:rPr>
        <w:t>七、投标标的清单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hint="eastAsia"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val="en-US" w:eastAsia="zh-CN"/>
        </w:rPr>
        <w:t>八</w:t>
      </w:r>
      <w:r>
        <w:rPr>
          <w:rFonts w:hint="eastAsia" w:ascii="仿宋_GB2312" w:hAnsi="仿宋" w:eastAsia="仿宋_GB2312" w:cs="仿宋_GB2312"/>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tcPr>
          <w:p>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546" w:type="dxa"/>
          </w:tcPr>
          <w:p>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tcPr>
          <w:p>
            <w:pPr>
              <w:jc w:val="center"/>
              <w:rPr>
                <w:rFonts w:ascii="仿宋_GB2312" w:hAnsi="仿宋" w:eastAsia="仿宋_GB2312"/>
                <w:b/>
                <w:bCs/>
                <w:sz w:val="24"/>
              </w:rPr>
            </w:pPr>
            <w:r>
              <w:rPr>
                <w:rFonts w:hint="eastAsia" w:ascii="仿宋_GB2312" w:hAnsi="仿宋" w:eastAsia="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1</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2</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bl>
    <w:p>
      <w:pPr>
        <w:jc w:val="left"/>
        <w:rPr>
          <w:rFonts w:ascii="仿宋_GB2312" w:hAnsi="仿宋" w:eastAsia="仿宋_GB2312" w:cs="仿宋_GB2312"/>
          <w:kern w:val="0"/>
          <w:sz w:val="24"/>
        </w:rPr>
      </w:pPr>
      <w:r>
        <w:rPr>
          <w:rFonts w:hint="eastAsia" w:ascii="仿宋_GB2312" w:hAnsi="仿宋" w:eastAsia="仿宋_GB2312" w:cs="仿宋_GB2312"/>
          <w:kern w:val="0"/>
          <w:sz w:val="24"/>
        </w:rPr>
        <w:t>投标人保证：除商务技术偏离表列出的偏离外，投标人响应招标文件的全部要求。</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br w:type="page"/>
      </w:r>
      <w:r>
        <w:rPr>
          <w:rFonts w:hint="eastAsia" w:ascii="仿宋_GB2312" w:hAnsi="仿宋" w:eastAsia="仿宋_GB2312" w:cs="仿宋_GB2312"/>
          <w:b/>
          <w:kern w:val="0"/>
          <w:sz w:val="32"/>
          <w:szCs w:val="32"/>
          <w:lang w:val="en-US" w:eastAsia="zh-CN"/>
        </w:rPr>
        <w:t>九</w:t>
      </w:r>
      <w:r>
        <w:rPr>
          <w:rFonts w:hint="eastAsia" w:ascii="仿宋_GB2312" w:hAnsi="仿宋" w:eastAsia="仿宋_GB2312" w:cs="仿宋_GB2312"/>
          <w:b/>
          <w:kern w:val="0"/>
          <w:sz w:val="32"/>
          <w:szCs w:val="32"/>
        </w:rPr>
        <w:t>、</w:t>
      </w:r>
      <w:r>
        <w:rPr>
          <w:rFonts w:hint="eastAsia" w:ascii="仿宋_GB2312" w:hAnsi="仿宋" w:eastAsia="仿宋_GB2312" w:cs="仿宋_GB2312"/>
          <w:b/>
          <w:kern w:val="0"/>
          <w:sz w:val="32"/>
          <w:szCs w:val="32"/>
          <w:lang w:val="zh-CN"/>
        </w:rPr>
        <w:t>政府采购供应商廉洁自律承诺书</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_GB2312" w:eastAsia="仿宋_GB2312" w:cs="仿宋_GB2312"/>
          <w:sz w:val="24"/>
        </w:rPr>
        <w:t>杭州市临安区人民政府锦城街道办事处、浙江华夏工程管理有限公司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pPr>
        <w:spacing w:line="360" w:lineRule="auto"/>
        <w:jc w:val="center"/>
        <w:rPr>
          <w:rFonts w:ascii="仿宋_GB2312" w:hAnsi="仿宋" w:eastAsia="仿宋_GB2312" w:cs="仿宋_GB2312"/>
          <w:b/>
          <w:bCs/>
          <w:sz w:val="24"/>
        </w:rPr>
      </w:pPr>
    </w:p>
    <w:p>
      <w:pPr>
        <w:spacing w:line="360" w:lineRule="auto"/>
        <w:jc w:val="center"/>
        <w:rPr>
          <w:rFonts w:ascii="仿宋_GB2312" w:hAnsi="仿宋" w:eastAsia="仿宋_GB2312" w:cs="仿宋_GB2312"/>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cs="仿宋_GB2312"/>
          <w:b/>
          <w:kern w:val="0"/>
          <w:sz w:val="36"/>
          <w:szCs w:val="36"/>
        </w:rPr>
      </w:pPr>
      <w:bookmarkStart w:id="589" w:name="_Toc28347"/>
      <w:bookmarkStart w:id="590" w:name="_Toc22880"/>
      <w:r>
        <w:rPr>
          <w:rFonts w:hint="eastAsia" w:ascii="仿宋_GB2312" w:hAnsi="仿宋" w:eastAsia="仿宋_GB2312" w:cs="仿宋_GB2312"/>
          <w:b/>
          <w:kern w:val="0"/>
          <w:sz w:val="36"/>
          <w:szCs w:val="36"/>
        </w:rPr>
        <w:t>报价文件部分</w:t>
      </w:r>
      <w:bookmarkEnd w:id="589"/>
      <w:bookmarkEnd w:id="590"/>
    </w:p>
    <w:p>
      <w:pPr>
        <w:spacing w:line="360" w:lineRule="auto"/>
        <w:jc w:val="center"/>
        <w:outlineLvl w:val="0"/>
        <w:rPr>
          <w:rFonts w:ascii="仿宋_GB2312" w:hAnsi="仿宋" w:eastAsia="仿宋_GB2312" w:cs="仿宋_GB2312"/>
          <w:b/>
          <w:kern w:val="0"/>
          <w:sz w:val="36"/>
          <w:szCs w:val="36"/>
        </w:rPr>
      </w:pPr>
      <w:bookmarkStart w:id="591" w:name="_Toc967"/>
      <w:bookmarkStart w:id="592" w:name="_Toc12375"/>
      <w:r>
        <w:rPr>
          <w:rFonts w:hint="eastAsia" w:ascii="仿宋_GB2312" w:hAnsi="仿宋" w:eastAsia="仿宋_GB2312" w:cs="仿宋_GB2312"/>
          <w:b/>
          <w:kern w:val="0"/>
          <w:sz w:val="36"/>
          <w:szCs w:val="36"/>
        </w:rPr>
        <w:t>目录</w:t>
      </w:r>
      <w:bookmarkEnd w:id="591"/>
      <w:bookmarkEnd w:id="592"/>
    </w:p>
    <w:p>
      <w:pPr>
        <w:spacing w:line="360" w:lineRule="auto"/>
        <w:jc w:val="center"/>
        <w:rPr>
          <w:rFonts w:ascii="仿宋_GB2312" w:hAnsi="仿宋" w:eastAsia="仿宋_GB2312" w:cs="仿宋_GB2312"/>
          <w:b/>
          <w:kern w:val="0"/>
          <w:sz w:val="36"/>
          <w:szCs w:val="36"/>
        </w:rPr>
      </w:pPr>
    </w:p>
    <w:p>
      <w:pPr>
        <w:snapToGrid w:val="0"/>
        <w:spacing w:line="360" w:lineRule="auto"/>
        <w:outlineLvl w:val="0"/>
        <w:rPr>
          <w:rFonts w:ascii="仿宋_GB2312" w:hAnsi="仿宋" w:eastAsia="仿宋_GB2312" w:cs="仿宋_GB2312"/>
          <w:b/>
          <w:kern w:val="0"/>
          <w:sz w:val="36"/>
          <w:szCs w:val="36"/>
        </w:rPr>
      </w:pPr>
      <w:bookmarkStart w:id="593" w:name="_Toc8893"/>
      <w:bookmarkStart w:id="594" w:name="_Toc10352"/>
      <w:r>
        <w:rPr>
          <w:rFonts w:hint="eastAsia" w:ascii="仿宋_GB2312" w:hAnsi="仿宋" w:eastAsia="仿宋_GB2312" w:cs="仿宋_GB2312"/>
          <w:sz w:val="24"/>
        </w:rPr>
        <w:t>（</w:t>
      </w:r>
      <w:r>
        <w:rPr>
          <w:rFonts w:ascii="仿宋_GB2312" w:hAnsi="仿宋" w:eastAsia="仿宋_GB2312" w:cs="仿宋_GB2312"/>
          <w:sz w:val="24"/>
        </w:rPr>
        <w:t>1）开标一览表（报价表）……</w:t>
      </w:r>
      <w:r>
        <w:rPr>
          <w:rFonts w:hint="eastAsia" w:ascii="仿宋_GB2312" w:hAnsi="仿宋" w:eastAsia="仿宋_GB2312" w:cs="仿宋_GB2312"/>
          <w:sz w:val="24"/>
        </w:rPr>
        <w:t>…………………………………………………（页码）</w:t>
      </w:r>
      <w:bookmarkEnd w:id="593"/>
      <w:bookmarkEnd w:id="594"/>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696"/>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6"/>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bookmarkStart w:id="595" w:name="_Toc13419"/>
      <w:bookmarkStart w:id="596" w:name="_Toc11382"/>
      <w:r>
        <w:rPr>
          <w:rFonts w:hint="eastAsia" w:ascii="仿宋_GB2312" w:hAnsi="仿宋" w:eastAsia="仿宋_GB2312" w:cs="仿宋_GB2312"/>
          <w:kern w:val="2"/>
          <w:sz w:val="32"/>
          <w:szCs w:val="32"/>
        </w:rPr>
        <w:t>一、开标一览表（报价表）</w:t>
      </w:r>
      <w:bookmarkEnd w:id="595"/>
      <w:bookmarkEnd w:id="596"/>
    </w:p>
    <w:p>
      <w:pPr>
        <w:snapToGrid w:val="0"/>
        <w:spacing w:line="360" w:lineRule="auto"/>
        <w:rPr>
          <w:rFonts w:ascii="仿宋_GB2312" w:hAnsi="仿宋" w:eastAsia="仿宋_GB2312" w:cs="仿宋_GB2312"/>
          <w:kern w:val="0"/>
          <w:sz w:val="24"/>
        </w:rPr>
      </w:pPr>
      <w:r>
        <w:rPr>
          <w:rFonts w:hint="eastAsia" w:ascii="仿宋_GB2312" w:hAnsi="仿宋_GB2312" w:eastAsia="仿宋_GB2312" w:cs="仿宋_GB2312"/>
          <w:sz w:val="24"/>
        </w:rPr>
        <w:t>杭州市临安区人民政府锦城街道办事处、浙江华夏工程管理有限公司 ：</w:t>
      </w:r>
    </w:p>
    <w:p>
      <w:pPr>
        <w:snapToGrid w:val="0"/>
        <w:spacing w:line="360" w:lineRule="auto"/>
        <w:ind w:firstLine="482"/>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sz w:val="24"/>
          <w:u w:val="single"/>
        </w:rPr>
        <w:t>杭州市临安区锦城街道新城幼儿园木制品家具采购</w:t>
      </w:r>
      <w:r>
        <w:rPr>
          <w:rFonts w:hint="eastAsia" w:ascii="仿宋_GB2312" w:hAnsi="仿宋" w:eastAsia="仿宋_GB2312" w:cs="仿宋_GB2312"/>
          <w:kern w:val="0"/>
          <w:sz w:val="24"/>
          <w:lang w:val="zh-CN"/>
        </w:rPr>
        <w:t>【招标编号：</w:t>
      </w:r>
      <w:r>
        <w:rPr>
          <w:rFonts w:hint="eastAsia" w:ascii="仿宋_GB2312" w:hAnsi="仿宋" w:eastAsia="仿宋_GB2312"/>
          <w:color w:val="000000" w:themeColor="text1"/>
          <w:sz w:val="24"/>
          <w14:textFill>
            <w14:solidFill>
              <w14:schemeClr w14:val="tx1"/>
            </w14:solidFill>
          </w14:textFill>
        </w:rPr>
        <w:t>***号</w:t>
      </w:r>
      <w:r>
        <w:rPr>
          <w:rFonts w:hint="eastAsia" w:ascii="仿宋_GB2312" w:hAnsi="仿宋" w:eastAsia="仿宋_GB2312" w:cs="仿宋_GB2312"/>
          <w:color w:val="000000" w:themeColor="text1"/>
          <w:sz w:val="24"/>
          <w14:textFill>
            <w14:solidFill>
              <w14:schemeClr w14:val="tx1"/>
            </w14:solidFill>
          </w14:textFill>
        </w:rPr>
        <w:t>】的</w:t>
      </w:r>
      <w:r>
        <w:rPr>
          <w:rFonts w:hint="eastAsia" w:ascii="仿宋_GB2312" w:hAnsi="仿宋" w:eastAsia="仿宋_GB2312" w:cs="仿宋_GB2312"/>
          <w:sz w:val="24"/>
        </w:rPr>
        <w:t>实施</w:t>
      </w: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开标一览表（报价表）</w:t>
      </w:r>
      <w:r>
        <w:rPr>
          <w:rFonts w:ascii="仿宋_GB2312" w:hAnsi="仿宋" w:eastAsia="仿宋_GB2312" w:cs="仿宋_GB2312"/>
          <w:b/>
          <w:kern w:val="0"/>
          <w:sz w:val="24"/>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7"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843" w:type="dxa"/>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品牌（如果有）</w:t>
            </w:r>
          </w:p>
        </w:tc>
        <w:tc>
          <w:tcPr>
            <w:tcW w:w="3118"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规格型号（或具体服务）</w:t>
            </w:r>
          </w:p>
        </w:tc>
        <w:tc>
          <w:tcPr>
            <w:tcW w:w="993"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59"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98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总价</w:t>
            </w:r>
          </w:p>
        </w:tc>
        <w:tc>
          <w:tcPr>
            <w:tcW w:w="3119" w:type="dxa"/>
            <w:vAlign w:val="center"/>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合同履行期限</w:t>
            </w:r>
          </w:p>
          <w:p>
            <w:pPr>
              <w:spacing w:line="360" w:lineRule="auto"/>
              <w:jc w:val="center"/>
              <w:rPr>
                <w:rFonts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7655" w:type="dxa"/>
            <w:gridSpan w:val="4"/>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7655" w:type="dxa"/>
            <w:gridSpan w:val="4"/>
            <w:vAlign w:val="center"/>
          </w:tcPr>
          <w:p>
            <w:pPr>
              <w:spacing w:line="360" w:lineRule="auto"/>
              <w:jc w:val="center"/>
              <w:rPr>
                <w:rFonts w:ascii="仿宋_GB2312" w:hAnsi="仿宋" w:eastAsia="仿宋_GB2312" w:cs="仿宋_GB2312"/>
                <w:sz w:val="24"/>
              </w:rPr>
            </w:pPr>
          </w:p>
        </w:tc>
      </w:tr>
    </w:tbl>
    <w:p>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pPr>
        <w:spacing w:line="360" w:lineRule="auto"/>
        <w:ind w:left="-2" w:leftChars="-1"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1、投标人需按本表格式填写，不得自行更改。</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4、特别提示：采购机构将对项目名称和项目编号，中标供应商名称、地址和中标金额，主要中标标的</w:t>
      </w:r>
      <w:r>
        <w:rPr>
          <w:rFonts w:hint="eastAsia" w:ascii="仿宋_GB2312" w:hAnsi="仿宋" w:eastAsia="仿宋_GB2312" w:cs="仿宋_GB2312"/>
          <w:kern w:val="0"/>
          <w:sz w:val="24"/>
          <w:lang w:val="zh-CN"/>
        </w:rPr>
        <w:t>的名称、规格型号、数量、单价、服务要求等予以公示。</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b/>
          <w:kern w:val="0"/>
          <w:sz w:val="24"/>
        </w:rPr>
      </w:pPr>
    </w:p>
    <w:p>
      <w:pPr>
        <w:pStyle w:val="696"/>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pgSz w:w="16838" w:h="11906" w:orient="landscape"/>
          <w:pgMar w:top="1418" w:right="1247" w:bottom="1418" w:left="1276" w:header="851" w:footer="992" w:gutter="0"/>
          <w:cols w:space="720" w:num="1"/>
          <w:titlePg/>
          <w:docGrid w:linePitch="312" w:charSpace="0"/>
        </w:sectPr>
      </w:pPr>
    </w:p>
    <w:p>
      <w:pPr>
        <w:rPr>
          <w:rFonts w:ascii="仿宋_GB2312" w:hAnsi="仿宋" w:eastAsia="仿宋_GB2312" w:cs="仿宋_GB2312"/>
          <w:b/>
          <w:sz w:val="32"/>
          <w:szCs w:val="32"/>
        </w:rPr>
      </w:pPr>
    </w:p>
    <w:p>
      <w:pPr>
        <w:pStyle w:val="696"/>
        <w:keepNext w:val="0"/>
        <w:pageBreakBefore w:val="0"/>
        <w:tabs>
          <w:tab w:val="clear" w:pos="720"/>
        </w:tabs>
        <w:snapToGrid w:val="0"/>
        <w:spacing w:before="120" w:after="120"/>
        <w:ind w:firstLine="643"/>
        <w:outlineLvl w:val="9"/>
        <w:rPr>
          <w:rFonts w:ascii="仿宋_GB2312" w:hAnsi="仿宋" w:eastAsia="仿宋_GB2312" w:cs="仿宋_GB2312"/>
          <w:sz w:val="32"/>
          <w:szCs w:val="32"/>
        </w:rPr>
      </w:pPr>
      <w:bookmarkStart w:id="597" w:name="_Toc28228"/>
      <w:bookmarkStart w:id="598" w:name="_Toc3069"/>
      <w:r>
        <w:rPr>
          <w:rFonts w:hint="eastAsia" w:ascii="仿宋_GB2312" w:hAnsi="仿宋" w:eastAsia="仿宋_GB2312" w:cs="仿宋_GB2312"/>
          <w:sz w:val="32"/>
          <w:szCs w:val="32"/>
        </w:rPr>
        <w:t>政府采购支持中小企业信用融资相关事项通知</w:t>
      </w:r>
      <w:bookmarkEnd w:id="597"/>
      <w:bookmarkEnd w:id="598"/>
    </w:p>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sz w:val="24"/>
        </w:rPr>
      </w:pPr>
      <w:r>
        <w:rPr>
          <w:rFonts w:hint="eastAsia" w:ascii="仿宋" w:hAnsi="仿宋" w:eastAsia="仿宋"/>
          <w:b/>
          <w:sz w:val="24"/>
        </w:rPr>
        <w:t>一、适用对象</w:t>
      </w:r>
    </w:p>
    <w:p>
      <w:pPr>
        <w:spacing w:line="360" w:lineRule="auto"/>
        <w:ind w:firstLine="480" w:firstLineChars="200"/>
        <w:rPr>
          <w:rFonts w:ascii="仿宋" w:hAnsi="仿宋" w:eastAsia="仿宋"/>
          <w:sz w:val="24"/>
        </w:rPr>
      </w:pPr>
      <w:r>
        <w:rPr>
          <w:rFonts w:hint="eastAsia" w:ascii="仿宋" w:hAnsi="仿宋" w:eastAsia="仿宋"/>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sz w:val="24"/>
        </w:rPr>
      </w:pPr>
      <w:r>
        <w:rPr>
          <w:rFonts w:hint="eastAsia" w:ascii="仿宋" w:hAnsi="仿宋" w:eastAsia="仿宋"/>
          <w:b/>
          <w:sz w:val="24"/>
        </w:rPr>
        <w:t>二、相关信息获取方式</w:t>
      </w:r>
    </w:p>
    <w:p>
      <w:pPr>
        <w:spacing w:line="360" w:lineRule="auto"/>
        <w:ind w:firstLine="480" w:firstLineChars="200"/>
        <w:rPr>
          <w:rFonts w:ascii="仿宋" w:hAnsi="仿宋" w:eastAsia="仿宋"/>
          <w:sz w:val="24"/>
        </w:rPr>
      </w:pPr>
      <w:r>
        <w:rPr>
          <w:rFonts w:hint="eastAsia" w:ascii="仿宋" w:hAnsi="仿宋" w:eastAsia="仿宋"/>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sz w:val="24"/>
        </w:rPr>
      </w:pPr>
      <w:r>
        <w:rPr>
          <w:rFonts w:hint="eastAsia" w:ascii="仿宋" w:hAnsi="仿宋" w:eastAsia="仿宋"/>
          <w:b/>
          <w:sz w:val="24"/>
        </w:rPr>
        <w:t>三、　政府采购信用融资操作流程：</w:t>
      </w:r>
    </w:p>
    <w:p>
      <w:pPr>
        <w:spacing w:line="360" w:lineRule="auto"/>
        <w:ind w:firstLine="960" w:firstLineChars="400"/>
        <w:rPr>
          <w:rFonts w:ascii="仿宋" w:hAnsi="仿宋" w:eastAsia="仿宋"/>
          <w:sz w:val="24"/>
        </w:rPr>
      </w:pPr>
      <w:r>
        <w:rPr>
          <w:rFonts w:hint="eastAsia" w:ascii="仿宋" w:hAnsi="仿宋" w:eastAsia="仿宋"/>
          <w:sz w:val="24"/>
        </w:rPr>
        <w:t>（一）线上融资模式：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2.供应商中标后，可通过杭州市政府采购网或“浙里办”测算授信额度；</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4.审批通过后，在线办理放贷手续。</w:t>
      </w:r>
    </w:p>
    <w:p>
      <w:pPr>
        <w:spacing w:line="360" w:lineRule="auto"/>
        <w:ind w:firstLine="480" w:firstLineChars="200"/>
        <w:rPr>
          <w:rFonts w:ascii="仿宋" w:hAnsi="仿宋" w:eastAsia="仿宋"/>
          <w:sz w:val="24"/>
        </w:rPr>
      </w:pPr>
      <w:r>
        <w:rPr>
          <w:rFonts w:hint="eastAsia" w:ascii="仿宋" w:hAnsi="仿宋" w:eastAsia="仿宋"/>
          <w:sz w:val="24"/>
        </w:rPr>
        <w:t>　　（二）线下融资模式：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4.审批通过后，合作银行应按照合作备忘录中约定的审批放款期限和优惠利率及时予以放款。</w:t>
      </w:r>
    </w:p>
    <w:p>
      <w:pPr>
        <w:pStyle w:val="2"/>
        <w:numPr>
          <w:ilvl w:val="255"/>
          <w:numId w:val="0"/>
        </w:numPr>
        <w:ind w:firstLine="960" w:firstLineChars="400"/>
        <w:rPr>
          <w:rFonts w:ascii="仿宋" w:eastAsia="仿宋"/>
          <w:b w:val="0"/>
          <w:bCs w:val="0"/>
          <w:sz w:val="24"/>
          <w:szCs w:val="24"/>
          <w:lang w:val="en-US"/>
        </w:rPr>
      </w:pPr>
      <w:r>
        <w:rPr>
          <w:rFonts w:hint="eastAsia" w:ascii="仿宋" w:eastAsia="仿宋"/>
          <w:b w:val="0"/>
          <w:bCs w:val="0"/>
          <w:sz w:val="24"/>
          <w:szCs w:val="24"/>
          <w:lang w:val="en-US"/>
        </w:rPr>
        <w:t>（三）杭州e融平台申请融资</w:t>
      </w:r>
    </w:p>
    <w:p>
      <w:pPr>
        <w:pStyle w:val="2"/>
        <w:numPr>
          <w:ilvl w:val="255"/>
          <w:numId w:val="0"/>
        </w:numPr>
        <w:ind w:firstLine="960" w:firstLineChars="400"/>
        <w:rPr>
          <w:rFonts w:ascii="仿宋" w:eastAsia="仿宋"/>
          <w:b w:val="0"/>
          <w:bCs w:val="0"/>
          <w:sz w:val="24"/>
          <w:szCs w:val="24"/>
          <w:lang w:val="en-US"/>
        </w:rPr>
      </w:pPr>
      <w:r>
        <w:rPr>
          <w:rFonts w:hint="eastAsia" w:ascii="仿宋" w:eastAsia="仿宋"/>
          <w:b w:val="0"/>
          <w:bCs w:val="0"/>
          <w:sz w:val="24"/>
          <w:szCs w:val="24"/>
          <w:lang w:val="en-US"/>
        </w:rPr>
        <w:t>供应商通过杭州e融平台政采贷专区，自行选择金融产品，按规定手续办理贷款流程。</w:t>
      </w:r>
    </w:p>
    <w:p>
      <w:pPr>
        <w:spacing w:line="360" w:lineRule="auto"/>
        <w:ind w:firstLine="482" w:firstLineChars="200"/>
        <w:rPr>
          <w:rFonts w:ascii="仿宋" w:hAnsi="仿宋" w:eastAsia="仿宋"/>
          <w:b/>
          <w:sz w:val="24"/>
        </w:rPr>
      </w:pPr>
      <w:r>
        <w:rPr>
          <w:rFonts w:hint="eastAsia" w:ascii="仿宋" w:hAnsi="仿宋" w:eastAsia="仿宋"/>
          <w:b/>
          <w:sz w:val="24"/>
        </w:rPr>
        <w:t>四、注意事项</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sz w:val="24"/>
        </w:rPr>
      </w:pPr>
      <w:r>
        <w:rPr>
          <w:rFonts w:ascii="仿宋" w:hAnsi="仿宋" w:eastAsia="仿宋"/>
          <w:sz w:val="24"/>
        </w:rPr>
        <w:t>2</w:t>
      </w:r>
      <w:r>
        <w:rPr>
          <w:rFonts w:hint="eastAsia" w:ascii="仿宋" w:hAnsi="仿宋" w:eastAsia="仿宋"/>
          <w:sz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rPr>
        <w:t>。</w:t>
      </w:r>
    </w:p>
    <w:p>
      <w:pPr>
        <w:spacing w:line="360" w:lineRule="auto"/>
        <w:ind w:left="5060" w:hanging="5060" w:hangingChars="2100"/>
        <w:rPr>
          <w:rFonts w:ascii="仿宋_GB2312" w:hAnsi="仿宋" w:eastAsia="仿宋_GB2312" w:cs="仿宋_GB2312"/>
          <w:b/>
          <w:bCs/>
          <w:kern w:val="0"/>
          <w:sz w:val="24"/>
        </w:rPr>
      </w:pPr>
    </w:p>
    <w:p>
      <w:bookmarkStart w:id="599" w:name="_Toc465665161"/>
      <w:r>
        <w:rPr>
          <w:rFonts w:hint="eastAsia"/>
        </w:rPr>
        <w:br w:type="page"/>
      </w:r>
    </w:p>
    <w:bookmarkEnd w:id="599"/>
    <w:p>
      <w:pPr>
        <w:spacing w:line="360" w:lineRule="auto"/>
        <w:outlineLvl w:val="0"/>
        <w:rPr>
          <w:rFonts w:ascii="仿宋_GB2312" w:hAnsi="仿宋" w:eastAsia="仿宋_GB2312"/>
          <w:b/>
          <w:spacing w:val="6"/>
          <w:sz w:val="32"/>
          <w:szCs w:val="32"/>
        </w:rPr>
      </w:pPr>
      <w:bookmarkStart w:id="600" w:name="_Toc22391"/>
      <w:bookmarkStart w:id="601" w:name="_Toc29798"/>
      <w:r>
        <w:rPr>
          <w:rFonts w:hint="eastAsia" w:ascii="仿宋_GB2312" w:hAnsi="仿宋" w:eastAsia="仿宋_GB2312"/>
          <w:b/>
          <w:spacing w:val="6"/>
          <w:sz w:val="32"/>
          <w:szCs w:val="32"/>
        </w:rPr>
        <w:t>附件</w:t>
      </w:r>
      <w:r>
        <w:rPr>
          <w:rFonts w:ascii="仿宋_GB2312" w:hAnsi="仿宋" w:eastAsia="仿宋_GB2312"/>
          <w:b/>
          <w:spacing w:val="6"/>
          <w:sz w:val="32"/>
          <w:szCs w:val="32"/>
        </w:rPr>
        <w:t>1：</w:t>
      </w:r>
      <w:bookmarkEnd w:id="600"/>
      <w:bookmarkEnd w:id="601"/>
    </w:p>
    <w:p>
      <w:pPr>
        <w:spacing w:line="360" w:lineRule="auto"/>
        <w:jc w:val="center"/>
        <w:rPr>
          <w:rFonts w:ascii="仿宋_GB2312" w:hAnsi="仿宋" w:eastAsia="仿宋_GB2312"/>
          <w:b/>
          <w:spacing w:val="6"/>
          <w:sz w:val="32"/>
          <w:szCs w:val="32"/>
        </w:rPr>
      </w:pPr>
      <w:bookmarkStart w:id="602" w:name="OLE_LINK14"/>
      <w:bookmarkStart w:id="603" w:name="OLE_LINK13"/>
      <w:r>
        <w:rPr>
          <w:rFonts w:hint="eastAsia" w:ascii="仿宋_GB2312" w:hAnsi="仿宋" w:eastAsia="仿宋_GB2312"/>
          <w:b/>
          <w:spacing w:val="6"/>
          <w:sz w:val="32"/>
          <w:szCs w:val="32"/>
        </w:rPr>
        <w:t>残疾人福利性单位声明函</w:t>
      </w:r>
    </w:p>
    <w:bookmarkEnd w:id="602"/>
    <w:bookmarkEnd w:id="603"/>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pPr>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pPr>
        <w:spacing w:line="360" w:lineRule="auto"/>
        <w:ind w:firstLine="480" w:firstLineChars="200"/>
        <w:rPr>
          <w:rFonts w:ascii="仿宋_GB2312" w:hAnsi="仿宋" w:eastAsia="仿宋_GB2312" w:cs="仿宋_GB2312"/>
          <w:sz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rPr>
          <w:rFonts w:ascii="仿宋_GB2312" w:hAnsi="仿宋" w:eastAsia="仿宋_GB2312"/>
          <w:b/>
          <w:spacing w:val="6"/>
          <w:sz w:val="32"/>
          <w:szCs w:val="32"/>
        </w:rPr>
      </w:pPr>
      <w:r>
        <w:rPr>
          <w:rFonts w:hint="eastAsia" w:ascii="仿宋_GB2312" w:hAnsi="仿宋" w:eastAsia="仿宋_GB2312"/>
          <w:b/>
          <w:spacing w:val="6"/>
          <w:sz w:val="32"/>
          <w:szCs w:val="32"/>
        </w:rPr>
        <w:br w:type="page"/>
      </w:r>
    </w:p>
    <w:p>
      <w:pPr>
        <w:spacing w:line="360" w:lineRule="auto"/>
        <w:jc w:val="left"/>
        <w:outlineLvl w:val="0"/>
        <w:rPr>
          <w:rFonts w:ascii="仿宋_GB2312" w:hAnsi="仿宋" w:eastAsia="仿宋_GB2312"/>
          <w:b/>
          <w:spacing w:val="6"/>
          <w:sz w:val="32"/>
          <w:szCs w:val="32"/>
        </w:rPr>
      </w:pPr>
      <w:bookmarkStart w:id="604" w:name="_Toc17349"/>
      <w:bookmarkStart w:id="605" w:name="_Toc16759"/>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bookmarkEnd w:id="604"/>
      <w:bookmarkEnd w:id="605"/>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质疑函制作说明：</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outlineLvl w:val="0"/>
        <w:rPr>
          <w:rFonts w:ascii="仿宋_GB2312" w:hAnsi="仿宋" w:eastAsia="仿宋_GB2312"/>
          <w:b/>
          <w:spacing w:val="6"/>
          <w:sz w:val="32"/>
          <w:szCs w:val="32"/>
        </w:rPr>
      </w:pPr>
      <w:bookmarkStart w:id="606" w:name="_Toc15968"/>
      <w:bookmarkStart w:id="607" w:name="_Toc31242"/>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bookmarkEnd w:id="606"/>
      <w:bookmarkEnd w:id="607"/>
    </w:p>
    <w:p>
      <w:pPr>
        <w:spacing w:line="360" w:lineRule="auto"/>
        <w:jc w:val="center"/>
        <w:rPr>
          <w:rFonts w:ascii="仿宋_GB2312" w:hAnsi="仿宋" w:eastAsia="仿宋_GB2312"/>
          <w:b/>
          <w:sz w:val="24"/>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sz w:val="24"/>
        </w:rPr>
      </w:pPr>
      <w:r>
        <w:rPr>
          <w:rFonts w:hint="eastAsia" w:ascii="仿宋_GB2312" w:hAnsi="仿宋" w:eastAsia="仿宋_GB2312"/>
          <w:sz w:val="24"/>
        </w:rPr>
        <w:t>一、投诉相关主体基本情况</w:t>
      </w:r>
    </w:p>
    <w:p>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二、投诉项目基本情况</w:t>
      </w:r>
    </w:p>
    <w:p>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三、质疑基本情况</w:t>
      </w:r>
    </w:p>
    <w:p>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pPr>
        <w:spacing w:line="360" w:lineRule="auto"/>
        <w:rPr>
          <w:rFonts w:ascii="仿宋_GB2312" w:hAnsi="仿宋" w:eastAsia="仿宋_GB2312"/>
          <w:sz w:val="24"/>
        </w:rPr>
      </w:pPr>
      <w:r>
        <w:rPr>
          <w:rFonts w:hint="eastAsia" w:ascii="仿宋_GB2312" w:hAnsi="仿宋" w:eastAsia="仿宋_GB2312"/>
          <w:sz w:val="24"/>
        </w:rPr>
        <w:t>四、投诉事项具体内容</w:t>
      </w:r>
    </w:p>
    <w:p>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rPr>
          <w:rFonts w:ascii="仿宋_GB2312" w:hAnsi="仿宋" w:eastAsia="仿宋_GB2312"/>
          <w:sz w:val="24"/>
          <w:u w:val="single"/>
        </w:rPr>
      </w:pPr>
      <w:r>
        <w:rPr>
          <w:rFonts w:ascii="仿宋_GB2312" w:hAnsi="仿宋" w:eastAsia="仿宋_GB2312"/>
          <w:sz w:val="24"/>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投诉书制作说明：</w:t>
      </w:r>
    </w:p>
    <w:p>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sz w:val="24"/>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outlineLvl w:val="0"/>
        <w:rPr>
          <w:rFonts w:ascii="仿宋" w:hAnsi="仿宋" w:eastAsia="仿宋"/>
          <w:b/>
          <w:bCs/>
          <w:sz w:val="32"/>
          <w:szCs w:val="32"/>
        </w:rPr>
      </w:pPr>
      <w:bookmarkStart w:id="608" w:name="_Toc21461"/>
      <w:bookmarkStart w:id="609" w:name="_Toc28546"/>
      <w:r>
        <w:rPr>
          <w:rFonts w:hint="eastAsia" w:ascii="仿宋" w:hAnsi="仿宋" w:eastAsia="仿宋"/>
          <w:b/>
          <w:spacing w:val="6"/>
          <w:sz w:val="32"/>
          <w:szCs w:val="32"/>
        </w:rPr>
        <w:t>附件</w:t>
      </w:r>
      <w:r>
        <w:rPr>
          <w:rFonts w:ascii="仿宋" w:hAnsi="仿宋" w:eastAsia="仿宋"/>
          <w:b/>
          <w:spacing w:val="6"/>
          <w:sz w:val="32"/>
          <w:szCs w:val="32"/>
        </w:rPr>
        <w:t>4：</w:t>
      </w:r>
      <w:r>
        <w:rPr>
          <w:rFonts w:hint="eastAsia" w:ascii="仿宋" w:hAnsi="仿宋" w:eastAsia="仿宋"/>
          <w:b/>
          <w:bCs/>
          <w:sz w:val="32"/>
          <w:szCs w:val="32"/>
        </w:rPr>
        <w:t>业务专用章使用说明函</w:t>
      </w:r>
      <w:bookmarkEnd w:id="608"/>
      <w:bookmarkEnd w:id="609"/>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spacing w:line="360" w:lineRule="auto"/>
        <w:jc w:val="center"/>
        <w:outlineLvl w:val="0"/>
        <w:rPr>
          <w:rFonts w:ascii="仿宋_GB2312" w:hAnsi="宋体" w:eastAsia="仿宋_GB2312"/>
          <w:b/>
          <w:sz w:val="32"/>
          <w:szCs w:val="32"/>
        </w:rPr>
      </w:pPr>
      <w:bookmarkStart w:id="610" w:name="_Toc30192"/>
      <w:bookmarkStart w:id="611" w:name="_Toc30742"/>
      <w:r>
        <w:rPr>
          <w:rFonts w:hint="eastAsia" w:ascii="仿宋_GB2312" w:hAnsi="仿宋" w:eastAsia="仿宋_GB2312" w:cs="仿宋_GB2312"/>
          <w:b/>
          <w:sz w:val="32"/>
          <w:szCs w:val="32"/>
        </w:rPr>
        <w:t>附件5：</w:t>
      </w:r>
      <w:bookmarkEnd w:id="610"/>
      <w:bookmarkEnd w:id="611"/>
    </w:p>
    <w:p>
      <w:pPr>
        <w:spacing w:line="360" w:lineRule="auto"/>
        <w:jc w:val="center"/>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中小企业声明函（货物）</w:t>
      </w:r>
    </w:p>
    <w:p>
      <w:pPr>
        <w:spacing w:line="360" w:lineRule="auto"/>
        <w:ind w:firstLine="480" w:firstLineChars="200"/>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本公司（联合体）郑重声明，根据《政府采购促进中小企业发展管理办法》（财库</w:t>
      </w:r>
      <w:r>
        <w:rPr>
          <w:rFonts w:hint="eastAsia" w:ascii="宋体" w:hAnsi="宋体" w:cs="宋体"/>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2020</w:t>
      </w:r>
      <w:r>
        <w:rPr>
          <w:rFonts w:hint="eastAsia" w:ascii="宋体" w:hAnsi="宋体" w:cs="宋体"/>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46 </w:t>
      </w:r>
      <w:r>
        <w:rPr>
          <w:rFonts w:hint="eastAsia" w:ascii="仿宋_GB2312" w:hAnsi="宋体" w:eastAsia="仿宋_GB2312"/>
          <w:color w:val="000000" w:themeColor="text1"/>
          <w:sz w:val="24"/>
          <w14:textFill>
            <w14:solidFill>
              <w14:schemeClr w14:val="tx1"/>
            </w14:solidFill>
          </w14:textFill>
        </w:rPr>
        <w:t>号）的规定，本公司（联合体）参加</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（单位名称）</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的</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（项目名称）</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1.</w:t>
      </w:r>
      <w:r>
        <w:rPr>
          <w:color w:val="000000" w:themeColor="text1"/>
          <w14:textFill>
            <w14:solidFill>
              <w14:schemeClr w14:val="tx1"/>
            </w14:solidFill>
          </w14:textFill>
        </w:rPr>
        <w:t xml:space="preserve"> </w:t>
      </w:r>
      <w:r>
        <w:rPr>
          <w:rFonts w:hint="eastAsia" w:ascii="仿宋_GB2312" w:hAnsi="宋体" w:eastAsia="仿宋_GB2312"/>
          <w:color w:val="000000" w:themeColor="text1"/>
          <w:sz w:val="24"/>
          <w:u w:val="single"/>
          <w14:textFill>
            <w14:solidFill>
              <w14:schemeClr w14:val="tx1"/>
            </w14:solidFill>
          </w14:textFill>
        </w:rPr>
        <w:t>（标的名称）</w:t>
      </w:r>
      <w:r>
        <w:rPr>
          <w:rFonts w:ascii="仿宋_GB2312" w:hAnsi="宋体" w:eastAsia="仿宋_GB2312"/>
          <w:color w:val="000000" w:themeColor="text1"/>
          <w:sz w:val="24"/>
          <w14:textFill>
            <w14:solidFill>
              <w14:schemeClr w14:val="tx1"/>
            </w14:solidFill>
          </w14:textFill>
        </w:rPr>
        <w:t xml:space="preserve"> ，属于 </w:t>
      </w:r>
      <w:r>
        <w:rPr>
          <w:rFonts w:hint="eastAsia" w:ascii="仿宋_GB2312" w:hAnsi="宋体" w:eastAsia="仿宋_GB2312"/>
          <w:color w:val="000000" w:themeColor="text1"/>
          <w:sz w:val="24"/>
          <w:u w:val="single"/>
          <w14:textFill>
            <w14:solidFill>
              <w14:schemeClr w14:val="tx1"/>
            </w14:solidFill>
          </w14:textFill>
        </w:rPr>
        <w:t>（采购文件中明确的所属行业）</w:t>
      </w:r>
      <w:r>
        <w:rPr>
          <w:rFonts w:hint="eastAsia" w:ascii="仿宋_GB2312" w:hAnsi="宋体" w:eastAsia="仿宋_GB2312"/>
          <w:color w:val="000000" w:themeColor="text1"/>
          <w:sz w:val="24"/>
          <w14:textFill>
            <w14:solidFill>
              <w14:schemeClr w14:val="tx1"/>
            </w14:solidFill>
          </w14:textFill>
        </w:rPr>
        <w:t>行业</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；制造商为</w:t>
      </w:r>
      <w:r>
        <w:rPr>
          <w:rFonts w:ascii="仿宋_GB2312" w:hAnsi="宋体" w:eastAsia="仿宋_GB2312"/>
          <w:color w:val="000000" w:themeColor="text1"/>
          <w:sz w:val="24"/>
          <w:u w:val="single"/>
          <w14:textFill>
            <w14:solidFill>
              <w14:schemeClr w14:val="tx1"/>
            </w14:solidFill>
          </w14:textFill>
        </w:rPr>
        <w:t xml:space="preserve"> （企业名称）</w:t>
      </w:r>
      <w:r>
        <w:rPr>
          <w:rFonts w:ascii="仿宋_GB2312" w:hAnsi="宋体" w:eastAsia="仿宋_GB2312"/>
          <w:color w:val="000000" w:themeColor="text1"/>
          <w:sz w:val="24"/>
          <w14:textFill>
            <w14:solidFill>
              <w14:schemeClr w14:val="tx1"/>
            </w14:solidFill>
          </w14:textFill>
        </w:rPr>
        <w:t xml:space="preserve"> ，从业人员</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人，营业收入为</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万元，资产总额为</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万元，属于</w:t>
      </w:r>
      <w:r>
        <w:rPr>
          <w:rFonts w:ascii="仿宋_GB2312" w:hAnsi="宋体" w:eastAsia="仿宋_GB2312"/>
          <w:color w:val="000000" w:themeColor="text1"/>
          <w:sz w:val="24"/>
          <w:u w:val="single"/>
          <w14:textFill>
            <w14:solidFill>
              <w14:schemeClr w14:val="tx1"/>
            </w14:solidFill>
          </w14:textFill>
        </w:rPr>
        <w:t xml:space="preserve"> （中型企业、小型企业、微型企业）</w:t>
      </w:r>
      <w:r>
        <w:rPr>
          <w:rFonts w:ascii="仿宋_GB2312" w:hAnsi="宋体" w:eastAsia="仿宋_GB2312"/>
          <w:color w:val="000000" w:themeColor="text1"/>
          <w:sz w:val="24"/>
          <w14:textFill>
            <w14:solidFill>
              <w14:schemeClr w14:val="tx1"/>
            </w14:solidFill>
          </w14:textFill>
        </w:rPr>
        <w:t xml:space="preserve"> ；</w:t>
      </w:r>
    </w:p>
    <w:p>
      <w:pPr>
        <w:spacing w:line="360" w:lineRule="auto"/>
        <w:ind w:firstLine="480" w:firstLineChars="200"/>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2.</w:t>
      </w:r>
      <w:r>
        <w:rPr>
          <w:color w:val="000000" w:themeColor="text1"/>
          <w14:textFill>
            <w14:solidFill>
              <w14:schemeClr w14:val="tx1"/>
            </w14:solidFill>
          </w14:textFill>
        </w:rPr>
        <w:t xml:space="preserve"> </w:t>
      </w:r>
      <w:r>
        <w:rPr>
          <w:rFonts w:hint="eastAsia" w:ascii="仿宋_GB2312" w:hAnsi="宋体" w:eastAsia="仿宋_GB2312"/>
          <w:color w:val="000000" w:themeColor="text1"/>
          <w:sz w:val="24"/>
          <w:u w:val="single"/>
          <w14:textFill>
            <w14:solidFill>
              <w14:schemeClr w14:val="tx1"/>
            </w14:solidFill>
          </w14:textFill>
        </w:rPr>
        <w:t>（标的名称）</w:t>
      </w:r>
      <w:r>
        <w:rPr>
          <w:rFonts w:ascii="仿宋_GB2312" w:hAnsi="宋体" w:eastAsia="仿宋_GB2312"/>
          <w:color w:val="000000" w:themeColor="text1"/>
          <w:sz w:val="24"/>
          <w14:textFill>
            <w14:solidFill>
              <w14:schemeClr w14:val="tx1"/>
            </w14:solidFill>
          </w14:textFill>
        </w:rPr>
        <w:t xml:space="preserve"> ，属于 </w:t>
      </w:r>
      <w:r>
        <w:rPr>
          <w:rFonts w:hint="eastAsia" w:ascii="仿宋_GB2312" w:hAnsi="宋体" w:eastAsia="仿宋_GB2312"/>
          <w:color w:val="000000" w:themeColor="text1"/>
          <w:sz w:val="24"/>
          <w:u w:val="single"/>
          <w14:textFill>
            <w14:solidFill>
              <w14:schemeClr w14:val="tx1"/>
            </w14:solidFill>
          </w14:textFill>
        </w:rPr>
        <w:t>（采购文件中明确的所属行业）</w:t>
      </w:r>
      <w:r>
        <w:rPr>
          <w:rFonts w:hint="eastAsia" w:ascii="仿宋_GB2312" w:hAnsi="宋体" w:eastAsia="仿宋_GB2312"/>
          <w:color w:val="000000" w:themeColor="text1"/>
          <w:sz w:val="24"/>
          <w14:textFill>
            <w14:solidFill>
              <w14:schemeClr w14:val="tx1"/>
            </w14:solidFill>
          </w14:textFill>
        </w:rPr>
        <w:t>行业</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；制造商为</w:t>
      </w:r>
      <w:r>
        <w:rPr>
          <w:rFonts w:ascii="仿宋_GB2312" w:hAnsi="宋体" w:eastAsia="仿宋_GB2312"/>
          <w:color w:val="000000" w:themeColor="text1"/>
          <w:sz w:val="24"/>
          <w:u w:val="single"/>
          <w14:textFill>
            <w14:solidFill>
              <w14:schemeClr w14:val="tx1"/>
            </w14:solidFill>
          </w14:textFill>
        </w:rPr>
        <w:t xml:space="preserve"> （企业名称）</w:t>
      </w:r>
      <w:r>
        <w:rPr>
          <w:rFonts w:ascii="仿宋_GB2312" w:hAnsi="宋体" w:eastAsia="仿宋_GB2312"/>
          <w:color w:val="000000" w:themeColor="text1"/>
          <w:sz w:val="24"/>
          <w14:textFill>
            <w14:solidFill>
              <w14:schemeClr w14:val="tx1"/>
            </w14:solidFill>
          </w14:textFill>
        </w:rPr>
        <w:t xml:space="preserve"> ，从业人员</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人，营业收入为</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万元，资产总额为</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万元，属于</w:t>
      </w:r>
      <w:r>
        <w:rPr>
          <w:rFonts w:ascii="仿宋_GB2312" w:hAnsi="宋体" w:eastAsia="仿宋_GB2312"/>
          <w:color w:val="000000" w:themeColor="text1"/>
          <w:sz w:val="24"/>
          <w:u w:val="single"/>
          <w14:textFill>
            <w14:solidFill>
              <w14:schemeClr w14:val="tx1"/>
            </w14:solidFill>
          </w14:textFill>
        </w:rPr>
        <w:t xml:space="preserve"> （中型企业、小型企业、微型企业）</w:t>
      </w:r>
      <w:r>
        <w:rPr>
          <w:rFonts w:ascii="仿宋_GB2312" w:hAnsi="宋体" w:eastAsia="仿宋_GB2312"/>
          <w:color w:val="000000" w:themeColor="text1"/>
          <w:sz w:val="24"/>
          <w14:textFill>
            <w14:solidFill>
              <w14:schemeClr w14:val="tx1"/>
            </w14:solidFill>
          </w14:textFill>
        </w:rPr>
        <w:t xml:space="preserve"> ；</w:t>
      </w:r>
    </w:p>
    <w:p>
      <w:pPr>
        <w:spacing w:line="360" w:lineRule="auto"/>
        <w:ind w:firstLine="480" w:firstLineChars="200"/>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p>
    <w:p>
      <w:pPr>
        <w:spacing w:line="360" w:lineRule="auto"/>
        <w:ind w:firstLine="480" w:firstLineChars="200"/>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color w:val="000000" w:themeColor="text1"/>
          <w:kern w:val="0"/>
          <w:sz w:val="24"/>
          <w14:textFill>
            <w14:solidFill>
              <w14:schemeClr w14:val="tx1"/>
            </w14:solidFill>
          </w14:textFill>
        </w:rPr>
      </w:pPr>
      <w:r>
        <w:rPr>
          <w:rFonts w:hint="eastAsia" w:ascii="仿宋_GB2312" w:hAnsi="仿宋" w:eastAsia="仿宋_GB2312" w:cs="仿宋_GB2312"/>
          <w:color w:val="000000" w:themeColor="text1"/>
          <w:kern w:val="0"/>
          <w:sz w:val="24"/>
          <w:lang w:val="zh-CN"/>
          <w14:textFill>
            <w14:solidFill>
              <w14:schemeClr w14:val="tx1"/>
            </w14:solidFill>
          </w14:textFill>
        </w:rPr>
        <w:t>投标人名称</w:t>
      </w:r>
      <w:r>
        <w:rPr>
          <w:rFonts w:ascii="仿宋_GB2312" w:hAnsi="仿宋" w:eastAsia="仿宋_GB2312" w:cs="仿宋_GB2312"/>
          <w:color w:val="000000" w:themeColor="text1"/>
          <w:kern w:val="0"/>
          <w:sz w:val="24"/>
          <w:lang w:val="zh-CN"/>
          <w14:textFill>
            <w14:solidFill>
              <w14:schemeClr w14:val="tx1"/>
            </w14:solidFill>
          </w14:textFill>
        </w:rPr>
        <w:t>(电子签名)：</w:t>
      </w:r>
    </w:p>
    <w:p>
      <w:pPr>
        <w:snapToGrid w:val="0"/>
        <w:spacing w:line="360" w:lineRule="auto"/>
        <w:rPr>
          <w:rFonts w:ascii="仿宋_GB2312" w:hAnsi="仿宋" w:eastAsia="仿宋_GB2312" w:cs="仿宋_GB2312"/>
          <w:color w:val="000000" w:themeColor="text1"/>
          <w:kern w:val="0"/>
          <w:sz w:val="24"/>
          <w:lang w:val="zh-CN"/>
          <w14:textFill>
            <w14:solidFill>
              <w14:schemeClr w14:val="tx1"/>
            </w14:solidFill>
          </w14:textFill>
        </w:rPr>
      </w:pPr>
      <w:r>
        <w:rPr>
          <w:rFonts w:ascii="仿宋_GB2312" w:hAnsi="仿宋" w:eastAsia="仿宋_GB2312" w:cs="仿宋_GB2312"/>
          <w:color w:val="000000" w:themeColor="text1"/>
          <w:kern w:val="0"/>
          <w:sz w:val="24"/>
          <w:lang w:val="zh-CN"/>
          <w14:textFill>
            <w14:solidFill>
              <w14:schemeClr w14:val="tx1"/>
            </w14:solidFill>
          </w14:textFill>
        </w:rPr>
        <w:t xml:space="preserve">                                           日期</w:t>
      </w:r>
      <w:r>
        <w:rPr>
          <w:rFonts w:hint="eastAsia" w:ascii="仿宋_GB2312" w:hAnsi="仿宋" w:eastAsia="仿宋_GB2312" w:cs="仿宋_GB2312"/>
          <w:color w:val="000000" w:themeColor="text1"/>
          <w:kern w:val="0"/>
          <w:sz w:val="24"/>
          <w14:textFill>
            <w14:solidFill>
              <w14:schemeClr w14:val="tx1"/>
            </w14:solidFill>
          </w14:textFill>
        </w:rPr>
        <w:t>：</w:t>
      </w:r>
      <w:r>
        <w:rPr>
          <w:rFonts w:ascii="仿宋_GB2312" w:hAnsi="仿宋" w:eastAsia="仿宋_GB2312" w:cs="仿宋_GB2312"/>
          <w:color w:val="000000" w:themeColor="text1"/>
          <w:kern w:val="0"/>
          <w:sz w:val="24"/>
          <w14:textFill>
            <w14:solidFill>
              <w14:schemeClr w14:val="tx1"/>
            </w14:solidFill>
          </w14:textFill>
        </w:rPr>
        <w:t xml:space="preserve">  年  </w:t>
      </w:r>
      <w:r>
        <w:rPr>
          <w:rFonts w:hint="eastAsia" w:ascii="仿宋_GB2312" w:hAnsi="仿宋" w:eastAsia="仿宋_GB2312" w:cs="仿宋_GB2312"/>
          <w:color w:val="000000" w:themeColor="text1"/>
          <w:kern w:val="0"/>
          <w:sz w:val="24"/>
          <w:lang w:val="zh-CN"/>
          <w14:textFill>
            <w14:solidFill>
              <w14:schemeClr w14:val="tx1"/>
            </w14:solidFill>
          </w14:textFill>
        </w:rPr>
        <w:t>月</w:t>
      </w:r>
      <w:r>
        <w:rPr>
          <w:rFonts w:ascii="仿宋_GB2312" w:hAnsi="仿宋" w:eastAsia="仿宋_GB2312" w:cs="仿宋_GB2312"/>
          <w:color w:val="000000" w:themeColor="text1"/>
          <w:kern w:val="0"/>
          <w:sz w:val="24"/>
          <w14:textFill>
            <w14:solidFill>
              <w14:schemeClr w14:val="tx1"/>
            </w14:solidFill>
          </w14:textFill>
        </w:rPr>
        <w:t xml:space="preserve">   </w:t>
      </w:r>
      <w:r>
        <w:rPr>
          <w:rFonts w:hint="eastAsia" w:ascii="仿宋_GB2312" w:hAnsi="仿宋" w:eastAsia="仿宋_GB2312" w:cs="仿宋_GB2312"/>
          <w:color w:val="000000" w:themeColor="text1"/>
          <w:kern w:val="0"/>
          <w:sz w:val="24"/>
          <w:lang w:val="zh-CN"/>
          <w14:textFill>
            <w14:solidFill>
              <w14:schemeClr w14:val="tx1"/>
            </w14:solidFill>
          </w14:textFill>
        </w:rPr>
        <w:t>日</w:t>
      </w:r>
    </w:p>
    <w:p>
      <w:pPr>
        <w:spacing w:line="360" w:lineRule="auto"/>
        <w:ind w:firstLine="310" w:firstLineChars="147"/>
        <w:jc w:val="left"/>
        <w:rPr>
          <w:rFonts w:ascii="仿宋_GB2312" w:hAnsi="宋体" w:eastAsia="仿宋_GB2312"/>
          <w:b/>
          <w:color w:val="000000" w:themeColor="text1"/>
          <w:szCs w:val="21"/>
          <w14:textFill>
            <w14:solidFill>
              <w14:schemeClr w14:val="tx1"/>
            </w14:solidFill>
          </w14:textFill>
        </w:rPr>
      </w:pPr>
    </w:p>
    <w:p>
      <w:pPr>
        <w:spacing w:line="360" w:lineRule="auto"/>
        <w:ind w:firstLine="352" w:firstLineChars="147"/>
        <w:jc w:val="left"/>
        <w:rPr>
          <w:rFonts w:ascii="仿宋_GB2312" w:hAnsi="仿宋" w:eastAsia="仿宋_GB2312" w:cs="仿宋_GB2312"/>
          <w:color w:val="000000" w:themeColor="text1"/>
          <w:sz w:val="24"/>
          <w14:textFill>
            <w14:solidFill>
              <w14:schemeClr w14:val="tx1"/>
            </w14:solidFill>
          </w14:textFill>
        </w:rPr>
      </w:pPr>
      <w:r>
        <w:rPr>
          <w:rFonts w:hint="eastAsia" w:ascii="仿宋_GB2312" w:hAnsi="仿宋" w:eastAsia="仿宋_GB2312" w:cs="仿宋_GB2312"/>
          <w:color w:val="000000" w:themeColor="text1"/>
          <w:sz w:val="24"/>
          <w14:textFill>
            <w14:solidFill>
              <w14:schemeClr w14:val="tx1"/>
            </w14:solidFill>
          </w14:textFill>
        </w:rPr>
        <w:t>注：符合《关于促进残疾人就业政府采购政策的通知》（财库〔</w:t>
      </w:r>
      <w:r>
        <w:rPr>
          <w:rFonts w:ascii="仿宋_GB2312" w:hAnsi="仿宋" w:eastAsia="仿宋_GB2312" w:cs="仿宋_GB2312"/>
          <w:color w:val="000000" w:themeColor="text1"/>
          <w:sz w:val="24"/>
          <w14:textFill>
            <w14:solidFill>
              <w14:schemeClr w14:val="tx1"/>
            </w14:solidFill>
          </w14:textFill>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firstLine="310" w:firstLineChars="147"/>
        <w:jc w:val="left"/>
        <w:rPr>
          <w:rFonts w:ascii="仿宋_GB2312" w:hAnsi="仿宋" w:eastAsia="仿宋_GB2312" w:cs="仿宋_GB2312"/>
          <w:sz w:val="24"/>
        </w:rPr>
      </w:pPr>
      <w:r>
        <w:rPr>
          <w:rFonts w:hint="eastAsia" w:ascii="仿宋_GB2312" w:hAnsi="宋体" w:eastAsia="仿宋_GB2312"/>
          <w:b/>
          <w:szCs w:val="21"/>
        </w:rPr>
        <w:t>从业人员、营业收入、资产总额填报上一年度数据，无上一年度数据的新成立企业可不填报。</w:t>
      </w:r>
    </w:p>
    <w:p>
      <w:pPr>
        <w:spacing w:line="360" w:lineRule="auto"/>
        <w:ind w:right="420"/>
        <w:rPr>
          <w:rFonts w:ascii="仿宋_GB2312" w:hAnsi="仿宋" w:eastAsia="仿宋_GB2312" w:cs="仿宋_GB2312"/>
          <w:sz w:val="24"/>
        </w:rPr>
      </w:pPr>
    </w:p>
    <w:p>
      <w:r>
        <w:br w:type="page"/>
      </w:r>
    </w:p>
    <w:p>
      <w:pPr>
        <w:snapToGrid w:val="0"/>
        <w:spacing w:line="400" w:lineRule="exact"/>
        <w:jc w:val="left"/>
        <w:outlineLvl w:val="0"/>
        <w:rPr>
          <w:rFonts w:ascii="仿宋" w:hAnsi="仿宋" w:eastAsia="仿宋" w:cs="仿宋"/>
          <w:b/>
          <w:bCs/>
          <w:sz w:val="32"/>
          <w:szCs w:val="32"/>
        </w:rPr>
      </w:pPr>
      <w:bookmarkStart w:id="612" w:name="_Toc23461"/>
      <w:bookmarkStart w:id="613" w:name="_Toc21347"/>
      <w:r>
        <w:rPr>
          <w:rFonts w:hint="eastAsia" w:ascii="仿宋" w:hAnsi="仿宋" w:eastAsia="仿宋" w:cs="仿宋"/>
          <w:b/>
          <w:bCs/>
          <w:sz w:val="32"/>
          <w:szCs w:val="32"/>
        </w:rPr>
        <w:t>附件6：</w:t>
      </w:r>
      <w:bookmarkEnd w:id="612"/>
      <w:bookmarkEnd w:id="613"/>
    </w:p>
    <w:p>
      <w:pPr>
        <w:autoSpaceDE w:val="0"/>
        <w:autoSpaceDN w:val="0"/>
        <w:snapToGrid w:val="0"/>
        <w:spacing w:line="400" w:lineRule="exact"/>
        <w:jc w:val="center"/>
        <w:outlineLvl w:val="1"/>
        <w:rPr>
          <w:rFonts w:ascii="仿宋" w:hAnsi="仿宋" w:eastAsia="仿宋" w:cs="仿宋"/>
          <w:b/>
          <w:sz w:val="32"/>
          <w:szCs w:val="32"/>
        </w:rPr>
      </w:pPr>
      <w:r>
        <w:rPr>
          <w:rFonts w:hint="eastAsia" w:ascii="仿宋" w:hAnsi="仿宋" w:eastAsia="仿宋" w:cs="仿宋"/>
          <w:b/>
          <w:sz w:val="32"/>
          <w:szCs w:val="32"/>
        </w:rPr>
        <w:t>政府采购活动现场确认声明书</w:t>
      </w:r>
    </w:p>
    <w:p>
      <w:pPr>
        <w:pStyle w:val="24"/>
      </w:pPr>
    </w:p>
    <w:p>
      <w:pPr>
        <w:pStyle w:val="323"/>
        <w:snapToGrid w:val="0"/>
        <w:spacing w:line="400" w:lineRule="exact"/>
        <w:rPr>
          <w:rFonts w:ascii="仿宋" w:hAnsi="仿宋" w:eastAsia="仿宋" w:cs="仿宋"/>
          <w:bCs/>
          <w:color w:val="000000"/>
          <w:sz w:val="24"/>
          <w:szCs w:val="24"/>
        </w:rPr>
      </w:pPr>
      <w:r>
        <w:rPr>
          <w:rFonts w:hint="eastAsia" w:ascii="仿宋" w:hAnsi="仿宋" w:eastAsia="仿宋" w:cs="仿宋"/>
          <w:color w:val="000000"/>
          <w:sz w:val="24"/>
          <w:szCs w:val="24"/>
        </w:rPr>
        <w:t>（</w:t>
      </w:r>
      <w:r>
        <w:rPr>
          <w:rFonts w:hint="eastAsia" w:ascii="仿宋" w:hAnsi="仿宋" w:eastAsia="仿宋" w:cs="仿宋"/>
          <w:color w:val="000000"/>
          <w:spacing w:val="6"/>
          <w:sz w:val="24"/>
          <w:szCs w:val="24"/>
        </w:rPr>
        <w:t>采购人</w:t>
      </w:r>
      <w:r>
        <w:rPr>
          <w:rFonts w:hint="eastAsia" w:ascii="仿宋" w:hAnsi="仿宋" w:eastAsia="仿宋" w:cs="仿宋"/>
          <w:color w:val="000000"/>
          <w:sz w:val="24"/>
          <w:szCs w:val="24"/>
        </w:rPr>
        <w:t>）：</w:t>
      </w:r>
    </w:p>
    <w:p>
      <w:pPr>
        <w:pStyle w:val="32"/>
        <w:spacing w:before="120" w:after="120"/>
        <w:ind w:firstLine="444" w:firstLineChars="200"/>
        <w:rPr>
          <w:rFonts w:ascii="仿宋" w:hAnsi="仿宋" w:eastAsia="仿宋" w:cs="仿宋"/>
          <w:color w:val="000000"/>
          <w:spacing w:val="6"/>
        </w:rPr>
      </w:pPr>
      <w:r>
        <w:rPr>
          <w:rFonts w:hint="eastAsia" w:ascii="仿宋" w:hAnsi="仿宋" w:eastAsia="仿宋" w:cs="仿宋"/>
          <w:color w:val="000000"/>
          <w:spacing w:val="6"/>
        </w:rPr>
        <w:t>本人</w:t>
      </w:r>
      <w:r>
        <w:rPr>
          <w:rFonts w:hint="eastAsia" w:ascii="仿宋" w:hAnsi="仿宋" w:eastAsia="仿宋" w:cs="仿宋"/>
          <w:color w:val="000000"/>
          <w:spacing w:val="6"/>
          <w:u w:val="single"/>
        </w:rPr>
        <w:t xml:space="preserve">        </w:t>
      </w:r>
      <w:r>
        <w:rPr>
          <w:rFonts w:hint="eastAsia" w:ascii="仿宋" w:hAnsi="仿宋" w:eastAsia="仿宋" w:cs="仿宋"/>
          <w:color w:val="000000"/>
          <w:spacing w:val="6"/>
        </w:rPr>
        <w:t>（授权代表姓名），经由</w:t>
      </w:r>
      <w:r>
        <w:rPr>
          <w:rFonts w:hint="eastAsia" w:ascii="仿宋" w:hAnsi="仿宋" w:eastAsia="仿宋" w:cs="仿宋"/>
          <w:color w:val="000000"/>
          <w:spacing w:val="6"/>
          <w:u w:val="single"/>
        </w:rPr>
        <w:t xml:space="preserve">                 </w:t>
      </w:r>
      <w:r>
        <w:rPr>
          <w:rFonts w:hint="eastAsia" w:ascii="仿宋" w:hAnsi="仿宋" w:eastAsia="仿宋" w:cs="仿宋"/>
          <w:color w:val="000000"/>
          <w:spacing w:val="6"/>
        </w:rPr>
        <w:t>（单位）</w:t>
      </w:r>
      <w:r>
        <w:rPr>
          <w:rFonts w:hint="eastAsia" w:ascii="仿宋" w:hAnsi="仿宋" w:eastAsia="仿宋" w:cs="仿宋"/>
          <w:color w:val="000000"/>
          <w:spacing w:val="6"/>
          <w:u w:val="single"/>
        </w:rPr>
        <w:t xml:space="preserve">          </w:t>
      </w:r>
      <w:r>
        <w:rPr>
          <w:rFonts w:hint="eastAsia" w:ascii="仿宋" w:hAnsi="仿宋" w:eastAsia="仿宋" w:cs="仿宋"/>
          <w:color w:val="000000"/>
          <w:spacing w:val="6"/>
        </w:rPr>
        <w:t>（法定代表人姓名）合法授权参加</w:t>
      </w:r>
      <w:r>
        <w:rPr>
          <w:rFonts w:hint="eastAsia" w:ascii="仿宋" w:hAnsi="仿宋" w:eastAsia="仿宋" w:cs="仿宋"/>
        </w:rPr>
        <w:t xml:space="preserve"> </w:t>
      </w:r>
      <w:r>
        <w:rPr>
          <w:rFonts w:hint="eastAsia" w:ascii="仿宋" w:hAnsi="仿宋" w:eastAsia="仿宋" w:cs="仿宋"/>
          <w:color w:val="000000"/>
          <w:spacing w:val="6"/>
          <w:u w:val="single"/>
        </w:rPr>
        <w:t xml:space="preserve">                     （编号：        ）</w:t>
      </w:r>
      <w:r>
        <w:rPr>
          <w:rFonts w:hint="eastAsia" w:ascii="仿宋" w:hAnsi="仿宋" w:eastAsia="仿宋" w:cs="仿宋"/>
          <w:color w:val="000000"/>
          <w:spacing w:val="6"/>
        </w:rPr>
        <w:t xml:space="preserve">政府采购活动，经与本单位法人代表（负责人）联系确认，现就有关公平竞争事项郑重声明如下： </w:t>
      </w:r>
    </w:p>
    <w:p>
      <w:pPr>
        <w:pStyle w:val="324"/>
        <w:widowControl/>
        <w:numPr>
          <w:ilvl w:val="0"/>
          <w:numId w:val="3"/>
        </w:numPr>
        <w:snapToGrid w:val="0"/>
        <w:spacing w:line="400" w:lineRule="exact"/>
        <w:ind w:firstLine="453" w:firstLineChars="189"/>
        <w:rPr>
          <w:rFonts w:ascii="仿宋" w:hAnsi="仿宋" w:eastAsia="仿宋" w:cs="仿宋"/>
          <w:color w:val="000000"/>
          <w:kern w:val="0"/>
        </w:rPr>
      </w:pPr>
      <w:r>
        <w:rPr>
          <w:rFonts w:hint="eastAsia" w:ascii="仿宋" w:hAnsi="仿宋" w:eastAsia="仿宋" w:cs="仿宋"/>
          <w:color w:val="000000"/>
          <w:kern w:val="0"/>
        </w:rPr>
        <w:t>本单位与采购人之间 □不存在利害关系 □存在下列利害关系</w:t>
      </w:r>
      <w:r>
        <w:rPr>
          <w:rFonts w:hint="eastAsia" w:ascii="仿宋" w:hAnsi="仿宋" w:eastAsia="仿宋" w:cs="仿宋"/>
          <w:color w:val="000000"/>
          <w:kern w:val="0"/>
          <w:u w:val="single"/>
        </w:rPr>
        <w:t xml:space="preserve">           </w:t>
      </w:r>
      <w:r>
        <w:rPr>
          <w:rFonts w:hint="eastAsia" w:ascii="仿宋" w:hAnsi="仿宋" w:eastAsia="仿宋" w:cs="仿宋"/>
          <w:color w:val="000000"/>
          <w:kern w:val="0"/>
        </w:rPr>
        <w:t>：</w:t>
      </w:r>
    </w:p>
    <w:p>
      <w:pPr>
        <w:pStyle w:val="324"/>
        <w:widowControl/>
        <w:snapToGrid w:val="0"/>
        <w:spacing w:line="400" w:lineRule="exact"/>
        <w:rPr>
          <w:rFonts w:ascii="仿宋" w:hAnsi="仿宋" w:eastAsia="仿宋" w:cs="仿宋"/>
          <w:color w:val="000000"/>
          <w:kern w:val="0"/>
        </w:rPr>
      </w:pPr>
      <w:r>
        <w:rPr>
          <w:rFonts w:hint="eastAsia" w:ascii="仿宋" w:hAnsi="仿宋" w:eastAsia="仿宋" w:cs="仿宋"/>
          <w:color w:val="000000"/>
          <w:kern w:val="0"/>
        </w:rPr>
        <w:t xml:space="preserve">  A.投资关系    B.行政隶属关系    C.业务指导关系</w:t>
      </w:r>
    </w:p>
    <w:p>
      <w:pPr>
        <w:pStyle w:val="324"/>
        <w:widowControl/>
        <w:snapToGrid w:val="0"/>
        <w:spacing w:line="400" w:lineRule="exact"/>
        <w:rPr>
          <w:rFonts w:ascii="仿宋" w:hAnsi="仿宋" w:eastAsia="仿宋" w:cs="仿宋"/>
          <w:color w:val="000000"/>
          <w:kern w:val="0"/>
        </w:rPr>
      </w:pPr>
      <w:r>
        <w:rPr>
          <w:rFonts w:hint="eastAsia" w:ascii="仿宋" w:hAnsi="仿宋" w:eastAsia="仿宋" w:cs="仿宋"/>
          <w:color w:val="000000"/>
          <w:kern w:val="0"/>
        </w:rPr>
        <w:t xml:space="preserve">  D.其他可能</w:t>
      </w:r>
      <w:r>
        <w:rPr>
          <w:rFonts w:hint="eastAsia" w:ascii="仿宋" w:hAnsi="仿宋" w:eastAsia="仿宋" w:cs="仿宋"/>
          <w:color w:val="000000"/>
        </w:rPr>
        <w:t>影响采购公正的</w:t>
      </w:r>
      <w:r>
        <w:rPr>
          <w:rFonts w:hint="eastAsia" w:ascii="仿宋" w:hAnsi="仿宋" w:eastAsia="仿宋" w:cs="仿宋"/>
          <w:color w:val="000000"/>
          <w:kern w:val="0"/>
        </w:rPr>
        <w:t xml:space="preserve">利害关系（如有，请如实说明） </w:t>
      </w:r>
      <w:r>
        <w:rPr>
          <w:rFonts w:hint="eastAsia" w:ascii="仿宋" w:hAnsi="仿宋" w:eastAsia="仿宋" w:cs="仿宋"/>
          <w:color w:val="000000"/>
          <w:kern w:val="0"/>
          <w:u w:val="single"/>
        </w:rPr>
        <w:t xml:space="preserve">                </w:t>
      </w:r>
      <w:r>
        <w:rPr>
          <w:rFonts w:hint="eastAsia" w:ascii="仿宋" w:hAnsi="仿宋" w:eastAsia="仿宋" w:cs="仿宋"/>
          <w:color w:val="000000"/>
          <w:kern w:val="0"/>
        </w:rPr>
        <w:t>。</w:t>
      </w:r>
    </w:p>
    <w:p>
      <w:pPr>
        <w:pStyle w:val="324"/>
        <w:widowControl/>
        <w:numPr>
          <w:ilvl w:val="0"/>
          <w:numId w:val="3"/>
        </w:numPr>
        <w:snapToGrid w:val="0"/>
        <w:spacing w:line="400" w:lineRule="exact"/>
        <w:ind w:firstLine="453" w:firstLineChars="189"/>
        <w:rPr>
          <w:rFonts w:ascii="仿宋" w:hAnsi="仿宋" w:eastAsia="仿宋" w:cs="仿宋"/>
          <w:color w:val="000000"/>
          <w:kern w:val="0"/>
        </w:rPr>
      </w:pPr>
      <w:r>
        <w:rPr>
          <w:rFonts w:hint="eastAsia" w:ascii="仿宋" w:hAnsi="仿宋" w:eastAsia="仿宋" w:cs="仿宋"/>
          <w:color w:val="000000"/>
          <w:kern w:val="0"/>
        </w:rPr>
        <w:t xml:space="preserve">现已清楚知道参加本项目采购活动的其他所有供应商名称，本单位 □与其他所有供应商之间均不存在利害关系 □与 </w:t>
      </w:r>
      <w:r>
        <w:rPr>
          <w:rFonts w:hint="eastAsia" w:ascii="仿宋" w:hAnsi="仿宋" w:eastAsia="仿宋" w:cs="仿宋"/>
          <w:color w:val="000000"/>
          <w:kern w:val="0"/>
          <w:u w:val="single"/>
        </w:rPr>
        <w:t xml:space="preserve">               </w:t>
      </w:r>
      <w:r>
        <w:rPr>
          <w:rFonts w:hint="eastAsia" w:ascii="仿宋" w:hAnsi="仿宋" w:eastAsia="仿宋" w:cs="仿宋"/>
          <w:color w:val="000000"/>
          <w:kern w:val="0"/>
        </w:rPr>
        <w:t>（供应商名称）之间存在下列利害关系</w:t>
      </w:r>
      <w:r>
        <w:rPr>
          <w:rFonts w:hint="eastAsia" w:ascii="仿宋" w:hAnsi="仿宋" w:eastAsia="仿宋" w:cs="仿宋"/>
          <w:color w:val="000000"/>
          <w:kern w:val="0"/>
          <w:u w:val="single"/>
        </w:rPr>
        <w:t xml:space="preserve">               </w:t>
      </w:r>
      <w:r>
        <w:rPr>
          <w:rFonts w:hint="eastAsia" w:ascii="仿宋" w:hAnsi="仿宋" w:eastAsia="仿宋" w:cs="仿宋"/>
          <w:color w:val="000000"/>
          <w:kern w:val="0"/>
        </w:rPr>
        <w:t>：</w:t>
      </w:r>
    </w:p>
    <w:p>
      <w:pPr>
        <w:pStyle w:val="323"/>
        <w:snapToGrid w:val="0"/>
        <w:spacing w:line="400" w:lineRule="exact"/>
        <w:rPr>
          <w:rFonts w:ascii="仿宋" w:hAnsi="仿宋" w:eastAsia="仿宋" w:cs="仿宋"/>
          <w:color w:val="000000"/>
          <w:sz w:val="24"/>
          <w:szCs w:val="24"/>
        </w:rPr>
      </w:pPr>
      <w:r>
        <w:rPr>
          <w:rFonts w:hint="eastAsia" w:ascii="仿宋" w:hAnsi="仿宋" w:eastAsia="仿宋" w:cs="仿宋"/>
          <w:color w:val="000000"/>
          <w:sz w:val="24"/>
          <w:szCs w:val="24"/>
        </w:rPr>
        <w:t xml:space="preserve">  A.法定代表人或负责人或实际控制人是同一人</w:t>
      </w:r>
    </w:p>
    <w:p>
      <w:pPr>
        <w:pStyle w:val="323"/>
        <w:snapToGrid w:val="0"/>
        <w:spacing w:line="400" w:lineRule="exact"/>
        <w:rPr>
          <w:rFonts w:ascii="仿宋" w:hAnsi="仿宋" w:eastAsia="仿宋" w:cs="仿宋"/>
          <w:color w:val="000000"/>
          <w:spacing w:val="6"/>
          <w:sz w:val="24"/>
          <w:szCs w:val="24"/>
        </w:rPr>
      </w:pPr>
      <w:r>
        <w:rPr>
          <w:rFonts w:hint="eastAsia" w:ascii="仿宋" w:hAnsi="仿宋" w:eastAsia="仿宋" w:cs="仿宋"/>
          <w:color w:val="000000"/>
          <w:sz w:val="24"/>
          <w:szCs w:val="24"/>
        </w:rPr>
        <w:t xml:space="preserve">  B.法定代表人或负责人或实际控制人是夫妻关系</w:t>
      </w:r>
    </w:p>
    <w:p>
      <w:pPr>
        <w:pStyle w:val="323"/>
        <w:snapToGrid w:val="0"/>
        <w:spacing w:line="400" w:lineRule="exact"/>
        <w:rPr>
          <w:rFonts w:ascii="仿宋" w:hAnsi="仿宋" w:eastAsia="仿宋" w:cs="仿宋"/>
          <w:color w:val="000000"/>
          <w:spacing w:val="6"/>
          <w:sz w:val="24"/>
          <w:szCs w:val="24"/>
        </w:rPr>
      </w:pPr>
      <w:r>
        <w:rPr>
          <w:rFonts w:hint="eastAsia" w:ascii="仿宋" w:hAnsi="仿宋" w:eastAsia="仿宋" w:cs="仿宋"/>
          <w:color w:val="000000"/>
          <w:sz w:val="24"/>
          <w:szCs w:val="24"/>
        </w:rPr>
        <w:t xml:space="preserve">  C.法定代表人或负责人或实际控制人是直系血亲关系</w:t>
      </w:r>
    </w:p>
    <w:p>
      <w:pPr>
        <w:pStyle w:val="323"/>
        <w:snapToGrid w:val="0"/>
        <w:spacing w:line="400" w:lineRule="exact"/>
        <w:rPr>
          <w:rFonts w:ascii="仿宋" w:hAnsi="仿宋" w:eastAsia="仿宋" w:cs="仿宋"/>
          <w:color w:val="000000"/>
          <w:spacing w:val="6"/>
          <w:sz w:val="24"/>
          <w:szCs w:val="24"/>
        </w:rPr>
      </w:pPr>
      <w:r>
        <w:rPr>
          <w:rFonts w:hint="eastAsia" w:ascii="仿宋" w:hAnsi="仿宋" w:eastAsia="仿宋" w:cs="仿宋"/>
          <w:color w:val="000000"/>
          <w:sz w:val="24"/>
          <w:szCs w:val="24"/>
        </w:rPr>
        <w:t xml:space="preserve">  D.法定代表人或负责人或实际控制人存在三代以内旁系血亲关系</w:t>
      </w:r>
    </w:p>
    <w:p>
      <w:pPr>
        <w:pStyle w:val="323"/>
        <w:snapToGrid w:val="0"/>
        <w:spacing w:line="400" w:lineRule="exact"/>
        <w:rPr>
          <w:rFonts w:ascii="仿宋" w:hAnsi="仿宋" w:eastAsia="仿宋" w:cs="仿宋"/>
          <w:color w:val="000000"/>
          <w:sz w:val="24"/>
          <w:szCs w:val="24"/>
        </w:rPr>
      </w:pPr>
      <w:r>
        <w:rPr>
          <w:rFonts w:hint="eastAsia" w:ascii="仿宋" w:hAnsi="仿宋" w:eastAsia="仿宋" w:cs="仿宋"/>
          <w:color w:val="000000"/>
          <w:sz w:val="24"/>
          <w:szCs w:val="24"/>
        </w:rPr>
        <w:t xml:space="preserve">  E.法定代表人或负责人或实际控制人存在近姻亲关系</w:t>
      </w:r>
    </w:p>
    <w:p>
      <w:pPr>
        <w:pStyle w:val="323"/>
        <w:snapToGrid w:val="0"/>
        <w:spacing w:line="400" w:lineRule="exact"/>
        <w:rPr>
          <w:rFonts w:ascii="仿宋" w:hAnsi="仿宋" w:eastAsia="仿宋" w:cs="仿宋"/>
          <w:color w:val="000000"/>
          <w:sz w:val="24"/>
          <w:szCs w:val="24"/>
        </w:rPr>
      </w:pPr>
      <w:r>
        <w:rPr>
          <w:rFonts w:hint="eastAsia" w:ascii="仿宋" w:hAnsi="仿宋" w:eastAsia="仿宋" w:cs="仿宋"/>
          <w:color w:val="000000"/>
          <w:sz w:val="24"/>
          <w:szCs w:val="24"/>
        </w:rPr>
        <w:t xml:space="preserve">  F.法定代表人或负责人或实际控制人存在股份控制或实际控制关系</w:t>
      </w:r>
    </w:p>
    <w:p>
      <w:pPr>
        <w:pStyle w:val="323"/>
        <w:snapToGrid w:val="0"/>
        <w:spacing w:line="400" w:lineRule="exact"/>
        <w:rPr>
          <w:rFonts w:ascii="仿宋" w:hAnsi="仿宋" w:eastAsia="仿宋" w:cs="仿宋"/>
          <w:color w:val="000000"/>
          <w:sz w:val="24"/>
          <w:szCs w:val="24"/>
        </w:rPr>
      </w:pPr>
      <w:r>
        <w:rPr>
          <w:rFonts w:hint="eastAsia" w:ascii="仿宋" w:hAnsi="仿宋" w:eastAsia="仿宋" w:cs="仿宋"/>
          <w:color w:val="000000"/>
          <w:sz w:val="24"/>
          <w:szCs w:val="24"/>
        </w:rPr>
        <w:t xml:space="preserve">  G.存在共同直接或间接投资设立子公司、联营企业和合营企业情况</w:t>
      </w:r>
    </w:p>
    <w:p>
      <w:pPr>
        <w:pStyle w:val="323"/>
        <w:snapToGrid w:val="0"/>
        <w:spacing w:line="400" w:lineRule="exact"/>
        <w:rPr>
          <w:rFonts w:ascii="仿宋" w:hAnsi="仿宋" w:eastAsia="仿宋" w:cs="仿宋"/>
          <w:color w:val="000000"/>
          <w:sz w:val="24"/>
          <w:szCs w:val="24"/>
        </w:rPr>
      </w:pPr>
      <w:r>
        <w:rPr>
          <w:rFonts w:hint="eastAsia" w:ascii="仿宋" w:hAnsi="仿宋" w:eastAsia="仿宋" w:cs="仿宋"/>
          <w:color w:val="000000"/>
          <w:sz w:val="24"/>
          <w:szCs w:val="24"/>
        </w:rPr>
        <w:t xml:space="preserve">  H.存在分级代理或代销关系、同一生产制造商关系、管理关系、重要业务（占主营业务收入50%以上）或重要财务往来关系（如融资）等其他实质性控制关系</w:t>
      </w:r>
    </w:p>
    <w:p>
      <w:pPr>
        <w:pStyle w:val="323"/>
        <w:snapToGrid w:val="0"/>
        <w:spacing w:line="400" w:lineRule="exact"/>
        <w:outlineLvl w:val="0"/>
        <w:rPr>
          <w:rFonts w:ascii="仿宋" w:hAnsi="仿宋" w:eastAsia="仿宋" w:cs="仿宋"/>
          <w:color w:val="000000"/>
          <w:spacing w:val="6"/>
          <w:sz w:val="24"/>
          <w:szCs w:val="24"/>
        </w:rPr>
      </w:pPr>
      <w:r>
        <w:rPr>
          <w:rFonts w:hint="eastAsia" w:ascii="仿宋" w:hAnsi="仿宋" w:eastAsia="仿宋" w:cs="仿宋"/>
          <w:color w:val="000000"/>
          <w:sz w:val="24"/>
          <w:szCs w:val="24"/>
        </w:rPr>
        <w:t xml:space="preserve">  </w:t>
      </w:r>
      <w:bookmarkStart w:id="614" w:name="_Toc30331"/>
      <w:bookmarkStart w:id="615" w:name="_Toc23055"/>
      <w:r>
        <w:rPr>
          <w:rFonts w:hint="eastAsia" w:ascii="仿宋" w:hAnsi="仿宋" w:eastAsia="仿宋" w:cs="仿宋"/>
          <w:color w:val="000000"/>
          <w:sz w:val="24"/>
          <w:szCs w:val="24"/>
        </w:rPr>
        <w:t>I.其他利害关系情况</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bookmarkEnd w:id="614"/>
      <w:bookmarkEnd w:id="615"/>
    </w:p>
    <w:p>
      <w:pPr>
        <w:pStyle w:val="324"/>
        <w:widowControl/>
        <w:numPr>
          <w:ilvl w:val="0"/>
          <w:numId w:val="4"/>
        </w:numPr>
        <w:snapToGrid w:val="0"/>
        <w:spacing w:line="400" w:lineRule="exact"/>
        <w:ind w:firstLine="453" w:firstLineChars="189"/>
        <w:rPr>
          <w:rFonts w:ascii="仿宋" w:hAnsi="仿宋" w:eastAsia="仿宋" w:cs="仿宋"/>
          <w:color w:val="000000"/>
          <w:kern w:val="0"/>
        </w:rPr>
      </w:pPr>
      <w:r>
        <w:rPr>
          <w:rFonts w:hint="eastAsia" w:ascii="仿宋" w:hAnsi="仿宋" w:eastAsia="仿宋" w:cs="仿宋"/>
          <w:color w:val="000000"/>
        </w:rPr>
        <w:t>现已清楚知道并</w:t>
      </w:r>
      <w:r>
        <w:rPr>
          <w:rFonts w:hint="eastAsia" w:ascii="仿宋" w:hAnsi="仿宋" w:eastAsia="仿宋" w:cs="仿宋"/>
          <w:color w:val="000000"/>
          <w:kern w:val="0"/>
        </w:rPr>
        <w:t>严格遵守政府采购法律法规和现场纪律。</w:t>
      </w:r>
    </w:p>
    <w:p>
      <w:pPr>
        <w:pStyle w:val="324"/>
        <w:widowControl/>
        <w:numPr>
          <w:ilvl w:val="0"/>
          <w:numId w:val="4"/>
        </w:numPr>
        <w:snapToGrid w:val="0"/>
        <w:spacing w:line="400" w:lineRule="exact"/>
        <w:ind w:firstLine="453" w:firstLineChars="189"/>
        <w:rPr>
          <w:rFonts w:ascii="仿宋" w:hAnsi="仿宋" w:eastAsia="仿宋" w:cs="仿宋"/>
          <w:color w:val="000000"/>
          <w:kern w:val="0"/>
        </w:rPr>
      </w:pPr>
      <w:r>
        <w:rPr>
          <w:rFonts w:hint="eastAsia" w:ascii="仿宋" w:hAnsi="仿宋" w:eastAsia="仿宋" w:cs="仿宋"/>
          <w:color w:val="000000"/>
          <w:kern w:val="0"/>
        </w:rPr>
        <w:t>我发现</w:t>
      </w:r>
      <w:r>
        <w:rPr>
          <w:rFonts w:hint="eastAsia" w:ascii="仿宋" w:hAnsi="仿宋" w:eastAsia="仿宋" w:cs="仿宋"/>
          <w:color w:val="000000"/>
          <w:kern w:val="0"/>
          <w:u w:val="single"/>
        </w:rPr>
        <w:t xml:space="preserve">                    </w:t>
      </w:r>
      <w:r>
        <w:rPr>
          <w:rFonts w:hint="eastAsia" w:ascii="仿宋" w:hAnsi="仿宋" w:eastAsia="仿宋" w:cs="仿宋"/>
          <w:color w:val="000000"/>
          <w:kern w:val="0"/>
        </w:rPr>
        <w:t>供应商之间存在或可能存在上述第二条第</w:t>
      </w:r>
      <w:r>
        <w:rPr>
          <w:rFonts w:hint="eastAsia" w:ascii="仿宋" w:hAnsi="仿宋" w:eastAsia="仿宋" w:cs="仿宋"/>
          <w:color w:val="000000"/>
          <w:kern w:val="0"/>
          <w:u w:val="single"/>
        </w:rPr>
        <w:t xml:space="preserve">        </w:t>
      </w:r>
      <w:r>
        <w:rPr>
          <w:rFonts w:hint="eastAsia" w:ascii="仿宋" w:hAnsi="仿宋" w:eastAsia="仿宋" w:cs="仿宋"/>
          <w:color w:val="000000"/>
          <w:kern w:val="0"/>
        </w:rPr>
        <w:t>项利害关系。</w:t>
      </w:r>
    </w:p>
    <w:p>
      <w:pPr>
        <w:pStyle w:val="324"/>
        <w:widowControl/>
        <w:numPr>
          <w:ilvl w:val="0"/>
          <w:numId w:val="4"/>
        </w:numPr>
        <w:snapToGrid w:val="0"/>
        <w:spacing w:line="400" w:lineRule="exact"/>
        <w:ind w:firstLine="453" w:firstLineChars="189"/>
        <w:rPr>
          <w:rFonts w:ascii="仿宋" w:hAnsi="仿宋" w:eastAsia="仿宋" w:cs="仿宋"/>
          <w:color w:val="000000"/>
        </w:rPr>
      </w:pPr>
      <w:r>
        <w:rPr>
          <w:rFonts w:hint="eastAsia" w:ascii="仿宋" w:hAnsi="仿宋" w:eastAsia="仿宋" w:cs="仿宋"/>
          <w:color w:val="000000"/>
          <w:kern w:val="0"/>
        </w:rPr>
        <w:t>经检查确认所有投标人投标文件 □ 不存在密封包装问题□存在密封包装问题（具体指出）</w:t>
      </w:r>
      <w:r>
        <w:rPr>
          <w:rFonts w:hint="eastAsia" w:ascii="仿宋" w:hAnsi="仿宋" w:eastAsia="仿宋" w:cs="仿宋"/>
          <w:color w:val="000000"/>
          <w:kern w:val="0"/>
          <w:u w:val="single"/>
        </w:rPr>
        <w:t xml:space="preserve">                                     </w:t>
      </w:r>
      <w:r>
        <w:rPr>
          <w:rFonts w:hint="eastAsia" w:ascii="仿宋" w:hAnsi="仿宋" w:eastAsia="仿宋" w:cs="仿宋"/>
          <w:color w:val="000000"/>
          <w:kern w:val="0"/>
        </w:rPr>
        <w:t>。</w:t>
      </w:r>
    </w:p>
    <w:p>
      <w:pPr>
        <w:pStyle w:val="323"/>
        <w:snapToGrid w:val="0"/>
        <w:spacing w:line="400" w:lineRule="exact"/>
        <w:rPr>
          <w:rFonts w:ascii="仿宋" w:hAnsi="仿宋" w:eastAsia="仿宋" w:cs="仿宋"/>
          <w:color w:val="000000"/>
          <w:sz w:val="24"/>
          <w:szCs w:val="24"/>
        </w:rPr>
      </w:pPr>
      <w:r>
        <w:rPr>
          <w:rFonts w:hint="eastAsia" w:ascii="仿宋" w:hAnsi="仿宋" w:eastAsia="仿宋" w:cs="仿宋"/>
          <w:color w:val="000000"/>
          <w:sz w:val="24"/>
          <w:szCs w:val="24"/>
        </w:rPr>
        <w:t xml:space="preserve">                                    </w:t>
      </w:r>
    </w:p>
    <w:p>
      <w:pPr>
        <w:pStyle w:val="323"/>
        <w:snapToGrid w:val="0"/>
        <w:spacing w:line="400" w:lineRule="exact"/>
        <w:ind w:firstLine="5040" w:firstLineChars="2100"/>
        <w:rPr>
          <w:rFonts w:ascii="仿宋" w:hAnsi="仿宋" w:eastAsia="仿宋" w:cs="仿宋"/>
          <w:color w:val="000000"/>
          <w:sz w:val="24"/>
          <w:szCs w:val="24"/>
        </w:rPr>
      </w:pPr>
      <w:r>
        <w:rPr>
          <w:rFonts w:hint="eastAsia" w:ascii="仿宋" w:hAnsi="仿宋" w:eastAsia="仿宋" w:cs="仿宋"/>
          <w:color w:val="000000"/>
          <w:sz w:val="24"/>
          <w:szCs w:val="24"/>
        </w:rPr>
        <w:t>（供应商代表签名）：</w:t>
      </w:r>
    </w:p>
    <w:p>
      <w:r>
        <w:rPr>
          <w:rFonts w:hAnsi="宋体"/>
          <w:color w:val="000000"/>
          <w:sz w:val="24"/>
        </w:rPr>
        <w:t xml:space="preserve">                                     </w:t>
      </w:r>
      <w:r>
        <w:rPr>
          <w:rFonts w:hint="eastAsia" w:hAnsi="宋体"/>
          <w:color w:val="000000"/>
          <w:sz w:val="24"/>
        </w:rPr>
        <w:t xml:space="preserve">                  </w:t>
      </w:r>
      <w:r>
        <w:rPr>
          <w:rFonts w:hint="eastAsia" w:ascii="宋体" w:hAnsi="宋体" w:eastAsia="仿宋_GB2312"/>
          <w:color w:val="000000"/>
          <w:kern w:val="0"/>
          <w:sz w:val="24"/>
        </w:rPr>
        <w:t xml:space="preserve">  年  月   日</w:t>
      </w:r>
    </w:p>
    <w:p>
      <w:pPr>
        <w:spacing w:line="360" w:lineRule="auto"/>
        <w:ind w:right="420"/>
      </w:pPr>
    </w:p>
    <w:p>
      <w:pPr>
        <w:spacing w:line="360" w:lineRule="auto"/>
        <w:rPr>
          <w:rFonts w:ascii="仿宋" w:hAnsi="仿宋" w:eastAsia="仿宋"/>
          <w:bCs/>
          <w:sz w:val="24"/>
        </w:rPr>
      </w:pPr>
      <w:r>
        <w:rPr>
          <w:rFonts w:hint="eastAsia" w:ascii="仿宋" w:hAnsi="仿宋" w:eastAsia="仿宋" w:cs="仿宋"/>
          <w:b/>
          <w:szCs w:val="21"/>
        </w:rPr>
        <w:t>注：《政府采购活动现场确认声明书》按</w:t>
      </w:r>
      <w:r>
        <w:rPr>
          <w:rFonts w:hint="eastAsia" w:ascii="仿宋" w:hAnsi="仿宋" w:eastAsia="仿宋" w:cs="仿宋"/>
          <w:b/>
          <w:szCs w:val="21"/>
          <w:lang w:val="en-US" w:eastAsia="zh-CN"/>
        </w:rPr>
        <w:t>第二部分投标须知</w:t>
      </w:r>
      <w:r>
        <w:rPr>
          <w:rFonts w:hint="eastAsia" w:ascii="仿宋" w:hAnsi="仿宋" w:eastAsia="仿宋" w:cs="仿宋"/>
          <w:b/>
          <w:szCs w:val="21"/>
        </w:rPr>
        <w:t>18.4要求提交</w:t>
      </w:r>
      <w:r>
        <w:rPr>
          <w:rFonts w:hint="eastAsia" w:ascii="宋体" w:hAnsi="宋体"/>
          <w:b/>
          <w:szCs w:val="21"/>
        </w:rPr>
        <w:t>。</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STZhongsong">
    <w:altName w:val="宋体"/>
    <w:panose1 w:val="00000000000000000000"/>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Segoe Print"/>
    <w:panose1 w:val="00000000000000000000"/>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szCs w:val="24"/>
      </w:rPr>
    </w:pPr>
    <w: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pPr>
    <w:r>
      <w:drawing>
        <wp:anchor distT="0" distB="0" distL="114300" distR="114300" simplePos="0" relativeHeight="251717632" behindDoc="0" locked="0" layoutInCell="1" allowOverlap="1">
          <wp:simplePos x="0" y="0"/>
          <wp:positionH relativeFrom="column">
            <wp:posOffset>53340</wp:posOffset>
          </wp:positionH>
          <wp:positionV relativeFrom="paragraph">
            <wp:posOffset>-334645</wp:posOffset>
          </wp:positionV>
          <wp:extent cx="819150" cy="421640"/>
          <wp:effectExtent l="0" t="0" r="0" b="16510"/>
          <wp:wrapSquare wrapText="bothSides"/>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drawing>
        <wp:anchor distT="0" distB="0" distL="114300" distR="114300" simplePos="0" relativeHeight="251745280" behindDoc="0" locked="0" layoutInCell="1" allowOverlap="1">
          <wp:simplePos x="0" y="0"/>
          <wp:positionH relativeFrom="column">
            <wp:posOffset>148590</wp:posOffset>
          </wp:positionH>
          <wp:positionV relativeFrom="paragraph">
            <wp:posOffset>-239395</wp:posOffset>
          </wp:positionV>
          <wp:extent cx="819150" cy="421640"/>
          <wp:effectExtent l="0" t="0" r="0" b="16510"/>
          <wp:wrapSquare wrapText="bothSides"/>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drawing>
        <wp:anchor distT="0" distB="0" distL="114300" distR="114300" simplePos="0" relativeHeight="251703296" behindDoc="0" locked="0" layoutInCell="1" allowOverlap="1">
          <wp:simplePos x="0" y="0"/>
          <wp:positionH relativeFrom="column">
            <wp:posOffset>53340</wp:posOffset>
          </wp:positionH>
          <wp:positionV relativeFrom="paragraph">
            <wp:posOffset>-334645</wp:posOffset>
          </wp:positionV>
          <wp:extent cx="819150" cy="421640"/>
          <wp:effectExtent l="0" t="0" r="0" b="16510"/>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drawing>
        <wp:anchor distT="0" distB="0" distL="114300" distR="114300" simplePos="0" relativeHeight="251725824" behindDoc="0" locked="0" layoutInCell="1" allowOverlap="1">
          <wp:simplePos x="0" y="0"/>
          <wp:positionH relativeFrom="column">
            <wp:posOffset>85090</wp:posOffset>
          </wp:positionH>
          <wp:positionV relativeFrom="paragraph">
            <wp:posOffset>-175895</wp:posOffset>
          </wp:positionV>
          <wp:extent cx="819150" cy="421640"/>
          <wp:effectExtent l="0" t="0" r="0" b="16510"/>
          <wp:wrapSquare wrapText="bothSides"/>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drawing>
        <wp:anchor distT="0" distB="0" distL="114300" distR="114300" simplePos="0" relativeHeight="251721728" behindDoc="0" locked="0" layoutInCell="1" allowOverlap="1">
          <wp:simplePos x="0" y="0"/>
          <wp:positionH relativeFrom="column">
            <wp:posOffset>63500</wp:posOffset>
          </wp:positionH>
          <wp:positionV relativeFrom="paragraph">
            <wp:posOffset>-48895</wp:posOffset>
          </wp:positionV>
          <wp:extent cx="819150" cy="421640"/>
          <wp:effectExtent l="0" t="0" r="0" b="16510"/>
          <wp:wrapSquare wrapText="bothSides"/>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w:t>
    </w:r>
    <w:r>
      <w:rPr>
        <w:rFonts w:hint="eastAsia"/>
      </w:rPr>
      <w:t xml:space="preserve">         </w:t>
    </w:r>
  </w:p>
  <w:p>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drawing>
        <wp:anchor distT="0" distB="0" distL="114300" distR="114300" simplePos="0" relativeHeight="251742208" behindDoc="0" locked="0" layoutInCell="1" allowOverlap="1">
          <wp:simplePos x="0" y="0"/>
          <wp:positionH relativeFrom="column">
            <wp:posOffset>85090</wp:posOffset>
          </wp:positionH>
          <wp:positionV relativeFrom="paragraph">
            <wp:posOffset>-175895</wp:posOffset>
          </wp:positionV>
          <wp:extent cx="819150" cy="421640"/>
          <wp:effectExtent l="0" t="0" r="0" b="16510"/>
          <wp:wrapSquare wrapText="bothSides"/>
          <wp:docPr id="1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drawing>
        <wp:anchor distT="0" distB="0" distL="114300" distR="114300" simplePos="0" relativeHeight="251741184" behindDoc="0" locked="0" layoutInCell="1" allowOverlap="1">
          <wp:simplePos x="0" y="0"/>
          <wp:positionH relativeFrom="column">
            <wp:posOffset>116840</wp:posOffset>
          </wp:positionH>
          <wp:positionV relativeFrom="paragraph">
            <wp:posOffset>-144145</wp:posOffset>
          </wp:positionV>
          <wp:extent cx="819150" cy="421640"/>
          <wp:effectExtent l="0" t="0" r="0" b="16510"/>
          <wp:wrapSquare wrapText="bothSides"/>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w:t>
    </w:r>
    <w:r>
      <w:rPr>
        <w:rFonts w:hint="eastAsia"/>
      </w:rPr>
      <w:t xml:space="preserve">         </w:t>
    </w:r>
  </w:p>
  <w:p>
    <w:pPr>
      <w:pStyle w:val="40"/>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drawing>
        <wp:anchor distT="0" distB="0" distL="114300" distR="114300" simplePos="0" relativeHeight="251744256" behindDoc="0" locked="0" layoutInCell="1" allowOverlap="1">
          <wp:simplePos x="0" y="0"/>
          <wp:positionH relativeFrom="column">
            <wp:posOffset>207010</wp:posOffset>
          </wp:positionH>
          <wp:positionV relativeFrom="paragraph">
            <wp:posOffset>-281305</wp:posOffset>
          </wp:positionV>
          <wp:extent cx="819150" cy="421640"/>
          <wp:effectExtent l="0" t="0" r="0" b="16510"/>
          <wp:wrapSquare wrapText="bothSides"/>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drawing>
        <wp:anchor distT="0" distB="0" distL="114300" distR="114300" simplePos="0" relativeHeight="251743232" behindDoc="0" locked="0" layoutInCell="1" allowOverlap="1">
          <wp:simplePos x="0" y="0"/>
          <wp:positionH relativeFrom="column">
            <wp:posOffset>85090</wp:posOffset>
          </wp:positionH>
          <wp:positionV relativeFrom="paragraph">
            <wp:posOffset>-175895</wp:posOffset>
          </wp:positionV>
          <wp:extent cx="819150" cy="421640"/>
          <wp:effectExtent l="0" t="0" r="0" b="16510"/>
          <wp:wrapSquare wrapText="bothSides"/>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drawing>
        <wp:anchor distT="0" distB="0" distL="114300" distR="114300" simplePos="0" relativeHeight="251746304" behindDoc="0" locked="0" layoutInCell="1" allowOverlap="1">
          <wp:simplePos x="0" y="0"/>
          <wp:positionH relativeFrom="column">
            <wp:posOffset>180340</wp:posOffset>
          </wp:positionH>
          <wp:positionV relativeFrom="paragraph">
            <wp:posOffset>-302895</wp:posOffset>
          </wp:positionV>
          <wp:extent cx="819150" cy="421640"/>
          <wp:effectExtent l="0" t="0" r="0" b="16510"/>
          <wp:wrapSquare wrapText="bothSides"/>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1"/>
                  <a:stretch>
                    <a:fillRect/>
                  </a:stretch>
                </pic:blipFill>
                <pic:spPr>
                  <a:xfrm>
                    <a:off x="0" y="0"/>
                    <a:ext cx="819150" cy="421640"/>
                  </a:xfrm>
                  <a:prstGeom prst="rect">
                    <a:avLst/>
                  </a:prstGeom>
                  <a:noFill/>
                  <a:ln>
                    <a:noFill/>
                  </a:ln>
                </pic:spPr>
              </pic:pic>
            </a:graphicData>
          </a:graphic>
        </wp:anchor>
      </w:drawing>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82B6F"/>
    <w:multiLevelType w:val="singleLevel"/>
    <w:tmpl w:val="80C82B6F"/>
    <w:lvl w:ilvl="0" w:tentative="0">
      <w:start w:val="3"/>
      <w:numFmt w:val="chineseCounting"/>
      <w:suff w:val="space"/>
      <w:lvlText w:val="第%1部分"/>
      <w:lvlJc w:val="left"/>
      <w:rPr>
        <w:rFonts w:hint="eastAsia"/>
      </w:rPr>
    </w:lvl>
  </w:abstractNum>
  <w:abstractNum w:abstractNumId="1">
    <w:nsid w:val="81F2CC75"/>
    <w:multiLevelType w:val="singleLevel"/>
    <w:tmpl w:val="81F2CC75"/>
    <w:lvl w:ilvl="0" w:tentative="0">
      <w:start w:val="3"/>
      <w:numFmt w:val="decimal"/>
      <w:suff w:val="nothing"/>
      <w:lvlText w:val="%1、"/>
      <w:lvlJc w:val="left"/>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wMWQyMDUwZTE2MDE4MTEyY2MzZTQwNzBjNGYxOG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413"/>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B77FF"/>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CB3"/>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083E"/>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805"/>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27DB9"/>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786"/>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4F7"/>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4B5"/>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865DC0"/>
    <w:rsid w:val="019F7441"/>
    <w:rsid w:val="01B37585"/>
    <w:rsid w:val="01D55165"/>
    <w:rsid w:val="01DF6BF8"/>
    <w:rsid w:val="01EC2C57"/>
    <w:rsid w:val="026B2E25"/>
    <w:rsid w:val="02824D4D"/>
    <w:rsid w:val="02DC4B10"/>
    <w:rsid w:val="02DD76CE"/>
    <w:rsid w:val="02ED2A86"/>
    <w:rsid w:val="02F36323"/>
    <w:rsid w:val="02F5619C"/>
    <w:rsid w:val="0326446A"/>
    <w:rsid w:val="032D5555"/>
    <w:rsid w:val="036634D2"/>
    <w:rsid w:val="03DD35E4"/>
    <w:rsid w:val="03F566EC"/>
    <w:rsid w:val="04076900"/>
    <w:rsid w:val="041A5A3B"/>
    <w:rsid w:val="042311BA"/>
    <w:rsid w:val="042B157A"/>
    <w:rsid w:val="048F763B"/>
    <w:rsid w:val="049F330E"/>
    <w:rsid w:val="04A2393F"/>
    <w:rsid w:val="04AA775C"/>
    <w:rsid w:val="04AF1889"/>
    <w:rsid w:val="04F66F48"/>
    <w:rsid w:val="04F96D31"/>
    <w:rsid w:val="05111D84"/>
    <w:rsid w:val="05251E14"/>
    <w:rsid w:val="05A16594"/>
    <w:rsid w:val="05A7762D"/>
    <w:rsid w:val="060E5941"/>
    <w:rsid w:val="06110FAF"/>
    <w:rsid w:val="06493CA7"/>
    <w:rsid w:val="064D724A"/>
    <w:rsid w:val="065A6178"/>
    <w:rsid w:val="066F1CF3"/>
    <w:rsid w:val="06930BB8"/>
    <w:rsid w:val="07245D42"/>
    <w:rsid w:val="07264C62"/>
    <w:rsid w:val="0779354C"/>
    <w:rsid w:val="07B61E6D"/>
    <w:rsid w:val="08061376"/>
    <w:rsid w:val="082E1AFA"/>
    <w:rsid w:val="08452D77"/>
    <w:rsid w:val="086401F8"/>
    <w:rsid w:val="08734D2E"/>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5572E5"/>
    <w:rsid w:val="0D7366A8"/>
    <w:rsid w:val="0D827401"/>
    <w:rsid w:val="0D84094E"/>
    <w:rsid w:val="0D8A00E9"/>
    <w:rsid w:val="0D8D589E"/>
    <w:rsid w:val="0DA01C73"/>
    <w:rsid w:val="0DC80D62"/>
    <w:rsid w:val="0DD63300"/>
    <w:rsid w:val="0DF50604"/>
    <w:rsid w:val="0DF702FE"/>
    <w:rsid w:val="0E042561"/>
    <w:rsid w:val="0E060E51"/>
    <w:rsid w:val="0E5604B2"/>
    <w:rsid w:val="0E686F94"/>
    <w:rsid w:val="0E6D5D79"/>
    <w:rsid w:val="0E9D0089"/>
    <w:rsid w:val="0EB57284"/>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96784"/>
    <w:rsid w:val="10FC16EA"/>
    <w:rsid w:val="110F1D40"/>
    <w:rsid w:val="11266F33"/>
    <w:rsid w:val="115478B8"/>
    <w:rsid w:val="118963A1"/>
    <w:rsid w:val="11C6522A"/>
    <w:rsid w:val="11E104CC"/>
    <w:rsid w:val="11E20309"/>
    <w:rsid w:val="12255233"/>
    <w:rsid w:val="12530213"/>
    <w:rsid w:val="1257068F"/>
    <w:rsid w:val="127723A9"/>
    <w:rsid w:val="12862074"/>
    <w:rsid w:val="12883966"/>
    <w:rsid w:val="129E45B4"/>
    <w:rsid w:val="12C03A96"/>
    <w:rsid w:val="12D81596"/>
    <w:rsid w:val="13072A44"/>
    <w:rsid w:val="135F4BE2"/>
    <w:rsid w:val="13701F72"/>
    <w:rsid w:val="139B1A0A"/>
    <w:rsid w:val="139D25C7"/>
    <w:rsid w:val="13BF3CE4"/>
    <w:rsid w:val="141008D8"/>
    <w:rsid w:val="14125FE6"/>
    <w:rsid w:val="143F1EC9"/>
    <w:rsid w:val="146D271E"/>
    <w:rsid w:val="14982588"/>
    <w:rsid w:val="149A5AD9"/>
    <w:rsid w:val="14A7619D"/>
    <w:rsid w:val="14C16180"/>
    <w:rsid w:val="14DF6087"/>
    <w:rsid w:val="150536C3"/>
    <w:rsid w:val="150C1963"/>
    <w:rsid w:val="151447A0"/>
    <w:rsid w:val="154A6454"/>
    <w:rsid w:val="15762120"/>
    <w:rsid w:val="15C86C0C"/>
    <w:rsid w:val="167179E2"/>
    <w:rsid w:val="16A8729C"/>
    <w:rsid w:val="16B33777"/>
    <w:rsid w:val="16BC70A7"/>
    <w:rsid w:val="16C6339E"/>
    <w:rsid w:val="172F2D79"/>
    <w:rsid w:val="174958A8"/>
    <w:rsid w:val="17557BEF"/>
    <w:rsid w:val="17D349C1"/>
    <w:rsid w:val="17FF6273"/>
    <w:rsid w:val="1830729E"/>
    <w:rsid w:val="1870062C"/>
    <w:rsid w:val="18817102"/>
    <w:rsid w:val="18830A15"/>
    <w:rsid w:val="18852B28"/>
    <w:rsid w:val="188B5321"/>
    <w:rsid w:val="18AD3105"/>
    <w:rsid w:val="18B26DAA"/>
    <w:rsid w:val="19932372"/>
    <w:rsid w:val="19A20DD5"/>
    <w:rsid w:val="19AE03F1"/>
    <w:rsid w:val="1A071A03"/>
    <w:rsid w:val="1A1F16AE"/>
    <w:rsid w:val="1A222B8F"/>
    <w:rsid w:val="1A3B5C77"/>
    <w:rsid w:val="1A984BAD"/>
    <w:rsid w:val="1AB8220E"/>
    <w:rsid w:val="1AE4166C"/>
    <w:rsid w:val="1AF06CFB"/>
    <w:rsid w:val="1AF11B8D"/>
    <w:rsid w:val="1B0427A5"/>
    <w:rsid w:val="1B11359C"/>
    <w:rsid w:val="1B1B6373"/>
    <w:rsid w:val="1B2A271F"/>
    <w:rsid w:val="1B530544"/>
    <w:rsid w:val="1B713184"/>
    <w:rsid w:val="1B9A214A"/>
    <w:rsid w:val="1BA209CF"/>
    <w:rsid w:val="1BB4777D"/>
    <w:rsid w:val="1BD75AB8"/>
    <w:rsid w:val="1C0459C2"/>
    <w:rsid w:val="1C1B3B4A"/>
    <w:rsid w:val="1C2C023D"/>
    <w:rsid w:val="1C88086E"/>
    <w:rsid w:val="1CED3208"/>
    <w:rsid w:val="1D266CE1"/>
    <w:rsid w:val="1D3963AF"/>
    <w:rsid w:val="1D6A673C"/>
    <w:rsid w:val="1D8E22E6"/>
    <w:rsid w:val="1D9247AE"/>
    <w:rsid w:val="1DB101A6"/>
    <w:rsid w:val="1DB567EC"/>
    <w:rsid w:val="1DF51A98"/>
    <w:rsid w:val="1E3D060F"/>
    <w:rsid w:val="1E3F7D2E"/>
    <w:rsid w:val="1E4134E4"/>
    <w:rsid w:val="1E5062B3"/>
    <w:rsid w:val="1E523514"/>
    <w:rsid w:val="1E714A66"/>
    <w:rsid w:val="1E802593"/>
    <w:rsid w:val="1EA13C35"/>
    <w:rsid w:val="1EA703CC"/>
    <w:rsid w:val="1EB7330C"/>
    <w:rsid w:val="1F0A0FF3"/>
    <w:rsid w:val="1F5771FF"/>
    <w:rsid w:val="1FE868A9"/>
    <w:rsid w:val="20034907"/>
    <w:rsid w:val="20173E4B"/>
    <w:rsid w:val="204E48BC"/>
    <w:rsid w:val="208921B3"/>
    <w:rsid w:val="20925C8A"/>
    <w:rsid w:val="20973DEB"/>
    <w:rsid w:val="20B26522"/>
    <w:rsid w:val="20B44310"/>
    <w:rsid w:val="211116EB"/>
    <w:rsid w:val="216133FC"/>
    <w:rsid w:val="21D56769"/>
    <w:rsid w:val="21E52EF3"/>
    <w:rsid w:val="21FB5D7B"/>
    <w:rsid w:val="220B1C3D"/>
    <w:rsid w:val="221D1D20"/>
    <w:rsid w:val="22334A87"/>
    <w:rsid w:val="22466B66"/>
    <w:rsid w:val="22BE6801"/>
    <w:rsid w:val="233500BF"/>
    <w:rsid w:val="23377FF7"/>
    <w:rsid w:val="236B425F"/>
    <w:rsid w:val="23836192"/>
    <w:rsid w:val="23901F29"/>
    <w:rsid w:val="239C0061"/>
    <w:rsid w:val="23B908A4"/>
    <w:rsid w:val="23E95BEF"/>
    <w:rsid w:val="23FD0064"/>
    <w:rsid w:val="245375B0"/>
    <w:rsid w:val="24642C0A"/>
    <w:rsid w:val="24A131D2"/>
    <w:rsid w:val="24B22173"/>
    <w:rsid w:val="24B95AD9"/>
    <w:rsid w:val="24BE24DA"/>
    <w:rsid w:val="24CF5825"/>
    <w:rsid w:val="24D663E6"/>
    <w:rsid w:val="24D77F2B"/>
    <w:rsid w:val="258B00E2"/>
    <w:rsid w:val="25A917A6"/>
    <w:rsid w:val="25BE27CC"/>
    <w:rsid w:val="25F74A5C"/>
    <w:rsid w:val="2600327A"/>
    <w:rsid w:val="2628662C"/>
    <w:rsid w:val="262D45DE"/>
    <w:rsid w:val="26A53EF9"/>
    <w:rsid w:val="26A94201"/>
    <w:rsid w:val="26AC274F"/>
    <w:rsid w:val="27044A29"/>
    <w:rsid w:val="271D34C8"/>
    <w:rsid w:val="276142BF"/>
    <w:rsid w:val="27783712"/>
    <w:rsid w:val="27907362"/>
    <w:rsid w:val="281C4570"/>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1531"/>
    <w:rsid w:val="2A7D76B4"/>
    <w:rsid w:val="2AA5579A"/>
    <w:rsid w:val="2AD13A8D"/>
    <w:rsid w:val="2B437463"/>
    <w:rsid w:val="2B485D2C"/>
    <w:rsid w:val="2B7807EE"/>
    <w:rsid w:val="2B8C306B"/>
    <w:rsid w:val="2BBF00EC"/>
    <w:rsid w:val="2BC37CFD"/>
    <w:rsid w:val="2BD5237F"/>
    <w:rsid w:val="2BE536CE"/>
    <w:rsid w:val="2BE758D9"/>
    <w:rsid w:val="2C09049E"/>
    <w:rsid w:val="2C0A653C"/>
    <w:rsid w:val="2C191F85"/>
    <w:rsid w:val="2C6E4F35"/>
    <w:rsid w:val="2C8E776E"/>
    <w:rsid w:val="2C9F1686"/>
    <w:rsid w:val="2CE82D6F"/>
    <w:rsid w:val="2D0803C4"/>
    <w:rsid w:val="2D343236"/>
    <w:rsid w:val="2DD15014"/>
    <w:rsid w:val="2DF72DE4"/>
    <w:rsid w:val="2E0220AF"/>
    <w:rsid w:val="2E4B082A"/>
    <w:rsid w:val="2E5D4E86"/>
    <w:rsid w:val="2E5D790B"/>
    <w:rsid w:val="2E9A3C18"/>
    <w:rsid w:val="2EBB0FEE"/>
    <w:rsid w:val="2EC63002"/>
    <w:rsid w:val="2ED650A4"/>
    <w:rsid w:val="2F0A6B38"/>
    <w:rsid w:val="2F946CCB"/>
    <w:rsid w:val="2FD25781"/>
    <w:rsid w:val="2FFD7934"/>
    <w:rsid w:val="30352FB6"/>
    <w:rsid w:val="30733ACD"/>
    <w:rsid w:val="308C3862"/>
    <w:rsid w:val="309379D8"/>
    <w:rsid w:val="30A270F7"/>
    <w:rsid w:val="30DF1478"/>
    <w:rsid w:val="30EC586F"/>
    <w:rsid w:val="319C6071"/>
    <w:rsid w:val="31AC537E"/>
    <w:rsid w:val="31E3679B"/>
    <w:rsid w:val="31E732FD"/>
    <w:rsid w:val="32517576"/>
    <w:rsid w:val="32BE5C2C"/>
    <w:rsid w:val="32FB6478"/>
    <w:rsid w:val="33263B3F"/>
    <w:rsid w:val="33443BD9"/>
    <w:rsid w:val="336963EB"/>
    <w:rsid w:val="33816EEB"/>
    <w:rsid w:val="33EB55CD"/>
    <w:rsid w:val="33EC4C02"/>
    <w:rsid w:val="340D2360"/>
    <w:rsid w:val="3410665D"/>
    <w:rsid w:val="34211214"/>
    <w:rsid w:val="342E63AB"/>
    <w:rsid w:val="34636FEB"/>
    <w:rsid w:val="34950E68"/>
    <w:rsid w:val="34986E94"/>
    <w:rsid w:val="34AF62C9"/>
    <w:rsid w:val="34CB4388"/>
    <w:rsid w:val="34FA6E12"/>
    <w:rsid w:val="358D5588"/>
    <w:rsid w:val="36182D04"/>
    <w:rsid w:val="363A3B40"/>
    <w:rsid w:val="365302AE"/>
    <w:rsid w:val="36607A0A"/>
    <w:rsid w:val="366E227C"/>
    <w:rsid w:val="366F2E0D"/>
    <w:rsid w:val="367B6A5C"/>
    <w:rsid w:val="36A74ADA"/>
    <w:rsid w:val="36AD60D5"/>
    <w:rsid w:val="36B224F9"/>
    <w:rsid w:val="36D96C69"/>
    <w:rsid w:val="36EC0CC9"/>
    <w:rsid w:val="373F410B"/>
    <w:rsid w:val="37EE7094"/>
    <w:rsid w:val="38296C89"/>
    <w:rsid w:val="383002EB"/>
    <w:rsid w:val="38586797"/>
    <w:rsid w:val="38BC0149"/>
    <w:rsid w:val="38CC31A5"/>
    <w:rsid w:val="38D87D1C"/>
    <w:rsid w:val="39605C42"/>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235E4"/>
    <w:rsid w:val="3D8734BB"/>
    <w:rsid w:val="3D8760F9"/>
    <w:rsid w:val="3D9A11D4"/>
    <w:rsid w:val="3DA16D89"/>
    <w:rsid w:val="3DA364BE"/>
    <w:rsid w:val="3DE041CB"/>
    <w:rsid w:val="3E0D48F6"/>
    <w:rsid w:val="3E1868B4"/>
    <w:rsid w:val="3E377251"/>
    <w:rsid w:val="3E42664B"/>
    <w:rsid w:val="3E5A7334"/>
    <w:rsid w:val="3E7B5D6B"/>
    <w:rsid w:val="3E843E66"/>
    <w:rsid w:val="3E8F51FE"/>
    <w:rsid w:val="3E926F87"/>
    <w:rsid w:val="3E9A59DE"/>
    <w:rsid w:val="3E9C534D"/>
    <w:rsid w:val="3EAF4836"/>
    <w:rsid w:val="3EC33DFA"/>
    <w:rsid w:val="3F060E16"/>
    <w:rsid w:val="3F113628"/>
    <w:rsid w:val="3F1D1096"/>
    <w:rsid w:val="3F2B3083"/>
    <w:rsid w:val="3F2F0234"/>
    <w:rsid w:val="3F6363FE"/>
    <w:rsid w:val="3F756B8F"/>
    <w:rsid w:val="3F95482B"/>
    <w:rsid w:val="4019356B"/>
    <w:rsid w:val="40592157"/>
    <w:rsid w:val="406E1CAE"/>
    <w:rsid w:val="40A0133A"/>
    <w:rsid w:val="40C31A53"/>
    <w:rsid w:val="40FF545D"/>
    <w:rsid w:val="410067C8"/>
    <w:rsid w:val="416142B8"/>
    <w:rsid w:val="416251B5"/>
    <w:rsid w:val="418F0D2A"/>
    <w:rsid w:val="41AB01DF"/>
    <w:rsid w:val="41D01505"/>
    <w:rsid w:val="42474939"/>
    <w:rsid w:val="424C3C57"/>
    <w:rsid w:val="42613FF3"/>
    <w:rsid w:val="42660D96"/>
    <w:rsid w:val="428667D2"/>
    <w:rsid w:val="42CD1CE0"/>
    <w:rsid w:val="42E1381E"/>
    <w:rsid w:val="42ED6459"/>
    <w:rsid w:val="42FE58DD"/>
    <w:rsid w:val="431379CD"/>
    <w:rsid w:val="43174B3D"/>
    <w:rsid w:val="434B790E"/>
    <w:rsid w:val="4360274F"/>
    <w:rsid w:val="43977AB6"/>
    <w:rsid w:val="43A3342B"/>
    <w:rsid w:val="43AE013E"/>
    <w:rsid w:val="43C77C27"/>
    <w:rsid w:val="43DE09EE"/>
    <w:rsid w:val="44002FAD"/>
    <w:rsid w:val="44854738"/>
    <w:rsid w:val="449101DD"/>
    <w:rsid w:val="44DE1391"/>
    <w:rsid w:val="451B225C"/>
    <w:rsid w:val="452410C9"/>
    <w:rsid w:val="45317DFB"/>
    <w:rsid w:val="453666F1"/>
    <w:rsid w:val="456D3CE4"/>
    <w:rsid w:val="4579042C"/>
    <w:rsid w:val="457F0571"/>
    <w:rsid w:val="45851176"/>
    <w:rsid w:val="45B7168C"/>
    <w:rsid w:val="45C63B94"/>
    <w:rsid w:val="460E7DA5"/>
    <w:rsid w:val="46422483"/>
    <w:rsid w:val="4659254A"/>
    <w:rsid w:val="465B0637"/>
    <w:rsid w:val="465E3F0D"/>
    <w:rsid w:val="466A16E6"/>
    <w:rsid w:val="46893F2B"/>
    <w:rsid w:val="46C4686E"/>
    <w:rsid w:val="477B778F"/>
    <w:rsid w:val="478203EC"/>
    <w:rsid w:val="47AA585E"/>
    <w:rsid w:val="47B025FA"/>
    <w:rsid w:val="4809698F"/>
    <w:rsid w:val="4811697D"/>
    <w:rsid w:val="487A3E25"/>
    <w:rsid w:val="488B5503"/>
    <w:rsid w:val="48937E21"/>
    <w:rsid w:val="489A0361"/>
    <w:rsid w:val="48B94FF3"/>
    <w:rsid w:val="48C36D31"/>
    <w:rsid w:val="48E37AAB"/>
    <w:rsid w:val="48FD4B4C"/>
    <w:rsid w:val="490A68E0"/>
    <w:rsid w:val="491055FE"/>
    <w:rsid w:val="495F5B3E"/>
    <w:rsid w:val="496F77D7"/>
    <w:rsid w:val="497654FD"/>
    <w:rsid w:val="49B64211"/>
    <w:rsid w:val="49F6167F"/>
    <w:rsid w:val="4A064FA0"/>
    <w:rsid w:val="4A16615C"/>
    <w:rsid w:val="4A3744A4"/>
    <w:rsid w:val="4A4424D7"/>
    <w:rsid w:val="4AB82D0F"/>
    <w:rsid w:val="4ABB42D2"/>
    <w:rsid w:val="4AEB7664"/>
    <w:rsid w:val="4AFD7C19"/>
    <w:rsid w:val="4B0567D1"/>
    <w:rsid w:val="4B236AAE"/>
    <w:rsid w:val="4B707271"/>
    <w:rsid w:val="4B9739F7"/>
    <w:rsid w:val="4BEE2503"/>
    <w:rsid w:val="4C245A30"/>
    <w:rsid w:val="4C737D63"/>
    <w:rsid w:val="4C7D55F2"/>
    <w:rsid w:val="4C893247"/>
    <w:rsid w:val="4CB6685F"/>
    <w:rsid w:val="4CC367FE"/>
    <w:rsid w:val="4D077F3C"/>
    <w:rsid w:val="4D123355"/>
    <w:rsid w:val="4D2A3B31"/>
    <w:rsid w:val="4D312C52"/>
    <w:rsid w:val="4D905305"/>
    <w:rsid w:val="4D964A72"/>
    <w:rsid w:val="4D9C1254"/>
    <w:rsid w:val="4DC33588"/>
    <w:rsid w:val="4DF23BA9"/>
    <w:rsid w:val="4E3A0D6F"/>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22E4CC3"/>
    <w:rsid w:val="5244713B"/>
    <w:rsid w:val="52615633"/>
    <w:rsid w:val="527C361E"/>
    <w:rsid w:val="52977FD4"/>
    <w:rsid w:val="52A25790"/>
    <w:rsid w:val="52A81715"/>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0D633D"/>
    <w:rsid w:val="55214EB5"/>
    <w:rsid w:val="55364EFD"/>
    <w:rsid w:val="555D4828"/>
    <w:rsid w:val="557A4C8B"/>
    <w:rsid w:val="558931E1"/>
    <w:rsid w:val="55923347"/>
    <w:rsid w:val="55925180"/>
    <w:rsid w:val="55983B1B"/>
    <w:rsid w:val="55A8376B"/>
    <w:rsid w:val="55DC29B6"/>
    <w:rsid w:val="55DD4241"/>
    <w:rsid w:val="566B6D1E"/>
    <w:rsid w:val="56FA481F"/>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981AA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BB16E13"/>
    <w:rsid w:val="5C02690E"/>
    <w:rsid w:val="5C040BCB"/>
    <w:rsid w:val="5C196DA7"/>
    <w:rsid w:val="5C2A048C"/>
    <w:rsid w:val="5C80234E"/>
    <w:rsid w:val="5C8A680C"/>
    <w:rsid w:val="5CDF4529"/>
    <w:rsid w:val="5D0C4701"/>
    <w:rsid w:val="5D0F0395"/>
    <w:rsid w:val="5D221076"/>
    <w:rsid w:val="5D397964"/>
    <w:rsid w:val="5D454033"/>
    <w:rsid w:val="5D5A391C"/>
    <w:rsid w:val="5D5F10C0"/>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CC5339"/>
    <w:rsid w:val="5FE34A5B"/>
    <w:rsid w:val="5FFE1E36"/>
    <w:rsid w:val="60232584"/>
    <w:rsid w:val="604978B1"/>
    <w:rsid w:val="607330CE"/>
    <w:rsid w:val="60825176"/>
    <w:rsid w:val="609F2AC4"/>
    <w:rsid w:val="60FA2EE8"/>
    <w:rsid w:val="61054A27"/>
    <w:rsid w:val="61076DBF"/>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B1DB5"/>
    <w:rsid w:val="63711FED"/>
    <w:rsid w:val="63880DDC"/>
    <w:rsid w:val="638D750D"/>
    <w:rsid w:val="63AC6CC0"/>
    <w:rsid w:val="64055776"/>
    <w:rsid w:val="64240056"/>
    <w:rsid w:val="643E143A"/>
    <w:rsid w:val="645A558C"/>
    <w:rsid w:val="648B6EEF"/>
    <w:rsid w:val="64C158BF"/>
    <w:rsid w:val="64CE2EAA"/>
    <w:rsid w:val="653C3090"/>
    <w:rsid w:val="65854376"/>
    <w:rsid w:val="658767BE"/>
    <w:rsid w:val="65892531"/>
    <w:rsid w:val="66195831"/>
    <w:rsid w:val="662E75B1"/>
    <w:rsid w:val="66342C2E"/>
    <w:rsid w:val="663E784C"/>
    <w:rsid w:val="668B6A45"/>
    <w:rsid w:val="670D5A12"/>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E12448"/>
    <w:rsid w:val="69FD55B8"/>
    <w:rsid w:val="6A0B1C62"/>
    <w:rsid w:val="6A2406C8"/>
    <w:rsid w:val="6ADE0BD1"/>
    <w:rsid w:val="6AE96859"/>
    <w:rsid w:val="6B147746"/>
    <w:rsid w:val="6B24787C"/>
    <w:rsid w:val="6B393678"/>
    <w:rsid w:val="6B573233"/>
    <w:rsid w:val="6B5B6274"/>
    <w:rsid w:val="6B935D53"/>
    <w:rsid w:val="6C196F71"/>
    <w:rsid w:val="6C226FCB"/>
    <w:rsid w:val="6C31226F"/>
    <w:rsid w:val="6C552F0B"/>
    <w:rsid w:val="6C8C67B7"/>
    <w:rsid w:val="6C9D744C"/>
    <w:rsid w:val="6CAA0179"/>
    <w:rsid w:val="6CCE0EE6"/>
    <w:rsid w:val="6D167928"/>
    <w:rsid w:val="6D26299B"/>
    <w:rsid w:val="6D4772EC"/>
    <w:rsid w:val="6D9078AF"/>
    <w:rsid w:val="6DAA3FEF"/>
    <w:rsid w:val="6DC0172B"/>
    <w:rsid w:val="6DCB690C"/>
    <w:rsid w:val="6DD41A5B"/>
    <w:rsid w:val="6DF43C2E"/>
    <w:rsid w:val="6DF51CA3"/>
    <w:rsid w:val="6E8335BD"/>
    <w:rsid w:val="6E8E12EF"/>
    <w:rsid w:val="6E972936"/>
    <w:rsid w:val="6ED446C5"/>
    <w:rsid w:val="6F1230F2"/>
    <w:rsid w:val="6F2A7D94"/>
    <w:rsid w:val="6F8331F1"/>
    <w:rsid w:val="6FAE1A09"/>
    <w:rsid w:val="6FD75BF8"/>
    <w:rsid w:val="707723D0"/>
    <w:rsid w:val="70E707C8"/>
    <w:rsid w:val="70F5661B"/>
    <w:rsid w:val="71360107"/>
    <w:rsid w:val="713B688E"/>
    <w:rsid w:val="71D43752"/>
    <w:rsid w:val="71F1796A"/>
    <w:rsid w:val="72154626"/>
    <w:rsid w:val="72262B5D"/>
    <w:rsid w:val="72283FF7"/>
    <w:rsid w:val="722E7212"/>
    <w:rsid w:val="723A0474"/>
    <w:rsid w:val="725923E4"/>
    <w:rsid w:val="72864BF7"/>
    <w:rsid w:val="729023FC"/>
    <w:rsid w:val="738A025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685A92"/>
    <w:rsid w:val="76826699"/>
    <w:rsid w:val="76B517C3"/>
    <w:rsid w:val="76C87133"/>
    <w:rsid w:val="76CD08D5"/>
    <w:rsid w:val="76DB4B92"/>
    <w:rsid w:val="77052AA4"/>
    <w:rsid w:val="77136511"/>
    <w:rsid w:val="77340A39"/>
    <w:rsid w:val="77344B80"/>
    <w:rsid w:val="77351FD0"/>
    <w:rsid w:val="77472422"/>
    <w:rsid w:val="777F31F2"/>
    <w:rsid w:val="778D6C86"/>
    <w:rsid w:val="77D1700D"/>
    <w:rsid w:val="77EC04CC"/>
    <w:rsid w:val="78775729"/>
    <w:rsid w:val="78806971"/>
    <w:rsid w:val="78A42DB0"/>
    <w:rsid w:val="78A656AB"/>
    <w:rsid w:val="78B2245C"/>
    <w:rsid w:val="78E172CC"/>
    <w:rsid w:val="78EA1D1F"/>
    <w:rsid w:val="7904172F"/>
    <w:rsid w:val="790F7E27"/>
    <w:rsid w:val="792A231A"/>
    <w:rsid w:val="79316829"/>
    <w:rsid w:val="797E66A9"/>
    <w:rsid w:val="79A97383"/>
    <w:rsid w:val="79B64EC5"/>
    <w:rsid w:val="79E24073"/>
    <w:rsid w:val="79E27E8B"/>
    <w:rsid w:val="79F850CE"/>
    <w:rsid w:val="79FD443C"/>
    <w:rsid w:val="7A1D1975"/>
    <w:rsid w:val="7A3E5150"/>
    <w:rsid w:val="7A4670D6"/>
    <w:rsid w:val="7A534B63"/>
    <w:rsid w:val="7A615382"/>
    <w:rsid w:val="7A666109"/>
    <w:rsid w:val="7A67303B"/>
    <w:rsid w:val="7A7C26DF"/>
    <w:rsid w:val="7AAB1D04"/>
    <w:rsid w:val="7ABA4368"/>
    <w:rsid w:val="7AD05746"/>
    <w:rsid w:val="7B16555C"/>
    <w:rsid w:val="7B257FFD"/>
    <w:rsid w:val="7B343476"/>
    <w:rsid w:val="7B5A2978"/>
    <w:rsid w:val="7B5A7E4C"/>
    <w:rsid w:val="7B667AF9"/>
    <w:rsid w:val="7B7468F8"/>
    <w:rsid w:val="7BEE0103"/>
    <w:rsid w:val="7C0A0FE4"/>
    <w:rsid w:val="7C254906"/>
    <w:rsid w:val="7C590818"/>
    <w:rsid w:val="7C7C10F6"/>
    <w:rsid w:val="7C853BEA"/>
    <w:rsid w:val="7C881368"/>
    <w:rsid w:val="7CD15D36"/>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7FFF3405"/>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196"/>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1"/>
    <w:link w:val="268"/>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2"/>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5"/>
    <w:qFormat/>
    <w:uiPriority w:val="0"/>
    <w:pPr>
      <w:shd w:val="clear" w:color="auto" w:fill="000080"/>
    </w:pPr>
  </w:style>
  <w:style w:type="paragraph" w:styleId="20">
    <w:name w:val="annotation text"/>
    <w:basedOn w:val="1"/>
    <w:link w:val="348"/>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4"/>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4"/>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8"/>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4"/>
    <w:qFormat/>
    <w:uiPriority w:val="0"/>
    <w:pPr>
      <w:ind w:left="100" w:leftChars="2500"/>
    </w:pPr>
    <w:rPr>
      <w:rFonts w:ascii="宋体"/>
      <w:sz w:val="24"/>
      <w:szCs w:val="21"/>
      <w:lang w:val="zh-CN"/>
    </w:rPr>
  </w:style>
  <w:style w:type="paragraph" w:styleId="36">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1"/>
    <w:qFormat/>
    <w:uiPriority w:val="0"/>
    <w:rPr>
      <w:sz w:val="18"/>
      <w:szCs w:val="18"/>
    </w:rPr>
  </w:style>
  <w:style w:type="paragraph" w:styleId="39">
    <w:name w:val="footer"/>
    <w:basedOn w:val="1"/>
    <w:link w:val="387"/>
    <w:qFormat/>
    <w:uiPriority w:val="99"/>
    <w:pPr>
      <w:tabs>
        <w:tab w:val="center" w:pos="4153"/>
        <w:tab w:val="right" w:pos="8306"/>
      </w:tabs>
      <w:snapToGrid w:val="0"/>
      <w:jc w:val="left"/>
    </w:pPr>
    <w:rPr>
      <w:sz w:val="18"/>
      <w:szCs w:val="18"/>
    </w:rPr>
  </w:style>
  <w:style w:type="paragraph" w:styleId="40">
    <w:name w:val="header"/>
    <w:basedOn w:val="1"/>
    <w:link w:val="396"/>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9"/>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9"/>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5"/>
    <w:qFormat/>
    <w:uiPriority w:val="0"/>
    <w:pPr>
      <w:spacing w:after="120" w:line="480" w:lineRule="auto"/>
    </w:pPr>
  </w:style>
  <w:style w:type="paragraph" w:styleId="56">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9"/>
    <w:qFormat/>
    <w:uiPriority w:val="0"/>
    <w:rPr>
      <w:b/>
      <w:bCs/>
    </w:rPr>
  </w:style>
  <w:style w:type="paragraph" w:styleId="60">
    <w:name w:val="Body Text First Indent"/>
    <w:basedOn w:val="24"/>
    <w:next w:val="1"/>
    <w:link w:val="325"/>
    <w:qFormat/>
    <w:uiPriority w:val="0"/>
    <w:pPr>
      <w:ind w:firstLine="420"/>
    </w:pPr>
    <w:rPr>
      <w:rFonts w:hAnsi="Calibri" w:cs="Times New Roman"/>
      <w:snapToGrid/>
      <w:szCs w:val="20"/>
    </w:rPr>
  </w:style>
  <w:style w:type="paragraph" w:styleId="61">
    <w:name w:val="Body Text First Indent 2"/>
    <w:basedOn w:val="6"/>
    <w:next w:val="60"/>
    <w:link w:val="124"/>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81">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82">
    <w:name w:val="正文文本首行缩进 21"/>
    <w:basedOn w:val="6"/>
    <w:qFormat/>
    <w:uiPriority w:val="99"/>
    <w:pPr>
      <w:spacing w:line="200" w:lineRule="atLeast"/>
      <w:ind w:firstLine="420"/>
    </w:pPr>
    <w:rPr>
      <w:rFonts w:hAnsi="Courier New"/>
      <w:spacing w:val="-4"/>
      <w:sz w:val="18"/>
    </w:rPr>
  </w:style>
  <w:style w:type="paragraph" w:customStyle="1" w:styleId="83">
    <w:name w:val="正文文本首行缩进 22"/>
    <w:basedOn w:val="6"/>
    <w:qFormat/>
    <w:uiPriority w:val="99"/>
    <w:pPr>
      <w:spacing w:line="200" w:lineRule="atLeast"/>
      <w:ind w:firstLine="420"/>
    </w:pPr>
    <w:rPr>
      <w:rFonts w:hAnsi="Courier New"/>
      <w:spacing w:val="-4"/>
      <w:sz w:val="18"/>
    </w:rPr>
  </w:style>
  <w:style w:type="paragraph" w:customStyle="1" w:styleId="84">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locked/>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STZhongsong" w:hAnsi="STZhongsong" w:eastAsia="STZhongsong"/>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59"/>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locked/>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文本首行缩进 2 字符"/>
    <w:link w:val="61"/>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69"/>
    <w:qFormat/>
    <w:uiPriority w:val="0"/>
    <w:rPr>
      <w:rFonts w:ascii="Arial" w:hAnsi="Arial" w:eastAsia="黑体" w:cs="Arial"/>
      <w:snapToGrid w:val="0"/>
      <w:kern w:val="0"/>
      <w:szCs w:val="21"/>
    </w:rPr>
  </w:style>
  <w:style w:type="character" w:customStyle="1" w:styleId="128">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字符"/>
    <w:link w:val="46"/>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semiHidden/>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locked/>
    <w:uiPriority w:val="0"/>
    <w:rPr>
      <w:rFonts w:eastAsia="宋体"/>
      <w:kern w:val="2"/>
      <w:sz w:val="21"/>
      <w:szCs w:val="24"/>
      <w:lang w:val="en-US" w:eastAsia="zh-CN" w:bidi="ar-SA"/>
    </w:rPr>
  </w:style>
  <w:style w:type="character" w:customStyle="1" w:styleId="149">
    <w:name w:val="font41"/>
    <w:basedOn w:val="69"/>
    <w:qFormat/>
    <w:uiPriority w:val="0"/>
    <w:rPr>
      <w:rFonts w:hint="eastAsia" w:ascii="仿宋_GB2312" w:eastAsia="仿宋_GB2312" w:cs="仿宋_GB2312"/>
      <w:color w:val="000000"/>
      <w:sz w:val="22"/>
      <w:szCs w:val="22"/>
      <w:u w:val="none"/>
    </w:rPr>
  </w:style>
  <w:style w:type="character" w:customStyle="1" w:styleId="150">
    <w:name w:val="标题 6 字符"/>
    <w:link w:val="9"/>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locked/>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locked/>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2"/>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semiHidden/>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semiHidden/>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字符"/>
    <w:link w:val="35"/>
    <w:qFormat/>
    <w:uiPriority w:val="0"/>
    <w:rPr>
      <w:rFonts w:ascii="宋体"/>
      <w:kern w:val="2"/>
      <w:sz w:val="24"/>
      <w:szCs w:val="21"/>
      <w:lang w:val="zh-CN"/>
    </w:rPr>
  </w:style>
  <w:style w:type="character" w:customStyle="1" w:styleId="185">
    <w:name w:val="标题 9 字符"/>
    <w:link w:val="12"/>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semiHidden/>
    <w:qFormat/>
    <w:uiPriority w:val="99"/>
    <w:rPr>
      <w:rFonts w:ascii="Times New Roman" w:hAnsi="Times New Roman" w:eastAsia="宋体" w:cs="Times New Roman"/>
      <w:szCs w:val="24"/>
    </w:rPr>
  </w:style>
  <w:style w:type="character" w:customStyle="1" w:styleId="191">
    <w:name w:val="批注框文本 字符1"/>
    <w:link w:val="38"/>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locked/>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字符2"/>
    <w:link w:val="5"/>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字符"/>
    <w:link w:val="19"/>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semiHidden/>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69"/>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字符"/>
    <w:link w:val="29"/>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7"/>
    <w:link w:val="22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
    <w:qFormat/>
    <w:locked/>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字符"/>
    <w:link w:val="17"/>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238"/>
    <w:qFormat/>
    <w:uiPriority w:val="0"/>
    <w:rPr>
      <w:rFonts w:ascii="仿宋_GB2312" w:eastAsia="仿宋_GB2312" w:cs="仿宋_GB2312"/>
      <w:color w:val="000000"/>
      <w:sz w:val="24"/>
      <w:szCs w:val="24"/>
      <w:lang w:val="en-US" w:eastAsia="zh-CN" w:bidi="ar-SA"/>
    </w:rPr>
  </w:style>
  <w:style w:type="paragraph" w:customStyle="1" w:styleId="238">
    <w:name w:val="Default"/>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semiHidden/>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locked/>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字符1"/>
    <w:link w:val="6"/>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semiHidden/>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
    <w:qFormat/>
    <w:locked/>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字符1"/>
    <w:link w:val="3"/>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字符"/>
    <w:link w:val="58"/>
    <w:qFormat/>
    <w:uiPriority w:val="10"/>
    <w:rPr>
      <w:b/>
      <w:sz w:val="24"/>
      <w:lang w:val="en-GB"/>
    </w:rPr>
  </w:style>
  <w:style w:type="character" w:customStyle="1" w:styleId="290">
    <w:name w:val="font81"/>
    <w:basedOn w:val="69"/>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字符"/>
    <w:link w:val="8"/>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1"/>
    <w:qFormat/>
    <w:uiPriority w:val="0"/>
    <w:rPr>
      <w:rFonts w:ascii="仿宋_GB2312" w:eastAsia="仿宋_GB2312"/>
      <w:kern w:val="2"/>
      <w:sz w:val="28"/>
    </w:rPr>
  </w:style>
  <w:style w:type="character" w:customStyle="1" w:styleId="302">
    <w:name w:val="文本正文 Char Char"/>
    <w:qFormat/>
    <w:locked/>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6"/>
    <w:qFormat/>
    <w:uiPriority w:val="0"/>
    <w:rPr>
      <w:rFonts w:ascii="黑体" w:hAnsi="Courier New" w:eastAsia="黑体"/>
    </w:rPr>
  </w:style>
  <w:style w:type="character" w:customStyle="1" w:styleId="305">
    <w:name w:val="正文文本 2 字符1"/>
    <w:link w:val="55"/>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7"/>
    <w:link w:val="41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10"/>
    <w:qFormat/>
    <w:uiPriority w:val="0"/>
    <w:rPr>
      <w:b/>
      <w:bCs/>
      <w:kern w:val="2"/>
      <w:sz w:val="24"/>
      <w:szCs w:val="24"/>
    </w:rPr>
  </w:style>
  <w:style w:type="character" w:customStyle="1" w:styleId="311">
    <w:name w:val="正文文本缩进 2 字符"/>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49"/>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324"/>
    <w:link w:val="322"/>
    <w:qFormat/>
    <w:uiPriority w:val="0"/>
    <w:pPr>
      <w:tabs>
        <w:tab w:val="right" w:leader="dot" w:pos="8268"/>
      </w:tabs>
      <w:adjustRightInd/>
    </w:pPr>
    <w:rPr>
      <w:rFonts w:ascii="宋体"/>
      <w:kern w:val="0"/>
      <w:sz w:val="20"/>
      <w:szCs w:val="20"/>
    </w:rPr>
  </w:style>
  <w:style w:type="paragraph" w:customStyle="1" w:styleId="324">
    <w:name w:val="正文1"/>
    <w:basedOn w:val="31"/>
    <w:qFormat/>
    <w:uiPriority w:val="0"/>
    <w:pPr>
      <w:ind w:left="0" w:leftChars="0" w:firstLine="480" w:firstLineChars="200"/>
    </w:pPr>
    <w:rPr>
      <w:rFonts w:ascii="仿宋_GB2312" w:hAnsi="Courier New" w:eastAsia="仿宋_GB2312"/>
      <w:kern w:val="28"/>
      <w:sz w:val="24"/>
    </w:rPr>
  </w:style>
  <w:style w:type="character" w:customStyle="1" w:styleId="325">
    <w:name w:val="正文文本首行缩进 字符"/>
    <w:link w:val="60"/>
    <w:qFormat/>
    <w:uiPriority w:val="0"/>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字符1"/>
    <w:link w:val="7"/>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字符"/>
    <w:link w:val="22"/>
    <w:qFormat/>
    <w:uiPriority w:val="0"/>
    <w:rPr>
      <w:kern w:val="2"/>
      <w:sz w:val="21"/>
    </w:rPr>
  </w:style>
  <w:style w:type="character" w:customStyle="1" w:styleId="335">
    <w:name w:val="font3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仿宋_GB2312" w:eastAsia="仿宋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仿宋_GB2312" w:hAnsi="Courier New" w:eastAsia="仿宋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字符1"/>
    <w:link w:val="20"/>
    <w:qFormat/>
    <w:uiPriority w:val="0"/>
    <w:rPr>
      <w:kern w:val="2"/>
      <w:sz w:val="21"/>
      <w:szCs w:val="24"/>
    </w:rPr>
  </w:style>
  <w:style w:type="character" w:customStyle="1" w:styleId="349">
    <w:name w:val="签名 字符"/>
    <w:link w:val="41"/>
    <w:qFormat/>
    <w:uiPriority w:val="0"/>
    <w:rPr>
      <w:rFonts w:eastAsia="仿宋_GB2312"/>
      <w:sz w:val="24"/>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标题 4 字符"/>
    <w:qFormat/>
    <w:uiPriority w:val="9"/>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semiHidden/>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仿宋_GB2312" w:eastAsia="仿宋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字符"/>
    <w:link w:val="11"/>
    <w:qFormat/>
    <w:uiPriority w:val="0"/>
    <w:rPr>
      <w:rFonts w:ascii="Arial" w:hAnsi="Arial" w:eastAsia="黑体"/>
      <w:kern w:val="2"/>
      <w:sz w:val="24"/>
      <w:szCs w:val="24"/>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正文文本缩进 3 字符"/>
    <w:link w:val="52"/>
    <w:qFormat/>
    <w:uiPriority w:val="0"/>
    <w:rPr>
      <w:kern w:val="2"/>
      <w:sz w:val="24"/>
    </w:rPr>
  </w:style>
  <w:style w:type="character" w:customStyle="1" w:styleId="380">
    <w:name w:val="日期 Char1"/>
    <w:semiHidden/>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页脚 字符2"/>
    <w:link w:val="39"/>
    <w:qFormat/>
    <w:locked/>
    <w:uiPriority w:val="99"/>
    <w:rPr>
      <w:kern w:val="2"/>
      <w:sz w:val="18"/>
      <w:szCs w:val="18"/>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页眉 字符2"/>
    <w:link w:val="40"/>
    <w:qFormat/>
    <w:uiPriority w:val="99"/>
    <w:rPr>
      <w:kern w:val="2"/>
      <w:sz w:val="18"/>
      <w:szCs w:val="18"/>
    </w:rPr>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9"/>
    <w:rPr>
      <w:rFonts w:ascii="Arial" w:hAnsi="Arial" w:eastAsia="黑体" w:cs="Arial"/>
      <w:b/>
      <w:bCs/>
      <w:snapToGrid w:val="0"/>
      <w:kern w:val="44"/>
      <w:sz w:val="44"/>
      <w:szCs w:val="44"/>
    </w:rPr>
  </w:style>
  <w:style w:type="character" w:customStyle="1" w:styleId="425">
    <w:name w:val="style36"/>
    <w:basedOn w:val="69"/>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5"/>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5">
    <w:name w:val="gray6"/>
    <w:basedOn w:val="69"/>
    <w:qFormat/>
    <w:uiPriority w:val="0"/>
    <w:rPr>
      <w:rFonts w:ascii="Arial" w:hAnsi="Arial" w:eastAsia="黑体" w:cs="Arial"/>
      <w:snapToGrid w:val="0"/>
      <w:kern w:val="0"/>
      <w:szCs w:val="21"/>
    </w:rPr>
  </w:style>
  <w:style w:type="character" w:customStyle="1" w:styleId="436">
    <w:name w:val="hui"/>
    <w:basedOn w:val="69"/>
    <w:qFormat/>
    <w:uiPriority w:val="0"/>
    <w:rPr>
      <w:rFonts w:ascii="Arial" w:hAnsi="Arial" w:eastAsia="黑体" w:cs="Arial"/>
      <w:snapToGrid w:val="0"/>
      <w:kern w:val="0"/>
      <w:szCs w:val="21"/>
    </w:rPr>
  </w:style>
  <w:style w:type="character" w:customStyle="1" w:styleId="437">
    <w:name w:val="哈哈正文 Char Char"/>
    <w:qFormat/>
    <w:uiPriority w:val="0"/>
    <w:rPr>
      <w:rFonts w:ascii="宋体" w:hAnsi="宋体" w:eastAsia="宋体" w:cs="宋体"/>
      <w:kern w:val="2"/>
      <w:sz w:val="24"/>
      <w:lang w:val="en-US" w:eastAsia="zh-CN" w:bidi="ar-SA"/>
    </w:rPr>
  </w:style>
  <w:style w:type="paragraph" w:customStyle="1" w:styleId="438">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0">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5">
    <w:name w:val="标题4_自定义"/>
    <w:basedOn w:val="7"/>
    <w:qFormat/>
    <w:uiPriority w:val="0"/>
    <w:pPr>
      <w:adjustRightInd/>
      <w:spacing w:before="0" w:after="0" w:line="360" w:lineRule="auto"/>
    </w:pPr>
    <w:rPr>
      <w:rFonts w:ascii="Verdana" w:eastAsia="Verdana"/>
      <w:sz w:val="21"/>
      <w:lang w:val="en-US"/>
    </w:rPr>
  </w:style>
  <w:style w:type="paragraph" w:customStyle="1" w:styleId="446">
    <w:name w:val="正文 内标 序号标"/>
    <w:basedOn w:val="447"/>
    <w:qFormat/>
    <w:uiPriority w:val="0"/>
    <w:pPr>
      <w:tabs>
        <w:tab w:val="left" w:pos="0"/>
      </w:tabs>
      <w:adjustRightInd/>
      <w:spacing w:before="0"/>
      <w:ind w:firstLine="482"/>
    </w:pPr>
    <w:rPr>
      <w:rFonts w:ascii="微软雅黑" w:hAnsi="微软雅黑"/>
      <w:sz w:val="24"/>
      <w:szCs w:val="24"/>
    </w:rPr>
  </w:style>
  <w:style w:type="paragraph" w:customStyle="1" w:styleId="447">
    <w:name w:val="My正文"/>
    <w:basedOn w:val="1"/>
    <w:qFormat/>
    <w:uiPriority w:val="0"/>
    <w:pPr>
      <w:spacing w:before="120" w:line="360" w:lineRule="auto"/>
      <w:ind w:firstLine="567"/>
    </w:pPr>
    <w:rPr>
      <w:rFonts w:ascii="Arial" w:hAnsi="Arial"/>
      <w:sz w:val="20"/>
      <w:szCs w:val="20"/>
    </w:rPr>
  </w:style>
  <w:style w:type="paragraph" w:customStyle="1" w:styleId="44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1">
    <w:name w:val="修订2"/>
    <w:qFormat/>
    <w:uiPriority w:val="0"/>
    <w:rPr>
      <w:rFonts w:ascii="Times New Roman" w:hAnsi="Times New Roman" w:eastAsia="宋体" w:cs="Times New Roman"/>
      <w:kern w:val="2"/>
      <w:sz w:val="21"/>
      <w:lang w:val="en-US" w:eastAsia="zh-CN" w:bidi="ar-SA"/>
    </w:rPr>
  </w:style>
  <w:style w:type="paragraph" w:customStyle="1" w:styleId="45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4">
    <w:name w:val="文章标题"/>
    <w:next w:val="455"/>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5">
    <w:name w:val="封面公司名"/>
    <w:qFormat/>
    <w:uiPriority w:val="0"/>
    <w:pPr>
      <w:jc w:val="center"/>
    </w:pPr>
    <w:rPr>
      <w:rFonts w:ascii="Arial" w:hAnsi="Arial" w:eastAsia="楷体_GB2312" w:cs="宋体"/>
      <w:bCs/>
      <w:kern w:val="2"/>
      <w:sz w:val="28"/>
      <w:lang w:val="en-US" w:eastAsia="zh-CN" w:bidi="ar-SA"/>
    </w:rPr>
  </w:style>
  <w:style w:type="paragraph" w:customStyle="1" w:styleId="456">
    <w:name w:val="Char1 Char Char Char5"/>
    <w:basedOn w:val="1"/>
    <w:qFormat/>
    <w:uiPriority w:val="0"/>
    <w:pPr>
      <w:adjustRightInd/>
      <w:ind w:firstLine="200" w:firstLineChars="200"/>
    </w:pPr>
    <w:rPr>
      <w:rFonts w:ascii="Tahoma" w:hAnsi="Tahoma"/>
      <w:sz w:val="24"/>
      <w:szCs w:val="20"/>
    </w:rPr>
  </w:style>
  <w:style w:type="paragraph" w:customStyle="1" w:styleId="4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9">
    <w:name w:val="Char Char Char Char Char Char Char Char"/>
    <w:basedOn w:val="1"/>
    <w:qFormat/>
    <w:uiPriority w:val="0"/>
    <w:pPr>
      <w:tabs>
        <w:tab w:val="left" w:pos="360"/>
      </w:tabs>
    </w:pPr>
    <w:rPr>
      <w:sz w:val="24"/>
      <w:szCs w:val="20"/>
    </w:rPr>
  </w:style>
  <w:style w:type="paragraph" w:customStyle="1" w:styleId="460">
    <w:name w:val="Char Char11 Char Char Char"/>
    <w:basedOn w:val="1"/>
    <w:qFormat/>
    <w:uiPriority w:val="0"/>
    <w:pPr>
      <w:spacing w:line="360" w:lineRule="auto"/>
    </w:pPr>
    <w:rPr>
      <w:szCs w:val="20"/>
    </w:rPr>
  </w:style>
  <w:style w:type="paragraph" w:customStyle="1" w:styleId="46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3">
    <w:name w:val="样式3"/>
    <w:basedOn w:val="464"/>
    <w:qFormat/>
    <w:uiPriority w:val="0"/>
    <w:pPr>
      <w:tabs>
        <w:tab w:val="left" w:pos="2790"/>
        <w:tab w:val="left" w:pos="4230"/>
      </w:tabs>
      <w:spacing w:before="312" w:beforeLines="100"/>
      <w:jc w:val="left"/>
    </w:pPr>
  </w:style>
  <w:style w:type="paragraph" w:customStyle="1" w:styleId="46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5">
    <w:name w:val="Char Char1 Char Char1 Char Char1"/>
    <w:basedOn w:val="1"/>
    <w:qFormat/>
    <w:uiPriority w:val="0"/>
    <w:pPr>
      <w:tabs>
        <w:tab w:val="left" w:pos="840"/>
      </w:tabs>
      <w:ind w:left="840" w:hanging="420"/>
    </w:pPr>
    <w:rPr>
      <w:rFonts w:ascii="Tahoma" w:hAnsi="Tahoma"/>
      <w:sz w:val="24"/>
    </w:rPr>
  </w:style>
  <w:style w:type="paragraph" w:customStyle="1" w:styleId="46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7">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9">
    <w:name w:val="正文21"/>
    <w:basedOn w:val="1"/>
    <w:qFormat/>
    <w:uiPriority w:val="0"/>
    <w:pPr>
      <w:adjustRightInd/>
      <w:spacing w:before="156" w:line="360" w:lineRule="auto"/>
      <w:ind w:firstLine="510" w:firstLineChars="200"/>
    </w:pPr>
    <w:rPr>
      <w:sz w:val="24"/>
      <w:szCs w:val="20"/>
    </w:rPr>
  </w:style>
  <w:style w:type="paragraph" w:customStyle="1" w:styleId="470">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2">
    <w:name w:val="Char1"/>
    <w:basedOn w:val="1"/>
    <w:qFormat/>
    <w:uiPriority w:val="0"/>
    <w:rPr>
      <w:rFonts w:ascii="仿宋_GB2312" w:eastAsia="仿宋_GB2312"/>
      <w:b/>
      <w:sz w:val="32"/>
      <w:szCs w:val="32"/>
    </w:rPr>
  </w:style>
  <w:style w:type="paragraph" w:customStyle="1" w:styleId="47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7">
    <w:name w:val="6级标题"/>
    <w:basedOn w:val="478"/>
    <w:qFormat/>
    <w:uiPriority w:val="0"/>
    <w:pPr>
      <w:keepNext/>
      <w:tabs>
        <w:tab w:val="left" w:pos="360"/>
      </w:tabs>
      <w:spacing w:before="0" w:after="0"/>
      <w:outlineLvl w:val="5"/>
    </w:pPr>
  </w:style>
  <w:style w:type="paragraph" w:customStyle="1" w:styleId="478">
    <w:name w:val="5级标题"/>
    <w:basedOn w:val="479"/>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9">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0">
    <w:name w:val="样式 正文文本缩进 + 段前: 2 字符"/>
    <w:basedOn w:val="1"/>
    <w:qFormat/>
    <w:uiPriority w:val="0"/>
    <w:pPr>
      <w:adjustRightInd/>
      <w:ind w:left="420" w:leftChars="200"/>
      <w:jc w:val="left"/>
    </w:pPr>
    <w:rPr>
      <w:sz w:val="28"/>
      <w:szCs w:val="20"/>
      <w:lang w:eastAsia="zh-TW"/>
    </w:rPr>
  </w:style>
  <w:style w:type="paragraph" w:customStyle="1" w:styleId="481">
    <w:name w:val="Char2 Char Char"/>
    <w:basedOn w:val="1"/>
    <w:qFormat/>
    <w:uiPriority w:val="0"/>
    <w:pPr>
      <w:adjustRightInd/>
    </w:pPr>
    <w:rPr>
      <w:rFonts w:ascii="Tahoma" w:hAnsi="Tahoma"/>
      <w:sz w:val="24"/>
      <w:szCs w:val="20"/>
    </w:rPr>
  </w:style>
  <w:style w:type="paragraph" w:customStyle="1" w:styleId="482">
    <w:name w:val="_Style 11"/>
    <w:basedOn w:val="1"/>
    <w:qFormat/>
    <w:uiPriority w:val="34"/>
    <w:pPr>
      <w:adjustRightInd/>
      <w:ind w:firstLine="420" w:firstLineChars="200"/>
    </w:pPr>
    <w:rPr>
      <w:rFonts w:eastAsia="仿宋_GB2312"/>
      <w:sz w:val="28"/>
    </w:rPr>
  </w:style>
  <w:style w:type="paragraph" w:customStyle="1" w:styleId="48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4">
    <w:name w:val="Char Char Char"/>
    <w:basedOn w:val="1"/>
    <w:qFormat/>
    <w:uiPriority w:val="0"/>
    <w:rPr>
      <w:rFonts w:ascii="Tahoma" w:hAnsi="Tahoma"/>
      <w:sz w:val="24"/>
      <w:szCs w:val="20"/>
    </w:rPr>
  </w:style>
  <w:style w:type="paragraph" w:customStyle="1" w:styleId="485">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7">
    <w:name w:val="No Spacing"/>
    <w:basedOn w:val="1"/>
    <w:link w:val="934"/>
    <w:qFormat/>
    <w:uiPriority w:val="99"/>
    <w:rPr>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2"/>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4"/>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8"/>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4"/>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7"/>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238"/>
    <w:next w:val="238"/>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238"/>
    <w:next w:val="238"/>
    <w:qFormat/>
    <w:uiPriority w:val="0"/>
    <w:rPr>
      <w:rFonts w:ascii="宋体" w:eastAsia="宋体" w:cs="Times New Roman"/>
      <w:color w:val="auto"/>
    </w:rPr>
  </w:style>
  <w:style w:type="paragraph" w:customStyle="1" w:styleId="554">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156"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5"/>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4"/>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beforeLines="0" w:after="0" w:afterLines="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7"/>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left" w:pos="2940"/>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7"/>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3"/>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2"/>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2"/>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7"/>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6"/>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7"/>
    <w:qFormat/>
    <w:uiPriority w:val="0"/>
    <w:rPr>
      <w:kern w:val="2"/>
      <w:sz w:val="21"/>
      <w:szCs w:val="24"/>
      <w:lang w:val="zh-CN"/>
    </w:rPr>
  </w:style>
  <w:style w:type="character" w:customStyle="1" w:styleId="934">
    <w:name w:val="无间隔 字符"/>
    <w:link w:val="487"/>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basedOn w:val="69"/>
    <w:qFormat/>
    <w:uiPriority w:val="0"/>
    <w:rPr>
      <w:rFonts w:hint="eastAsia" w:ascii="仿宋" w:hAnsi="仿宋" w:eastAsia="仿宋" w:cs="仿宋"/>
      <w:color w:val="000000"/>
      <w:sz w:val="22"/>
      <w:szCs w:val="22"/>
      <w:u w:val="none"/>
    </w:rPr>
  </w:style>
  <w:style w:type="paragraph" w:customStyle="1" w:styleId="965">
    <w:name w:val="Body Text First Indent 21"/>
    <w:basedOn w:val="966"/>
    <w:qFormat/>
    <w:uiPriority w:val="0"/>
    <w:pPr>
      <w:ind w:firstLine="420" w:firstLineChars="200"/>
    </w:pPr>
  </w:style>
  <w:style w:type="paragraph" w:customStyle="1" w:styleId="966">
    <w:name w:val="Body Text Indent1"/>
    <w:basedOn w:val="1"/>
    <w:qFormat/>
    <w:uiPriority w:val="0"/>
    <w:pPr>
      <w:spacing w:after="120"/>
      <w:ind w:left="420" w:leftChars="200"/>
    </w:pPr>
  </w:style>
  <w:style w:type="paragraph" w:customStyle="1" w:styleId="967">
    <w:name w:val="WPSOffice手动目录 1"/>
    <w:qFormat/>
    <w:uiPriority w:val="0"/>
    <w:rPr>
      <w:rFonts w:ascii="Times New Roman" w:hAnsi="Times New Roman" w:eastAsia="宋体" w:cs="Times New Roman"/>
      <w:lang w:val="en-US" w:eastAsia="zh-CN" w:bidi="ar-SA"/>
    </w:rPr>
  </w:style>
  <w:style w:type="character" w:customStyle="1" w:styleId="968">
    <w:name w:val="font151"/>
    <w:basedOn w:val="69"/>
    <w:qFormat/>
    <w:uiPriority w:val="0"/>
    <w:rPr>
      <w:rFonts w:hint="default" w:ascii="Arial" w:hAnsi="Arial" w:cs="Arial"/>
      <w:color w:val="000000"/>
      <w:sz w:val="20"/>
      <w:szCs w:val="20"/>
      <w:u w:val="none"/>
    </w:rPr>
  </w:style>
  <w:style w:type="character" w:customStyle="1" w:styleId="969">
    <w:name w:val="font131"/>
    <w:basedOn w:val="69"/>
    <w:qFormat/>
    <w:uiPriority w:val="0"/>
    <w:rPr>
      <w:rFonts w:hint="eastAsia" w:ascii="宋体" w:hAnsi="宋体" w:eastAsia="宋体" w:cs="宋体"/>
      <w:color w:val="FF0000"/>
      <w:sz w:val="20"/>
      <w:szCs w:val="20"/>
      <w:u w:val="none"/>
    </w:rPr>
  </w:style>
  <w:style w:type="character" w:customStyle="1" w:styleId="970">
    <w:name w:val="font141"/>
    <w:basedOn w:val="69"/>
    <w:qFormat/>
    <w:uiPriority w:val="0"/>
    <w:rPr>
      <w:rFonts w:hint="default" w:ascii="Arial" w:hAnsi="Arial" w:cs="Arial"/>
      <w:color w:val="FF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jpe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header" Target="header4.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jpeg"/><Relationship Id="rId80" Type="http://schemas.openxmlformats.org/officeDocument/2006/relationships/image" Target="media/image56.png"/><Relationship Id="rId8" Type="http://schemas.openxmlformats.org/officeDocument/2006/relationships/header" Target="header3.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footer" Target="foot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jpe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footer" Target="foot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jpe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1.xml"/><Relationship Id="rId49" Type="http://schemas.openxmlformats.org/officeDocument/2006/relationships/image" Target="media/image25.jpe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header" Target="head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3" Type="http://schemas.openxmlformats.org/officeDocument/2006/relationships/fontTable" Target="fontTable.xml"/><Relationship Id="rId112" Type="http://schemas.openxmlformats.org/officeDocument/2006/relationships/customXml" Target="../customXml/item2.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footer" Target="footer5.xml"/><Relationship Id="rId109" Type="http://schemas.openxmlformats.org/officeDocument/2006/relationships/image" Target="media/image85.jpeg"/><Relationship Id="rId108" Type="http://schemas.openxmlformats.org/officeDocument/2006/relationships/image" Target="media/image84.jpeg"/><Relationship Id="rId107" Type="http://schemas.openxmlformats.org/officeDocument/2006/relationships/image" Target="media/image83.jpeg"/><Relationship Id="rId106" Type="http://schemas.openxmlformats.org/officeDocument/2006/relationships/image" Target="media/image82.jpeg"/><Relationship Id="rId105" Type="http://schemas.openxmlformats.org/officeDocument/2006/relationships/image" Target="media/image81.jpeg"/><Relationship Id="rId104" Type="http://schemas.openxmlformats.org/officeDocument/2006/relationships/image" Target="media/image80.png"/><Relationship Id="rId103" Type="http://schemas.openxmlformats.org/officeDocument/2006/relationships/image" Target="media/image79.jpe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142</Pages>
  <Words>82498</Words>
  <Characters>99855</Characters>
  <Lines>766</Lines>
  <Paragraphs>215</Paragraphs>
  <TotalTime>0</TotalTime>
  <ScaleCrop>false</ScaleCrop>
  <LinksUpToDate>false</LinksUpToDate>
  <CharactersWithSpaces>107466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serena</cp:lastModifiedBy>
  <cp:lastPrinted>2022-04-28T04:11:00Z</cp:lastPrinted>
  <dcterms:modified xsi:type="dcterms:W3CDTF">2022-04-28T05:12:24Z</dcterms:modified>
  <dc:title>杭州市市民卡扩大发卡工程</dc:title>
  <cp:revision>204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BA04BD1268D043899778C993E498DEED</vt:lpwstr>
  </property>
  <property fmtid="{D5CDD505-2E9C-101B-9397-08002B2CF9AE}" pid="5" name="commondata">
    <vt:lpwstr>eyJoZGlkIjoiZGIwMWQyMDUwZTE2MDE4MTEyY2MzZTQwNzBjNGYxOGYifQ==</vt:lpwstr>
  </property>
</Properties>
</file>