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ascii="宋体" w:hAnsi="宋体" w:cs="宋体"/>
          <w:b/>
          <w:bCs/>
          <w:color w:val="000000"/>
          <w:spacing w:val="6"/>
          <w:sz w:val="44"/>
          <w:szCs w:val="44"/>
        </w:rPr>
      </w:pPr>
      <w:r>
        <w:rPr>
          <w:rFonts w:hint="eastAsia" w:ascii="宋体" w:hAnsi="宋体" w:cs="宋体"/>
          <w:b/>
          <w:bCs/>
          <w:color w:val="000000"/>
          <w:spacing w:val="6"/>
          <w:sz w:val="36"/>
          <w:szCs w:val="36"/>
        </w:rPr>
        <w:t>乔司街道集镇区块管道养护服务项目</w:t>
      </w:r>
    </w:p>
    <w:p>
      <w:pPr>
        <w:pStyle w:val="3"/>
        <w:spacing w:line="900" w:lineRule="exact"/>
        <w:ind w:left="0" w:leftChars="0" w:firstLine="0" w:firstLineChars="0"/>
        <w:jc w:val="center"/>
        <w:rPr>
          <w:rFonts w:cs="宋体"/>
        </w:rPr>
      </w:pPr>
    </w:p>
    <w:p>
      <w:pPr>
        <w:adjustRightInd/>
        <w:spacing w:line="900" w:lineRule="exact"/>
        <w:jc w:val="center"/>
        <w:rPr>
          <w:rFonts w:ascii="宋体" w:hAnsi="宋体" w:cs="宋体"/>
          <w:b/>
          <w:bCs/>
          <w:color w:val="000000"/>
          <w:spacing w:val="6"/>
          <w:sz w:val="44"/>
          <w:szCs w:val="44"/>
        </w:rPr>
      </w:pPr>
    </w:p>
    <w:p>
      <w:pPr>
        <w:adjustRightInd/>
        <w:spacing w:line="900" w:lineRule="exact"/>
        <w:jc w:val="center"/>
        <w:rPr>
          <w:rFonts w:ascii="宋体" w:hAnsi="宋体" w:cs="宋体"/>
          <w:b/>
          <w:bCs/>
          <w:color w:val="000000"/>
          <w:spacing w:val="6"/>
          <w:sz w:val="44"/>
          <w:szCs w:val="44"/>
        </w:rPr>
      </w:pPr>
    </w:p>
    <w:p>
      <w:pPr>
        <w:pStyle w:val="3"/>
        <w:spacing w:line="900" w:lineRule="exact"/>
        <w:ind w:left="0" w:leftChars="0" w:firstLine="0" w:firstLineChars="0"/>
        <w:jc w:val="center"/>
        <w:rPr>
          <w:rFonts w:cs="宋体"/>
        </w:rPr>
      </w:pPr>
    </w:p>
    <w:p>
      <w:pPr>
        <w:jc w:val="center"/>
        <w:rPr>
          <w:rFonts w:ascii="宋体" w:hAnsi="宋体" w:cs="宋体"/>
          <w:b/>
          <w:bCs/>
          <w:sz w:val="84"/>
          <w:szCs w:val="84"/>
        </w:rPr>
      </w:pPr>
      <w:r>
        <w:rPr>
          <w:rFonts w:hint="eastAsia" w:ascii="宋体" w:hAnsi="宋体" w:cs="宋体"/>
          <w:b/>
          <w:bCs/>
          <w:sz w:val="84"/>
          <w:szCs w:val="84"/>
        </w:rPr>
        <w:t>招标文件</w:t>
      </w:r>
    </w:p>
    <w:p>
      <w:pPr>
        <w:jc w:val="center"/>
        <w:rPr>
          <w:rFonts w:ascii="宋体" w:hAnsi="宋体" w:cs="宋体"/>
          <w:b/>
          <w:bCs/>
          <w:sz w:val="44"/>
          <w:szCs w:val="44"/>
        </w:rPr>
      </w:pPr>
      <w:r>
        <w:rPr>
          <w:rFonts w:hint="eastAsia" w:ascii="宋体" w:hAnsi="宋体" w:cs="宋体"/>
          <w:b/>
          <w:bCs/>
          <w:sz w:val="44"/>
          <w:szCs w:val="44"/>
        </w:rPr>
        <w:t>（电子招投标）</w:t>
      </w:r>
    </w:p>
    <w:p>
      <w:pPr>
        <w:jc w:val="center"/>
        <w:rPr>
          <w:rFonts w:ascii="宋体" w:hAnsi="宋体" w:cs="宋体"/>
          <w:b/>
          <w:bCs/>
          <w:sz w:val="32"/>
          <w:szCs w:val="32"/>
        </w:rPr>
      </w:pPr>
      <w:r>
        <w:rPr>
          <w:rFonts w:hint="eastAsia" w:ascii="宋体" w:hAnsi="宋体" w:cs="宋体"/>
          <w:b/>
          <w:bCs/>
          <w:sz w:val="32"/>
          <w:szCs w:val="32"/>
        </w:rPr>
        <w:t>编号：（</w:t>
      </w:r>
      <w:r>
        <w:rPr>
          <w:rFonts w:hint="eastAsia" w:ascii="宋体" w:hAnsi="宋体" w:cs="宋体"/>
          <w:b/>
          <w:bCs/>
          <w:sz w:val="32"/>
          <w:szCs w:val="32"/>
          <w:lang w:val="en-US" w:eastAsia="zh-CN"/>
        </w:rPr>
        <w:t>HX2024001</w:t>
      </w:r>
      <w:r>
        <w:rPr>
          <w:rFonts w:hint="eastAsia" w:ascii="宋体" w:hAnsi="宋体" w:cs="宋体"/>
          <w:b/>
          <w:bCs/>
          <w:sz w:val="32"/>
          <w:szCs w:val="32"/>
        </w:rPr>
        <w:t>）</w:t>
      </w:r>
    </w:p>
    <w:p>
      <w:pPr>
        <w:pStyle w:val="3"/>
        <w:spacing w:line="900" w:lineRule="exact"/>
        <w:ind w:left="0" w:leftChars="0" w:firstLine="0" w:firstLineChars="0"/>
        <w:jc w:val="center"/>
        <w:rPr>
          <w:rFonts w:cs="宋体"/>
        </w:rPr>
      </w:pPr>
    </w:p>
    <w:p>
      <w:pPr>
        <w:adjustRightInd/>
        <w:spacing w:line="900" w:lineRule="exact"/>
        <w:jc w:val="center"/>
        <w:rPr>
          <w:rFonts w:ascii="宋体" w:hAnsi="宋体" w:cs="宋体"/>
          <w:b/>
          <w:bCs/>
          <w:color w:val="000000"/>
          <w:spacing w:val="6"/>
          <w:sz w:val="44"/>
          <w:szCs w:val="44"/>
        </w:rPr>
      </w:pPr>
    </w:p>
    <w:p>
      <w:pPr>
        <w:pStyle w:val="80"/>
        <w:ind w:firstLine="907"/>
        <w:rPr>
          <w:rFonts w:ascii="宋体" w:hAnsi="宋体" w:cs="宋体"/>
          <w:b/>
          <w:bCs/>
          <w:color w:val="000000"/>
          <w:spacing w:val="6"/>
          <w:sz w:val="44"/>
          <w:szCs w:val="44"/>
        </w:rPr>
      </w:pPr>
    </w:p>
    <w:p>
      <w:pPr>
        <w:pStyle w:val="25"/>
        <w:rPr>
          <w:lang w:val="en-US"/>
        </w:rPr>
      </w:pPr>
    </w:p>
    <w:p>
      <w:pPr>
        <w:ind w:firstLine="2811" w:firstLineChars="1000"/>
        <w:rPr>
          <w:rFonts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采购人：杭州市临平区人民政府乔司街道办事处</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采购代理机构：</w:t>
      </w:r>
      <w:r>
        <w:rPr>
          <w:rFonts w:hint="eastAsia" w:ascii="宋体" w:hAnsi="宋体" w:cs="宋体"/>
          <w:b/>
          <w:bCs/>
          <w:sz w:val="28"/>
          <w:szCs w:val="28"/>
          <w:lang w:val="en-US" w:eastAsia="zh-CN"/>
        </w:rPr>
        <w:t>浙江华夏工程管理有限公司</w:t>
      </w:r>
      <w:r>
        <w:rPr>
          <w:rFonts w:hint="eastAsia" w:ascii="宋体" w:hAnsi="宋体" w:cs="宋体"/>
          <w:b/>
          <w:bCs/>
          <w:sz w:val="28"/>
          <w:szCs w:val="28"/>
        </w:rPr>
        <w:t xml:space="preserve"> </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二〇二</w:t>
      </w:r>
      <w:r>
        <w:rPr>
          <w:rFonts w:hint="eastAsia" w:ascii="宋体" w:hAnsi="宋体" w:cs="宋体"/>
          <w:b/>
          <w:bCs/>
          <w:sz w:val="28"/>
          <w:szCs w:val="28"/>
          <w:lang w:val="en-US" w:eastAsia="zh-CN"/>
        </w:rPr>
        <w:t>四</w:t>
      </w:r>
      <w:r>
        <w:rPr>
          <w:rFonts w:hint="eastAsia" w:ascii="宋体" w:hAnsi="宋体" w:cs="宋体"/>
          <w:b/>
          <w:bCs/>
          <w:sz w:val="28"/>
          <w:szCs w:val="28"/>
        </w:rPr>
        <w:t>年</w:t>
      </w:r>
      <w:r>
        <w:rPr>
          <w:rFonts w:hint="eastAsia" w:ascii="宋体" w:hAnsi="宋体" w:cs="宋体"/>
          <w:b/>
          <w:bCs/>
          <w:sz w:val="28"/>
          <w:szCs w:val="28"/>
          <w:lang w:val="en-US" w:eastAsia="zh-CN"/>
        </w:rPr>
        <w:t>一</w:t>
      </w:r>
      <w:r>
        <w:rPr>
          <w:rFonts w:hint="eastAsia" w:ascii="宋体" w:hAnsi="宋体" w:cs="宋体"/>
          <w:b/>
          <w:bCs/>
          <w:sz w:val="28"/>
          <w:szCs w:val="28"/>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600" w:lineRule="exact"/>
        <w:rPr>
          <w:sz w:val="24"/>
        </w:rPr>
      </w:pPr>
      <w:r>
        <w:rPr>
          <w:rFonts w:hint="eastAsia"/>
          <w:sz w:val="24"/>
        </w:rPr>
        <w:t>第一部分      招标公告</w:t>
      </w:r>
    </w:p>
    <w:p>
      <w:pPr>
        <w:spacing w:line="600" w:lineRule="exact"/>
        <w:rPr>
          <w:sz w:val="24"/>
        </w:rPr>
      </w:pPr>
      <w:r>
        <w:rPr>
          <w:rFonts w:hint="eastAsia"/>
          <w:sz w:val="24"/>
        </w:rPr>
        <w:t>第二部分      投标人须知</w:t>
      </w:r>
    </w:p>
    <w:p>
      <w:pPr>
        <w:spacing w:line="600" w:lineRule="exact"/>
        <w:rPr>
          <w:sz w:val="24"/>
        </w:rPr>
      </w:pPr>
      <w:r>
        <w:rPr>
          <w:rFonts w:hint="eastAsia"/>
          <w:sz w:val="24"/>
        </w:rPr>
        <w:t>第三部分      采购需求</w:t>
      </w:r>
    </w:p>
    <w:p>
      <w:pPr>
        <w:spacing w:line="600" w:lineRule="exact"/>
        <w:rPr>
          <w:sz w:val="24"/>
        </w:rPr>
      </w:pPr>
      <w:r>
        <w:rPr>
          <w:rFonts w:hint="eastAsia"/>
          <w:sz w:val="24"/>
        </w:rPr>
        <w:t>第四部分      评标办法</w:t>
      </w:r>
    </w:p>
    <w:p>
      <w:pPr>
        <w:spacing w:line="600" w:lineRule="exact"/>
        <w:rPr>
          <w:sz w:val="24"/>
        </w:rPr>
      </w:pPr>
      <w:r>
        <w:rPr>
          <w:rFonts w:hint="eastAsia"/>
          <w:sz w:val="24"/>
        </w:rPr>
        <w:t>第五部分      拟签订的合同文本</w:t>
      </w:r>
    </w:p>
    <w:p>
      <w:pPr>
        <w:spacing w:line="600" w:lineRule="exact"/>
        <w:rPr>
          <w:rFonts w:ascii="宋体" w:hAnsi="宋体" w:cs="宋体"/>
          <w:sz w:val="32"/>
          <w:szCs w:val="32"/>
        </w:rPr>
      </w:pPr>
      <w:r>
        <w:rPr>
          <w:rFonts w:hint="eastAsia"/>
          <w:sz w:val="24"/>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28"/>
          <w:szCs w:val="28"/>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ascii="宋体" w:hAnsi="宋体" w:cs="宋体"/>
          <w:sz w:val="24"/>
          <w:u w:val="single"/>
        </w:rPr>
      </w:pPr>
      <w:r>
        <w:rPr>
          <w:rFonts w:hint="eastAsia" w:ascii="宋体" w:hAnsi="宋体" w:cs="宋体"/>
          <w:sz w:val="24"/>
          <w:u w:val="single"/>
        </w:rPr>
        <w:t>杭州市临平区人民政府乔司街道办事处的</w:t>
      </w:r>
      <w:r>
        <w:rPr>
          <w:rFonts w:hint="eastAsia" w:ascii="宋体" w:hAnsi="宋体" w:cs="宋体"/>
          <w:color w:val="000000"/>
          <w:kern w:val="0"/>
          <w:sz w:val="24"/>
          <w:u w:val="single"/>
        </w:rPr>
        <w:t>乔司街道集镇区块管道养护服务项目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w:t>
      </w:r>
      <w:r>
        <w:rPr>
          <w:rFonts w:hint="eastAsia" w:ascii="宋体" w:hAnsi="宋体" w:cs="宋体"/>
          <w:sz w:val="24"/>
          <w:u w:val="single"/>
          <w:lang w:val="en-US" w:eastAsia="zh-CN"/>
        </w:rPr>
        <w:t>24</w:t>
      </w:r>
      <w:r>
        <w:rPr>
          <w:rFonts w:hint="eastAsia" w:ascii="宋体" w:hAnsi="宋体" w:cs="宋体"/>
          <w:sz w:val="24"/>
          <w:u w:val="single"/>
        </w:rPr>
        <w:t xml:space="preserve">年 </w:t>
      </w:r>
      <w:r>
        <w:rPr>
          <w:rFonts w:hint="eastAsia" w:ascii="宋体" w:hAnsi="宋体" w:cs="宋体"/>
          <w:sz w:val="24"/>
          <w:u w:val="single"/>
          <w:lang w:val="en-US" w:eastAsia="zh-CN"/>
        </w:rPr>
        <w:t>2</w:t>
      </w:r>
      <w:r>
        <w:rPr>
          <w:rFonts w:hint="eastAsia" w:ascii="宋体" w:hAnsi="宋体" w:cs="宋体"/>
          <w:sz w:val="24"/>
          <w:u w:val="single"/>
        </w:rPr>
        <w:t xml:space="preserve"> 月 </w:t>
      </w:r>
      <w:r>
        <w:rPr>
          <w:rFonts w:hint="eastAsia" w:ascii="宋体" w:hAnsi="宋体" w:cs="宋体"/>
          <w:sz w:val="24"/>
          <w:u w:val="single"/>
          <w:lang w:val="en-US" w:eastAsia="zh-CN"/>
        </w:rPr>
        <w:t>6</w:t>
      </w:r>
      <w:r>
        <w:rPr>
          <w:rFonts w:hint="eastAsia" w:ascii="宋体" w:hAnsi="宋体" w:cs="宋体"/>
          <w:sz w:val="24"/>
          <w:u w:val="single"/>
        </w:rPr>
        <w:t xml:space="preserve"> 日 </w:t>
      </w:r>
      <w:r>
        <w:rPr>
          <w:rFonts w:hint="eastAsia" w:ascii="宋体" w:hAnsi="宋体" w:cs="宋体"/>
          <w:sz w:val="24"/>
          <w:u w:val="single"/>
          <w:lang w:val="en-US" w:eastAsia="zh-CN"/>
        </w:rPr>
        <w:t>10</w:t>
      </w:r>
      <w:r>
        <w:rPr>
          <w:rFonts w:hint="eastAsia" w:ascii="宋体" w:hAnsi="宋体" w:cs="宋体"/>
          <w:sz w:val="24"/>
          <w:u w:val="single"/>
        </w:rPr>
        <w:t xml:space="preserve"> 时 </w:t>
      </w:r>
      <w:r>
        <w:rPr>
          <w:rFonts w:hint="eastAsia" w:ascii="宋体" w:hAnsi="宋体" w:cs="宋体"/>
          <w:sz w:val="24"/>
          <w:u w:val="single"/>
          <w:lang w:val="en-US" w:eastAsia="zh-CN"/>
        </w:rPr>
        <w:t>00</w:t>
      </w:r>
      <w:r>
        <w:rPr>
          <w:rFonts w:hint="eastAsia" w:ascii="宋体" w:hAnsi="宋体" w:cs="宋体"/>
          <w:sz w:val="24"/>
          <w:u w:val="single"/>
        </w:rPr>
        <w:t xml:space="preserve"> 分</w:t>
      </w:r>
      <w:r>
        <w:rPr>
          <w:rFonts w:hint="eastAsia" w:ascii="宋体" w:hAnsi="宋体" w:cs="宋体"/>
          <w:bCs/>
          <w:sz w:val="24"/>
          <w:u w:val="single"/>
        </w:rPr>
        <w:t xml:space="preserve"> </w:t>
      </w:r>
      <w:r>
        <w:rPr>
          <w:rFonts w:hint="eastAsia" w:ascii="宋体" w:hAnsi="宋体" w:cs="宋体"/>
          <w:bCs/>
          <w:sz w:val="24"/>
          <w:u w:val="single"/>
          <w:lang w:val="en-US" w:eastAsia="zh-CN"/>
        </w:rPr>
        <w:t>00</w:t>
      </w:r>
      <w:r>
        <w:rPr>
          <w:rFonts w:hint="eastAsia" w:ascii="宋体" w:hAnsi="宋体" w:cs="宋体"/>
          <w:bCs/>
          <w:sz w:val="24"/>
          <w:u w:val="single"/>
        </w:rPr>
        <w:t xml:space="preserve"> 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600" w:lineRule="exact"/>
        <w:rPr>
          <w:rFonts w:ascii="宋体" w:hAnsi="宋体" w:cs="宋体"/>
          <w:b/>
          <w:sz w:val="24"/>
        </w:rPr>
      </w:pPr>
      <w:r>
        <w:rPr>
          <w:rFonts w:hint="eastAsia" w:ascii="宋体" w:hAnsi="宋体" w:cs="宋体"/>
          <w:b/>
          <w:sz w:val="24"/>
        </w:rPr>
        <w:t xml:space="preserve">一、项目基本情况                                            </w:t>
      </w:r>
    </w:p>
    <w:p>
      <w:pPr>
        <w:spacing w:line="600" w:lineRule="exact"/>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color w:val="000000"/>
          <w:kern w:val="0"/>
          <w:sz w:val="24"/>
          <w:u w:val="single"/>
          <w:lang w:val="en-US" w:eastAsia="zh-CN"/>
        </w:rPr>
        <w:t>HX2024001</w:t>
      </w:r>
      <w:r>
        <w:rPr>
          <w:rFonts w:hint="eastAsia" w:ascii="宋体" w:hAnsi="宋体" w:cs="宋体"/>
          <w:color w:val="000000"/>
          <w:kern w:val="0"/>
          <w:sz w:val="24"/>
          <w:u w:val="single"/>
        </w:rPr>
        <w:t>；</w:t>
      </w:r>
    </w:p>
    <w:p>
      <w:pPr>
        <w:spacing w:line="600" w:lineRule="exact"/>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color w:val="000000"/>
          <w:kern w:val="0"/>
          <w:sz w:val="24"/>
          <w:u w:val="single"/>
        </w:rPr>
        <w:t>乔司街道集镇区块管道养护服务项目；</w:t>
      </w:r>
    </w:p>
    <w:p>
      <w:pPr>
        <w:spacing w:line="600" w:lineRule="exact"/>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sz w:val="24"/>
          <w:u w:val="single"/>
        </w:rPr>
        <w:t>4000000</w:t>
      </w:r>
      <w:r>
        <w:rPr>
          <w:rFonts w:hint="eastAsia" w:ascii="宋体" w:hAnsi="宋体" w:cs="宋体"/>
          <w:sz w:val="24"/>
          <w:u w:val="single"/>
        </w:rPr>
        <w:t>元/2年；</w:t>
      </w:r>
      <w:r>
        <w:rPr>
          <w:rFonts w:hint="eastAsia" w:ascii="宋体" w:hAnsi="宋体" w:cs="宋体"/>
          <w:sz w:val="24"/>
        </w:rPr>
        <w:t xml:space="preserve"> </w:t>
      </w:r>
    </w:p>
    <w:p>
      <w:pPr>
        <w:spacing w:line="600" w:lineRule="exact"/>
        <w:ind w:firstLine="482" w:firstLineChars="200"/>
        <w:rPr>
          <w:rFonts w:ascii="宋体" w:hAnsi="宋体" w:cs="宋体"/>
          <w:sz w:val="24"/>
          <w:highlight w:val="cyan"/>
        </w:rPr>
      </w:pPr>
      <w:r>
        <w:rPr>
          <w:rFonts w:hint="eastAsia" w:ascii="宋体" w:hAnsi="宋体" w:cs="宋体"/>
          <w:b/>
          <w:sz w:val="24"/>
        </w:rPr>
        <w:t>最高限价（元）：</w:t>
      </w:r>
      <w:r>
        <w:rPr>
          <w:rFonts w:hint="eastAsia" w:ascii="宋体" w:hAnsi="宋体" w:cs="宋体"/>
          <w:b/>
          <w:sz w:val="24"/>
          <w:u w:val="single"/>
        </w:rPr>
        <w:t>4000000</w:t>
      </w:r>
      <w:r>
        <w:rPr>
          <w:rFonts w:hint="eastAsia" w:ascii="宋体" w:hAnsi="宋体" w:cs="宋体"/>
          <w:sz w:val="24"/>
          <w:u w:val="single"/>
        </w:rPr>
        <w:t>元/2年；</w:t>
      </w:r>
    </w:p>
    <w:p>
      <w:pPr>
        <w:spacing w:line="360" w:lineRule="auto"/>
        <w:ind w:firstLine="482" w:firstLineChars="200"/>
        <w:jc w:val="left"/>
        <w:rPr>
          <w:rFonts w:ascii="宋体" w:hAnsi="宋体" w:cs="宋体"/>
          <w:bCs/>
          <w:sz w:val="24"/>
        </w:rPr>
      </w:pPr>
      <w:r>
        <w:rPr>
          <w:rFonts w:hint="eastAsia" w:ascii="宋体" w:hAnsi="宋体" w:cs="宋体"/>
          <w:b/>
          <w:sz w:val="24"/>
        </w:rPr>
        <w:t>采购需求：</w:t>
      </w:r>
      <w:r>
        <w:rPr>
          <w:rFonts w:hint="eastAsia"/>
          <w:b/>
          <w:bCs/>
          <w:sz w:val="24"/>
          <w:u w:val="single"/>
        </w:rPr>
        <w:t>乔司街道集镇范围内的市政道路管道养护工程(包括管道淤泥的清理及对管道进行CCTV检测、抢修、维修等)。在养护期内负责完成对乔司街道集镇范围内的市政道路管道，包括主次干管、检查井等淤泥清理外运及管道CCTV检测，并负责养护范围内雨污水检查井及管网的检修工作，同时承担市政设施防汛抗涝应急抢险工作</w:t>
      </w:r>
      <w:r>
        <w:rPr>
          <w:rFonts w:hint="eastAsia" w:ascii="宋体" w:hAnsi="宋体" w:cs="宋体"/>
          <w:bCs/>
          <w:color w:val="000000"/>
          <w:sz w:val="24"/>
        </w:rPr>
        <w:t>。</w:t>
      </w:r>
      <w:r>
        <w:rPr>
          <w:rFonts w:hint="eastAsia" w:ascii="宋体" w:hAnsi="宋体" w:cs="宋体"/>
          <w:bCs/>
          <w:sz w:val="24"/>
          <w:u w:val="single"/>
        </w:rPr>
        <w:t>详见招标文件第三部分采购需求</w:t>
      </w:r>
      <w:r>
        <w:rPr>
          <w:rFonts w:hint="eastAsia" w:hAnsi="宋体" w:cs="宋体"/>
          <w:bCs/>
          <w:sz w:val="24"/>
          <w:u w:val="single"/>
        </w:rPr>
        <w:t>；</w:t>
      </w:r>
    </w:p>
    <w:p>
      <w:pPr>
        <w:pStyle w:val="90"/>
        <w:spacing w:before="0" w:line="600" w:lineRule="exact"/>
        <w:ind w:firstLine="482"/>
        <w:outlineLvl w:val="2"/>
        <w:rPr>
          <w:rFonts w:ascii="宋体" w:hAnsi="宋体" w:cs="宋体"/>
          <w:szCs w:val="24"/>
          <w:highlight w:val="yellow"/>
        </w:rPr>
      </w:pPr>
      <w:r>
        <w:rPr>
          <w:rFonts w:hint="eastAsia" w:ascii="宋体" w:hAnsi="宋体" w:cs="宋体"/>
          <w:b/>
          <w:szCs w:val="24"/>
        </w:rPr>
        <w:t>合同履约期限：</w:t>
      </w:r>
      <w:r>
        <w:rPr>
          <w:rFonts w:hint="eastAsia" w:ascii="宋体" w:hAnsi="宋体" w:cs="宋体"/>
          <w:bCs/>
          <w:szCs w:val="24"/>
          <w:u w:val="single"/>
        </w:rPr>
        <w:t>二</w:t>
      </w:r>
      <w:r>
        <w:rPr>
          <w:rFonts w:hint="eastAsia" w:ascii="宋体" w:hAnsi="宋体" w:cs="宋体"/>
          <w:bCs/>
          <w:u w:val="single"/>
        </w:rPr>
        <w:t>年</w:t>
      </w:r>
      <w:r>
        <w:rPr>
          <w:rFonts w:hint="eastAsia" w:ascii="宋体" w:hAnsi="宋体" w:cs="宋体"/>
          <w:bCs/>
        </w:rPr>
        <w:t>；</w:t>
      </w:r>
    </w:p>
    <w:p>
      <w:pPr>
        <w:pStyle w:val="17"/>
        <w:spacing w:line="600" w:lineRule="exact"/>
        <w:ind w:firstLine="480"/>
        <w:rPr>
          <w:rFonts w:hAnsi="宋体" w:cs="宋体"/>
          <w:b/>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00FE"/>
      </w:r>
      <w:r>
        <w:rPr>
          <w:rFonts w:hint="eastAsia" w:hAnsi="宋体" w:cs="宋体"/>
          <w:b/>
          <w:color w:val="auto"/>
          <w:sz w:val="24"/>
          <w:szCs w:val="24"/>
        </w:rPr>
        <w:t>是，</w:t>
      </w:r>
      <w:r>
        <w:rPr>
          <w:rFonts w:hint="eastAsia" w:hAnsi="宋体" w:cs="宋体"/>
          <w:color w:val="auto"/>
          <w:kern w:val="0"/>
          <w:sz w:val="24"/>
          <w:szCs w:val="24"/>
        </w:rPr>
        <w:sym w:font="Wingdings" w:char="00A8"/>
      </w:r>
      <w:r>
        <w:rPr>
          <w:rFonts w:hint="eastAsia" w:hAnsi="宋体" w:cs="宋体"/>
          <w:b/>
          <w:color w:val="auto"/>
          <w:sz w:val="24"/>
          <w:szCs w:val="24"/>
        </w:rPr>
        <w:t>否</w:t>
      </w:r>
      <w:r>
        <w:rPr>
          <w:rFonts w:hint="eastAsia" w:hAnsi="宋体" w:cs="宋体"/>
          <w:color w:val="auto"/>
          <w:kern w:val="0"/>
          <w:sz w:val="24"/>
          <w:szCs w:val="24"/>
        </w:rPr>
        <w:t>。</w:t>
      </w:r>
    </w:p>
    <w:p>
      <w:pPr>
        <w:spacing w:line="600" w:lineRule="exact"/>
        <w:rPr>
          <w:rFonts w:ascii="宋体" w:hAnsi="宋体" w:cs="宋体"/>
          <w:b/>
          <w:sz w:val="24"/>
        </w:rPr>
      </w:pPr>
      <w:r>
        <w:rPr>
          <w:rFonts w:hint="eastAsia" w:ascii="宋体" w:hAnsi="宋体" w:cs="宋体"/>
          <w:b/>
          <w:sz w:val="24"/>
        </w:rPr>
        <w:t>二、申请人的资格要求：</w:t>
      </w:r>
    </w:p>
    <w:p>
      <w:pPr>
        <w:spacing w:line="600" w:lineRule="exact"/>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ascii="宋体" w:hAnsi="宋体" w:cs="宋体"/>
          <w:snapToGrid w:val="0"/>
          <w:kern w:val="28"/>
          <w:sz w:val="24"/>
        </w:rPr>
      </w:pPr>
      <w:r>
        <w:rPr>
          <w:rFonts w:hint="eastAsia" w:ascii="宋体" w:hAnsi="宋体" w:cs="宋体"/>
          <w:snapToGrid w:val="0"/>
          <w:kern w:val="28"/>
          <w:sz w:val="24"/>
        </w:rPr>
        <w:t xml:space="preserve">    2.落实政府采购政策需满足的资格要求：</w:t>
      </w:r>
    </w:p>
    <w:p>
      <w:pPr>
        <w:spacing w:line="600" w:lineRule="exact"/>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pPr>
        <w:spacing w:line="600" w:lineRule="exact"/>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600" w:lineRule="exact"/>
        <w:ind w:firstLine="897" w:firstLineChars="374"/>
        <w:rPr>
          <w:rFonts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服务全部由符合政策要求的中小企业承接，提供中小企业声明函；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服务全部由符合政策要求的小微企业承接，提供中小企业声明函；</w:t>
      </w:r>
    </w:p>
    <w:p>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600" w:lineRule="exact"/>
        <w:ind w:firstLine="480" w:firstLineChars="200"/>
        <w:rPr>
          <w:rFonts w:ascii="宋体" w:hAnsi="宋体" w:cs="宋体"/>
          <w:sz w:val="24"/>
          <w:highlight w:val="green"/>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3.本项目的特定资格要求：无；</w:t>
      </w:r>
    </w:p>
    <w:p>
      <w:pPr>
        <w:snapToGrid w:val="0"/>
        <w:spacing w:line="60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ascii="宋体" w:hAnsi="宋体" w:cs="宋体"/>
          <w:b/>
          <w:sz w:val="24"/>
        </w:rPr>
      </w:pPr>
      <w:r>
        <w:rPr>
          <w:rFonts w:hint="eastAsia" w:ascii="宋体" w:hAnsi="宋体" w:cs="宋体"/>
          <w:b/>
          <w:sz w:val="24"/>
        </w:rPr>
        <w:t xml:space="preserve">三、获取招标文件 </w:t>
      </w:r>
    </w:p>
    <w:p>
      <w:pPr>
        <w:spacing w:line="60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w:t>
      </w:r>
      <w:r>
        <w:rPr>
          <w:rFonts w:hint="eastAsia" w:ascii="宋体" w:hAnsi="宋体" w:cs="宋体"/>
          <w:sz w:val="24"/>
          <w:u w:val="single"/>
          <w:lang w:val="en-US" w:eastAsia="zh-CN"/>
        </w:rPr>
        <w:t>24</w:t>
      </w:r>
      <w:r>
        <w:rPr>
          <w:rFonts w:hint="eastAsia" w:ascii="宋体" w:hAnsi="宋体" w:cs="宋体"/>
          <w:sz w:val="24"/>
          <w:u w:val="single"/>
        </w:rPr>
        <w:t xml:space="preserve">年 </w:t>
      </w:r>
      <w:r>
        <w:rPr>
          <w:rFonts w:hint="eastAsia" w:ascii="宋体" w:hAnsi="宋体" w:cs="宋体"/>
          <w:sz w:val="24"/>
          <w:u w:val="single"/>
          <w:lang w:val="en-US" w:eastAsia="zh-CN"/>
        </w:rPr>
        <w:t>2</w:t>
      </w:r>
      <w:r>
        <w:rPr>
          <w:rFonts w:hint="eastAsia" w:ascii="宋体" w:hAnsi="宋体" w:cs="宋体"/>
          <w:sz w:val="24"/>
          <w:u w:val="single"/>
        </w:rPr>
        <w:t xml:space="preserve">  月 </w:t>
      </w:r>
      <w:r>
        <w:rPr>
          <w:rFonts w:hint="eastAsia" w:ascii="宋体" w:hAnsi="宋体" w:cs="宋体"/>
          <w:sz w:val="24"/>
          <w:u w:val="single"/>
          <w:lang w:val="en-US" w:eastAsia="zh-CN"/>
        </w:rPr>
        <w:t>6</w:t>
      </w:r>
      <w:r>
        <w:rPr>
          <w:rFonts w:hint="eastAsia" w:ascii="宋体" w:hAnsi="宋体" w:cs="宋体"/>
          <w:sz w:val="24"/>
          <w:u w:val="single"/>
        </w:rPr>
        <w:t xml:space="preserve"> 日</w:t>
      </w:r>
      <w:r>
        <w:rPr>
          <w:rFonts w:hint="eastAsia" w:ascii="宋体" w:hAnsi="宋体" w:cs="宋体"/>
          <w:sz w:val="24"/>
        </w:rPr>
        <w:t>，每天上午00：00至12：00，下午12：00至23：59（北京时间，线上获取法定节假日均可，线下获取文件法定节假日除外）</w:t>
      </w:r>
    </w:p>
    <w:p>
      <w:pPr>
        <w:spacing w:line="60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60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600" w:lineRule="exact"/>
        <w:rPr>
          <w:rFonts w:ascii="宋体" w:hAnsi="宋体" w:cs="宋体"/>
          <w:b/>
          <w:sz w:val="24"/>
        </w:rPr>
      </w:pPr>
      <w:r>
        <w:rPr>
          <w:rFonts w:hint="eastAsia" w:ascii="宋体" w:hAnsi="宋体" w:cs="宋体"/>
          <w:b/>
          <w:sz w:val="24"/>
        </w:rPr>
        <w:t>四、提交投标文件截止时间、开标时间和地点</w:t>
      </w:r>
    </w:p>
    <w:p>
      <w:pPr>
        <w:spacing w:line="60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w:t>
      </w:r>
      <w:r>
        <w:rPr>
          <w:rFonts w:hint="eastAsia" w:ascii="宋体" w:hAnsi="宋体" w:cs="宋体"/>
          <w:sz w:val="24"/>
          <w:u w:val="single"/>
          <w:lang w:val="en-US" w:eastAsia="zh-CN"/>
        </w:rPr>
        <w:t>24</w:t>
      </w:r>
      <w:r>
        <w:rPr>
          <w:rFonts w:hint="eastAsia" w:ascii="宋体" w:hAnsi="宋体" w:cs="宋体"/>
          <w:sz w:val="24"/>
          <w:u w:val="single"/>
        </w:rPr>
        <w:t xml:space="preserve">年 </w:t>
      </w:r>
      <w:r>
        <w:rPr>
          <w:rFonts w:hint="eastAsia" w:ascii="宋体" w:hAnsi="宋体" w:cs="宋体"/>
          <w:sz w:val="24"/>
          <w:u w:val="single"/>
          <w:lang w:val="en-US" w:eastAsia="zh-CN"/>
        </w:rPr>
        <w:t>2</w:t>
      </w:r>
      <w:r>
        <w:rPr>
          <w:rFonts w:hint="eastAsia" w:ascii="宋体" w:hAnsi="宋体" w:cs="宋体"/>
          <w:sz w:val="24"/>
          <w:u w:val="single"/>
        </w:rPr>
        <w:t xml:space="preserve"> 月 </w:t>
      </w:r>
      <w:r>
        <w:rPr>
          <w:rFonts w:hint="eastAsia" w:ascii="宋体" w:hAnsi="宋体" w:cs="宋体"/>
          <w:sz w:val="24"/>
          <w:u w:val="single"/>
          <w:lang w:val="en-US" w:eastAsia="zh-CN"/>
        </w:rPr>
        <w:t>6</w:t>
      </w:r>
      <w:r>
        <w:rPr>
          <w:rFonts w:hint="eastAsia" w:ascii="宋体" w:hAnsi="宋体" w:cs="宋体"/>
          <w:sz w:val="24"/>
          <w:u w:val="single"/>
        </w:rPr>
        <w:t xml:space="preserve"> 日  </w:t>
      </w:r>
      <w:r>
        <w:rPr>
          <w:rFonts w:hint="eastAsia" w:ascii="宋体" w:hAnsi="宋体" w:cs="宋体"/>
          <w:sz w:val="24"/>
          <w:u w:val="single"/>
          <w:lang w:val="en-US" w:eastAsia="zh-CN"/>
        </w:rPr>
        <w:t>10</w:t>
      </w:r>
      <w:r>
        <w:rPr>
          <w:rFonts w:hint="eastAsia" w:ascii="宋体" w:hAnsi="宋体" w:cs="宋体"/>
          <w:sz w:val="24"/>
          <w:u w:val="single"/>
        </w:rPr>
        <w:t xml:space="preserve">时 </w:t>
      </w:r>
      <w:r>
        <w:rPr>
          <w:rFonts w:hint="eastAsia" w:ascii="宋体" w:hAnsi="宋体" w:cs="宋体"/>
          <w:sz w:val="24"/>
          <w:u w:val="single"/>
          <w:lang w:val="en-US" w:eastAsia="zh-CN"/>
        </w:rPr>
        <w:t>00</w:t>
      </w:r>
      <w:r>
        <w:rPr>
          <w:rFonts w:hint="eastAsia" w:ascii="宋体" w:hAnsi="宋体" w:cs="宋体"/>
          <w:sz w:val="24"/>
          <w:u w:val="single"/>
        </w:rPr>
        <w:t xml:space="preserve"> 分</w:t>
      </w:r>
      <w:r>
        <w:rPr>
          <w:rFonts w:hint="eastAsia" w:ascii="宋体" w:hAnsi="宋体" w:cs="宋体"/>
          <w:bCs/>
          <w:sz w:val="24"/>
          <w:u w:val="single"/>
        </w:rPr>
        <w:t xml:space="preserve"> </w:t>
      </w:r>
      <w:r>
        <w:rPr>
          <w:rFonts w:hint="eastAsia" w:ascii="宋体" w:hAnsi="宋体" w:cs="宋体"/>
          <w:sz w:val="24"/>
        </w:rPr>
        <w:t>（北京时间）</w:t>
      </w:r>
    </w:p>
    <w:p>
      <w:pPr>
        <w:spacing w:line="60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60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w:t>
      </w:r>
      <w:r>
        <w:rPr>
          <w:rFonts w:hint="eastAsia" w:ascii="宋体" w:hAnsi="宋体" w:cs="宋体"/>
          <w:sz w:val="24"/>
          <w:u w:val="single"/>
          <w:lang w:val="en-US" w:eastAsia="zh-CN"/>
        </w:rPr>
        <w:t>24</w:t>
      </w:r>
      <w:r>
        <w:rPr>
          <w:rFonts w:hint="eastAsia" w:ascii="宋体" w:hAnsi="宋体" w:cs="宋体"/>
          <w:sz w:val="24"/>
          <w:u w:val="single"/>
        </w:rPr>
        <w:t xml:space="preserve">年 </w:t>
      </w:r>
      <w:r>
        <w:rPr>
          <w:rFonts w:hint="eastAsia" w:ascii="宋体" w:hAnsi="宋体" w:cs="宋体"/>
          <w:sz w:val="24"/>
          <w:u w:val="single"/>
          <w:lang w:val="en-US" w:eastAsia="zh-CN"/>
        </w:rPr>
        <w:t>2</w:t>
      </w:r>
      <w:bookmarkStart w:id="405" w:name="_GoBack"/>
      <w:bookmarkEnd w:id="405"/>
      <w:r>
        <w:rPr>
          <w:rFonts w:hint="eastAsia" w:ascii="宋体" w:hAnsi="宋体" w:cs="宋体"/>
          <w:sz w:val="24"/>
          <w:u w:val="single"/>
        </w:rPr>
        <w:t xml:space="preserve"> 月 </w:t>
      </w:r>
      <w:r>
        <w:rPr>
          <w:rFonts w:hint="eastAsia" w:ascii="宋体" w:hAnsi="宋体" w:cs="宋体"/>
          <w:sz w:val="24"/>
          <w:u w:val="single"/>
          <w:lang w:val="en-US" w:eastAsia="zh-CN"/>
        </w:rPr>
        <w:t>6</w:t>
      </w:r>
      <w:r>
        <w:rPr>
          <w:rFonts w:hint="eastAsia" w:ascii="宋体" w:hAnsi="宋体" w:cs="宋体"/>
          <w:sz w:val="24"/>
          <w:u w:val="single"/>
        </w:rPr>
        <w:t xml:space="preserve"> 日 </w:t>
      </w:r>
      <w:r>
        <w:rPr>
          <w:rFonts w:hint="eastAsia" w:ascii="宋体" w:hAnsi="宋体" w:cs="宋体"/>
          <w:sz w:val="24"/>
          <w:u w:val="single"/>
          <w:lang w:val="en-US" w:eastAsia="zh-CN"/>
        </w:rPr>
        <w:t>10</w:t>
      </w:r>
      <w:r>
        <w:rPr>
          <w:rFonts w:hint="eastAsia" w:ascii="宋体" w:hAnsi="宋体" w:cs="宋体"/>
          <w:sz w:val="24"/>
          <w:u w:val="single"/>
        </w:rPr>
        <w:t xml:space="preserve"> 时  </w:t>
      </w:r>
      <w:r>
        <w:rPr>
          <w:rFonts w:hint="eastAsia" w:ascii="宋体" w:hAnsi="宋体" w:cs="宋体"/>
          <w:sz w:val="24"/>
          <w:u w:val="single"/>
          <w:lang w:val="en-US" w:eastAsia="zh-CN"/>
        </w:rPr>
        <w:t>00</w:t>
      </w:r>
      <w:r>
        <w:rPr>
          <w:rFonts w:hint="eastAsia" w:ascii="宋体" w:hAnsi="宋体" w:cs="宋体"/>
          <w:sz w:val="24"/>
          <w:u w:val="single"/>
        </w:rPr>
        <w:t>分</w:t>
      </w:r>
    </w:p>
    <w:p>
      <w:pPr>
        <w:spacing w:line="60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600" w:lineRule="exact"/>
        <w:rPr>
          <w:rFonts w:ascii="宋体" w:hAnsi="宋体" w:cs="宋体"/>
          <w:sz w:val="24"/>
        </w:rPr>
      </w:pPr>
      <w:r>
        <w:rPr>
          <w:rFonts w:hint="eastAsia" w:ascii="宋体" w:hAnsi="宋体" w:cs="宋体"/>
          <w:b/>
          <w:sz w:val="24"/>
        </w:rPr>
        <w:t xml:space="preserve">五、公告期限 </w:t>
      </w:r>
    </w:p>
    <w:p>
      <w:pPr>
        <w:spacing w:line="600" w:lineRule="exact"/>
        <w:ind w:firstLine="480" w:firstLineChars="200"/>
        <w:rPr>
          <w:rFonts w:ascii="宋体" w:hAnsi="宋体" w:cs="宋体"/>
          <w:sz w:val="24"/>
        </w:rPr>
      </w:pPr>
      <w:r>
        <w:rPr>
          <w:rFonts w:hint="eastAsia" w:ascii="宋体" w:hAnsi="宋体" w:cs="宋体"/>
          <w:sz w:val="24"/>
        </w:rPr>
        <w:t>自本公告发布之日起5个工作日。</w:t>
      </w:r>
    </w:p>
    <w:p>
      <w:pPr>
        <w:numPr>
          <w:ilvl w:val="0"/>
          <w:numId w:val="1"/>
        </w:numPr>
        <w:spacing w:line="600" w:lineRule="exact"/>
      </w:pPr>
      <w:r>
        <w:rPr>
          <w:rFonts w:hint="eastAsia" w:ascii="宋体" w:hAnsi="宋体" w:cs="宋体"/>
          <w:b/>
          <w:sz w:val="24"/>
        </w:rPr>
        <w:t>其他补充事宜</w:t>
      </w:r>
    </w:p>
    <w:p>
      <w:pPr>
        <w:spacing w:line="600" w:lineRule="exact"/>
        <w:ind w:firstLine="480" w:firstLineChars="200"/>
        <w:rPr>
          <w:rFonts w:ascii="宋体" w:hAnsi="宋体" w:cs="宋体"/>
          <w:sz w:val="24"/>
        </w:rPr>
      </w:pPr>
      <w:r>
        <w:rPr>
          <w:rFonts w:hint="eastAsia" w:ascii="宋体" w:hAnsi="宋体" w:cs="宋体"/>
          <w:sz w:val="24"/>
        </w:rPr>
        <w:t xml:space="preserve">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pPr>
        <w:spacing w:line="600" w:lineRule="exact"/>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59"/>
        <w:spacing w:before="255" w:beforeAutospacing="0" w:after="255" w:afterAutospacing="0" w:line="300" w:lineRule="atLeast"/>
        <w:jc w:val="both"/>
        <w:rPr>
          <w:rFonts w:cs="宋体"/>
          <w:b/>
          <w:kern w:val="2"/>
        </w:rPr>
      </w:pPr>
      <w:r>
        <w:rPr>
          <w:rFonts w:hint="eastAsia" w:cs="宋体"/>
          <w:b/>
          <w:kern w:val="2"/>
        </w:rPr>
        <w:t>七、采购意向公开链接</w:t>
      </w:r>
    </w:p>
    <w:p>
      <w:pPr>
        <w:spacing w:line="600" w:lineRule="exact"/>
        <w:rPr>
          <w:rFonts w:ascii="仿宋_GB2312" w:hAnsi="仿宋" w:eastAsia="仿宋_GB2312"/>
          <w:b/>
          <w:sz w:val="24"/>
        </w:rPr>
      </w:pPr>
      <w:r>
        <w:rPr>
          <w:rFonts w:hint="eastAsia"/>
        </w:rPr>
        <w:t>https://zfcg.czt.zj.gov.cn/site/detail?parentId=600007&amp;articleId=D3DX%2Fp%2FEzJk1QxkMv%2FtLzw%3D%3D&amp;utm=site.site-PC-37000.979-pc-websitegroup-zhejiang-secondPage-front.15.0da118c0b4f611ee959c5b3c0e3fe9ea</w:t>
      </w:r>
    </w:p>
    <w:p>
      <w:pPr>
        <w:spacing w:line="600" w:lineRule="exact"/>
        <w:rPr>
          <w:rFonts w:ascii="宋体" w:hAnsi="宋体" w:cs="宋体"/>
          <w:b/>
          <w:sz w:val="24"/>
        </w:rPr>
      </w:pPr>
      <w:r>
        <w:rPr>
          <w:rFonts w:hint="eastAsia" w:ascii="宋体" w:hAnsi="宋体" w:cs="宋体"/>
          <w:b/>
          <w:sz w:val="24"/>
        </w:rPr>
        <w:t>八、对本次采购提出询问、质疑、投诉，请按以下方式联系</w:t>
      </w:r>
    </w:p>
    <w:p>
      <w:pPr>
        <w:spacing w:line="600" w:lineRule="exact"/>
        <w:rPr>
          <w:rFonts w:ascii="宋体" w:hAnsi="宋体" w:cs="宋体"/>
          <w:sz w:val="24"/>
        </w:rPr>
      </w:pPr>
      <w:r>
        <w:rPr>
          <w:rFonts w:hint="eastAsia" w:ascii="宋体" w:hAnsi="宋体" w:cs="宋体"/>
          <w:sz w:val="24"/>
        </w:rPr>
        <w:t xml:space="preserve">    1.采购人信息</w:t>
      </w:r>
    </w:p>
    <w:p>
      <w:pPr>
        <w:spacing w:line="600" w:lineRule="exact"/>
        <w:ind w:firstLine="480" w:firstLineChars="200"/>
        <w:rPr>
          <w:rFonts w:ascii="宋体" w:hAnsi="宋体" w:cs="宋体"/>
          <w:sz w:val="24"/>
        </w:rPr>
      </w:pPr>
      <w:r>
        <w:rPr>
          <w:rFonts w:hint="eastAsia" w:ascii="宋体" w:hAnsi="宋体" w:cs="宋体"/>
          <w:sz w:val="24"/>
        </w:rPr>
        <w:t>名称：杭州市临平区人民政府乔司街道办事处</w:t>
      </w:r>
    </w:p>
    <w:p>
      <w:pPr>
        <w:spacing w:line="600" w:lineRule="exact"/>
        <w:ind w:firstLine="480" w:firstLineChars="200"/>
        <w:rPr>
          <w:rFonts w:ascii="宋体" w:hAnsi="宋体" w:cs="宋体"/>
          <w:sz w:val="24"/>
        </w:rPr>
      </w:pPr>
      <w:r>
        <w:rPr>
          <w:rFonts w:hint="eastAsia" w:ascii="宋体" w:hAnsi="宋体" w:cs="宋体"/>
          <w:sz w:val="24"/>
        </w:rPr>
        <w:t xml:space="preserve">地址：杭州市临平区乔司街道 </w:t>
      </w:r>
    </w:p>
    <w:p>
      <w:pPr>
        <w:spacing w:line="600" w:lineRule="exact"/>
        <w:ind w:firstLine="480" w:firstLineChars="200"/>
        <w:rPr>
          <w:rFonts w:ascii="宋体" w:hAnsi="宋体" w:cs="宋体"/>
          <w:sz w:val="24"/>
        </w:rPr>
      </w:pPr>
      <w:r>
        <w:rPr>
          <w:rFonts w:hint="eastAsia" w:ascii="宋体" w:hAnsi="宋体" w:cs="宋体"/>
          <w:sz w:val="24"/>
        </w:rPr>
        <w:t>传真：/  </w:t>
      </w:r>
    </w:p>
    <w:p>
      <w:pPr>
        <w:spacing w:line="600" w:lineRule="exact"/>
        <w:ind w:firstLine="480" w:firstLineChars="200"/>
        <w:rPr>
          <w:rFonts w:ascii="宋体" w:hAnsi="宋体" w:cs="宋体"/>
          <w:sz w:val="24"/>
        </w:rPr>
      </w:pPr>
      <w:r>
        <w:rPr>
          <w:rFonts w:hint="eastAsia" w:ascii="宋体" w:hAnsi="宋体" w:cs="宋体"/>
          <w:sz w:val="24"/>
        </w:rPr>
        <w:t>项目联系人（询问）： 庞鹏飞</w:t>
      </w:r>
    </w:p>
    <w:p>
      <w:pPr>
        <w:spacing w:line="600" w:lineRule="exact"/>
        <w:ind w:firstLine="480" w:firstLineChars="200"/>
        <w:rPr>
          <w:rFonts w:ascii="宋体" w:hAnsi="宋体" w:cs="宋体"/>
          <w:sz w:val="24"/>
        </w:rPr>
      </w:pPr>
      <w:r>
        <w:rPr>
          <w:rFonts w:hint="eastAsia" w:ascii="宋体" w:hAnsi="宋体" w:cs="宋体"/>
          <w:sz w:val="24"/>
        </w:rPr>
        <w:t>项目联系方式（询问）： 0571-89173123</w:t>
      </w:r>
      <w:r>
        <w:rPr>
          <w:rFonts w:ascii="宋体" w:hAnsi="宋体" w:cs="宋体"/>
          <w:sz w:val="24"/>
        </w:rPr>
        <w:t> </w:t>
      </w:r>
    </w:p>
    <w:p>
      <w:pPr>
        <w:spacing w:line="600" w:lineRule="exact"/>
        <w:ind w:firstLine="480" w:firstLineChars="200"/>
        <w:rPr>
          <w:rFonts w:ascii="宋体" w:hAnsi="宋体" w:cs="宋体"/>
          <w:sz w:val="24"/>
        </w:rPr>
      </w:pPr>
      <w:r>
        <w:rPr>
          <w:rFonts w:hint="eastAsia" w:ascii="宋体" w:hAnsi="宋体" w:cs="宋体"/>
          <w:sz w:val="24"/>
        </w:rPr>
        <w:t>质疑联系人： 翁振泉</w:t>
      </w:r>
    </w:p>
    <w:p>
      <w:pPr>
        <w:spacing w:line="600" w:lineRule="exact"/>
        <w:ind w:firstLine="480" w:firstLineChars="200"/>
        <w:rPr>
          <w:rFonts w:ascii="宋体" w:hAnsi="宋体" w:cs="宋体"/>
          <w:sz w:val="24"/>
        </w:rPr>
      </w:pPr>
      <w:r>
        <w:rPr>
          <w:rFonts w:hint="eastAsia" w:ascii="宋体" w:hAnsi="宋体" w:cs="宋体"/>
          <w:sz w:val="24"/>
        </w:rPr>
        <w:t>质疑联系方式：  0571-86296891</w:t>
      </w:r>
    </w:p>
    <w:p>
      <w:pPr>
        <w:spacing w:line="600" w:lineRule="exact"/>
        <w:rPr>
          <w:rFonts w:ascii="宋体" w:hAnsi="宋体" w:cs="宋体"/>
          <w:sz w:val="24"/>
        </w:rPr>
      </w:pPr>
      <w:r>
        <w:rPr>
          <w:rFonts w:hint="eastAsia" w:ascii="宋体" w:hAnsi="宋体" w:cs="宋体"/>
          <w:sz w:val="24"/>
        </w:rPr>
        <w:t xml:space="preserve">    2.采购代理机构信息            </w:t>
      </w:r>
    </w:p>
    <w:p>
      <w:pPr>
        <w:spacing w:line="600" w:lineRule="exact"/>
        <w:ind w:firstLine="480"/>
        <w:rPr>
          <w:rFonts w:ascii="宋体" w:hAnsi="宋体" w:cs="宋体"/>
          <w:sz w:val="24"/>
        </w:rPr>
      </w:pPr>
      <w:r>
        <w:rPr>
          <w:rFonts w:hint="eastAsia" w:ascii="宋体" w:hAnsi="宋体" w:cs="宋体"/>
          <w:sz w:val="24"/>
        </w:rPr>
        <w:t xml:space="preserve">名称：浙江华夏工程管理有限公司 </w:t>
      </w:r>
    </w:p>
    <w:p>
      <w:pPr>
        <w:spacing w:line="600" w:lineRule="exact"/>
        <w:ind w:firstLine="480"/>
        <w:rPr>
          <w:rFonts w:ascii="宋体" w:hAnsi="宋体" w:cs="宋体"/>
          <w:sz w:val="24"/>
        </w:rPr>
      </w:pPr>
      <w:r>
        <w:rPr>
          <w:rFonts w:hint="eastAsia" w:ascii="宋体" w:hAnsi="宋体" w:cs="宋体"/>
          <w:sz w:val="24"/>
        </w:rPr>
        <w:t>地址：</w:t>
      </w:r>
      <w:r>
        <w:rPr>
          <w:rFonts w:hint="eastAsia" w:ascii="仿宋" w:hAnsi="仿宋" w:eastAsia="仿宋"/>
          <w:color w:val="000000"/>
          <w:sz w:val="27"/>
          <w:szCs w:val="27"/>
        </w:rPr>
        <w:t>杭州市临平区星桥街道星源路368号元星大厦12楼</w:t>
      </w:r>
      <w:r>
        <w:rPr>
          <w:rFonts w:hint="eastAsia" w:ascii="宋体" w:hAnsi="宋体" w:cs="宋体"/>
          <w:sz w:val="24"/>
        </w:rPr>
        <w:t xml:space="preserve">  </w:t>
      </w:r>
    </w:p>
    <w:p>
      <w:pPr>
        <w:spacing w:line="600" w:lineRule="exact"/>
        <w:ind w:firstLine="480"/>
        <w:rPr>
          <w:rFonts w:ascii="宋体" w:hAnsi="宋体" w:cs="宋体"/>
          <w:sz w:val="24"/>
        </w:rPr>
      </w:pPr>
      <w:r>
        <w:rPr>
          <w:rFonts w:hint="eastAsia" w:ascii="宋体" w:hAnsi="宋体" w:cs="宋体"/>
          <w:sz w:val="24"/>
        </w:rPr>
        <w:t xml:space="preserve">传真：             </w:t>
      </w:r>
    </w:p>
    <w:p>
      <w:pPr>
        <w:spacing w:line="600" w:lineRule="exact"/>
        <w:ind w:firstLine="480"/>
        <w:rPr>
          <w:rFonts w:ascii="宋体" w:hAnsi="宋体" w:cs="宋体"/>
          <w:sz w:val="24"/>
        </w:rPr>
      </w:pPr>
      <w:r>
        <w:rPr>
          <w:rFonts w:hint="eastAsia" w:ascii="宋体" w:hAnsi="宋体" w:cs="宋体"/>
          <w:sz w:val="24"/>
        </w:rPr>
        <w:t xml:space="preserve">项目联系人（询问）：戚工 </w:t>
      </w:r>
    </w:p>
    <w:p>
      <w:pPr>
        <w:spacing w:line="600" w:lineRule="exact"/>
        <w:ind w:firstLine="480"/>
        <w:rPr>
          <w:rFonts w:ascii="宋体" w:hAnsi="宋体" w:cs="宋体"/>
          <w:sz w:val="24"/>
        </w:rPr>
      </w:pPr>
      <w:r>
        <w:rPr>
          <w:rFonts w:hint="eastAsia" w:ascii="宋体" w:hAnsi="宋体" w:cs="宋体"/>
          <w:sz w:val="24"/>
        </w:rPr>
        <w:t>项目联系方式（询问）：</w:t>
      </w:r>
      <w:r>
        <w:rPr>
          <w:rFonts w:ascii="宋体" w:hAnsi="宋体" w:cs="宋体"/>
          <w:sz w:val="24"/>
        </w:rPr>
        <w:t>15888896973</w:t>
      </w:r>
    </w:p>
    <w:p>
      <w:pPr>
        <w:spacing w:line="600" w:lineRule="exact"/>
        <w:ind w:firstLine="480"/>
        <w:rPr>
          <w:rFonts w:ascii="宋体" w:hAnsi="宋体" w:cs="宋体"/>
          <w:sz w:val="24"/>
        </w:rPr>
      </w:pPr>
      <w:r>
        <w:rPr>
          <w:rFonts w:hint="eastAsia" w:ascii="宋体" w:hAnsi="宋体" w:cs="宋体"/>
          <w:sz w:val="24"/>
        </w:rPr>
        <w:t>质疑联系人：</w:t>
      </w:r>
      <w:r>
        <w:rPr>
          <w:rStyle w:val="967"/>
          <w:rFonts w:hint="eastAsia" w:ascii="仿宋" w:hAnsi="仿宋" w:eastAsia="仿宋"/>
          <w:color w:val="000000"/>
          <w:sz w:val="27"/>
          <w:szCs w:val="27"/>
        </w:rPr>
        <w:t>王恬</w:t>
      </w:r>
      <w:r>
        <w:rPr>
          <w:rFonts w:ascii="Calibri" w:hAnsi="Calibri" w:eastAsia="仿宋" w:cs="Calibri"/>
          <w:color w:val="000000"/>
          <w:sz w:val="27"/>
          <w:szCs w:val="27"/>
        </w:rPr>
        <w:t> </w:t>
      </w:r>
      <w:r>
        <w:rPr>
          <w:rFonts w:hint="eastAsia" w:ascii="宋体" w:hAnsi="宋体" w:cs="宋体"/>
          <w:sz w:val="24"/>
        </w:rPr>
        <w:t xml:space="preserve">  </w:t>
      </w:r>
    </w:p>
    <w:p>
      <w:pPr>
        <w:spacing w:line="600" w:lineRule="exact"/>
        <w:ind w:firstLine="480"/>
        <w:rPr>
          <w:rFonts w:ascii="宋体" w:hAnsi="宋体" w:cs="宋体"/>
          <w:sz w:val="24"/>
        </w:rPr>
      </w:pPr>
      <w:r>
        <w:rPr>
          <w:rFonts w:hint="eastAsia" w:ascii="宋体" w:hAnsi="宋体" w:cs="宋体"/>
          <w:sz w:val="24"/>
        </w:rPr>
        <w:t>质疑联系方式：0571-</w:t>
      </w:r>
      <w:r>
        <w:rPr>
          <w:rFonts w:ascii="宋体" w:hAnsi="宋体" w:cs="宋体"/>
          <w:sz w:val="24"/>
        </w:rPr>
        <w:t>86158803</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pPr>
        <w:spacing w:line="600" w:lineRule="exact"/>
        <w:ind w:firstLine="480" w:firstLineChars="200"/>
        <w:rPr>
          <w:rFonts w:hint="eastAsia" w:ascii="宋体" w:hAnsi="宋体" w:cs="宋体"/>
          <w:sz w:val="24"/>
        </w:rPr>
      </w:pPr>
      <w:r>
        <w:rPr>
          <w:rFonts w:hint="eastAsia" w:ascii="宋体" w:hAnsi="宋体" w:cs="宋体"/>
          <w:sz w:val="24"/>
        </w:rPr>
        <w:t xml:space="preserve"> 名称：杭州市临平区财政局采购监管科 、浙江省政府采购行政裁决服务中心（杭州）</w:t>
      </w:r>
    </w:p>
    <w:p>
      <w:pPr>
        <w:spacing w:line="600" w:lineRule="exact"/>
        <w:ind w:firstLine="480" w:firstLineChars="200"/>
        <w:rPr>
          <w:rFonts w:hint="eastAsia" w:ascii="宋体" w:hAnsi="宋体" w:cs="宋体"/>
          <w:sz w:val="24"/>
        </w:rPr>
      </w:pPr>
      <w:r>
        <w:rPr>
          <w:rFonts w:hint="eastAsia" w:ascii="宋体" w:hAnsi="宋体" w:cs="宋体"/>
          <w:sz w:val="24"/>
        </w:rPr>
        <w:t xml:space="preserve"> 地址：杭州市临平区东湖中路236号临平财税大楼/杭州市上城区四季青街道新业路市民之家G03办公室（快递仅限ems或顺丰）</w:t>
      </w:r>
    </w:p>
    <w:p>
      <w:pPr>
        <w:spacing w:line="600" w:lineRule="exact"/>
        <w:ind w:firstLine="480" w:firstLineChars="200"/>
        <w:rPr>
          <w:rFonts w:hint="eastAsia" w:ascii="宋体" w:hAnsi="宋体" w:cs="宋体"/>
          <w:sz w:val="24"/>
        </w:rPr>
      </w:pPr>
      <w:r>
        <w:rPr>
          <w:rFonts w:hint="eastAsia" w:ascii="宋体" w:hAnsi="宋体" w:cs="宋体"/>
          <w:sz w:val="24"/>
        </w:rPr>
        <w:t xml:space="preserve">    传真：</w:t>
      </w:r>
    </w:p>
    <w:p>
      <w:pPr>
        <w:spacing w:line="600" w:lineRule="exact"/>
        <w:ind w:firstLine="480" w:firstLineChars="200"/>
        <w:rPr>
          <w:rFonts w:hint="eastAsia" w:ascii="宋体" w:hAnsi="宋体" w:cs="宋体"/>
          <w:sz w:val="24"/>
        </w:rPr>
      </w:pPr>
      <w:r>
        <w:rPr>
          <w:rFonts w:hint="eastAsia" w:ascii="宋体" w:hAnsi="宋体" w:cs="宋体"/>
          <w:sz w:val="24"/>
        </w:rPr>
        <w:t xml:space="preserve">    联 系 人：俞征 /朱女士、王女士</w:t>
      </w:r>
    </w:p>
    <w:p>
      <w:pPr>
        <w:spacing w:line="600" w:lineRule="exact"/>
        <w:ind w:firstLine="480" w:firstLineChars="200"/>
        <w:rPr>
          <w:rFonts w:ascii="宋体" w:hAnsi="宋体" w:cs="宋体"/>
          <w:sz w:val="24"/>
        </w:rPr>
      </w:pPr>
      <w:r>
        <w:rPr>
          <w:rFonts w:hint="eastAsia" w:ascii="宋体" w:hAnsi="宋体" w:cs="宋体"/>
          <w:sz w:val="24"/>
        </w:rPr>
        <w:t xml:space="preserve">    监督投诉电话：0571-89185312/0571-85252453       </w:t>
      </w:r>
    </w:p>
    <w:p>
      <w:pPr>
        <w:spacing w:line="600" w:lineRule="exact"/>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6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r>
        <w:rPr>
          <w:rFonts w:hint="eastAsia" w:hAnsi="宋体" w:cs="宋体"/>
          <w:sz w:val="24"/>
        </w:rPr>
        <w:t xml:space="preserve">                              </w:t>
      </w:r>
    </w:p>
    <w:p>
      <w:pPr>
        <w:spacing w:line="600" w:lineRule="exact"/>
        <w:jc w:val="center"/>
        <w:rPr>
          <w:b/>
          <w:bCs/>
          <w:sz w:val="28"/>
          <w:szCs w:val="28"/>
        </w:rPr>
      </w:pPr>
      <w:r>
        <w:rPr>
          <w:rFonts w:hint="eastAsia" w:ascii="宋体" w:hAnsi="宋体" w:cs="宋体"/>
          <w:b/>
          <w:sz w:val="36"/>
          <w:szCs w:val="20"/>
        </w:rPr>
        <w:br w:type="page"/>
      </w:r>
      <w:r>
        <w:rPr>
          <w:rFonts w:hint="eastAsia"/>
          <w:b/>
          <w:bCs/>
          <w:sz w:val="28"/>
          <w:szCs w:val="28"/>
        </w:rPr>
        <w:t>第二部分</w:t>
      </w:r>
      <w:bookmarkEnd w:id="8"/>
      <w:r>
        <w:rPr>
          <w:rFonts w:hint="eastAsia"/>
          <w:b/>
          <w:bCs/>
          <w:sz w:val="28"/>
          <w:szCs w:val="28"/>
        </w:rPr>
        <w:t xml:space="preserve"> 投标人须知</w:t>
      </w:r>
      <w:bookmarkEnd w:id="9"/>
    </w:p>
    <w:p>
      <w:pPr>
        <w:spacing w:line="600" w:lineRule="exact"/>
        <w:jc w:val="center"/>
        <w:rPr>
          <w:rFonts w:ascii="宋体" w:hAnsi="宋体" w:cs="宋体"/>
          <w:b/>
          <w:sz w:val="32"/>
          <w:szCs w:val="20"/>
        </w:rPr>
      </w:pPr>
      <w:r>
        <w:rPr>
          <w:rFonts w:hint="eastAsia"/>
          <w:b/>
          <w:bCs/>
          <w:sz w:val="28"/>
          <w:szCs w:val="28"/>
        </w:rPr>
        <w:t>前附表</w:t>
      </w:r>
    </w:p>
    <w:tbl>
      <w:tblPr>
        <w:tblStyle w:val="6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序号</w:t>
            </w:r>
          </w:p>
        </w:tc>
        <w:tc>
          <w:tcPr>
            <w:tcW w:w="1962" w:type="dxa"/>
            <w:vAlign w:val="center"/>
          </w:tcPr>
          <w:p>
            <w:pPr>
              <w:jc w:val="center"/>
              <w:rPr>
                <w:sz w:val="24"/>
              </w:rPr>
            </w:pPr>
            <w:r>
              <w:rPr>
                <w:rFonts w:hint="eastAsia"/>
                <w:sz w:val="24"/>
              </w:rPr>
              <w:t>事项</w:t>
            </w:r>
          </w:p>
        </w:tc>
        <w:tc>
          <w:tcPr>
            <w:tcW w:w="6507" w:type="dxa"/>
            <w:vAlign w:val="center"/>
          </w:tcPr>
          <w:p>
            <w:pPr>
              <w:jc w:val="center"/>
              <w:rPr>
                <w:sz w:val="24"/>
              </w:rPr>
            </w:pPr>
            <w:r>
              <w:rPr>
                <w:rFonts w:hint="eastAsia"/>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w:t>
            </w:r>
          </w:p>
        </w:tc>
        <w:tc>
          <w:tcPr>
            <w:tcW w:w="1962" w:type="dxa"/>
            <w:vAlign w:val="center"/>
          </w:tcPr>
          <w:p>
            <w:pPr>
              <w:jc w:val="center"/>
              <w:rPr>
                <w:sz w:val="24"/>
              </w:rPr>
            </w:pPr>
            <w:r>
              <w:rPr>
                <w:rFonts w:hint="eastAsia"/>
                <w:sz w:val="24"/>
              </w:rPr>
              <w:t>报价要求</w:t>
            </w:r>
          </w:p>
        </w:tc>
        <w:tc>
          <w:tcPr>
            <w:tcW w:w="6507" w:type="dxa"/>
            <w:vAlign w:val="center"/>
          </w:tcPr>
          <w:p>
            <w:pPr>
              <w:jc w:val="left"/>
              <w:rPr>
                <w:sz w:val="24"/>
                <w:lang w:val="zh-CN"/>
              </w:rPr>
            </w:pPr>
            <w:r>
              <w:rPr>
                <w:rFonts w:hint="eastAsia"/>
                <w:sz w:val="24"/>
                <w:lang w:val="zh-CN"/>
              </w:rPr>
              <w:t>有关本项目实施所需的所有费用（含税费）均计入报价。</w:t>
            </w:r>
            <w:r>
              <w:rPr>
                <w:rFonts w:hint="eastAsia"/>
                <w:sz w:val="24"/>
              </w:rPr>
              <w:t>开标一览表（报价表）是报价的唯一载体</w:t>
            </w:r>
            <w:r>
              <w:rPr>
                <w:rFonts w:hint="eastAsia"/>
                <w:sz w:val="24"/>
                <w:lang w:val="zh-CN"/>
              </w:rPr>
              <w:t>。投标文件中价格全部采用人民币报价。招标文件未列明，而投标人认为必需的费用也需列入报价。</w:t>
            </w:r>
          </w:p>
          <w:p>
            <w:pPr>
              <w:jc w:val="left"/>
              <w:rPr>
                <w:sz w:val="24"/>
                <w:lang w:val="zh-CN"/>
              </w:rPr>
            </w:pPr>
            <w:r>
              <w:rPr>
                <w:rFonts w:hint="eastAsia"/>
                <w:sz w:val="24"/>
                <w:lang w:val="zh-CN"/>
              </w:rPr>
              <w:t>投标报价出现下列情形的，投标无效：</w:t>
            </w:r>
          </w:p>
          <w:p>
            <w:pPr>
              <w:jc w:val="left"/>
              <w:rPr>
                <w:sz w:val="24"/>
                <w:lang w:val="zh-CN"/>
              </w:rPr>
            </w:pPr>
            <w:r>
              <w:rPr>
                <w:rFonts w:hint="eastAsia"/>
                <w:sz w:val="24"/>
              </w:rPr>
              <w:t>1）</w:t>
            </w:r>
            <w:r>
              <w:rPr>
                <w:rFonts w:hint="eastAsia"/>
                <w:sz w:val="24"/>
                <w:lang w:val="zh-CN"/>
              </w:rPr>
              <w:t>投标文件出现不是唯一的、有选择性投标报价的；</w:t>
            </w:r>
          </w:p>
          <w:p>
            <w:pPr>
              <w:jc w:val="left"/>
              <w:rPr>
                <w:sz w:val="24"/>
                <w:lang w:val="zh-CN"/>
              </w:rPr>
            </w:pPr>
            <w:r>
              <w:rPr>
                <w:rFonts w:hint="eastAsia"/>
                <w:sz w:val="24"/>
              </w:rPr>
              <w:t>2）</w:t>
            </w:r>
            <w:r>
              <w:rPr>
                <w:rFonts w:hint="eastAsia"/>
                <w:sz w:val="24"/>
                <w:lang w:val="zh-CN"/>
              </w:rPr>
              <w:t>投标报价超过招标文件中规定的最高限价的；</w:t>
            </w:r>
          </w:p>
          <w:p>
            <w:pPr>
              <w:jc w:val="left"/>
              <w:rPr>
                <w:sz w:val="24"/>
              </w:rPr>
            </w:pPr>
            <w:r>
              <w:rPr>
                <w:rFonts w:hint="eastAsia"/>
                <w:sz w:val="24"/>
              </w:rPr>
              <w:t>3）报价明显低于其他通过符合性审查投标人的报价，有可能影响产品质量或者不能诚信履约的，未能按要求提供书面说明或者提交相关证明材料证明其报价合理性的；</w:t>
            </w:r>
          </w:p>
          <w:p>
            <w:pPr>
              <w:jc w:val="left"/>
              <w:rPr>
                <w:sz w:val="24"/>
                <w:lang w:val="zh-CN"/>
              </w:rPr>
            </w:pPr>
            <w:r>
              <w:rPr>
                <w:rFonts w:hint="eastAsia"/>
                <w:sz w:val="24"/>
              </w:rPr>
              <w:t>4）</w:t>
            </w:r>
            <w:r>
              <w:rPr>
                <w:rFonts w:hint="eastAsia"/>
                <w:sz w:val="24"/>
                <w:lang w:val="zh-CN"/>
              </w:rPr>
              <w:t>投标人对根据修正原则修正后的报价不确认的。</w:t>
            </w:r>
          </w:p>
          <w:p>
            <w:pPr>
              <w:jc w:val="left"/>
              <w:rPr>
                <w:sz w:val="24"/>
              </w:rPr>
            </w:pPr>
            <w:r>
              <w:rPr>
                <w:rFonts w:hint="eastAsia"/>
                <w:sz w:val="24"/>
              </w:rPr>
              <w:t>5</w:t>
            </w:r>
            <w:r>
              <w:rPr>
                <w:rFonts w:hint="eastAsia"/>
                <w:sz w:val="24"/>
                <w:lang w:val="zh-CN"/>
              </w:rPr>
              <w:t>）本项目最高限价为采购需求中公布价格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2</w:t>
            </w:r>
          </w:p>
        </w:tc>
        <w:tc>
          <w:tcPr>
            <w:tcW w:w="1962" w:type="dxa"/>
            <w:vAlign w:val="center"/>
          </w:tcPr>
          <w:p>
            <w:pPr>
              <w:jc w:val="center"/>
              <w:rPr>
                <w:sz w:val="24"/>
              </w:rPr>
            </w:pPr>
            <w:r>
              <w:rPr>
                <w:rFonts w:hint="eastAsia"/>
                <w:sz w:val="24"/>
              </w:rPr>
              <w:t>分包</w:t>
            </w:r>
          </w:p>
        </w:tc>
        <w:tc>
          <w:tcPr>
            <w:tcW w:w="6507" w:type="dxa"/>
            <w:vAlign w:val="center"/>
          </w:tcPr>
          <w:p>
            <w:pPr>
              <w:jc w:val="left"/>
              <w:rPr>
                <w:sz w:val="24"/>
              </w:rPr>
            </w:pPr>
            <w:r>
              <w:rPr>
                <w:rFonts w:hint="eastAsia"/>
                <w:sz w:val="24"/>
              </w:rPr>
              <w:sym w:font="Wingdings" w:char="F0FE"/>
            </w:r>
            <w:r>
              <w:rPr>
                <w:rFonts w:hint="eastAsia"/>
                <w:sz w:val="24"/>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sz w:val="24"/>
              </w:rPr>
            </w:pPr>
          </w:p>
          <w:p>
            <w:pPr>
              <w:jc w:val="center"/>
              <w:rPr>
                <w:sz w:val="24"/>
              </w:rPr>
            </w:pPr>
          </w:p>
          <w:p>
            <w:pPr>
              <w:jc w:val="center"/>
              <w:rPr>
                <w:sz w:val="24"/>
              </w:rPr>
            </w:pPr>
            <w:r>
              <w:rPr>
                <w:rFonts w:hint="eastAsia"/>
                <w:sz w:val="24"/>
              </w:rPr>
              <w:t>3</w:t>
            </w:r>
          </w:p>
        </w:tc>
        <w:tc>
          <w:tcPr>
            <w:tcW w:w="1962" w:type="dxa"/>
            <w:vMerge w:val="restart"/>
            <w:vAlign w:val="center"/>
          </w:tcPr>
          <w:p>
            <w:pPr>
              <w:jc w:val="center"/>
              <w:rPr>
                <w:sz w:val="24"/>
              </w:rPr>
            </w:pPr>
            <w:r>
              <w:rPr>
                <w:rFonts w:hint="eastAsia"/>
                <w:sz w:val="24"/>
              </w:rPr>
              <w:t>投标人应当提供的资格、资信证明文件</w:t>
            </w:r>
          </w:p>
        </w:tc>
        <w:tc>
          <w:tcPr>
            <w:tcW w:w="6507" w:type="dxa"/>
            <w:vAlign w:val="center"/>
          </w:tcPr>
          <w:p>
            <w:pPr>
              <w:jc w:val="left"/>
              <w:rPr>
                <w:sz w:val="24"/>
              </w:rPr>
            </w:pPr>
            <w:r>
              <w:rPr>
                <w:rFonts w:hint="eastAsia"/>
                <w:sz w:val="24"/>
              </w:rPr>
              <w:t>（1）资格证明文件：见招标文件第二部分11.1。</w:t>
            </w:r>
          </w:p>
          <w:p>
            <w:pPr>
              <w:jc w:val="left"/>
              <w:rPr>
                <w:sz w:val="24"/>
              </w:rPr>
            </w:pPr>
            <w:r>
              <w:rPr>
                <w:rFonts w:hint="eastAsia"/>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sz w:val="24"/>
              </w:rPr>
            </w:pPr>
          </w:p>
        </w:tc>
        <w:tc>
          <w:tcPr>
            <w:tcW w:w="1962" w:type="dxa"/>
            <w:vMerge w:val="continue"/>
            <w:vAlign w:val="center"/>
          </w:tcPr>
          <w:p>
            <w:pPr>
              <w:jc w:val="center"/>
              <w:rPr>
                <w:sz w:val="24"/>
              </w:rPr>
            </w:pPr>
          </w:p>
        </w:tc>
        <w:tc>
          <w:tcPr>
            <w:tcW w:w="6507" w:type="dxa"/>
            <w:vAlign w:val="center"/>
          </w:tcPr>
          <w:p>
            <w:pPr>
              <w:jc w:val="left"/>
              <w:rPr>
                <w:sz w:val="24"/>
              </w:rPr>
            </w:pPr>
            <w:r>
              <w:rPr>
                <w:rFonts w:hint="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p>
          <w:p>
            <w:pPr>
              <w:jc w:val="center"/>
              <w:rPr>
                <w:sz w:val="24"/>
              </w:rPr>
            </w:pPr>
            <w:r>
              <w:rPr>
                <w:rFonts w:hint="eastAsia"/>
                <w:sz w:val="24"/>
              </w:rPr>
              <w:t>4</w:t>
            </w:r>
          </w:p>
        </w:tc>
        <w:tc>
          <w:tcPr>
            <w:tcW w:w="1962" w:type="dxa"/>
            <w:vAlign w:val="center"/>
          </w:tcPr>
          <w:p>
            <w:pPr>
              <w:jc w:val="center"/>
              <w:rPr>
                <w:sz w:val="24"/>
              </w:rPr>
            </w:pPr>
            <w:r>
              <w:rPr>
                <w:rFonts w:hint="eastAsia"/>
                <w:sz w:val="24"/>
              </w:rPr>
              <w:t>开标前答疑会或现场考察</w:t>
            </w:r>
          </w:p>
        </w:tc>
        <w:tc>
          <w:tcPr>
            <w:tcW w:w="6507" w:type="dxa"/>
            <w:vAlign w:val="center"/>
          </w:tcPr>
          <w:p>
            <w:pPr>
              <w:jc w:val="left"/>
              <w:rPr>
                <w:sz w:val="24"/>
              </w:rPr>
            </w:pPr>
            <w:r>
              <w:rPr>
                <w:rFonts w:hint="eastAsia"/>
                <w:sz w:val="24"/>
              </w:rPr>
              <w:sym w:font="Wingdings" w:char="F0FE"/>
            </w:r>
            <w:r>
              <w:rPr>
                <w:rFonts w:hint="eastAsia"/>
                <w:sz w:val="24"/>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5</w:t>
            </w:r>
          </w:p>
        </w:tc>
        <w:tc>
          <w:tcPr>
            <w:tcW w:w="1962" w:type="dxa"/>
            <w:vAlign w:val="center"/>
          </w:tcPr>
          <w:p>
            <w:pPr>
              <w:jc w:val="center"/>
              <w:rPr>
                <w:sz w:val="24"/>
              </w:rPr>
            </w:pPr>
            <w:r>
              <w:rPr>
                <w:rFonts w:hint="eastAsia"/>
                <w:sz w:val="24"/>
              </w:rPr>
              <w:t>样品提供</w:t>
            </w:r>
          </w:p>
        </w:tc>
        <w:tc>
          <w:tcPr>
            <w:tcW w:w="6507" w:type="dxa"/>
            <w:vAlign w:val="center"/>
          </w:tcPr>
          <w:p>
            <w:pPr>
              <w:jc w:val="left"/>
              <w:rPr>
                <w:sz w:val="24"/>
              </w:rPr>
            </w:pPr>
            <w:r>
              <w:rPr>
                <w:rFonts w:hint="eastAsia"/>
              </w:rPr>
              <w:sym w:font="Wingdings" w:char="00FE"/>
            </w:r>
            <w:r>
              <w:rPr>
                <w:rFonts w:hint="eastAsia"/>
                <w:sz w:val="24"/>
              </w:rPr>
              <w:t>A不要求提供。</w:t>
            </w:r>
          </w:p>
          <w:p>
            <w:pPr>
              <w:jc w:val="left"/>
            </w:pPr>
            <w:r>
              <w:rPr>
                <w:rFonts w:hint="eastAsia"/>
              </w:rPr>
              <w:sym w:font="Wingdings" w:char="00A8"/>
            </w:r>
            <w:r>
              <w:rPr>
                <w:rFonts w:hint="eastAsia"/>
                <w:sz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6</w:t>
            </w:r>
          </w:p>
        </w:tc>
        <w:tc>
          <w:tcPr>
            <w:tcW w:w="1962" w:type="dxa"/>
            <w:vAlign w:val="center"/>
          </w:tcPr>
          <w:p>
            <w:pPr>
              <w:jc w:val="center"/>
              <w:rPr>
                <w:sz w:val="24"/>
              </w:rPr>
            </w:pPr>
            <w:r>
              <w:rPr>
                <w:rFonts w:hint="eastAsia"/>
                <w:sz w:val="24"/>
              </w:rPr>
              <w:t>演示要求</w:t>
            </w:r>
          </w:p>
        </w:tc>
        <w:tc>
          <w:tcPr>
            <w:tcW w:w="6507" w:type="dxa"/>
            <w:vAlign w:val="center"/>
          </w:tcPr>
          <w:p>
            <w:pPr>
              <w:jc w:val="left"/>
              <w:rPr>
                <w:sz w:val="24"/>
              </w:rPr>
            </w:pPr>
            <w:r>
              <w:rPr>
                <w:rFonts w:hint="eastAsia"/>
                <w:sz w:val="24"/>
              </w:rPr>
              <w:sym w:font="Wingdings" w:char="F0FE"/>
            </w:r>
            <w:r>
              <w:rPr>
                <w:rFonts w:hint="eastAsia"/>
                <w:sz w:val="24"/>
              </w:rPr>
              <w:t>A不组织。</w:t>
            </w:r>
          </w:p>
          <w:p>
            <w:pPr>
              <w:jc w:val="left"/>
              <w:rPr>
                <w:sz w:val="24"/>
              </w:rPr>
            </w:pPr>
            <w:r>
              <w:rPr>
                <w:rFonts w:hint="eastAsia"/>
                <w:sz w:val="24"/>
              </w:rPr>
              <w:t>☐B组织。</w:t>
            </w:r>
          </w:p>
          <w:p>
            <w:pPr>
              <w:jc w:val="left"/>
              <w:rPr>
                <w:sz w:val="24"/>
              </w:rPr>
            </w:pPr>
            <w:r>
              <w:rPr>
                <w:rFonts w:hint="eastAsia"/>
                <w:sz w:val="24"/>
              </w:rPr>
              <w:t>（1）在评标时安排每个投标人进行方案讲解演示。每个投标人时间不超过20分钟，讲解次序以投标文件解密时间先后次序为准，讲解演示人员不超过3人。讲解演示结束后按要求解答评标委员会提问。</w:t>
            </w:r>
          </w:p>
          <w:p>
            <w:pPr>
              <w:jc w:val="left"/>
              <w:rPr>
                <w:sz w:val="24"/>
              </w:rPr>
            </w:pPr>
            <w:r>
              <w:rPr>
                <w:rFonts w:hint="eastAsia"/>
                <w:sz w:val="24"/>
              </w:rPr>
              <w:t>（2）方案讲解演示可选择以下其中一种方式：</w:t>
            </w:r>
          </w:p>
          <w:p>
            <w:pPr>
              <w:jc w:val="left"/>
              <w:rPr>
                <w:sz w:val="24"/>
              </w:rPr>
            </w:pPr>
            <w:r>
              <w:rPr>
                <w:rFonts w:hint="eastAsia"/>
                <w:sz w:val="24"/>
              </w:rPr>
              <w:t>方式一：政采云平台在线讲解演示。政采云平台在线讲解需投标人根据政采云平台操作要求做好准备工作，提前完善软硬件配置环境。</w:t>
            </w:r>
          </w:p>
          <w:p>
            <w:pPr>
              <w:jc w:val="left"/>
              <w:rPr>
                <w:sz w:val="24"/>
              </w:rPr>
            </w:pPr>
            <w:r>
              <w:rPr>
                <w:rFonts w:hint="eastAsia"/>
                <w:sz w:val="24"/>
              </w:rPr>
              <w:t>方式二：交易中心现场讲解演示。现场讲解地点为    ，讲解演示所用电脑等设备由投标人自备。现场讲解演示人员进场时提供讲解人员名单（加盖公章）及身份证明，否则不得讲解演示。</w:t>
            </w:r>
          </w:p>
          <w:p>
            <w:pPr>
              <w:jc w:val="left"/>
            </w:pPr>
            <w:r>
              <w:rPr>
                <w:rFonts w:hint="eastAsia"/>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7</w:t>
            </w:r>
          </w:p>
        </w:tc>
        <w:tc>
          <w:tcPr>
            <w:tcW w:w="1962" w:type="dxa"/>
            <w:vAlign w:val="center"/>
          </w:tcPr>
          <w:p>
            <w:pPr>
              <w:jc w:val="center"/>
              <w:rPr>
                <w:sz w:val="24"/>
              </w:rPr>
            </w:pPr>
            <w:r>
              <w:rPr>
                <w:rFonts w:hint="eastAsia"/>
                <w:sz w:val="24"/>
              </w:rPr>
              <w:t>是否允许采购进口产品</w:t>
            </w:r>
          </w:p>
        </w:tc>
        <w:tc>
          <w:tcPr>
            <w:tcW w:w="6507" w:type="dxa"/>
            <w:vAlign w:val="center"/>
          </w:tcPr>
          <w:p>
            <w:pPr>
              <w:jc w:val="left"/>
              <w:rPr>
                <w:sz w:val="24"/>
              </w:rPr>
            </w:pPr>
            <w:r>
              <w:rPr>
                <w:rFonts w:hint="eastAsia"/>
                <w:sz w:val="24"/>
              </w:rPr>
              <w:sym w:font="Wingdings" w:char="F0FE"/>
            </w:r>
            <w:r>
              <w:rPr>
                <w:rFonts w:hint="eastAsia"/>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jc w:val="center"/>
              <w:rPr>
                <w:sz w:val="24"/>
              </w:rPr>
            </w:pPr>
            <w:r>
              <w:rPr>
                <w:rFonts w:hint="eastAsia"/>
                <w:sz w:val="24"/>
              </w:rPr>
              <w:t>8</w:t>
            </w:r>
          </w:p>
        </w:tc>
        <w:tc>
          <w:tcPr>
            <w:tcW w:w="1962" w:type="dxa"/>
            <w:vAlign w:val="center"/>
          </w:tcPr>
          <w:p>
            <w:pPr>
              <w:jc w:val="center"/>
              <w:rPr>
                <w:sz w:val="24"/>
              </w:rPr>
            </w:pPr>
            <w:r>
              <w:rPr>
                <w:rFonts w:hint="eastAsia"/>
                <w:sz w:val="24"/>
              </w:rPr>
              <w:t>项目属性与核心产品</w:t>
            </w:r>
          </w:p>
        </w:tc>
        <w:tc>
          <w:tcPr>
            <w:tcW w:w="6507" w:type="dxa"/>
            <w:vAlign w:val="center"/>
          </w:tcPr>
          <w:p>
            <w:pPr>
              <w:jc w:val="left"/>
              <w:rPr>
                <w:sz w:val="24"/>
              </w:rPr>
            </w:pPr>
            <w:r>
              <w:rPr>
                <w:rFonts w:hint="eastAsia"/>
                <w:sz w:val="24"/>
              </w:rPr>
              <w:sym w:font="Wingdings" w:char="00A8"/>
            </w:r>
            <w:r>
              <w:rPr>
                <w:rFonts w:hint="eastAsia"/>
                <w:sz w:val="24"/>
              </w:rPr>
              <w:t>A货物类，</w:t>
            </w:r>
          </w:p>
          <w:p>
            <w:pPr>
              <w:jc w:val="left"/>
              <w:rPr>
                <w:sz w:val="24"/>
              </w:rPr>
            </w:pPr>
            <w:r>
              <w:rPr>
                <w:rFonts w:hint="eastAsia"/>
                <w:sz w:val="24"/>
              </w:rPr>
              <w:sym w:font="Wingdings" w:char="00FE"/>
            </w:r>
            <w:r>
              <w:rPr>
                <w:rFonts w:hint="eastAsia"/>
                <w:sz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9</w:t>
            </w:r>
          </w:p>
        </w:tc>
        <w:tc>
          <w:tcPr>
            <w:tcW w:w="1962" w:type="dxa"/>
            <w:vAlign w:val="center"/>
          </w:tcPr>
          <w:p>
            <w:pPr>
              <w:jc w:val="center"/>
              <w:rPr>
                <w:sz w:val="24"/>
              </w:rPr>
            </w:pPr>
            <w:r>
              <w:rPr>
                <w:rFonts w:hint="eastAsia"/>
                <w:sz w:val="24"/>
              </w:rPr>
              <w:t>采购标的对应的中小企业划分标准所属行业</w:t>
            </w:r>
          </w:p>
        </w:tc>
        <w:tc>
          <w:tcPr>
            <w:tcW w:w="6507" w:type="dxa"/>
            <w:vAlign w:val="center"/>
          </w:tcPr>
          <w:p>
            <w:pPr>
              <w:jc w:val="left"/>
              <w:rPr>
                <w:sz w:val="24"/>
              </w:rPr>
            </w:pPr>
            <w:r>
              <w:rPr>
                <w:rFonts w:hint="eastAsia"/>
                <w:sz w:val="24"/>
              </w:rPr>
              <w:t>（1）标的：</w:t>
            </w:r>
            <w:r>
              <w:rPr>
                <w:rFonts w:hint="eastAsia" w:ascii="宋体" w:hAnsi="宋体" w:cs="宋体"/>
                <w:color w:val="000000"/>
                <w:kern w:val="0"/>
                <w:sz w:val="24"/>
                <w:u w:val="single"/>
              </w:rPr>
              <w:t>乔司街道集镇区块管道养护服务项目</w:t>
            </w:r>
            <w:r>
              <w:rPr>
                <w:rFonts w:hint="eastAsia"/>
                <w:sz w:val="24"/>
              </w:rPr>
              <w:t xml:space="preserve"> ，属于</w:t>
            </w:r>
            <w:r>
              <w:rPr>
                <w:rFonts w:hint="eastAsia"/>
                <w:sz w:val="24"/>
                <w:u w:val="single"/>
              </w:rPr>
              <w:t>其他未列明行业</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10</w:t>
            </w:r>
          </w:p>
        </w:tc>
        <w:tc>
          <w:tcPr>
            <w:tcW w:w="1962" w:type="dxa"/>
            <w:vAlign w:val="center"/>
          </w:tcPr>
          <w:p>
            <w:pPr>
              <w:jc w:val="center"/>
              <w:rPr>
                <w:sz w:val="24"/>
              </w:rPr>
            </w:pPr>
            <w:r>
              <w:rPr>
                <w:rFonts w:hint="eastAsia"/>
                <w:sz w:val="24"/>
              </w:rPr>
              <w:t>节能产品、环境标志产品</w:t>
            </w:r>
          </w:p>
        </w:tc>
        <w:tc>
          <w:tcPr>
            <w:tcW w:w="6507" w:type="dxa"/>
            <w:vAlign w:val="center"/>
          </w:tcPr>
          <w:p>
            <w:pPr>
              <w:jc w:val="left"/>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sz w:val="24"/>
              </w:rPr>
            </w:pPr>
            <w:r>
              <w:rPr>
                <w:rFonts w:hint="eastAsia"/>
                <w:sz w:val="24"/>
              </w:rPr>
              <w:t>11</w:t>
            </w:r>
          </w:p>
        </w:tc>
        <w:tc>
          <w:tcPr>
            <w:tcW w:w="1962" w:type="dxa"/>
            <w:vMerge w:val="restart"/>
            <w:vAlign w:val="center"/>
          </w:tcPr>
          <w:p>
            <w:pPr>
              <w:jc w:val="center"/>
              <w:rPr>
                <w:sz w:val="24"/>
              </w:rPr>
            </w:pPr>
            <w:r>
              <w:rPr>
                <w:rFonts w:hint="eastAsia"/>
                <w:sz w:val="24"/>
              </w:rPr>
              <w:t>中小企业信用融资</w:t>
            </w:r>
          </w:p>
        </w:tc>
        <w:tc>
          <w:tcPr>
            <w:tcW w:w="6507" w:type="dxa"/>
            <w:vAlign w:val="center"/>
          </w:tcPr>
          <w:p>
            <w:pPr>
              <w:jc w:val="left"/>
              <w:rPr>
                <w:sz w:val="24"/>
              </w:rPr>
            </w:pPr>
            <w:r>
              <w:rPr>
                <w:rFonts w:hint="eastAsia"/>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sz w:val="24"/>
              </w:rPr>
            </w:pPr>
          </w:p>
        </w:tc>
        <w:tc>
          <w:tcPr>
            <w:tcW w:w="1962" w:type="dxa"/>
            <w:vMerge w:val="continue"/>
            <w:vAlign w:val="center"/>
          </w:tcPr>
          <w:p>
            <w:pPr>
              <w:jc w:val="center"/>
              <w:rPr>
                <w:sz w:val="24"/>
              </w:rPr>
            </w:pPr>
          </w:p>
        </w:tc>
        <w:tc>
          <w:tcPr>
            <w:tcW w:w="6507" w:type="dxa"/>
            <w:vAlign w:val="center"/>
          </w:tcPr>
          <w:p>
            <w:pPr>
              <w:jc w:val="left"/>
              <w:rPr>
                <w:sz w:val="24"/>
              </w:rPr>
            </w:pPr>
            <w:r>
              <w:rPr>
                <w:rFonts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12</w:t>
            </w:r>
          </w:p>
        </w:tc>
        <w:tc>
          <w:tcPr>
            <w:tcW w:w="1962" w:type="dxa"/>
            <w:vAlign w:val="center"/>
          </w:tcPr>
          <w:p>
            <w:pPr>
              <w:jc w:val="center"/>
              <w:rPr>
                <w:b/>
                <w:bCs/>
                <w:sz w:val="24"/>
              </w:rPr>
            </w:pPr>
            <w:r>
              <w:rPr>
                <w:rFonts w:hint="eastAsia"/>
                <w:b/>
                <w:bCs/>
                <w:sz w:val="24"/>
              </w:rPr>
              <w:t>备份投标文件送达地点和签收人员</w:t>
            </w:r>
          </w:p>
        </w:tc>
        <w:tc>
          <w:tcPr>
            <w:tcW w:w="6507" w:type="dxa"/>
            <w:vAlign w:val="center"/>
          </w:tcPr>
          <w:p>
            <w:pPr>
              <w:jc w:val="left"/>
              <w:rPr>
                <w:b/>
                <w:bCs/>
                <w:sz w:val="24"/>
              </w:rPr>
            </w:pPr>
            <w:r>
              <w:rPr>
                <w:rFonts w:hint="eastAsia"/>
                <w:b/>
                <w:bCs/>
                <w:sz w:val="24"/>
              </w:rPr>
              <w:t>备份投标文件送达地点：</w:t>
            </w:r>
            <w:r>
              <w:rPr>
                <w:rFonts w:hint="eastAsia"/>
                <w:b/>
                <w:bCs/>
                <w:sz w:val="24"/>
                <w:lang w:val="en-US" w:eastAsia="zh-CN"/>
              </w:rPr>
              <w:t>杭州市临平区星桥街道星源路368号元星大厦12楼</w:t>
            </w:r>
            <w:r>
              <w:rPr>
                <w:rFonts w:hint="eastAsia"/>
                <w:b/>
                <w:bCs/>
                <w:sz w:val="24"/>
              </w:rPr>
              <w:t xml:space="preserve"> ；备份投标文件签收人员联系电话：</w:t>
            </w:r>
            <w:r>
              <w:rPr>
                <w:rFonts w:hint="eastAsia"/>
                <w:b/>
                <w:bCs/>
                <w:sz w:val="24"/>
                <w:lang w:val="en-US" w:eastAsia="zh-CN"/>
              </w:rPr>
              <w:t>王恬86158803</w:t>
            </w:r>
            <w:r>
              <w:rPr>
                <w:rFonts w:hint="eastAsia"/>
                <w:b/>
                <w:bCs/>
                <w:sz w:val="24"/>
              </w:rPr>
              <w:t>。</w:t>
            </w:r>
          </w:p>
          <w:p>
            <w:pPr>
              <w:jc w:val="left"/>
              <w:rPr>
                <w:b/>
                <w:bCs/>
                <w:sz w:val="24"/>
              </w:rPr>
            </w:pPr>
            <w:r>
              <w:rPr>
                <w:rFonts w:hint="eastAsia"/>
                <w:b/>
                <w:bCs/>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13</w:t>
            </w:r>
          </w:p>
        </w:tc>
        <w:tc>
          <w:tcPr>
            <w:tcW w:w="1962" w:type="dxa"/>
            <w:vAlign w:val="center"/>
          </w:tcPr>
          <w:p>
            <w:pPr>
              <w:jc w:val="center"/>
              <w:rPr>
                <w:sz w:val="24"/>
              </w:rPr>
            </w:pPr>
            <w:r>
              <w:rPr>
                <w:rFonts w:hint="eastAsia"/>
                <w:sz w:val="24"/>
              </w:rPr>
              <w:t>特别说明</w:t>
            </w:r>
          </w:p>
        </w:tc>
        <w:tc>
          <w:tcPr>
            <w:tcW w:w="6507" w:type="dxa"/>
            <w:vAlign w:val="center"/>
          </w:tcPr>
          <w:p>
            <w:pPr>
              <w:jc w:val="left"/>
              <w:rPr>
                <w:sz w:val="24"/>
              </w:rPr>
            </w:pPr>
            <w:r>
              <w:rPr>
                <w:rFonts w:hint="eastAsia"/>
                <w:sz w:val="24"/>
              </w:rPr>
              <w:t xml:space="preserve">1、采用联合体投标的，投标人代表则为联合体牵头人代表； </w:t>
            </w:r>
          </w:p>
          <w:p>
            <w:pPr>
              <w:jc w:val="left"/>
              <w:rPr>
                <w:sz w:val="24"/>
              </w:rPr>
            </w:pPr>
            <w:r>
              <w:rPr>
                <w:rFonts w:hint="eastAsia"/>
                <w:sz w:val="24"/>
              </w:rPr>
              <w:t xml:space="preserve">2、凡是要求投标文件中加盖投标人公章的，至少须加盖联合体牵头人的单位公章；要求提供法定代表人身份证复印件的，至少须提供联合体牵头人法定代表人的身份证复印件；要求投标人法定代表人签字的，至少须由联合体牵头人法定代表人签字。否则，视为投标无效； </w:t>
            </w:r>
          </w:p>
          <w:p>
            <w:pPr>
              <w:jc w:val="left"/>
              <w:rPr>
                <w:sz w:val="24"/>
                <w:highlight w:val="none"/>
              </w:rPr>
            </w:pPr>
            <w:r>
              <w:rPr>
                <w:rFonts w:hint="eastAsia"/>
                <w:sz w:val="24"/>
                <w:highlight w:val="none"/>
              </w:rPr>
              <w:t xml:space="preserve">3、联合体投标的，联合体中有一方或者联合体成员根据分工按招标文件第四部分评标标准要求提供资信证明文件的，视为符合了相关要求； </w:t>
            </w:r>
          </w:p>
          <w:p>
            <w:pPr>
              <w:jc w:val="left"/>
              <w:rPr>
                <w:sz w:val="24"/>
              </w:rPr>
            </w:pPr>
            <w:r>
              <w:rPr>
                <w:rFonts w:hint="eastAsia"/>
                <w:sz w:val="24"/>
              </w:rPr>
              <w:t>4、投标人如果以联合体形式参加投标的，必须遵守相关规定；</w:t>
            </w:r>
          </w:p>
          <w:p>
            <w:pPr>
              <w:jc w:val="left"/>
              <w:rPr>
                <w:sz w:val="24"/>
              </w:rPr>
            </w:pPr>
            <w:r>
              <w:rPr>
                <w:rFonts w:hint="eastAsia"/>
                <w:sz w:val="24"/>
              </w:rPr>
              <w:t>5、组成联合体后，联合体各方不得再以自己的名义单独在同一项目中投标，也不得组成新的联合体参加同一项目投标。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14</w:t>
            </w:r>
          </w:p>
        </w:tc>
        <w:tc>
          <w:tcPr>
            <w:tcW w:w="1962" w:type="dxa"/>
            <w:vAlign w:val="center"/>
          </w:tcPr>
          <w:p>
            <w:pPr>
              <w:jc w:val="center"/>
              <w:rPr>
                <w:b/>
                <w:bCs/>
                <w:sz w:val="24"/>
              </w:rPr>
            </w:pPr>
            <w:r>
              <w:rPr>
                <w:rFonts w:hint="eastAsia"/>
                <w:b/>
                <w:bCs/>
                <w:sz w:val="24"/>
              </w:rPr>
              <w:t>招标代理服务费</w:t>
            </w:r>
          </w:p>
        </w:tc>
        <w:tc>
          <w:tcPr>
            <w:tcW w:w="6507" w:type="dxa"/>
            <w:vAlign w:val="center"/>
          </w:tcPr>
          <w:p>
            <w:pPr>
              <w:jc w:val="left"/>
              <w:rPr>
                <w:b/>
                <w:bCs/>
                <w:sz w:val="24"/>
              </w:rPr>
            </w:pPr>
            <w:r>
              <w:rPr>
                <w:rFonts w:hint="eastAsia"/>
                <w:b/>
                <w:bCs/>
                <w:sz w:val="24"/>
              </w:rPr>
              <w:t>本次招标代理服务费（含专家费）由中标人支付，招标代理服务费按照国家计委印发的《招标代理服务收费管理暂行办法》计价格【2002】1980号、发改办价格【2003】857号规定收费，</w:t>
            </w:r>
            <w:r>
              <w:rPr>
                <w:rFonts w:hint="eastAsia" w:ascii="宋体" w:hAnsi="宋体" w:cs="宋体"/>
                <w:b/>
                <w:bCs/>
                <w:sz w:val="24"/>
              </w:rPr>
              <w:t xml:space="preserve">本项目招标代理服务费为人民币 </w:t>
            </w:r>
            <w:r>
              <w:rPr>
                <w:rFonts w:hint="eastAsia" w:ascii="宋体" w:hAnsi="宋体" w:cs="宋体"/>
                <w:b/>
                <w:bCs/>
                <w:sz w:val="24"/>
                <w:lang w:val="en-US" w:eastAsia="zh-CN"/>
              </w:rPr>
              <w:t>42100</w:t>
            </w:r>
            <w:r>
              <w:rPr>
                <w:rFonts w:hint="eastAsia" w:ascii="宋体" w:hAnsi="宋体" w:cs="宋体"/>
                <w:b/>
                <w:bCs/>
                <w:sz w:val="24"/>
              </w:rPr>
              <w:t>元整</w:t>
            </w:r>
            <w:r>
              <w:rPr>
                <w:rFonts w:hint="eastAsia"/>
                <w:b/>
                <w:bCs/>
                <w:sz w:val="24"/>
              </w:rPr>
              <w:t>。投标人应在投标报价中予以考虑。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15</w:t>
            </w:r>
          </w:p>
        </w:tc>
        <w:tc>
          <w:tcPr>
            <w:tcW w:w="8469" w:type="dxa"/>
            <w:gridSpan w:val="2"/>
            <w:vAlign w:val="center"/>
          </w:tcPr>
          <w:p>
            <w:pPr>
              <w:jc w:val="left"/>
              <w:rPr>
                <w:sz w:val="24"/>
              </w:rPr>
            </w:pPr>
            <w:r>
              <w:rPr>
                <w:rFonts w:hint="eastAsia" w:ascii="宋体" w:hAnsi="宋体" w:cs="宋体"/>
                <w:sz w:val="24"/>
              </w:rPr>
              <w:t>中标单位在中标公示结束后尽快递交与电子加密投标文件内容一致的书面响应文件（正本一份，副本四份）。</w:t>
            </w:r>
          </w:p>
        </w:tc>
      </w:tr>
    </w:tbl>
    <w:p>
      <w:pPr>
        <w:snapToGrid w:val="0"/>
        <w:spacing w:line="360" w:lineRule="auto"/>
        <w:jc w:val="center"/>
        <w:rPr>
          <w:rFonts w:ascii="宋体" w:hAnsi="宋体" w:cs="宋体"/>
          <w:b/>
          <w:sz w:val="32"/>
          <w:szCs w:val="20"/>
        </w:rPr>
      </w:pPr>
    </w:p>
    <w:bookmarkEnd w:id="10"/>
    <w:p>
      <w:pPr>
        <w:jc w:val="center"/>
        <w:rPr>
          <w:rFonts w:ascii="宋体" w:hAnsi="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NumType w:start="1"/>
          <w:cols w:space="720" w:num="1"/>
          <w:titlePg/>
          <w:docGrid w:linePitch="312" w:charSpace="0"/>
        </w:sectPr>
      </w:pPr>
      <w:bookmarkStart w:id="11" w:name="_Toc164416483"/>
      <w:bookmarkStart w:id="12" w:name="第三部分"/>
    </w:p>
    <w:p>
      <w:pPr>
        <w:jc w:val="center"/>
        <w:rPr>
          <w:rFonts w:ascii="宋体" w:hAnsi="宋体" w:cs="宋体"/>
          <w:b/>
          <w:bCs/>
          <w:sz w:val="28"/>
          <w:szCs w:val="28"/>
        </w:rPr>
      </w:pPr>
      <w:r>
        <w:rPr>
          <w:rFonts w:hint="eastAsia" w:ascii="宋体" w:hAnsi="宋体" w:cs="宋体"/>
          <w:b/>
          <w:bCs/>
          <w:sz w:val="28"/>
          <w:szCs w:val="28"/>
        </w:rPr>
        <w:t>一、总则</w:t>
      </w:r>
    </w:p>
    <w:p>
      <w:pPr>
        <w:spacing w:line="600" w:lineRule="exact"/>
        <w:rPr>
          <w:rFonts w:ascii="宋体" w:hAnsi="宋体" w:cs="宋体"/>
          <w:sz w:val="24"/>
        </w:rPr>
      </w:pPr>
      <w:r>
        <w:rPr>
          <w:rFonts w:hint="eastAsia" w:ascii="宋体" w:hAnsi="宋体" w:cs="宋体"/>
          <w:sz w:val="24"/>
        </w:rPr>
        <w:t>1、适用范围</w:t>
      </w:r>
    </w:p>
    <w:p>
      <w:pPr>
        <w:spacing w:line="600" w:lineRule="exact"/>
        <w:ind w:firstLine="480" w:firstLineChars="200"/>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pacing w:line="600" w:lineRule="exact"/>
        <w:rPr>
          <w:rFonts w:ascii="宋体" w:hAnsi="宋体" w:cs="宋体"/>
          <w:sz w:val="24"/>
        </w:rPr>
      </w:pPr>
      <w:r>
        <w:rPr>
          <w:rFonts w:hint="eastAsia" w:ascii="宋体" w:hAnsi="宋体" w:cs="宋体"/>
          <w:sz w:val="24"/>
        </w:rPr>
        <w:t>2、定义</w:t>
      </w:r>
    </w:p>
    <w:p>
      <w:pPr>
        <w:spacing w:line="60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600" w:lineRule="exact"/>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60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600" w:lineRule="exact"/>
        <w:rPr>
          <w:rFonts w:ascii="宋体" w:hAnsi="宋体" w:cs="宋体"/>
          <w:sz w:val="24"/>
        </w:rPr>
      </w:pPr>
      <w:r>
        <w:rPr>
          <w:rFonts w:hint="eastAsia" w:ascii="宋体" w:hAnsi="宋体" w:cs="宋体"/>
          <w:sz w:val="24"/>
        </w:rPr>
        <w:t xml:space="preserve">    2.4 “负责人”系指法人企业的法定负责人，或其他组织为法律、行政法规规定代表单位行使职权的主要负责人，或自然人本人。</w:t>
      </w:r>
    </w:p>
    <w:p>
      <w:pPr>
        <w:spacing w:line="600" w:lineRule="exact"/>
        <w:rPr>
          <w:rFonts w:ascii="宋体" w:hAnsi="宋体" w:cs="宋体"/>
          <w:sz w:val="24"/>
        </w:rPr>
      </w:pPr>
      <w:r>
        <w:rPr>
          <w:rFonts w:hint="eastAsia" w:ascii="宋体" w:hAnsi="宋体" w:cs="宋体"/>
          <w:sz w:val="24"/>
        </w:rPr>
        <w:t xml:space="preserve">    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rPr>
          <w:rFonts w:ascii="宋体" w:hAnsi="宋体" w:cs="宋体"/>
          <w:sz w:val="24"/>
        </w:rPr>
      </w:pPr>
      <w:r>
        <w:rPr>
          <w:rFonts w:hint="eastAsia" w:ascii="宋体" w:hAnsi="宋体" w:cs="宋体"/>
          <w:sz w:val="24"/>
        </w:rPr>
        <w:t xml:space="preserve">    2.6“电子交易平台”是指本项目政府采购活动所依托的政府采购云平台（https：//www.zcygov.cn/）。</w:t>
      </w:r>
    </w:p>
    <w:p>
      <w:pPr>
        <w:spacing w:line="600" w:lineRule="exact"/>
        <w:rPr>
          <w:rFonts w:ascii="宋体" w:hAnsi="宋体" w:cs="宋体"/>
          <w:sz w:val="24"/>
          <w:highlight w:val="cyan"/>
        </w:rPr>
      </w:pPr>
      <w:r>
        <w:rPr>
          <w:rFonts w:hint="eastAsia" w:ascii="宋体" w:hAnsi="宋体" w:cs="宋体"/>
          <w:sz w:val="24"/>
        </w:rPr>
        <w:t xml:space="preserve">    2.7 “▲”系指实质性要求条款，“★”系产品采购项目中重要技术参数。</w:t>
      </w:r>
    </w:p>
    <w:p>
      <w:pPr>
        <w:spacing w:line="600" w:lineRule="exact"/>
        <w:rPr>
          <w:rFonts w:ascii="宋体" w:hAnsi="宋体" w:cs="宋体"/>
          <w:sz w:val="24"/>
        </w:rPr>
      </w:pPr>
      <w:r>
        <w:rPr>
          <w:rFonts w:hint="eastAsia" w:ascii="宋体" w:hAnsi="宋体" w:cs="宋体"/>
          <w:sz w:val="24"/>
        </w:rPr>
        <w:t>3、 采购项目需要落实的政府采购政策</w:t>
      </w:r>
    </w:p>
    <w:p>
      <w:pPr>
        <w:spacing w:line="600" w:lineRule="exact"/>
        <w:rPr>
          <w:rFonts w:ascii="宋体" w:hAnsi="宋体" w:cs="宋体"/>
          <w:sz w:val="24"/>
        </w:rPr>
      </w:pPr>
      <w:r>
        <w:rPr>
          <w:rFonts w:hint="eastAsia" w:ascii="宋体" w:hAnsi="宋体" w:cs="宋体"/>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rPr>
          <w:rFonts w:ascii="宋体" w:hAnsi="宋体" w:cs="宋体"/>
          <w:sz w:val="24"/>
        </w:rPr>
      </w:pPr>
      <w:r>
        <w:rPr>
          <w:rFonts w:hint="eastAsia" w:ascii="宋体" w:hAnsi="宋体" w:cs="宋体"/>
          <w:sz w:val="24"/>
        </w:rPr>
        <w:t xml:space="preserve">    3.2 支持绿色发展</w:t>
      </w:r>
    </w:p>
    <w:p>
      <w:pPr>
        <w:spacing w:line="600" w:lineRule="exact"/>
        <w:rPr>
          <w:rFonts w:ascii="宋体" w:hAnsi="宋体" w:cs="宋体"/>
          <w:sz w:val="24"/>
        </w:rPr>
      </w:pPr>
      <w:r>
        <w:rPr>
          <w:rFonts w:hint="eastAsia" w:ascii="宋体" w:hAnsi="宋体" w:cs="宋体"/>
          <w:sz w:val="24"/>
        </w:rPr>
        <w:t xml:space="preserve">    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▲采购人拟采购的产品属于政府强制采购的节能产品品目清单范围的，投标人未按招标文件要求提供国家确定的认证机构出具的、处于有效期之内的节能产品认证证书的，投标无效。</w:t>
      </w:r>
    </w:p>
    <w:p>
      <w:pPr>
        <w:spacing w:line="600" w:lineRule="exact"/>
        <w:rPr>
          <w:rFonts w:ascii="宋体" w:hAnsi="宋体" w:cs="宋体"/>
          <w:sz w:val="24"/>
        </w:rPr>
      </w:pPr>
      <w:r>
        <w:rPr>
          <w:rFonts w:hint="eastAsia" w:ascii="宋体" w:hAnsi="宋体" w:cs="宋体"/>
          <w:sz w:val="24"/>
        </w:rPr>
        <w:t xml:space="preserve">    3.2.2 修缮、装修类项目采购建材的，采购人应将绿色建筑和绿色建材性能、指标等作为实质性条件纳入招标文件和合同。</w:t>
      </w:r>
    </w:p>
    <w:p>
      <w:pPr>
        <w:spacing w:line="600" w:lineRule="exact"/>
        <w:rPr>
          <w:rFonts w:ascii="宋体" w:hAnsi="宋体" w:cs="宋体"/>
          <w:sz w:val="24"/>
        </w:rPr>
      </w:pPr>
      <w:r>
        <w:rPr>
          <w:rFonts w:hint="eastAsia" w:ascii="宋体" w:hAnsi="宋体" w:cs="宋体"/>
          <w:sz w:val="24"/>
        </w:rPr>
        <w:t xml:space="preserve">    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rPr>
          <w:rFonts w:ascii="宋体" w:hAnsi="宋体" w:cs="宋体"/>
          <w:sz w:val="24"/>
        </w:rPr>
      </w:pPr>
      <w:r>
        <w:rPr>
          <w:rFonts w:hint="eastAsia" w:ascii="宋体" w:hAnsi="宋体" w:cs="宋体"/>
          <w:sz w:val="24"/>
        </w:rPr>
        <w:t xml:space="preserve">    3.3支持中小企业发展</w:t>
      </w:r>
    </w:p>
    <w:p>
      <w:pPr>
        <w:spacing w:line="600" w:lineRule="exact"/>
        <w:rPr>
          <w:rFonts w:ascii="宋体" w:hAnsi="宋体" w:cs="宋体"/>
          <w:sz w:val="24"/>
        </w:rPr>
      </w:pPr>
      <w:r>
        <w:rPr>
          <w:rFonts w:hint="eastAsia" w:ascii="宋体" w:hAnsi="宋体" w:cs="宋体"/>
          <w:sz w:val="24"/>
        </w:rPr>
        <w:t xml:space="preserve">    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ascii="宋体" w:hAnsi="宋体" w:cs="宋体"/>
          <w:sz w:val="24"/>
        </w:rPr>
      </w:pPr>
      <w:r>
        <w:rPr>
          <w:rFonts w:hint="eastAsia" w:ascii="宋体" w:hAnsi="宋体" w:cs="宋体"/>
          <w:sz w:val="24"/>
        </w:rPr>
        <w:t>符合中小企业划分标准的个体工商户，在政府采购活动中视同中小企业。</w:t>
      </w:r>
    </w:p>
    <w:p>
      <w:pPr>
        <w:spacing w:line="600" w:lineRule="exact"/>
        <w:rPr>
          <w:rFonts w:ascii="宋体" w:hAnsi="宋体" w:cs="宋体"/>
          <w:sz w:val="24"/>
        </w:rPr>
      </w:pPr>
      <w:r>
        <w:rPr>
          <w:rFonts w:hint="eastAsia" w:ascii="宋体" w:hAnsi="宋体" w:cs="宋体"/>
          <w:sz w:val="24"/>
        </w:rPr>
        <w:t xml:space="preserve">    3.3.2在政府采购活动中，投标人提供的货物、工程或者服务符合下列情形的，享受中小企业扶持政策：</w:t>
      </w:r>
    </w:p>
    <w:p>
      <w:pPr>
        <w:spacing w:line="600" w:lineRule="exact"/>
        <w:rPr>
          <w:rFonts w:ascii="宋体" w:hAnsi="宋体" w:cs="宋体"/>
          <w:sz w:val="24"/>
        </w:rPr>
      </w:pPr>
      <w:r>
        <w:rPr>
          <w:rFonts w:hint="eastAsia" w:ascii="宋体" w:hAnsi="宋体" w:cs="宋体"/>
          <w:sz w:val="24"/>
        </w:rPr>
        <w:t xml:space="preserve">    3.3.2.1在货物采购项目中，货物由中小企业制造，即货物由中小企业生产且使用该中小企业商号或者注册商标；</w:t>
      </w:r>
    </w:p>
    <w:p>
      <w:pPr>
        <w:spacing w:line="600" w:lineRule="exact"/>
        <w:rPr>
          <w:rFonts w:ascii="宋体" w:hAnsi="宋体" w:cs="宋体"/>
          <w:sz w:val="24"/>
        </w:rPr>
      </w:pPr>
      <w:r>
        <w:rPr>
          <w:rFonts w:hint="eastAsia" w:ascii="宋体" w:hAnsi="宋体" w:cs="宋体"/>
          <w:sz w:val="24"/>
        </w:rPr>
        <w:t xml:space="preserve">    3.3.2.2在工程采购项目中，工程由中小企业承建，即工程施工单位为中小企业；</w:t>
      </w:r>
    </w:p>
    <w:p>
      <w:pPr>
        <w:spacing w:line="600" w:lineRule="exact"/>
        <w:rPr>
          <w:rFonts w:ascii="宋体" w:hAnsi="宋体" w:cs="宋体"/>
          <w:sz w:val="24"/>
        </w:rPr>
      </w:pPr>
      <w:r>
        <w:rPr>
          <w:rFonts w:hint="eastAsia" w:ascii="宋体" w:hAnsi="宋体" w:cs="宋体"/>
          <w:sz w:val="24"/>
        </w:rPr>
        <w:t xml:space="preserve">    3.3.2.3在服务采购项目中，服务由中小企业承接，即提供服务的人员为中小企业依照《中华人民共和国劳动合同法》订立劳动合同的从业人员。</w:t>
      </w:r>
    </w:p>
    <w:p>
      <w:pPr>
        <w:spacing w:line="600" w:lineRule="exact"/>
        <w:rPr>
          <w:rFonts w:ascii="宋体" w:hAnsi="宋体" w:cs="宋体"/>
          <w:sz w:val="24"/>
        </w:rPr>
      </w:pPr>
      <w:r>
        <w:rPr>
          <w:rFonts w:hint="eastAsia" w:ascii="宋体" w:hAnsi="宋体" w:cs="宋体"/>
          <w:sz w:val="24"/>
        </w:rPr>
        <w:t>在货物采购项目中，投标人提供的货物既有中小企业制造货物，也有大型企业制造货物的，不享受中小企业扶持政策。</w:t>
      </w:r>
    </w:p>
    <w:p>
      <w:pPr>
        <w:spacing w:line="600" w:lineRule="exact"/>
        <w:ind w:firstLine="480" w:firstLineChars="200"/>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b/>
          <w:bCs/>
          <w:sz w:val="24"/>
        </w:rPr>
        <w:t>3.3.3对于未预留份额专门面向中小企业的政府采购货物或服务项目，以及预留份额政府采购货物或服务项目中的非预留部分标项，对小型和微型企业的投标报价给予20%的扣除，用扣除后的价格参与评审。</w:t>
      </w:r>
      <w:r>
        <w:rPr>
          <w:rFonts w:hint="eastAsia" w:ascii="宋体" w:hAnsi="宋体" w:cs="宋体"/>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600" w:lineRule="exact"/>
        <w:rPr>
          <w:rFonts w:ascii="宋体" w:hAnsi="宋体" w:cs="宋体"/>
          <w:sz w:val="24"/>
        </w:rPr>
      </w:pPr>
      <w:r>
        <w:rPr>
          <w:rFonts w:hint="eastAsia" w:ascii="宋体" w:hAnsi="宋体" w:cs="宋体"/>
          <w:sz w:val="24"/>
        </w:rPr>
        <w:t xml:space="preserve">    3.3.4符合《关于促进残疾人就业政府采购政策的通知》（财库〔2017〕141号）规定的条件并提供《残疾人福利性单位声明函》（附件1）的残疾人福利性单位视同小型、微型企业；</w:t>
      </w:r>
    </w:p>
    <w:p>
      <w:pPr>
        <w:spacing w:line="600" w:lineRule="exact"/>
        <w:rPr>
          <w:rFonts w:ascii="宋体" w:hAnsi="宋体" w:cs="宋体"/>
          <w:sz w:val="24"/>
        </w:rPr>
      </w:pPr>
      <w:r>
        <w:rPr>
          <w:rFonts w:hint="eastAsia" w:ascii="宋体" w:hAnsi="宋体" w:cs="宋体"/>
          <w:sz w:val="24"/>
        </w:rPr>
        <w:t xml:space="preserve">    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rPr>
          <w:rFonts w:ascii="宋体" w:hAnsi="宋体" w:cs="宋体"/>
          <w:sz w:val="24"/>
        </w:rPr>
      </w:pPr>
      <w:r>
        <w:rPr>
          <w:rFonts w:hint="eastAsia" w:ascii="宋体" w:hAnsi="宋体" w:cs="宋体"/>
          <w:sz w:val="24"/>
        </w:rPr>
        <w:t xml:space="preserve">    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rPr>
          <w:rFonts w:ascii="宋体" w:hAnsi="宋体" w:cs="宋体"/>
          <w:sz w:val="24"/>
        </w:rPr>
      </w:pPr>
      <w:r>
        <w:rPr>
          <w:rFonts w:hint="eastAsia" w:ascii="宋体" w:hAnsi="宋体" w:cs="宋体"/>
          <w:sz w:val="24"/>
        </w:rPr>
        <w:t xml:space="preserve">    3.3.7中小企业享受扶持政策获得政府采购合同的，小微企业不得将合同分包给大中型企业，中型企业不得将合同分包给大型企业。</w:t>
      </w:r>
    </w:p>
    <w:p>
      <w:pPr>
        <w:spacing w:line="600" w:lineRule="exact"/>
        <w:rPr>
          <w:rFonts w:ascii="宋体" w:hAnsi="宋体" w:cs="宋体"/>
          <w:sz w:val="24"/>
        </w:rPr>
      </w:pPr>
      <w:r>
        <w:rPr>
          <w:rFonts w:hint="eastAsia" w:ascii="宋体" w:hAnsi="宋体" w:cs="宋体"/>
          <w:sz w:val="24"/>
        </w:rPr>
        <w:t xml:space="preserve">    3.4支持创新发展</w:t>
      </w:r>
    </w:p>
    <w:p>
      <w:pPr>
        <w:spacing w:line="600" w:lineRule="exact"/>
        <w:rPr>
          <w:rFonts w:ascii="宋体" w:hAnsi="宋体" w:cs="宋体"/>
          <w:sz w:val="24"/>
        </w:rPr>
      </w:pPr>
      <w:r>
        <w:rPr>
          <w:rFonts w:hint="eastAsia" w:ascii="宋体" w:hAnsi="宋体" w:cs="宋体"/>
          <w:sz w:val="24"/>
        </w:rPr>
        <w:t xml:space="preserve">    3.4.1 采购人优先采购被认定为首台套产品和“制造精品”的自主创新产品。</w:t>
      </w:r>
    </w:p>
    <w:p>
      <w:pPr>
        <w:spacing w:line="600" w:lineRule="exact"/>
        <w:rPr>
          <w:rFonts w:ascii="宋体" w:hAnsi="宋体" w:cs="宋体"/>
          <w:sz w:val="24"/>
        </w:rPr>
      </w:pPr>
      <w:r>
        <w:rPr>
          <w:rFonts w:hint="eastAsia" w:ascii="宋体" w:hAnsi="宋体" w:cs="宋体"/>
          <w:sz w:val="24"/>
        </w:rPr>
        <w:t xml:space="preserve">    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rPr>
          <w:rFonts w:ascii="宋体" w:hAnsi="宋体" w:cs="宋体"/>
          <w:sz w:val="24"/>
        </w:rPr>
      </w:pPr>
      <w:r>
        <w:rPr>
          <w:rFonts w:hint="eastAsia" w:ascii="宋体" w:hAnsi="宋体" w:cs="宋体"/>
          <w:sz w:val="24"/>
        </w:rPr>
        <w:t xml:space="preserve">    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ascii="宋体" w:hAnsi="宋体" w:cs="宋体"/>
          <w:sz w:val="24"/>
        </w:rPr>
      </w:pPr>
      <w:r>
        <w:rPr>
          <w:rFonts w:hint="eastAsia" w:ascii="宋体" w:hAnsi="宋体" w:cs="宋体"/>
          <w:sz w:val="24"/>
        </w:rPr>
        <w:t>4、询问、质疑、投诉</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4.2供应商质疑</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.1提出质疑的供应商应当是参与所质疑项目采购活动的供应商。潜在供应商已依法获取其可质疑的招标文件的，可以对该文件提出质疑。</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rPr>
          <w:rFonts w:ascii="宋体" w:hAnsi="宋体" w:cs="宋体"/>
          <w:sz w:val="24"/>
        </w:rPr>
      </w:pPr>
      <w:r>
        <w:rPr>
          <w:rFonts w:hint="eastAsia" w:ascii="宋体" w:hAnsi="宋体" w:cs="宋体"/>
          <w:sz w:val="24"/>
        </w:rPr>
        <w:t xml:space="preserve">    4.2.2.1对招标文件提出质疑的，质疑期限为供应商获得招标文件之日或者招标文件公告期限届满之日起计算。</w:t>
      </w:r>
    </w:p>
    <w:p>
      <w:pPr>
        <w:spacing w:line="600" w:lineRule="exact"/>
        <w:rPr>
          <w:rFonts w:ascii="宋体" w:hAnsi="宋体" w:cs="宋体"/>
          <w:sz w:val="24"/>
        </w:rPr>
      </w:pPr>
      <w:r>
        <w:rPr>
          <w:rFonts w:hint="eastAsia" w:ascii="宋体" w:hAnsi="宋体" w:cs="宋体"/>
          <w:sz w:val="24"/>
        </w:rPr>
        <w:t xml:space="preserve">    4.2.2.2对采购过程提出质疑的，质疑期限为各采购程序环节结束之日起计算。对同一采购程序环节的质疑，供应商须一次性提出。</w:t>
      </w:r>
    </w:p>
    <w:p>
      <w:pPr>
        <w:spacing w:line="600" w:lineRule="exact"/>
        <w:rPr>
          <w:rFonts w:ascii="宋体" w:hAnsi="宋体" w:cs="宋体"/>
          <w:sz w:val="24"/>
        </w:rPr>
      </w:pPr>
      <w:r>
        <w:rPr>
          <w:rFonts w:hint="eastAsia" w:ascii="宋体" w:hAnsi="宋体" w:cs="宋体"/>
          <w:sz w:val="24"/>
        </w:rPr>
        <w:t xml:space="preserve">    4.2.2.3对采购结果提出质疑的，质疑期限自采购结果公告期限届满之日起计算。</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w:t>
      </w:r>
      <w:r>
        <w:rPr>
          <w:rFonts w:hint="eastAsia" w:ascii="宋体" w:hAnsi="宋体" w:cs="宋体"/>
          <w:sz w:val="24"/>
        </w:rPr>
        <w:t>供应商提出质疑应当提交质疑函和必要的证明材料。质疑函应当包括下列内容：</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4.2.3.1供应商的姓名或者名称、地址、邮编、联系人及联系电话；</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4.2.3.2质疑项目的名称、编号；</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4.2.3.3具体、明确的质疑事项和与质疑事项相关的请求；</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4.2.3.4事实依据；</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4.2.3.5必要的法律依据；</w:t>
      </w:r>
    </w:p>
    <w:p>
      <w:pPr>
        <w:spacing w:line="600" w:lineRule="exact"/>
        <w:ind w:firstLine="480" w:firstLineChars="200"/>
        <w:rPr>
          <w:rFonts w:ascii="宋体" w:hAnsi="宋体" w:cs="宋体"/>
          <w:sz w:val="24"/>
        </w:rPr>
      </w:pPr>
      <w:r>
        <w:rPr>
          <w:rFonts w:hint="eastAsia" w:ascii="宋体" w:hAnsi="宋体" w:cs="宋体"/>
          <w:sz w:val="24"/>
          <w:lang w:val="zh-CN"/>
        </w:rPr>
        <w:t>4.2.3.6提出质疑的日期：</w:t>
      </w:r>
      <w:r>
        <w:rPr>
          <w:rFonts w:hint="eastAsia" w:ascii="宋体" w:hAnsi="宋体" w:cs="宋体"/>
          <w:sz w:val="24"/>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ascii="宋体" w:hAnsi="宋体" w:cs="宋体"/>
          <w:sz w:val="24"/>
        </w:rPr>
      </w:pPr>
      <w:r>
        <w:rPr>
          <w:rFonts w:hint="eastAsia" w:ascii="宋体" w:hAnsi="宋体" w:cs="宋体"/>
          <w:sz w:val="24"/>
        </w:rPr>
        <w:t>质疑函范本及制作说明详见附件2。</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.5询问或者质疑事项可能影响采购结果的，采购人应当暂停签订合同，已经签订合同的，应当中止履行合同。</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4.3供应商投诉</w:t>
      </w:r>
    </w:p>
    <w:p>
      <w:pPr>
        <w:spacing w:line="600" w:lineRule="exact"/>
        <w:rPr>
          <w:rFonts w:ascii="宋体" w:hAnsi="宋体" w:cs="宋体"/>
          <w:sz w:val="24"/>
        </w:rPr>
      </w:pPr>
      <w:r>
        <w:rPr>
          <w:rFonts w:hint="eastAsia" w:ascii="宋体" w:hAnsi="宋体" w:cs="宋体"/>
          <w:sz w:val="24"/>
        </w:rPr>
        <w:t xml:space="preserve">    4.3.1质疑供应商对采购人、采购机构的答复不满意或者采购人、采购机构未在规定的时间内作出答复的，可以在答复期满后十五个工作日内向同级政府采购监督管理部门提出投诉。</w:t>
      </w:r>
    </w:p>
    <w:p>
      <w:pPr>
        <w:spacing w:line="600" w:lineRule="exact"/>
        <w:rPr>
          <w:rFonts w:ascii="宋体" w:hAnsi="宋体" w:cs="宋体"/>
          <w:sz w:val="24"/>
        </w:rPr>
      </w:pPr>
      <w:r>
        <w:rPr>
          <w:rFonts w:hint="eastAsia" w:ascii="宋体" w:hAnsi="宋体" w:cs="宋体"/>
          <w:sz w:val="24"/>
        </w:rPr>
        <w:t xml:space="preserve">    4.3.</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pPr>
        <w:spacing w:line="600" w:lineRule="exact"/>
        <w:rPr>
          <w:rFonts w:ascii="宋体" w:hAnsi="宋体" w:cs="宋体"/>
          <w:sz w:val="24"/>
        </w:rPr>
      </w:pPr>
      <w:r>
        <w:rPr>
          <w:rFonts w:hint="eastAsia" w:ascii="宋体" w:hAnsi="宋体" w:cs="宋体"/>
          <w:sz w:val="24"/>
        </w:rPr>
        <w:t xml:space="preserve">    4.3.3供应商投诉应当有明确的请求和必要的证明材料。</w:t>
      </w:r>
    </w:p>
    <w:p>
      <w:pPr>
        <w:spacing w:line="600" w:lineRule="exact"/>
        <w:rPr>
          <w:rFonts w:ascii="宋体" w:hAnsi="宋体" w:cs="宋体"/>
          <w:sz w:val="24"/>
        </w:rPr>
      </w:pPr>
      <w:r>
        <w:rPr>
          <w:rFonts w:hint="eastAsia" w:ascii="宋体" w:hAnsi="宋体" w:cs="宋体"/>
          <w:sz w:val="24"/>
        </w:rPr>
        <w:t xml:space="preserve">    4.3.5 以联合体形式参加政府采购活动的，其投诉应当由组成联合体的所有供应商共同提出。</w:t>
      </w:r>
    </w:p>
    <w:p>
      <w:pPr>
        <w:spacing w:line="600" w:lineRule="exact"/>
        <w:rPr>
          <w:rFonts w:ascii="宋体" w:hAnsi="宋体" w:cs="宋体"/>
          <w:sz w:val="24"/>
        </w:rPr>
      </w:pPr>
      <w:r>
        <w:rPr>
          <w:rFonts w:hint="eastAsia" w:ascii="宋体" w:hAnsi="宋体" w:cs="宋体"/>
          <w:sz w:val="24"/>
        </w:rPr>
        <w:t xml:space="preserve">    投诉书范本及制作说明详见附件3。</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二、招标文件的构成、澄清、修改</w:t>
      </w:r>
    </w:p>
    <w:p>
      <w:pPr>
        <w:spacing w:line="600" w:lineRule="exact"/>
        <w:rPr>
          <w:rFonts w:ascii="宋体" w:hAnsi="宋体" w:cs="宋体"/>
          <w:sz w:val="24"/>
        </w:rPr>
      </w:pPr>
      <w:r>
        <w:rPr>
          <w:rFonts w:hint="eastAsia" w:ascii="宋体" w:hAnsi="宋体" w:cs="宋体"/>
          <w:sz w:val="24"/>
        </w:rPr>
        <w:t>5、招标文件的构成</w:t>
      </w:r>
    </w:p>
    <w:p>
      <w:pPr>
        <w:spacing w:line="600" w:lineRule="exact"/>
        <w:rPr>
          <w:rFonts w:ascii="宋体" w:hAnsi="宋体" w:cs="宋体"/>
          <w:sz w:val="24"/>
        </w:rPr>
      </w:pPr>
      <w:r>
        <w:rPr>
          <w:rFonts w:hint="eastAsia" w:ascii="宋体" w:hAnsi="宋体" w:cs="宋体"/>
          <w:sz w:val="24"/>
        </w:rPr>
        <w:t xml:space="preserve">    5.1 招标文件包括下列文件及附件：</w:t>
      </w:r>
    </w:p>
    <w:p>
      <w:pPr>
        <w:spacing w:line="600" w:lineRule="exact"/>
        <w:rPr>
          <w:rFonts w:ascii="宋体" w:hAnsi="宋体" w:cs="宋体"/>
          <w:sz w:val="24"/>
        </w:rPr>
      </w:pPr>
      <w:r>
        <w:rPr>
          <w:rFonts w:hint="eastAsia" w:ascii="宋体" w:hAnsi="宋体" w:cs="宋体"/>
          <w:sz w:val="24"/>
        </w:rPr>
        <w:t xml:space="preserve">    5.1.1招标公告；</w:t>
      </w:r>
    </w:p>
    <w:p>
      <w:pPr>
        <w:spacing w:line="600" w:lineRule="exact"/>
        <w:rPr>
          <w:rFonts w:ascii="宋体" w:hAnsi="宋体" w:cs="宋体"/>
          <w:sz w:val="24"/>
        </w:rPr>
      </w:pPr>
      <w:r>
        <w:rPr>
          <w:rFonts w:hint="eastAsia" w:ascii="宋体" w:hAnsi="宋体" w:cs="宋体"/>
          <w:sz w:val="24"/>
        </w:rPr>
        <w:t xml:space="preserve">    5.1.2投标人须知；</w:t>
      </w:r>
    </w:p>
    <w:p>
      <w:pPr>
        <w:spacing w:line="600" w:lineRule="exact"/>
        <w:rPr>
          <w:rFonts w:ascii="宋体" w:hAnsi="宋体" w:cs="宋体"/>
          <w:sz w:val="24"/>
        </w:rPr>
      </w:pPr>
      <w:r>
        <w:rPr>
          <w:rFonts w:hint="eastAsia" w:ascii="宋体" w:hAnsi="宋体" w:cs="宋体"/>
          <w:sz w:val="24"/>
        </w:rPr>
        <w:t xml:space="preserve">    5.1.3采购需求；</w:t>
      </w:r>
    </w:p>
    <w:p>
      <w:pPr>
        <w:spacing w:line="600" w:lineRule="exact"/>
        <w:rPr>
          <w:rFonts w:ascii="宋体" w:hAnsi="宋体" w:cs="宋体"/>
          <w:sz w:val="24"/>
        </w:rPr>
      </w:pPr>
      <w:r>
        <w:rPr>
          <w:rFonts w:hint="eastAsia" w:ascii="宋体" w:hAnsi="宋体" w:cs="宋体"/>
          <w:sz w:val="24"/>
        </w:rPr>
        <w:t xml:space="preserve">    5.1.4评标办法；</w:t>
      </w:r>
    </w:p>
    <w:p>
      <w:pPr>
        <w:spacing w:line="600" w:lineRule="exact"/>
        <w:rPr>
          <w:rFonts w:ascii="宋体" w:hAnsi="宋体" w:cs="宋体"/>
          <w:sz w:val="24"/>
        </w:rPr>
      </w:pPr>
      <w:r>
        <w:rPr>
          <w:rFonts w:hint="eastAsia" w:ascii="宋体" w:hAnsi="宋体" w:cs="宋体"/>
          <w:sz w:val="24"/>
        </w:rPr>
        <w:t xml:space="preserve">    5.1.5拟签订的合同文本；</w:t>
      </w:r>
    </w:p>
    <w:p>
      <w:pPr>
        <w:spacing w:line="600" w:lineRule="exact"/>
        <w:rPr>
          <w:rFonts w:ascii="宋体" w:hAnsi="宋体" w:cs="宋体"/>
          <w:sz w:val="24"/>
        </w:rPr>
      </w:pPr>
      <w:r>
        <w:rPr>
          <w:rFonts w:hint="eastAsia" w:ascii="宋体" w:hAnsi="宋体" w:cs="宋体"/>
          <w:sz w:val="24"/>
        </w:rPr>
        <w:t xml:space="preserve">    5.1.6应提交的有关格式范例。</w:t>
      </w:r>
    </w:p>
    <w:p>
      <w:pPr>
        <w:spacing w:line="600" w:lineRule="exact"/>
        <w:rPr>
          <w:rFonts w:ascii="宋体" w:hAnsi="宋体" w:cs="宋体"/>
          <w:sz w:val="24"/>
        </w:rPr>
      </w:pPr>
      <w:r>
        <w:rPr>
          <w:rFonts w:hint="eastAsia" w:ascii="宋体" w:hAnsi="宋体" w:cs="宋体"/>
          <w:sz w:val="24"/>
        </w:rPr>
        <w:t xml:space="preserve">    5.2与本项目有关的澄清或者修改的内容为招标文件的组成部分。</w:t>
      </w:r>
    </w:p>
    <w:p>
      <w:pPr>
        <w:spacing w:line="600" w:lineRule="exact"/>
        <w:rPr>
          <w:rFonts w:ascii="宋体" w:hAnsi="宋体" w:cs="宋体"/>
          <w:sz w:val="24"/>
        </w:rPr>
      </w:pPr>
      <w:r>
        <w:rPr>
          <w:rFonts w:hint="eastAsia" w:ascii="宋体" w:hAnsi="宋体" w:cs="宋体"/>
          <w:sz w:val="24"/>
        </w:rPr>
        <w:t>6、招标文件的澄清、修改</w:t>
      </w:r>
    </w:p>
    <w:p>
      <w:pPr>
        <w:spacing w:line="600" w:lineRule="exact"/>
        <w:rPr>
          <w:rFonts w:ascii="宋体" w:hAnsi="宋体" w:cs="宋体"/>
          <w:sz w:val="24"/>
        </w:rPr>
      </w:pPr>
      <w:r>
        <w:rPr>
          <w:rFonts w:hint="eastAsia" w:ascii="宋体" w:hAnsi="宋体" w:cs="宋体"/>
          <w:sz w:val="24"/>
        </w:rPr>
        <w:t xml:space="preserve">    6.1已获取招标文件的潜在投标人，若有问题需要澄清，应于投标截止时间前，以书面形式向采购机构提出。</w:t>
      </w:r>
    </w:p>
    <w:p>
      <w:pPr>
        <w:spacing w:line="600" w:lineRule="exact"/>
        <w:rPr>
          <w:rFonts w:ascii="宋体" w:hAnsi="宋体" w:cs="宋体"/>
          <w:sz w:val="24"/>
        </w:rPr>
      </w:pPr>
      <w:r>
        <w:rPr>
          <w:rFonts w:hint="eastAsia" w:ascii="宋体" w:hAnsi="宋体" w:cs="宋体"/>
          <w:sz w:val="24"/>
        </w:rPr>
        <w:t xml:space="preserve">    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rPr>
          <w:rFonts w:ascii="宋体" w:hAnsi="宋体" w:cs="宋体"/>
          <w:sz w:val="24"/>
        </w:rPr>
      </w:pPr>
      <w:r>
        <w:rPr>
          <w:rFonts w:hint="eastAsia" w:ascii="宋体" w:hAnsi="宋体" w:cs="宋体"/>
          <w:sz w:val="24"/>
        </w:rPr>
        <w:t xml:space="preserve">    </w:t>
      </w:r>
    </w:p>
    <w:p>
      <w:pPr>
        <w:spacing w:line="600" w:lineRule="exact"/>
        <w:jc w:val="center"/>
        <w:rPr>
          <w:rFonts w:ascii="宋体" w:hAnsi="宋体" w:cs="宋体"/>
          <w:b/>
          <w:bCs/>
          <w:sz w:val="28"/>
          <w:szCs w:val="28"/>
        </w:rPr>
      </w:pPr>
      <w:r>
        <w:rPr>
          <w:rFonts w:hint="eastAsia" w:ascii="宋体" w:hAnsi="宋体" w:cs="宋体"/>
          <w:b/>
          <w:bCs/>
          <w:sz w:val="28"/>
          <w:szCs w:val="28"/>
        </w:rPr>
        <w:t>三、投标</w:t>
      </w:r>
    </w:p>
    <w:p>
      <w:pPr>
        <w:spacing w:line="600" w:lineRule="exact"/>
        <w:rPr>
          <w:rFonts w:ascii="宋体" w:hAnsi="宋体" w:cs="宋体"/>
          <w:sz w:val="24"/>
        </w:rPr>
      </w:pPr>
      <w:r>
        <w:rPr>
          <w:rFonts w:hint="eastAsia" w:ascii="宋体" w:hAnsi="宋体" w:cs="宋体"/>
          <w:sz w:val="24"/>
        </w:rPr>
        <w:t>7、招标文件的获取</w:t>
      </w:r>
    </w:p>
    <w:p>
      <w:pPr>
        <w:spacing w:line="600" w:lineRule="exact"/>
        <w:rPr>
          <w:rFonts w:ascii="宋体" w:hAnsi="宋体" w:cs="宋体"/>
          <w:sz w:val="24"/>
        </w:rPr>
      </w:pPr>
      <w:r>
        <w:rPr>
          <w:rFonts w:hint="eastAsia" w:ascii="宋体" w:hAnsi="宋体" w:cs="宋体"/>
          <w:sz w:val="24"/>
        </w:rPr>
        <w:t xml:space="preserve">    详见招标公告中获取招标文件的时间期限、地点、方式及招标文件售价。</w:t>
      </w:r>
    </w:p>
    <w:p>
      <w:pPr>
        <w:spacing w:line="600" w:lineRule="exact"/>
        <w:rPr>
          <w:rFonts w:ascii="宋体" w:hAnsi="宋体" w:cs="宋体"/>
          <w:sz w:val="24"/>
        </w:rPr>
      </w:pPr>
      <w:r>
        <w:rPr>
          <w:rFonts w:hint="eastAsia" w:ascii="宋体" w:hAnsi="宋体" w:cs="宋体"/>
          <w:sz w:val="24"/>
        </w:rPr>
        <w:t>8、开标前答疑会或现场考察</w:t>
      </w:r>
    </w:p>
    <w:p>
      <w:pPr>
        <w:spacing w:line="600" w:lineRule="exact"/>
        <w:rPr>
          <w:rFonts w:ascii="宋体" w:hAnsi="宋体" w:cs="宋体"/>
          <w:sz w:val="24"/>
        </w:rPr>
      </w:pPr>
      <w:r>
        <w:rPr>
          <w:rFonts w:hint="eastAsia" w:ascii="宋体" w:hAnsi="宋体" w:cs="宋体"/>
          <w:sz w:val="24"/>
        </w:rPr>
        <w:t xml:space="preserve">    采购人组织潜在投标人现场考察或者召开开标前答疑会的，潜在投标人按第二部分投标人须知前附表的规定参加现场考察或者开标前答疑会。</w:t>
      </w:r>
    </w:p>
    <w:p>
      <w:pPr>
        <w:spacing w:line="600" w:lineRule="exact"/>
        <w:rPr>
          <w:rFonts w:ascii="宋体" w:hAnsi="宋体" w:cs="宋体"/>
          <w:sz w:val="24"/>
        </w:rPr>
      </w:pPr>
      <w:r>
        <w:rPr>
          <w:rFonts w:hint="eastAsia" w:ascii="宋体" w:hAnsi="宋体" w:cs="宋体"/>
          <w:sz w:val="24"/>
        </w:rPr>
        <w:t>9、投标保证金</w:t>
      </w:r>
    </w:p>
    <w:p>
      <w:pPr>
        <w:spacing w:line="600" w:lineRule="exact"/>
        <w:rPr>
          <w:rFonts w:ascii="宋体" w:hAnsi="宋体" w:cs="宋体"/>
          <w:sz w:val="24"/>
        </w:rPr>
      </w:pPr>
      <w:r>
        <w:rPr>
          <w:rFonts w:hint="eastAsia" w:ascii="宋体" w:hAnsi="宋体" w:cs="宋体"/>
          <w:sz w:val="24"/>
        </w:rPr>
        <w:t xml:space="preserve">    本项目不需缴纳投标保证金。</w:t>
      </w:r>
    </w:p>
    <w:p>
      <w:pPr>
        <w:spacing w:line="600" w:lineRule="exact"/>
        <w:rPr>
          <w:rFonts w:ascii="宋体" w:hAnsi="宋体" w:cs="宋体"/>
          <w:sz w:val="24"/>
        </w:rPr>
      </w:pPr>
      <w:r>
        <w:rPr>
          <w:rFonts w:hint="eastAsia" w:ascii="宋体" w:hAnsi="宋体" w:cs="宋体"/>
          <w:sz w:val="24"/>
        </w:rPr>
        <w:t>10、投标文件的语言</w:t>
      </w:r>
    </w:p>
    <w:p>
      <w:pPr>
        <w:spacing w:line="600" w:lineRule="exact"/>
        <w:rPr>
          <w:rFonts w:ascii="宋体" w:hAnsi="宋体" w:cs="宋体"/>
          <w:sz w:val="24"/>
          <w:lang w:val="zh-CN"/>
        </w:rPr>
      </w:pPr>
      <w:r>
        <w:rPr>
          <w:rFonts w:hint="eastAsia" w:ascii="宋体" w:hAnsi="宋体" w:cs="宋体"/>
          <w:sz w:val="24"/>
        </w:rPr>
        <w:t xml:space="preserve">    投标文件及投标人与采购有关的来往通知、函件和文件均应使用中文。</w:t>
      </w:r>
    </w:p>
    <w:p>
      <w:pPr>
        <w:spacing w:line="600" w:lineRule="exact"/>
        <w:rPr>
          <w:rFonts w:ascii="宋体" w:hAnsi="宋体" w:cs="宋体"/>
          <w:sz w:val="24"/>
        </w:rPr>
      </w:pPr>
      <w:r>
        <w:rPr>
          <w:rFonts w:hint="eastAsia" w:ascii="宋体" w:hAnsi="宋体" w:cs="宋体"/>
          <w:sz w:val="24"/>
        </w:rPr>
        <w:t>11、投标文件的组成</w:t>
      </w:r>
    </w:p>
    <w:p>
      <w:pPr>
        <w:spacing w:line="600" w:lineRule="exact"/>
        <w:rPr>
          <w:rFonts w:ascii="宋体" w:hAnsi="宋体" w:cs="宋体"/>
          <w:sz w:val="24"/>
        </w:rPr>
      </w:pPr>
      <w:r>
        <w:rPr>
          <w:rFonts w:hint="eastAsia" w:ascii="宋体" w:hAnsi="宋体" w:cs="宋体"/>
          <w:sz w:val="24"/>
        </w:rPr>
        <w:t xml:space="preserve">    11.1资格文件：</w:t>
      </w:r>
    </w:p>
    <w:p>
      <w:pPr>
        <w:spacing w:line="600" w:lineRule="exact"/>
        <w:rPr>
          <w:rFonts w:ascii="宋体" w:hAnsi="宋体" w:cs="宋体"/>
          <w:sz w:val="24"/>
        </w:rPr>
      </w:pPr>
      <w:r>
        <w:rPr>
          <w:rFonts w:hint="eastAsia" w:ascii="宋体" w:hAnsi="宋体" w:cs="宋体"/>
          <w:sz w:val="24"/>
        </w:rPr>
        <w:t xml:space="preserve">    11.1.1符合参加政府采购活动应当具备的一般条件的承诺函；</w:t>
      </w:r>
    </w:p>
    <w:p>
      <w:pPr>
        <w:spacing w:line="600" w:lineRule="exact"/>
        <w:rPr>
          <w:rFonts w:ascii="宋体" w:hAnsi="宋体" w:cs="宋体"/>
          <w:sz w:val="24"/>
        </w:rPr>
      </w:pPr>
      <w:r>
        <w:rPr>
          <w:rFonts w:hint="eastAsia" w:ascii="宋体" w:hAnsi="宋体" w:cs="宋体"/>
          <w:sz w:val="24"/>
        </w:rPr>
        <w:t xml:space="preserve">    11.1.2落实政府采购政策需满足的资格要求；</w:t>
      </w:r>
    </w:p>
    <w:p>
      <w:pPr>
        <w:spacing w:line="600" w:lineRule="exact"/>
        <w:ind w:firstLine="480"/>
        <w:rPr>
          <w:rFonts w:ascii="宋体" w:hAnsi="宋体" w:cs="宋体"/>
          <w:sz w:val="24"/>
        </w:rPr>
      </w:pPr>
      <w:r>
        <w:rPr>
          <w:rFonts w:hint="eastAsia" w:ascii="宋体" w:hAnsi="宋体" w:cs="宋体"/>
          <w:sz w:val="24"/>
        </w:rPr>
        <w:t>11.1.3本项目的特定资格要求；</w:t>
      </w:r>
    </w:p>
    <w:p>
      <w:pPr>
        <w:spacing w:line="600" w:lineRule="exact"/>
        <w:ind w:firstLine="480"/>
        <w:rPr>
          <w:rFonts w:ascii="宋体" w:hAnsi="宋体" w:cs="宋体"/>
          <w:sz w:val="24"/>
        </w:rPr>
      </w:pPr>
      <w:r>
        <w:rPr>
          <w:rFonts w:hint="eastAsia" w:ascii="宋体" w:hAnsi="宋体" w:cs="宋体"/>
          <w:sz w:val="24"/>
        </w:rPr>
        <w:t>11.1.4</w:t>
      </w:r>
      <w:r>
        <w:rPr>
          <w:rFonts w:hint="eastAsia" w:ascii="宋体" w:hAnsi="宋体" w:cs="宋体"/>
          <w:b/>
          <w:bCs/>
          <w:snapToGrid w:val="0"/>
          <w:kern w:val="0"/>
          <w:szCs w:val="21"/>
        </w:rPr>
        <w:t>中小企业声明函</w:t>
      </w:r>
      <w:r>
        <w:rPr>
          <w:rFonts w:hint="eastAsia" w:ascii="宋体" w:hAnsi="宋体" w:cs="宋体"/>
          <w:sz w:val="24"/>
        </w:rPr>
        <w:t>。</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pacing w:line="600" w:lineRule="exact"/>
        <w:rPr>
          <w:rFonts w:ascii="宋体" w:hAnsi="宋体" w:cs="宋体"/>
          <w:sz w:val="24"/>
          <w:lang w:val="zh-CN"/>
        </w:rPr>
      </w:pPr>
      <w:r>
        <w:rPr>
          <w:rFonts w:hint="eastAsia" w:ascii="宋体" w:hAnsi="宋体" w:cs="宋体"/>
          <w:sz w:val="24"/>
        </w:rPr>
        <w:t xml:space="preserve">    11.2.1投标函；</w:t>
      </w:r>
      <w:r>
        <w:rPr>
          <w:rFonts w:hint="eastAsia" w:ascii="宋体" w:hAnsi="宋体" w:cs="宋体"/>
          <w:sz w:val="24"/>
          <w:lang w:val="zh-CN"/>
        </w:rPr>
        <w:t xml:space="preserve"> </w:t>
      </w:r>
    </w:p>
    <w:p>
      <w:pPr>
        <w:spacing w:line="600" w:lineRule="exact"/>
        <w:rPr>
          <w:rFonts w:ascii="宋体" w:hAnsi="宋体" w:cs="宋体"/>
          <w:sz w:val="24"/>
        </w:rPr>
      </w:pPr>
      <w:r>
        <w:rPr>
          <w:rFonts w:hint="eastAsia" w:ascii="宋体" w:hAnsi="宋体" w:cs="宋体"/>
          <w:sz w:val="24"/>
        </w:rPr>
        <w:t xml:space="preserve">    11.2.2授权委托书或法定代表人（单位负责人、自然人本人）身份证明；</w:t>
      </w:r>
    </w:p>
    <w:p>
      <w:pPr>
        <w:spacing w:line="600" w:lineRule="exact"/>
        <w:rPr>
          <w:rFonts w:ascii="宋体" w:hAnsi="宋体" w:cs="宋体"/>
          <w:sz w:val="24"/>
        </w:rPr>
      </w:pPr>
      <w:r>
        <w:rPr>
          <w:rFonts w:hint="eastAsia" w:ascii="宋体" w:hAnsi="宋体" w:cs="宋体"/>
          <w:sz w:val="24"/>
        </w:rPr>
        <w:t xml:space="preserve">    11.2.3联合协议；</w:t>
      </w:r>
    </w:p>
    <w:p>
      <w:pPr>
        <w:spacing w:line="600" w:lineRule="exact"/>
        <w:rPr>
          <w:rFonts w:ascii="宋体" w:hAnsi="宋体" w:cs="宋体"/>
          <w:sz w:val="24"/>
        </w:rPr>
      </w:pPr>
      <w:r>
        <w:rPr>
          <w:rFonts w:hint="eastAsia" w:ascii="宋体" w:hAnsi="宋体" w:cs="宋体"/>
          <w:sz w:val="24"/>
        </w:rPr>
        <w:t xml:space="preserve">    11.2.4分包意向协议；</w:t>
      </w:r>
    </w:p>
    <w:p>
      <w:pPr>
        <w:spacing w:line="600" w:lineRule="exact"/>
        <w:rPr>
          <w:rFonts w:ascii="宋体" w:hAnsi="宋体" w:cs="宋体"/>
          <w:sz w:val="24"/>
        </w:rPr>
      </w:pPr>
      <w:r>
        <w:rPr>
          <w:rFonts w:hint="eastAsia" w:ascii="宋体" w:hAnsi="宋体" w:cs="宋体"/>
          <w:sz w:val="24"/>
        </w:rPr>
        <w:t xml:space="preserve">    11.2.5符合性审查资料；</w:t>
      </w:r>
    </w:p>
    <w:p>
      <w:pPr>
        <w:spacing w:line="600" w:lineRule="exact"/>
        <w:rPr>
          <w:rFonts w:ascii="宋体" w:hAnsi="宋体" w:cs="宋体"/>
          <w:sz w:val="24"/>
        </w:rPr>
      </w:pPr>
      <w:r>
        <w:rPr>
          <w:rFonts w:hint="eastAsia" w:ascii="宋体" w:hAnsi="宋体" w:cs="宋体"/>
          <w:sz w:val="24"/>
        </w:rPr>
        <w:t xml:space="preserve">    11.2.6评标标准相应的商务技术资料；</w:t>
      </w:r>
    </w:p>
    <w:p>
      <w:pPr>
        <w:spacing w:line="600" w:lineRule="exact"/>
        <w:rPr>
          <w:rFonts w:ascii="宋体" w:hAnsi="宋体" w:cs="宋体"/>
          <w:sz w:val="24"/>
        </w:rPr>
      </w:pPr>
      <w:r>
        <w:rPr>
          <w:rFonts w:hint="eastAsia" w:ascii="宋体" w:hAnsi="宋体" w:cs="宋体"/>
          <w:sz w:val="24"/>
        </w:rPr>
        <w:t xml:space="preserve">    11.2.7商务技术偏离表；</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8所投产品具体配置表；</w:t>
      </w:r>
    </w:p>
    <w:p>
      <w:pPr>
        <w:spacing w:line="600" w:lineRule="exact"/>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 xml:space="preserve">3报价文件： </w:t>
      </w:r>
    </w:p>
    <w:p>
      <w:pPr>
        <w:spacing w:line="600" w:lineRule="exact"/>
        <w:rPr>
          <w:rFonts w:ascii="宋体" w:hAnsi="宋体" w:cs="宋体"/>
          <w:sz w:val="24"/>
        </w:rPr>
      </w:pPr>
      <w:r>
        <w:rPr>
          <w:rFonts w:hint="eastAsia" w:ascii="宋体" w:hAnsi="宋体" w:cs="宋体"/>
          <w:sz w:val="24"/>
        </w:rPr>
        <w:t xml:space="preserve">    11.3.1开标一览表（报价表）；</w:t>
      </w:r>
    </w:p>
    <w:p>
      <w:pPr>
        <w:spacing w:line="600" w:lineRule="exact"/>
        <w:rPr>
          <w:rFonts w:ascii="宋体" w:hAnsi="宋体" w:cs="宋体"/>
          <w:sz w:val="24"/>
        </w:rPr>
      </w:pPr>
      <w:r>
        <w:rPr>
          <w:rFonts w:hint="eastAsia" w:ascii="宋体" w:hAnsi="宋体" w:cs="宋体"/>
          <w:sz w:val="24"/>
        </w:rPr>
        <w:t xml:space="preserve">    11.3.2中小企业声明函。</w:t>
      </w:r>
    </w:p>
    <w:p>
      <w:pPr>
        <w:spacing w:line="600" w:lineRule="exact"/>
        <w:rPr>
          <w:rFonts w:ascii="宋体" w:hAnsi="宋体" w:cs="宋体"/>
          <w:sz w:val="24"/>
        </w:rPr>
      </w:pPr>
      <w:r>
        <w:rPr>
          <w:rFonts w:hint="eastAsia" w:ascii="宋体" w:hAnsi="宋体" w:cs="宋体"/>
          <w:sz w:val="24"/>
        </w:rPr>
        <w:t xml:space="preserve">    投标文件含有采购人不能接受的附加条件的，投标无效；</w:t>
      </w:r>
    </w:p>
    <w:p>
      <w:pPr>
        <w:spacing w:line="600" w:lineRule="exact"/>
        <w:rPr>
          <w:rFonts w:ascii="宋体" w:hAnsi="宋体" w:cs="宋体"/>
          <w:sz w:val="24"/>
        </w:rPr>
      </w:pPr>
      <w:r>
        <w:rPr>
          <w:rFonts w:hint="eastAsia" w:ascii="宋体" w:hAnsi="宋体" w:cs="宋体"/>
          <w:sz w:val="24"/>
        </w:rPr>
        <w:t xml:space="preserve">    投标人提供虚假材料投标的，投标无效。</w:t>
      </w:r>
    </w:p>
    <w:p>
      <w:pPr>
        <w:spacing w:line="600" w:lineRule="exact"/>
        <w:rPr>
          <w:rFonts w:ascii="宋体" w:hAnsi="宋体" w:cs="宋体"/>
          <w:sz w:val="24"/>
        </w:rPr>
      </w:pPr>
      <w:r>
        <w:rPr>
          <w:rFonts w:hint="eastAsia" w:ascii="宋体" w:hAnsi="宋体" w:cs="宋体"/>
          <w:sz w:val="24"/>
        </w:rPr>
        <w:t>12</w:t>
      </w:r>
      <w:r>
        <w:rPr>
          <w:rFonts w:hint="eastAsia" w:ascii="宋体" w:hAnsi="宋体" w:cs="宋体"/>
          <w:sz w:val="24"/>
          <w:lang w:val="zh-CN"/>
        </w:rPr>
        <w:t>、</w:t>
      </w:r>
      <w:r>
        <w:rPr>
          <w:rFonts w:hint="eastAsia" w:ascii="宋体" w:hAnsi="宋体" w:cs="宋体"/>
          <w:sz w:val="24"/>
        </w:rPr>
        <w:t>投标文件的编制</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12.3使用“政采云电子交易客户端”需要提前申领CA数字证书，申领流程请自行前往“浙江政府采购网-下载专区-电子交易客户端-CA驱动和申领流程”进行查阅。</w:t>
      </w:r>
    </w:p>
    <w:p>
      <w:pPr>
        <w:spacing w:line="600" w:lineRule="exact"/>
        <w:rPr>
          <w:rFonts w:ascii="宋体" w:hAnsi="宋体" w:cs="宋体"/>
          <w:sz w:val="24"/>
        </w:rPr>
      </w:pPr>
      <w:r>
        <w:rPr>
          <w:rFonts w:hint="eastAsia" w:ascii="宋体" w:hAnsi="宋体" w:cs="宋体"/>
          <w:sz w:val="24"/>
        </w:rPr>
        <w:t>13、投标文件的签署、盖章</w:t>
      </w:r>
    </w:p>
    <w:p>
      <w:pPr>
        <w:spacing w:line="600" w:lineRule="exact"/>
        <w:rPr>
          <w:rFonts w:ascii="宋体" w:hAnsi="宋体" w:cs="宋体"/>
          <w:sz w:val="24"/>
        </w:rPr>
      </w:pPr>
      <w:r>
        <w:rPr>
          <w:rFonts w:hint="eastAsia" w:ascii="宋体" w:hAnsi="宋体" w:cs="宋体"/>
          <w:sz w:val="24"/>
        </w:rPr>
        <w:t xml:space="preserve">    13.1投标文件按照招标文件第六部分格式要求进行签署、盖章。▲投标人的投标文件未按照招标文件要求签署、盖章的，其投标无效。</w:t>
      </w:r>
    </w:p>
    <w:p>
      <w:pPr>
        <w:spacing w:line="600" w:lineRule="exact"/>
        <w:rPr>
          <w:rFonts w:ascii="宋体" w:hAnsi="宋体" w:cs="宋体"/>
          <w:sz w:val="24"/>
        </w:rPr>
      </w:pPr>
      <w:r>
        <w:rPr>
          <w:rFonts w:hint="eastAsia" w:ascii="宋体" w:hAnsi="宋体" w:cs="宋体"/>
          <w:sz w:val="24"/>
        </w:rPr>
        <w:t xml:space="preserve">    13.2为确保网上操作合法、有效和安全，投标人应当在投标截止时间前完成在“政府采购云平台”的身份认证，确保在电子投标过程中能够对相关数据电文进行加密和使用电子签名。</w:t>
      </w:r>
    </w:p>
    <w:p>
      <w:pPr>
        <w:spacing w:line="600" w:lineRule="exact"/>
        <w:rPr>
          <w:rFonts w:ascii="宋体" w:hAnsi="宋体" w:cs="宋体"/>
          <w:sz w:val="24"/>
        </w:rPr>
      </w:pPr>
      <w:r>
        <w:rPr>
          <w:rFonts w:hint="eastAsia" w:ascii="宋体" w:hAnsi="宋体" w:cs="宋体"/>
          <w:sz w:val="24"/>
        </w:rPr>
        <w:t xml:space="preserve">    13.3招标文件对投标文件签署、盖章的要求适用于电子签名。</w:t>
      </w:r>
    </w:p>
    <w:p>
      <w:pPr>
        <w:spacing w:line="600" w:lineRule="exact"/>
        <w:rPr>
          <w:rFonts w:ascii="宋体" w:hAnsi="宋体" w:cs="宋体"/>
          <w:sz w:val="24"/>
        </w:rPr>
      </w:pPr>
      <w:r>
        <w:rPr>
          <w:rFonts w:hint="eastAsia" w:ascii="宋体" w:hAnsi="宋体" w:cs="宋体"/>
          <w:sz w:val="24"/>
        </w:rPr>
        <w:t>14、投标文件的提交、补充、修改、撤回</w:t>
      </w:r>
    </w:p>
    <w:p>
      <w:pPr>
        <w:spacing w:line="600" w:lineRule="exact"/>
        <w:rPr>
          <w:rFonts w:ascii="宋体" w:hAnsi="宋体" w:cs="宋体"/>
          <w:sz w:val="24"/>
        </w:rPr>
      </w:pPr>
      <w:r>
        <w:rPr>
          <w:rFonts w:hint="eastAsia" w:ascii="宋体" w:hAnsi="宋体" w:cs="宋体"/>
          <w:sz w:val="24"/>
        </w:rPr>
        <w:t xml:space="preserve">    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rPr>
          <w:rFonts w:ascii="宋体" w:hAnsi="宋体" w:cs="宋体"/>
          <w:sz w:val="24"/>
        </w:rPr>
      </w:pPr>
      <w:r>
        <w:rPr>
          <w:rFonts w:hint="eastAsia" w:ascii="宋体" w:hAnsi="宋体" w:cs="宋体"/>
          <w:sz w:val="24"/>
        </w:rPr>
        <w:t xml:space="preserve">    14.2电子交易平台收到投标文件，将妥善保存并即时向供应商发出确认回执通知。在投标截止时间前，除供应商补充、修改或者撤回投标文件外，任何单位和个人不得解密或提取投标文件。</w:t>
      </w:r>
    </w:p>
    <w:p>
      <w:pPr>
        <w:spacing w:line="600" w:lineRule="exact"/>
        <w:rPr>
          <w:rFonts w:ascii="宋体" w:hAnsi="宋体" w:cs="宋体"/>
          <w:sz w:val="24"/>
        </w:rPr>
      </w:pPr>
      <w:r>
        <w:rPr>
          <w:rFonts w:hint="eastAsia" w:ascii="宋体" w:hAnsi="宋体" w:cs="宋体"/>
          <w:sz w:val="24"/>
        </w:rPr>
        <w:t xml:space="preserve">    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ascii="宋体" w:hAnsi="宋体" w:cs="宋体"/>
          <w:sz w:val="24"/>
        </w:rPr>
      </w:pPr>
      <w:r>
        <w:rPr>
          <w:rFonts w:hint="eastAsia" w:ascii="宋体" w:hAnsi="宋体" w:cs="宋体"/>
          <w:sz w:val="24"/>
        </w:rPr>
        <w:t>15、备份投标文件</w:t>
      </w:r>
    </w:p>
    <w:p>
      <w:pPr>
        <w:spacing w:line="600" w:lineRule="exact"/>
        <w:rPr>
          <w:rFonts w:ascii="宋体" w:hAnsi="宋体" w:cs="宋体"/>
          <w:sz w:val="24"/>
        </w:rPr>
      </w:pPr>
      <w:r>
        <w:rPr>
          <w:rFonts w:hint="eastAsia" w:ascii="宋体" w:hAnsi="宋体" w:cs="宋体"/>
          <w:sz w:val="24"/>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rPr>
          <w:rFonts w:ascii="宋体" w:hAnsi="宋体" w:cs="宋体"/>
          <w:sz w:val="24"/>
        </w:rPr>
      </w:pPr>
      <w:r>
        <w:rPr>
          <w:rFonts w:hint="eastAsia" w:ascii="宋体" w:hAnsi="宋体" w:cs="宋体"/>
          <w:sz w:val="24"/>
        </w:rPr>
        <w:t xml:space="preserve">    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rPr>
          <w:rFonts w:ascii="宋体" w:hAnsi="宋体" w:cs="宋体"/>
          <w:sz w:val="24"/>
        </w:rPr>
      </w:pPr>
      <w:r>
        <w:rPr>
          <w:rFonts w:hint="eastAsia" w:ascii="宋体" w:hAnsi="宋体" w:cs="宋体"/>
          <w:sz w:val="24"/>
        </w:rPr>
        <w:t xml:space="preserve">    15.3直接提交备份投标文件的，投标人应于投标截止时间前在招标公告中载明的开标地点将备份投标文件提交给采购机构，采购机构将拒绝接受逾期送达的备份投标文件。</w:t>
      </w:r>
    </w:p>
    <w:p>
      <w:pPr>
        <w:spacing w:line="600" w:lineRule="exact"/>
        <w:rPr>
          <w:rFonts w:ascii="宋体" w:hAnsi="宋体" w:cs="宋体"/>
          <w:sz w:val="24"/>
        </w:rPr>
      </w:pPr>
      <w:r>
        <w:rPr>
          <w:rFonts w:hint="eastAsia" w:ascii="宋体" w:hAnsi="宋体" w:cs="宋体"/>
          <w:sz w:val="24"/>
        </w:rPr>
        <w:t xml:space="preserve">    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rPr>
          <w:rFonts w:ascii="宋体" w:hAnsi="宋体" w:cs="宋体"/>
          <w:sz w:val="24"/>
        </w:rPr>
      </w:pPr>
      <w:r>
        <w:rPr>
          <w:rFonts w:hint="eastAsia" w:ascii="宋体" w:hAnsi="宋体" w:cs="宋体"/>
          <w:sz w:val="24"/>
        </w:rPr>
        <w:t xml:space="preserve">    15.5投标人仅提交备份投标文件，没有在电子交易平台传输递交投标文件的，投标无效。</w:t>
      </w:r>
    </w:p>
    <w:p>
      <w:pPr>
        <w:spacing w:line="600" w:lineRule="exact"/>
        <w:rPr>
          <w:rFonts w:ascii="宋体" w:hAnsi="宋体" w:cs="宋体"/>
          <w:sz w:val="24"/>
        </w:rPr>
      </w:pPr>
      <w:r>
        <w:rPr>
          <w:rFonts w:hint="eastAsia" w:ascii="宋体" w:hAnsi="宋体" w:cs="宋体"/>
          <w:sz w:val="24"/>
        </w:rPr>
        <w:t>16、投标文件的无效处理</w:t>
      </w:r>
    </w:p>
    <w:p>
      <w:pPr>
        <w:spacing w:line="600" w:lineRule="exact"/>
        <w:rPr>
          <w:rFonts w:ascii="宋体" w:hAnsi="宋体" w:cs="宋体"/>
          <w:sz w:val="24"/>
        </w:rPr>
      </w:pPr>
      <w:r>
        <w:rPr>
          <w:rFonts w:hint="eastAsia" w:ascii="宋体" w:hAnsi="宋体" w:cs="宋体"/>
          <w:sz w:val="24"/>
        </w:rPr>
        <w:t xml:space="preserve">    有招标文件第四部分第13项规定的情形之一的，投标无效：</w:t>
      </w:r>
    </w:p>
    <w:p>
      <w:pPr>
        <w:spacing w:line="600" w:lineRule="exact"/>
        <w:rPr>
          <w:rFonts w:ascii="宋体" w:hAnsi="宋体" w:cs="宋体"/>
          <w:sz w:val="24"/>
        </w:rPr>
      </w:pPr>
      <w:r>
        <w:rPr>
          <w:rFonts w:hint="eastAsia" w:ascii="宋体" w:hAnsi="宋体" w:cs="宋体"/>
          <w:sz w:val="24"/>
        </w:rPr>
        <w:t>17、投标有效期</w:t>
      </w:r>
    </w:p>
    <w:p>
      <w:pPr>
        <w:spacing w:line="600" w:lineRule="exact"/>
        <w:rPr>
          <w:rFonts w:ascii="宋体" w:hAnsi="宋体" w:cs="宋体"/>
          <w:sz w:val="24"/>
        </w:rPr>
      </w:pPr>
      <w:r>
        <w:rPr>
          <w:rFonts w:hint="eastAsia" w:ascii="宋体" w:hAnsi="宋体" w:cs="宋体"/>
          <w:sz w:val="24"/>
        </w:rPr>
        <w:t xml:space="preserve">    17.1投标有效期为从提交投标文件的截止之日起90天。▲投标人的投标文件中承诺的投标有效期少于招标文件中载明的投标有效期的，投标无效。</w:t>
      </w:r>
    </w:p>
    <w:p>
      <w:pPr>
        <w:spacing w:line="600" w:lineRule="exact"/>
        <w:rPr>
          <w:rFonts w:ascii="宋体" w:hAnsi="宋体" w:cs="宋体"/>
          <w:sz w:val="24"/>
        </w:rPr>
      </w:pPr>
      <w:r>
        <w:rPr>
          <w:rFonts w:hint="eastAsia" w:ascii="宋体" w:hAnsi="宋体" w:cs="宋体"/>
          <w:sz w:val="24"/>
        </w:rPr>
        <w:t xml:space="preserve">    17.2投标文件合格投递后，自投标截止日期起，在投标有效期内有效。</w:t>
      </w:r>
    </w:p>
    <w:p>
      <w:pPr>
        <w:spacing w:line="600" w:lineRule="exact"/>
        <w:rPr>
          <w:rFonts w:ascii="宋体" w:hAnsi="宋体" w:cs="宋体"/>
          <w:sz w:val="24"/>
        </w:rPr>
      </w:pPr>
      <w:r>
        <w:rPr>
          <w:rFonts w:hint="eastAsia" w:ascii="宋体" w:hAnsi="宋体" w:cs="宋体"/>
          <w:sz w:val="24"/>
        </w:rPr>
        <w:t xml:space="preserve">    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四、开标、资格审查与信用信息查询</w:t>
      </w:r>
    </w:p>
    <w:p>
      <w:pPr>
        <w:spacing w:line="600" w:lineRule="exact"/>
        <w:rPr>
          <w:rFonts w:ascii="宋体" w:hAnsi="宋体" w:cs="宋体"/>
          <w:sz w:val="24"/>
        </w:rPr>
      </w:pPr>
      <w:r>
        <w:rPr>
          <w:rFonts w:hint="eastAsia" w:ascii="宋体" w:hAnsi="宋体" w:cs="宋体"/>
          <w:sz w:val="24"/>
        </w:rPr>
        <w:t xml:space="preserve">18、开标 </w:t>
      </w:r>
    </w:p>
    <w:p>
      <w:pPr>
        <w:spacing w:line="600" w:lineRule="exact"/>
        <w:rPr>
          <w:rFonts w:ascii="宋体" w:hAnsi="宋体" w:cs="宋体"/>
          <w:sz w:val="24"/>
        </w:rPr>
      </w:pPr>
      <w:r>
        <w:rPr>
          <w:rFonts w:hint="eastAsia" w:ascii="宋体" w:hAnsi="宋体" w:cs="宋体"/>
          <w:sz w:val="24"/>
        </w:rPr>
        <w:t xml:space="preserve">    18.1采购机构按照招标文件规定的时间通过电子交易平台组织开标，所有投标人均应当准时在线参加。投标人不足3家的，不得开标。</w:t>
      </w:r>
    </w:p>
    <w:p>
      <w:pPr>
        <w:spacing w:line="600" w:lineRule="exac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spacing w:line="600" w:lineRule="exact"/>
        <w:rPr>
          <w:rFonts w:ascii="宋体" w:hAnsi="宋体" w:cs="宋体"/>
          <w:sz w:val="24"/>
        </w:rPr>
      </w:pPr>
      <w:r>
        <w:rPr>
          <w:rFonts w:hint="eastAsia" w:ascii="宋体" w:hAnsi="宋体" w:cs="宋体"/>
          <w:sz w:val="24"/>
        </w:rPr>
        <w:t>　  18.3投标文件未按时解密，投标人提供了备份投标文件的，以备份投标文件作为依据，否则视为投标文件撤回。投标文件已按时解密的，备份投标文件自动失效。</w:t>
      </w:r>
    </w:p>
    <w:p>
      <w:pPr>
        <w:spacing w:line="600" w:lineRule="exact"/>
        <w:rPr>
          <w:rFonts w:ascii="宋体" w:hAnsi="宋体" w:cs="宋体"/>
          <w:sz w:val="24"/>
        </w:rPr>
      </w:pPr>
      <w:r>
        <w:rPr>
          <w:rFonts w:hint="eastAsia" w:ascii="宋体" w:hAnsi="宋体" w:cs="宋体"/>
          <w:sz w:val="24"/>
        </w:rPr>
        <w:t>19、资格审查</w:t>
      </w:r>
    </w:p>
    <w:p>
      <w:pPr>
        <w:spacing w:line="600" w:lineRule="exact"/>
        <w:rPr>
          <w:rFonts w:ascii="宋体" w:hAnsi="宋体" w:cs="宋体"/>
          <w:sz w:val="24"/>
        </w:rPr>
      </w:pPr>
      <w:r>
        <w:rPr>
          <w:rFonts w:hint="eastAsia" w:ascii="宋体" w:hAnsi="宋体" w:cs="宋体"/>
          <w:sz w:val="24"/>
        </w:rPr>
        <w:t xml:space="preserve">    19.1开标后，采购人或采购机构将依法对投标人的资格进行审查。</w:t>
      </w:r>
    </w:p>
    <w:p>
      <w:pPr>
        <w:spacing w:line="600" w:lineRule="exact"/>
        <w:rPr>
          <w:rFonts w:ascii="宋体" w:hAnsi="宋体" w:cs="宋体"/>
          <w:sz w:val="24"/>
        </w:rPr>
      </w:pPr>
      <w:r>
        <w:rPr>
          <w:rFonts w:hint="eastAsia" w:ascii="宋体" w:hAnsi="宋体" w:cs="宋体"/>
          <w:sz w:val="24"/>
        </w:rPr>
        <w:t xml:space="preserve">    19.2采购人或采购机构依据法律法规和招标文件的规定，对投标人的基本资格条件、特定资格条件进行审查。</w:t>
      </w:r>
    </w:p>
    <w:p>
      <w:pPr>
        <w:spacing w:line="600" w:lineRule="exact"/>
        <w:rPr>
          <w:rFonts w:ascii="宋体" w:hAnsi="宋体" w:cs="宋体"/>
          <w:sz w:val="24"/>
        </w:rPr>
      </w:pPr>
      <w:r>
        <w:rPr>
          <w:rFonts w:hint="eastAsia" w:ascii="宋体" w:hAnsi="宋体" w:cs="宋体"/>
          <w:sz w:val="24"/>
        </w:rPr>
        <w:t xml:space="preserve">    19.3投标人未按照招标文件要求提供与基本资格条件、特定资格条件相应的有效资格证明材料的，视为投标人不具备招标文件中规定的资格要求，其投标无效。</w:t>
      </w:r>
    </w:p>
    <w:p>
      <w:pPr>
        <w:spacing w:line="600" w:lineRule="exact"/>
        <w:rPr>
          <w:rFonts w:ascii="宋体" w:hAnsi="宋体" w:cs="宋体"/>
          <w:sz w:val="24"/>
        </w:rPr>
      </w:pPr>
      <w:r>
        <w:rPr>
          <w:rFonts w:hint="eastAsia" w:ascii="宋体" w:hAnsi="宋体" w:cs="宋体"/>
          <w:sz w:val="24"/>
        </w:rPr>
        <w:t xml:space="preserve">    19.4对未通过资格审查的投标人，采购人或采购机构告知其未通过的原因。</w:t>
      </w:r>
    </w:p>
    <w:p>
      <w:pPr>
        <w:spacing w:line="600" w:lineRule="exact"/>
        <w:rPr>
          <w:rFonts w:ascii="宋体" w:hAnsi="宋体" w:cs="宋体"/>
          <w:sz w:val="24"/>
        </w:rPr>
      </w:pPr>
      <w:r>
        <w:rPr>
          <w:rFonts w:hint="eastAsia" w:ascii="宋体" w:hAnsi="宋体" w:cs="宋体"/>
          <w:sz w:val="24"/>
        </w:rPr>
        <w:t xml:space="preserve">    19.5合格投标人不足3家的，不再评标。</w:t>
      </w:r>
    </w:p>
    <w:p>
      <w:pPr>
        <w:spacing w:line="600" w:lineRule="exact"/>
        <w:rPr>
          <w:rFonts w:ascii="宋体" w:hAnsi="宋体" w:cs="宋体"/>
          <w:sz w:val="24"/>
        </w:rPr>
      </w:pPr>
      <w:r>
        <w:rPr>
          <w:rFonts w:hint="eastAsia" w:ascii="宋体" w:hAnsi="宋体" w:cs="宋体"/>
          <w:sz w:val="24"/>
        </w:rPr>
        <w:t>20、信用信息查询</w:t>
      </w:r>
    </w:p>
    <w:p>
      <w:pPr>
        <w:spacing w:line="600" w:lineRule="exact"/>
        <w:rPr>
          <w:rFonts w:ascii="宋体" w:hAnsi="宋体" w:cs="宋体"/>
          <w:sz w:val="24"/>
        </w:rPr>
      </w:pPr>
      <w:r>
        <w:rPr>
          <w:rFonts w:hint="eastAsia" w:ascii="宋体" w:hAnsi="宋体" w:cs="宋体"/>
          <w:sz w:val="24"/>
        </w:rPr>
        <w:t xml:space="preserve">    20.1信用信息查询渠道及截止时间：采购机构将通过“信用中国”网站(www.creditchina.gov.cn）、中国政府采购网(www.ccgp.gov.cn）渠道查询投标人投标截止时间当天的信用记录。</w:t>
      </w:r>
    </w:p>
    <w:p>
      <w:pPr>
        <w:spacing w:line="600" w:lineRule="exact"/>
        <w:rPr>
          <w:rFonts w:ascii="宋体" w:hAnsi="宋体" w:cs="宋体"/>
          <w:sz w:val="24"/>
        </w:rPr>
      </w:pPr>
      <w:r>
        <w:rPr>
          <w:rFonts w:hint="eastAsia" w:ascii="宋体" w:hAnsi="宋体" w:cs="宋体"/>
          <w:sz w:val="24"/>
        </w:rPr>
        <w:t xml:space="preserve">    20.2信用信息查询记录和证据留存的具体方式：现场查询的投标人的信用记录、查询结果经确认后将与采购文件一起存档。</w:t>
      </w:r>
    </w:p>
    <w:p>
      <w:pPr>
        <w:spacing w:line="600" w:lineRule="exact"/>
        <w:rPr>
          <w:rFonts w:ascii="宋体" w:hAnsi="宋体" w:cs="宋体"/>
          <w:sz w:val="24"/>
        </w:rPr>
      </w:pPr>
      <w:r>
        <w:rPr>
          <w:rFonts w:hint="eastAsia" w:ascii="宋体" w:hAnsi="宋体" w:cs="宋体"/>
          <w:sz w:val="24"/>
        </w:rPr>
        <w:t xml:space="preserve">    20.3信用信息的使用规则：经查询列入失信被执行人名单、重大税收违法案件当事人名单、政府采购严重违法失信行为记录名单的投标人将被拒绝参与政府采购活动。</w:t>
      </w:r>
    </w:p>
    <w:p>
      <w:pPr>
        <w:spacing w:line="600" w:lineRule="exact"/>
        <w:rPr>
          <w:rFonts w:ascii="宋体" w:hAnsi="宋体" w:cs="宋体"/>
          <w:sz w:val="24"/>
        </w:rPr>
      </w:pPr>
      <w:r>
        <w:rPr>
          <w:rFonts w:hint="eastAsia" w:ascii="宋体" w:hAnsi="宋体" w:cs="宋体"/>
          <w:sz w:val="24"/>
        </w:rPr>
        <w:t xml:space="preserve">    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五、评标</w:t>
      </w:r>
    </w:p>
    <w:p>
      <w:pPr>
        <w:spacing w:line="600" w:lineRule="exact"/>
        <w:rPr>
          <w:rFonts w:ascii="宋体" w:hAnsi="宋体" w:cs="宋体"/>
          <w:sz w:val="24"/>
        </w:rPr>
      </w:pPr>
      <w:bookmarkStart w:id="13" w:name="_Toc91899903"/>
      <w:r>
        <w:rPr>
          <w:rFonts w:hint="eastAsia" w:ascii="宋体" w:hAnsi="宋体" w:cs="宋体"/>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六、定 标</w:t>
      </w:r>
    </w:p>
    <w:p>
      <w:pPr>
        <w:spacing w:line="600" w:lineRule="exact"/>
        <w:rPr>
          <w:rFonts w:ascii="宋体" w:hAnsi="宋体" w:cs="宋体"/>
          <w:sz w:val="24"/>
        </w:rPr>
      </w:pPr>
      <w:r>
        <w:rPr>
          <w:rFonts w:hint="eastAsia" w:ascii="宋体" w:hAnsi="宋体" w:cs="宋体"/>
          <w:sz w:val="24"/>
        </w:rPr>
        <w:t>22、确定中标供应商</w:t>
      </w:r>
    </w:p>
    <w:p>
      <w:pPr>
        <w:spacing w:line="600" w:lineRule="exact"/>
        <w:rPr>
          <w:rFonts w:ascii="宋体" w:hAnsi="宋体" w:cs="宋体"/>
          <w:sz w:val="24"/>
        </w:rPr>
      </w:pPr>
      <w:r>
        <w:rPr>
          <w:rFonts w:hint="eastAsia" w:ascii="宋体" w:hAnsi="宋体" w:cs="宋体"/>
          <w:sz w:val="24"/>
        </w:rPr>
        <w:t xml:space="preserve">    采购人将自收到评审报告之日起5个工作日内通过电子交易平台在评审报告推荐的中标候选人中按顺序确定中标供应商。</w:t>
      </w:r>
    </w:p>
    <w:p>
      <w:pPr>
        <w:spacing w:line="600" w:lineRule="exact"/>
        <w:rPr>
          <w:rFonts w:ascii="宋体" w:hAnsi="宋体" w:cs="宋体"/>
          <w:sz w:val="24"/>
        </w:rPr>
      </w:pPr>
      <w:r>
        <w:rPr>
          <w:rFonts w:hint="eastAsia" w:ascii="宋体" w:hAnsi="宋体" w:cs="宋体"/>
          <w:sz w:val="24"/>
        </w:rPr>
        <w:t>23、中标通知与中标结果公告</w:t>
      </w:r>
    </w:p>
    <w:p>
      <w:pPr>
        <w:spacing w:line="600" w:lineRule="exact"/>
        <w:rPr>
          <w:rFonts w:ascii="宋体" w:hAnsi="宋体" w:cs="宋体"/>
          <w:sz w:val="24"/>
        </w:rPr>
      </w:pPr>
      <w:r>
        <w:rPr>
          <w:rFonts w:hint="eastAsia" w:ascii="宋体" w:hAnsi="宋体" w:cs="宋体"/>
          <w:sz w:val="24"/>
        </w:rPr>
        <w:t xml:space="preserve">    23.1自中标人确定之日起2个工作日内，采购机构通过电子交易平台向中标人发出中标通知书，同时编制发布采购结果公告。采购机构也可以以纸质形式进行中标通知。</w:t>
      </w:r>
    </w:p>
    <w:p>
      <w:pPr>
        <w:spacing w:line="600" w:lineRule="exact"/>
        <w:rPr>
          <w:rFonts w:ascii="宋体" w:hAnsi="宋体" w:cs="宋体"/>
          <w:sz w:val="24"/>
        </w:rPr>
      </w:pPr>
      <w:r>
        <w:rPr>
          <w:rFonts w:hint="eastAsia" w:ascii="宋体" w:hAnsi="宋体" w:cs="宋体"/>
          <w:sz w:val="24"/>
        </w:rPr>
        <w:t xml:space="preserve">    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rPr>
          <w:rFonts w:ascii="宋体" w:hAnsi="宋体" w:cs="宋体"/>
          <w:sz w:val="24"/>
        </w:rPr>
      </w:pPr>
      <w:r>
        <w:rPr>
          <w:rFonts w:hint="eastAsia" w:ascii="宋体" w:hAnsi="宋体" w:cs="宋体"/>
          <w:sz w:val="24"/>
        </w:rPr>
        <w:t xml:space="preserve">    23.3公告期限为1个工作日。</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七、合同授予</w:t>
      </w:r>
    </w:p>
    <w:p>
      <w:pPr>
        <w:spacing w:line="600" w:lineRule="exact"/>
        <w:rPr>
          <w:rFonts w:ascii="宋体" w:hAnsi="宋体" w:cs="宋体"/>
          <w:sz w:val="24"/>
        </w:rPr>
      </w:pPr>
      <w:r>
        <w:rPr>
          <w:rFonts w:hint="eastAsia" w:ascii="宋体" w:hAnsi="宋体" w:cs="宋体"/>
          <w:sz w:val="24"/>
        </w:rPr>
        <w:t>24、 合同主要条款详见第五部分拟签订的合同文本。</w:t>
      </w:r>
    </w:p>
    <w:p>
      <w:pPr>
        <w:spacing w:line="600" w:lineRule="exact"/>
        <w:rPr>
          <w:rFonts w:ascii="宋体" w:hAnsi="宋体" w:cs="宋体"/>
          <w:sz w:val="24"/>
        </w:rPr>
      </w:pPr>
      <w:r>
        <w:rPr>
          <w:rFonts w:hint="eastAsia" w:ascii="宋体" w:hAnsi="宋体" w:cs="宋体"/>
          <w:sz w:val="24"/>
        </w:rPr>
        <w:t>25、 合同的签订</w:t>
      </w:r>
    </w:p>
    <w:p>
      <w:pPr>
        <w:spacing w:line="600" w:lineRule="exact"/>
        <w:rPr>
          <w:rFonts w:ascii="宋体" w:hAnsi="宋体" w:cs="宋体"/>
          <w:sz w:val="24"/>
        </w:rPr>
      </w:pPr>
      <w:r>
        <w:rPr>
          <w:rFonts w:hint="eastAsia" w:ascii="宋体" w:hAnsi="宋体" w:cs="宋体"/>
          <w:sz w:val="24"/>
        </w:rPr>
        <w:t xml:space="preserve">    25.1 采购人与中标人应当通过电子交易平台在中标通知书发出之日起三十日内，按照招标文件确定的事项签订政府采购合同，并在合同签订之日起2个工作日内依法发布合同公告。</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rPr>
          <w:rFonts w:ascii="宋体" w:hAnsi="宋体" w:cs="宋体"/>
          <w:sz w:val="24"/>
        </w:rPr>
      </w:pPr>
      <w:r>
        <w:rPr>
          <w:rFonts w:hint="eastAsia" w:ascii="宋体" w:hAnsi="宋体" w:cs="宋体"/>
          <w:sz w:val="24"/>
        </w:rPr>
        <w:t xml:space="preserve">    25.3如签订合同并生效后，供应商无故拒绝或延期，除按照合同条款处理外，列入不良行为记录一次，并给予通报。</w:t>
      </w:r>
    </w:p>
    <w:p>
      <w:pPr>
        <w:spacing w:line="600" w:lineRule="exact"/>
        <w:rPr>
          <w:rFonts w:ascii="宋体" w:hAnsi="宋体" w:cs="宋体"/>
          <w:sz w:val="24"/>
        </w:rPr>
      </w:pPr>
      <w:r>
        <w:rPr>
          <w:rFonts w:hint="eastAsia" w:ascii="宋体" w:hAnsi="宋体" w:cs="宋体"/>
          <w:sz w:val="24"/>
        </w:rPr>
        <w:t xml:space="preserve">    25.4中标供应商拒绝与采购人签订合同的，采购人可以按照评审报告推荐的中标或者成交候选人名单排序，确定下一候选人为中标供应商，也可以重新开展政府采购活动。</w:t>
      </w:r>
    </w:p>
    <w:p>
      <w:pPr>
        <w:spacing w:line="600" w:lineRule="exact"/>
        <w:rPr>
          <w:rFonts w:ascii="宋体" w:hAnsi="宋体" w:cs="宋体"/>
          <w:sz w:val="24"/>
        </w:rPr>
      </w:pPr>
      <w:r>
        <w:rPr>
          <w:rFonts w:hint="eastAsia" w:ascii="宋体" w:hAnsi="宋体" w:cs="宋体"/>
          <w:sz w:val="24"/>
        </w:rPr>
        <w:t xml:space="preserve">    25.5采购合同由采购人与中标供应商根据招标文件、投标文件等内容通过政府采购电子交易平台在线签订，自动备案。</w:t>
      </w:r>
    </w:p>
    <w:p>
      <w:pPr>
        <w:spacing w:line="600" w:lineRule="exact"/>
        <w:rPr>
          <w:rFonts w:ascii="宋体" w:hAnsi="宋体" w:cs="宋体"/>
          <w:sz w:val="24"/>
        </w:rPr>
      </w:pPr>
      <w:r>
        <w:rPr>
          <w:rFonts w:hint="eastAsia" w:ascii="宋体" w:hAnsi="宋体" w:cs="宋体"/>
          <w:sz w:val="24"/>
        </w:rPr>
        <w:t>26、履约保证金</w:t>
      </w:r>
    </w:p>
    <w:p>
      <w:pPr>
        <w:spacing w:line="600" w:lineRule="exact"/>
        <w:ind w:firstLine="480"/>
        <w:rPr>
          <w:rFonts w:ascii="宋体" w:hAnsi="宋体" w:cs="宋体"/>
          <w:sz w:val="24"/>
        </w:rPr>
      </w:pPr>
      <w:r>
        <w:rPr>
          <w:rFonts w:hint="eastAsia" w:ascii="宋体" w:hAnsi="宋体" w:cs="宋体"/>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spacing w:line="600" w:lineRule="exact"/>
        <w:ind w:firstLine="480"/>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八、电子交易活动的中止</w:t>
      </w:r>
    </w:p>
    <w:p>
      <w:pPr>
        <w:spacing w:line="600" w:lineRule="exact"/>
        <w:rPr>
          <w:rFonts w:ascii="宋体" w:hAnsi="宋体" w:cs="宋体"/>
          <w:sz w:val="24"/>
        </w:rPr>
      </w:pPr>
      <w:r>
        <w:rPr>
          <w:rFonts w:hint="eastAsia" w:ascii="宋体" w:hAnsi="宋体" w:cs="宋体"/>
          <w:sz w:val="24"/>
        </w:rPr>
        <w:t>27、电子交易活动的中止。采购过程中出现以下情形，导致电子交易平台无法正常运行，或者无法保证电子交易的公平、公正和安全时，采购机构可中止电子交易活动：</w:t>
      </w:r>
    </w:p>
    <w:p>
      <w:pPr>
        <w:spacing w:line="600" w:lineRule="exact"/>
        <w:rPr>
          <w:rFonts w:ascii="宋体" w:hAnsi="宋体" w:cs="宋体"/>
          <w:sz w:val="24"/>
        </w:rPr>
      </w:pPr>
      <w:r>
        <w:rPr>
          <w:rFonts w:hint="eastAsia" w:ascii="宋体" w:hAnsi="宋体" w:cs="宋体"/>
          <w:sz w:val="24"/>
        </w:rPr>
        <w:t xml:space="preserve">    27.1电子交易平台发生故障而无法登录访问的； </w:t>
      </w:r>
    </w:p>
    <w:p>
      <w:pPr>
        <w:spacing w:line="600" w:lineRule="exact"/>
        <w:rPr>
          <w:rFonts w:ascii="宋体" w:hAnsi="宋体" w:cs="宋体"/>
          <w:sz w:val="24"/>
        </w:rPr>
      </w:pPr>
      <w:r>
        <w:rPr>
          <w:rFonts w:hint="eastAsia" w:ascii="宋体" w:hAnsi="宋体" w:cs="宋体"/>
          <w:sz w:val="24"/>
        </w:rPr>
        <w:t xml:space="preserve">    27.2电子交易平台应用或数据库出现错误，不能进行正常操作的；</w:t>
      </w:r>
    </w:p>
    <w:p>
      <w:pPr>
        <w:spacing w:line="600" w:lineRule="exact"/>
        <w:rPr>
          <w:rFonts w:ascii="宋体" w:hAnsi="宋体" w:cs="宋体"/>
          <w:sz w:val="24"/>
        </w:rPr>
      </w:pPr>
      <w:r>
        <w:rPr>
          <w:rFonts w:hint="eastAsia" w:ascii="宋体" w:hAnsi="宋体" w:cs="宋体"/>
          <w:sz w:val="24"/>
        </w:rPr>
        <w:t xml:space="preserve">    27.3电子交易平台发现严重安全漏洞，有潜在泄密危险的；</w:t>
      </w:r>
    </w:p>
    <w:p>
      <w:pPr>
        <w:spacing w:line="600" w:lineRule="exact"/>
        <w:rPr>
          <w:rFonts w:ascii="宋体" w:hAnsi="宋体" w:cs="宋体"/>
          <w:sz w:val="24"/>
        </w:rPr>
      </w:pPr>
      <w:r>
        <w:rPr>
          <w:rFonts w:hint="eastAsia" w:ascii="宋体" w:hAnsi="宋体" w:cs="宋体"/>
          <w:sz w:val="24"/>
        </w:rPr>
        <w:t xml:space="preserve">    27.4病毒发作导致不能进行正常操作的； </w:t>
      </w:r>
    </w:p>
    <w:p>
      <w:pPr>
        <w:spacing w:line="600" w:lineRule="exact"/>
        <w:rPr>
          <w:rFonts w:ascii="宋体" w:hAnsi="宋体" w:cs="宋体"/>
          <w:sz w:val="24"/>
        </w:rPr>
      </w:pPr>
      <w:r>
        <w:rPr>
          <w:rFonts w:hint="eastAsia" w:ascii="宋体" w:hAnsi="宋体" w:cs="宋体"/>
          <w:sz w:val="24"/>
        </w:rPr>
        <w:t xml:space="preserve">    27.5其他无法保证电子交易的公平、公正和安全的情况。</w:t>
      </w:r>
    </w:p>
    <w:p>
      <w:pPr>
        <w:spacing w:line="600" w:lineRule="exact"/>
        <w:rPr>
          <w:rFonts w:ascii="宋体" w:hAnsi="宋体" w:cs="宋体"/>
          <w:sz w:val="24"/>
        </w:rPr>
      </w:pPr>
      <w:r>
        <w:rPr>
          <w:rFonts w:hint="eastAsia" w:ascii="宋体" w:hAnsi="宋体" w:cs="宋体"/>
          <w:sz w:val="24"/>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九、验收</w:t>
      </w:r>
    </w:p>
    <w:p>
      <w:pPr>
        <w:spacing w:line="600" w:lineRule="exact"/>
        <w:rPr>
          <w:rFonts w:ascii="宋体" w:hAnsi="宋体" w:cs="宋体"/>
          <w:sz w:val="24"/>
        </w:rPr>
      </w:pPr>
      <w:r>
        <w:rPr>
          <w:rFonts w:hint="eastAsia" w:ascii="宋体" w:hAnsi="宋体" w:cs="宋体"/>
          <w:sz w:val="24"/>
        </w:rPr>
        <w:t>29、验收</w:t>
      </w:r>
    </w:p>
    <w:p>
      <w:pPr>
        <w:spacing w:line="600" w:lineRule="exact"/>
        <w:rPr>
          <w:rFonts w:ascii="宋体" w:hAnsi="宋体" w:cs="宋体"/>
          <w:sz w:val="24"/>
        </w:rPr>
      </w:pPr>
      <w:r>
        <w:rPr>
          <w:rFonts w:hint="eastAsia" w:ascii="宋体" w:hAnsi="宋体" w:cs="宋体"/>
          <w:sz w:val="24"/>
        </w:rPr>
        <w:t xml:space="preserve">    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rPr>
          <w:rFonts w:ascii="宋体" w:hAnsi="宋体" w:cs="宋体"/>
          <w:sz w:val="24"/>
        </w:rPr>
      </w:pPr>
      <w:r>
        <w:rPr>
          <w:rFonts w:hint="eastAsia" w:ascii="宋体" w:hAnsi="宋体" w:cs="宋体"/>
          <w:sz w:val="24"/>
        </w:rPr>
        <w:t xml:space="preserve">    29.2采购人可以邀请参加本项目的其他投标人或者第三方机构参与验收。参与验收的投标人或者第三方机构的意见作为验收书的参考资料一并存档。</w:t>
      </w:r>
    </w:p>
    <w:p>
      <w:pPr>
        <w:spacing w:line="600" w:lineRule="exact"/>
        <w:rPr>
          <w:rFonts w:ascii="宋体" w:hAnsi="宋体" w:cs="宋体"/>
          <w:sz w:val="24"/>
        </w:rPr>
      </w:pPr>
      <w:r>
        <w:rPr>
          <w:rFonts w:hint="eastAsia" w:ascii="宋体" w:hAnsi="宋体" w:cs="宋体"/>
          <w:sz w:val="24"/>
        </w:rPr>
        <w:t xml:space="preserve">    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rPr>
          <w:rFonts w:ascii="宋体" w:hAnsi="宋体" w:cs="宋体"/>
          <w:sz w:val="18"/>
          <w:szCs w:val="18"/>
        </w:rPr>
      </w:pPr>
      <w:r>
        <w:rPr>
          <w:rFonts w:hint="eastAsia" w:ascii="宋体" w:hAnsi="宋体" w:cs="宋体"/>
          <w:sz w:val="24"/>
        </w:rPr>
        <w:t xml:space="preserve">    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600" w:lineRule="exact"/>
        <w:ind w:firstLine="480"/>
        <w:rPr>
          <w:rFonts w:ascii="宋体" w:hAnsi="宋体" w:cs="宋体"/>
          <w:kern w:val="0"/>
          <w:sz w:val="24"/>
        </w:rPr>
        <w:sectPr>
          <w:pgSz w:w="11905" w:h="16838"/>
          <w:pgMar w:top="1531" w:right="1304" w:bottom="1531" w:left="1361" w:header="851" w:footer="992" w:gutter="0"/>
          <w:cols w:space="720" w:num="1"/>
          <w:titlePg/>
          <w:docGrid w:linePitch="312" w:charSpace="0"/>
        </w:sectPr>
      </w:pPr>
      <w:bookmarkStart w:id="14" w:name="_Hlt74730295"/>
      <w:bookmarkEnd w:id="14"/>
      <w:bookmarkStart w:id="15" w:name="_Hlt74714665"/>
      <w:bookmarkEnd w:id="15"/>
      <w:bookmarkStart w:id="16" w:name="_Hlt68073093"/>
      <w:bookmarkEnd w:id="16"/>
      <w:bookmarkStart w:id="17" w:name="_Hlt68072990"/>
      <w:bookmarkEnd w:id="17"/>
      <w:bookmarkStart w:id="18" w:name="_Hlt68403820"/>
      <w:bookmarkEnd w:id="18"/>
      <w:bookmarkStart w:id="19" w:name="_Hlt68057669"/>
      <w:bookmarkEnd w:id="19"/>
      <w:bookmarkStart w:id="20" w:name="_Hlt68072998"/>
      <w:bookmarkEnd w:id="20"/>
      <w:bookmarkStart w:id="21" w:name="_Hlt75236011"/>
      <w:bookmarkEnd w:id="21"/>
      <w:bookmarkStart w:id="22" w:name="_Hlt75236101"/>
      <w:bookmarkEnd w:id="22"/>
      <w:bookmarkStart w:id="23" w:name="_Hlt74707468"/>
      <w:bookmarkEnd w:id="23"/>
      <w:bookmarkStart w:id="24" w:name="_Hlt74729768"/>
      <w:bookmarkEnd w:id="24"/>
      <w:bookmarkStart w:id="25" w:name="_Hlt75236290"/>
      <w:bookmarkEnd w:id="25"/>
    </w:p>
    <w:bookmarkEnd w:id="11"/>
    <w:bookmarkEnd w:id="12"/>
    <w:p>
      <w:pPr>
        <w:spacing w:before="120" w:beforeLines="50" w:after="120" w:afterLines="50"/>
        <w:jc w:val="center"/>
        <w:rPr>
          <w:rFonts w:ascii="宋体" w:hAnsi="宋体" w:cs="宋体"/>
          <w:b/>
          <w:sz w:val="24"/>
        </w:rPr>
      </w:pPr>
      <w:bookmarkStart w:id="26" w:name="第四部分"/>
      <w:r>
        <w:rPr>
          <w:rFonts w:hint="eastAsia" w:ascii="宋体" w:hAnsi="宋体" w:cs="宋体"/>
          <w:b/>
          <w:bCs/>
          <w:sz w:val="28"/>
          <w:szCs w:val="28"/>
        </w:rPr>
        <w:t>第三部分  采购需求</w:t>
      </w:r>
    </w:p>
    <w:p>
      <w:pPr>
        <w:adjustRightInd/>
        <w:spacing w:line="600" w:lineRule="exact"/>
        <w:rPr>
          <w:rFonts w:ascii="宋体" w:hAnsi="宋体" w:cs="宋体"/>
          <w:b/>
          <w:bCs/>
          <w:sz w:val="24"/>
        </w:rPr>
      </w:pPr>
      <w:bookmarkStart w:id="27" w:name="_Toc135212467"/>
      <w:bookmarkStart w:id="28" w:name="_Toc33335632"/>
      <w:r>
        <w:rPr>
          <w:rFonts w:hint="eastAsia" w:ascii="宋体" w:hAnsi="宋体" w:cs="宋体"/>
          <w:b/>
          <w:bCs/>
          <w:sz w:val="24"/>
        </w:rPr>
        <w:t>一、项目概况：</w:t>
      </w:r>
    </w:p>
    <w:bookmarkEnd w:id="27"/>
    <w:bookmarkEnd w:id="28"/>
    <w:p>
      <w:pPr>
        <w:adjustRightInd/>
        <w:spacing w:line="600" w:lineRule="exact"/>
        <w:ind w:firstLine="480" w:firstLineChars="200"/>
        <w:rPr>
          <w:rFonts w:ascii="宋体" w:hAnsi="宋体" w:cs="宋体"/>
          <w:sz w:val="24"/>
        </w:rPr>
      </w:pPr>
      <w:r>
        <w:rPr>
          <w:rFonts w:hint="eastAsia"/>
          <w:sz w:val="24"/>
        </w:rPr>
        <w:t>乔司街道集镇范围内的市政道路管道养护工程(包括管道淤泥的清理及对管道进行CCTV检测、抢修、维修等)。在养护期内负责完成排水管渠（含暗渠、明渠）养护疏通频率要依据《浙江省2018版市政设施养护维修预算定额》要求：管径≤D300每年疏通（清掏）8次，D300&lt;管径≤D600每年疏通（清掏）6次，D600&lt;管径≤D1000每年疏通（清掏）4次，D1000&lt;管径≤D1500每年疏通（清掏）2次，管径&gt;D1500每年疏通（清掏）1次，雨水口清掏次每年12次；施工工地周边、低洼易涝区段、易淤积管段应增加清疏频次。每年完成不少于30%的雨水管网检测工作，并做好相应检测报告的留存。养护单位要做好每季度清淤台账。包括主次干管、检查井等淤泥清理外运及管道CCTV检测，并负责养护范围内雨污水检查井及管网的检修工作，同时承担市政设施防汛抗涝应急抢险工作。</w:t>
      </w:r>
      <w:r>
        <w:rPr>
          <w:rFonts w:hint="eastAsia" w:ascii="宋体" w:hAnsi="宋体" w:cs="宋体"/>
          <w:bCs/>
          <w:sz w:val="24"/>
        </w:rPr>
        <w:t>本项目为“交钥匙”项目，乔司街道集镇区块管道养护服务项目。投标报价包括设备费、材料费、保管费、养护费、培训、税收、售后服务、招标代理费等采购需求中未提到但在实际养护过程中需要配置的各种设备、材料及其他费用等须由投标人支付的所有费用</w:t>
      </w:r>
      <w:r>
        <w:rPr>
          <w:rFonts w:hint="eastAsia" w:ascii="宋体" w:hAnsi="宋体" w:cs="宋体"/>
          <w:sz w:val="24"/>
        </w:rPr>
        <w:t>。</w:t>
      </w:r>
    </w:p>
    <w:p>
      <w:pPr>
        <w:pStyle w:val="965"/>
        <w:rPr>
          <w:lang w:val="en-US"/>
        </w:rPr>
      </w:pPr>
      <w:r>
        <w:rPr>
          <w:rFonts w:hint="eastAsia" w:cs="宋体"/>
          <w:lang w:val="en-US"/>
        </w:rPr>
        <w:t>二、相关要求：</w:t>
      </w:r>
    </w:p>
    <w:p>
      <w:pPr>
        <w:tabs>
          <w:tab w:val="left" w:pos="7260"/>
        </w:tabs>
        <w:spacing w:line="440" w:lineRule="exact"/>
        <w:ind w:firstLine="540" w:firstLineChars="225"/>
        <w:rPr>
          <w:sz w:val="24"/>
        </w:rPr>
      </w:pPr>
      <w:r>
        <w:rPr>
          <w:rFonts w:hint="eastAsia"/>
          <w:sz w:val="24"/>
        </w:rPr>
        <w:t>1本次招标范围内的所有雨污水管道、检查井根据实际要求采用专业高压冲洗车设备全面清理淤泥及所有雨污水管道CCTV检测，并制作雨污水管道详细档案。</w:t>
      </w:r>
    </w:p>
    <w:p>
      <w:pPr>
        <w:tabs>
          <w:tab w:val="left" w:pos="7260"/>
        </w:tabs>
        <w:spacing w:line="440" w:lineRule="exact"/>
        <w:ind w:firstLine="540" w:firstLineChars="225"/>
        <w:rPr>
          <w:sz w:val="24"/>
        </w:rPr>
      </w:pPr>
      <w:r>
        <w:rPr>
          <w:rFonts w:hint="eastAsia"/>
          <w:sz w:val="24"/>
        </w:rPr>
        <w:t>2中标后投标人应具有市政管道设施养护所需临平区内的固定办公与仓库场所。</w:t>
      </w:r>
    </w:p>
    <w:p>
      <w:pPr>
        <w:tabs>
          <w:tab w:val="left" w:pos="7260"/>
        </w:tabs>
        <w:spacing w:line="440" w:lineRule="exact"/>
        <w:ind w:firstLine="540" w:firstLineChars="225"/>
        <w:rPr>
          <w:sz w:val="24"/>
        </w:rPr>
      </w:pPr>
      <w:r>
        <w:rPr>
          <w:rFonts w:hint="eastAsia"/>
          <w:sz w:val="24"/>
        </w:rPr>
        <w:t>3投标人拟投入本项目的高压冲洗车、管道养护车辆必须确保到位，同时管道养护车辆使用得到保证（包括运行费用、保险等），费用均由中标人承担。</w:t>
      </w:r>
    </w:p>
    <w:p>
      <w:pPr>
        <w:tabs>
          <w:tab w:val="left" w:pos="7260"/>
        </w:tabs>
        <w:spacing w:line="440" w:lineRule="exact"/>
        <w:ind w:firstLine="540" w:firstLineChars="225"/>
        <w:rPr>
          <w:sz w:val="24"/>
        </w:rPr>
      </w:pPr>
      <w:r>
        <w:rPr>
          <w:rFonts w:hint="eastAsia"/>
          <w:sz w:val="24"/>
        </w:rPr>
        <w:t>4养护期限内，明确承包人只有养护权，没有管理权，市政管道设施管理由杭州市临平区人民政府乔司街道办事处全权管理。</w:t>
      </w:r>
    </w:p>
    <w:p>
      <w:pPr>
        <w:tabs>
          <w:tab w:val="left" w:pos="7260"/>
        </w:tabs>
        <w:spacing w:line="440" w:lineRule="exact"/>
        <w:ind w:firstLine="540" w:firstLineChars="225"/>
        <w:rPr>
          <w:sz w:val="24"/>
        </w:rPr>
      </w:pPr>
      <w:r>
        <w:rPr>
          <w:rFonts w:hint="eastAsia"/>
          <w:sz w:val="24"/>
        </w:rPr>
        <w:t>5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tabs>
          <w:tab w:val="left" w:pos="7260"/>
        </w:tabs>
        <w:spacing w:line="440" w:lineRule="exact"/>
        <w:ind w:firstLine="540" w:firstLineChars="225"/>
        <w:rPr>
          <w:sz w:val="24"/>
        </w:rPr>
      </w:pPr>
      <w:r>
        <w:rPr>
          <w:rFonts w:hint="eastAsia"/>
          <w:sz w:val="24"/>
        </w:rPr>
        <w:t>6养护施工期间，对于原市政管道设施存在的问题，承包人负有担负调查，分析原因和提出整改方案的义务，具体更换或维修由发包人统一安排。</w:t>
      </w:r>
    </w:p>
    <w:p>
      <w:pPr>
        <w:tabs>
          <w:tab w:val="left" w:pos="7260"/>
        </w:tabs>
        <w:spacing w:line="440" w:lineRule="exact"/>
        <w:ind w:firstLine="540" w:firstLineChars="225"/>
        <w:rPr>
          <w:sz w:val="24"/>
        </w:rPr>
      </w:pPr>
      <w:r>
        <w:rPr>
          <w:rFonts w:hint="eastAsia"/>
          <w:sz w:val="24"/>
        </w:rPr>
        <w:t>7养护期内养护用水、用电的费用由中标单位承担。</w:t>
      </w:r>
    </w:p>
    <w:p>
      <w:pPr>
        <w:tabs>
          <w:tab w:val="left" w:pos="7260"/>
        </w:tabs>
        <w:spacing w:line="440" w:lineRule="exact"/>
        <w:ind w:firstLine="540" w:firstLineChars="225"/>
        <w:rPr>
          <w:sz w:val="24"/>
        </w:rPr>
      </w:pPr>
      <w:r>
        <w:rPr>
          <w:rFonts w:hint="eastAsia"/>
          <w:sz w:val="24"/>
        </w:rPr>
        <w:t>8养护期内不论自然环境（含气候）发生变化还是其它人为（含车辆）因素而导致的市政管道设施破坏，均由中标人负责维修，其费用由招标人承担。</w:t>
      </w:r>
    </w:p>
    <w:p>
      <w:pPr>
        <w:tabs>
          <w:tab w:val="left" w:pos="7260"/>
        </w:tabs>
        <w:spacing w:line="440" w:lineRule="exact"/>
        <w:ind w:firstLine="540" w:firstLineChars="225"/>
        <w:rPr>
          <w:sz w:val="24"/>
        </w:rPr>
      </w:pPr>
      <w:r>
        <w:rPr>
          <w:rFonts w:hint="eastAsia"/>
          <w:sz w:val="24"/>
        </w:rPr>
        <w:t>9投标人应认真仔细地参加现场踏勘。</w:t>
      </w:r>
    </w:p>
    <w:p>
      <w:pPr>
        <w:tabs>
          <w:tab w:val="left" w:pos="7260"/>
        </w:tabs>
        <w:spacing w:line="440" w:lineRule="exact"/>
        <w:ind w:firstLine="540" w:firstLineChars="225"/>
        <w:rPr>
          <w:sz w:val="24"/>
        </w:rPr>
      </w:pPr>
      <w:r>
        <w:rPr>
          <w:rFonts w:hint="eastAsia"/>
          <w:sz w:val="24"/>
        </w:rPr>
        <w:t>10中标人必须做好相关工作人员安全，文明的教育交底工作，交通安全、用电安全。尤其是如何避免养护中有毒气体的侵害，并为相关人员缴纳社保（养老，个人伤亡事故险等），日常养护工人禁止下井作业，如确实需要下井必须有城管中心的书面审批表，同意后严格按照《有限空间作业规程》相关规定方可下井，如发生安全意外事故，一切责任由中标单位负责。</w:t>
      </w:r>
    </w:p>
    <w:p>
      <w:pPr>
        <w:spacing w:line="360" w:lineRule="auto"/>
        <w:ind w:firstLine="480" w:firstLineChars="200"/>
        <w:rPr>
          <w:sz w:val="24"/>
        </w:rPr>
      </w:pPr>
      <w:r>
        <w:rPr>
          <w:rFonts w:hint="eastAsia"/>
          <w:sz w:val="24"/>
        </w:rPr>
        <w:t>11养护人员需统一服装，并有相应上岗证，在道路上养护时，需做好用电安全、交通安全维护，如有需要须经交警部门审批后方可实施。</w:t>
      </w:r>
    </w:p>
    <w:p>
      <w:pPr>
        <w:spacing w:line="360" w:lineRule="auto"/>
        <w:ind w:firstLine="480" w:firstLineChars="200"/>
        <w:rPr>
          <w:rFonts w:hint="eastAsia" w:eastAsia="宋体"/>
          <w:sz w:val="24"/>
          <w:lang w:eastAsia="zh-CN"/>
        </w:rPr>
      </w:pPr>
      <w:r>
        <w:rPr>
          <w:rFonts w:hint="eastAsia"/>
          <w:sz w:val="24"/>
        </w:rPr>
        <w:t>12本项目结算价套用《浙江省市政设施养护维修定额》（20</w:t>
      </w:r>
      <w:r>
        <w:rPr>
          <w:rFonts w:hint="eastAsia"/>
          <w:sz w:val="24"/>
          <w:lang w:val="en-US" w:eastAsia="zh-CN"/>
        </w:rPr>
        <w:t>18</w:t>
      </w:r>
      <w:r>
        <w:rPr>
          <w:rFonts w:hint="eastAsia"/>
          <w:sz w:val="24"/>
        </w:rPr>
        <w:t>版）、《浙江省市政工程预算定额（2018版）》相应定额子目，材料价按施工实际发生当月的《杭州造价信息》、《浙江省造价信息》，无价材料参考市场价格。人工材料补差按施工实际发生当季价格。(注:本项目结算编制按当前最新文件来编制)</w:t>
      </w:r>
      <w:r>
        <w:rPr>
          <w:rFonts w:hint="eastAsia"/>
          <w:sz w:val="24"/>
          <w:lang w:eastAsia="zh-CN"/>
        </w:rPr>
        <w:t>。</w:t>
      </w:r>
    </w:p>
    <w:p>
      <w:pPr>
        <w:spacing w:line="360" w:lineRule="auto"/>
        <w:ind w:firstLine="480" w:firstLineChars="200"/>
        <w:rPr>
          <w:sz w:val="24"/>
        </w:rPr>
      </w:pPr>
      <w:r>
        <w:rPr>
          <w:rFonts w:hint="eastAsia"/>
          <w:sz w:val="24"/>
        </w:rPr>
        <w:t>13中标单位需做好杭州市临平区人民政府乔司街道办事处养范围内的路面积水应急处置工作。</w:t>
      </w:r>
    </w:p>
    <w:p>
      <w:pPr>
        <w:pStyle w:val="4"/>
        <w:numPr>
          <w:ilvl w:val="0"/>
          <w:numId w:val="2"/>
        </w:numPr>
        <w:spacing w:line="240" w:lineRule="auto"/>
        <w:ind w:left="434" w:leftChars="202" w:hanging="10" w:hangingChars="4"/>
        <w:rPr>
          <w:rFonts w:hint="eastAsia" w:ascii="宋体" w:hAnsi="宋体"/>
          <w:sz w:val="24"/>
          <w:u w:val="single"/>
        </w:rPr>
      </w:pPr>
      <w:r>
        <w:rPr>
          <w:rFonts w:hint="eastAsia"/>
          <w:sz w:val="24"/>
        </w:rPr>
        <w:t>本项目</w:t>
      </w:r>
      <w:r>
        <w:rPr>
          <w:rFonts w:hint="eastAsia" w:ascii="宋体" w:hAnsi="宋体"/>
          <w:sz w:val="24"/>
          <w:u w:val="single"/>
        </w:rPr>
        <w:t>累计完成工程量达到</w:t>
      </w:r>
      <w:r>
        <w:rPr>
          <w:rFonts w:hint="eastAsia" w:ascii="宋体" w:hAnsi="宋体"/>
          <w:sz w:val="24"/>
          <w:u w:val="single"/>
          <w:lang w:val="en-US" w:eastAsia="zh-CN"/>
        </w:rPr>
        <w:t>4</w:t>
      </w:r>
      <w:r>
        <w:rPr>
          <w:rFonts w:hint="eastAsia" w:ascii="宋体" w:hAnsi="宋体"/>
          <w:sz w:val="24"/>
          <w:u w:val="single"/>
        </w:rPr>
        <w:t>00万元或施工工期达到两年整后，本合同终止。</w:t>
      </w:r>
    </w:p>
    <w:p>
      <w:pPr>
        <w:numPr>
          <w:ilvl w:val="0"/>
          <w:numId w:val="2"/>
        </w:numPr>
        <w:spacing w:line="240" w:lineRule="auto"/>
        <w:ind w:left="434" w:leftChars="202" w:hanging="10" w:hangingChars="4"/>
        <w:rPr>
          <w:rFonts w:hint="eastAsia"/>
          <w:b/>
          <w:bCs/>
          <w:sz w:val="24"/>
          <w:lang w:val="en-US" w:eastAsia="zh-CN"/>
        </w:rPr>
      </w:pPr>
      <w:r>
        <w:rPr>
          <w:rFonts w:hint="eastAsia"/>
          <w:b/>
          <w:bCs/>
          <w:sz w:val="24"/>
        </w:rPr>
        <w:t>迎宾路（星光街-三卫路）已包含在的临平区核心区块重点道路市政、保洁、雨水管网综合养护服务项目内</w:t>
      </w:r>
      <w:r>
        <w:rPr>
          <w:rFonts w:hint="eastAsia"/>
          <w:b/>
          <w:bCs/>
          <w:sz w:val="24"/>
          <w:lang w:eastAsia="zh-CN"/>
        </w:rPr>
        <w:t>，</w:t>
      </w:r>
      <w:r>
        <w:rPr>
          <w:rFonts w:hint="eastAsia"/>
          <w:b/>
          <w:bCs/>
          <w:sz w:val="24"/>
          <w:lang w:val="en-US" w:eastAsia="zh-CN"/>
        </w:rPr>
        <w:t>本项目范围不含此路段。</w:t>
      </w:r>
    </w:p>
    <w:tbl>
      <w:tblPr>
        <w:tblStyle w:val="6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2022"/>
        <w:gridCol w:w="5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乔司街道集镇雨水管道道路清单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路名</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东湖路---01省道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乔井路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保庆街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永乔路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永玄路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外翁线---01省道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兴市路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外翁线---乔井路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外翁线---乔井路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城隍中路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苏家桥港---吴家东风家园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毛桃东街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乔莫东路---兴市路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仙塘东街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乔莫东路---兴市路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毛桃系街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桃安路---城隍中路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仙塘西街</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桃安路---城隍中路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老街区块</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南至乔井路；北至保庆街；    东至乔莫东路；西至01省道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备注：除上述道路以外，集镇范围内的无物业小区运维也包含在内</w:t>
            </w:r>
          </w:p>
        </w:tc>
      </w:tr>
    </w:tbl>
    <w:p>
      <w:pPr>
        <w:snapToGrid w:val="0"/>
        <w:spacing w:line="600" w:lineRule="exact"/>
        <w:rPr>
          <w:b/>
          <w:bCs/>
          <w:sz w:val="24"/>
        </w:rPr>
      </w:pPr>
      <w:r>
        <w:rPr>
          <w:rFonts w:hint="eastAsia"/>
          <w:b/>
          <w:bCs/>
          <w:sz w:val="24"/>
        </w:rPr>
        <w:t>三、</w:t>
      </w:r>
      <w:r>
        <w:rPr>
          <w:b/>
          <w:bCs/>
          <w:sz w:val="24"/>
        </w:rPr>
        <w:t>验收要求</w:t>
      </w:r>
      <w:r>
        <w:rPr>
          <w:rFonts w:hint="eastAsia"/>
          <w:b/>
          <w:bCs/>
          <w:sz w:val="24"/>
        </w:rPr>
        <w:t>：</w:t>
      </w:r>
    </w:p>
    <w:p>
      <w:pPr>
        <w:snapToGrid w:val="0"/>
        <w:spacing w:line="600" w:lineRule="exact"/>
        <w:ind w:firstLine="480" w:firstLineChars="200"/>
        <w:rPr>
          <w:rFonts w:ascii="宋体" w:hAnsi="宋体" w:cs="宋体"/>
          <w:b/>
          <w:sz w:val="24"/>
        </w:rPr>
      </w:pPr>
      <w:r>
        <w:rPr>
          <w:rFonts w:hint="eastAsia"/>
          <w:sz w:val="24"/>
        </w:rPr>
        <w:t>采购人自行验收</w:t>
      </w:r>
      <w:r>
        <w:rPr>
          <w:rFonts w:hint="eastAsia" w:ascii="宋体" w:hAnsi="宋体" w:cs="宋体"/>
          <w:sz w:val="24"/>
        </w:rPr>
        <w:t>。</w:t>
      </w:r>
    </w:p>
    <w:p>
      <w:pPr>
        <w:snapToGrid w:val="0"/>
        <w:spacing w:line="360" w:lineRule="auto"/>
        <w:rPr>
          <w:rFonts w:ascii="宋体" w:hAnsi="宋体" w:cs="宋体"/>
          <w:b/>
          <w:sz w:val="24"/>
        </w:rPr>
      </w:pPr>
      <w:r>
        <w:rPr>
          <w:rFonts w:hint="eastAsia" w:ascii="宋体" w:hAnsi="宋体" w:cs="宋体"/>
          <w:b/>
          <w:sz w:val="24"/>
        </w:rPr>
        <w:t>四、费用支付：</w:t>
      </w:r>
    </w:p>
    <w:p>
      <w:pPr>
        <w:snapToGrid w:val="0"/>
        <w:spacing w:line="360" w:lineRule="auto"/>
        <w:ind w:firstLine="480"/>
        <w:rPr>
          <w:rFonts w:hint="eastAsia" w:ascii="宋体" w:hAnsi="宋体" w:cs="宋体"/>
          <w:b/>
          <w:sz w:val="24"/>
        </w:rPr>
      </w:pPr>
      <w:r>
        <w:rPr>
          <w:rFonts w:hint="eastAsia" w:ascii="宋体" w:hAnsi="宋体" w:cs="宋体"/>
          <w:b/>
          <w:sz w:val="24"/>
        </w:rPr>
        <w:t>服务外包费每一个季度结算一次，经采购人考核合格后于下一个季度初支付上一个季度的服务外包费。</w:t>
      </w:r>
    </w:p>
    <w:p>
      <w:pPr>
        <w:pStyle w:val="2"/>
        <w:rPr>
          <w:rFonts w:hint="eastAsia"/>
          <w:b/>
          <w:bCs/>
        </w:rPr>
      </w:pPr>
      <w:r>
        <w:rPr>
          <w:rFonts w:hint="eastAsia"/>
          <w:b/>
          <w:bCs/>
        </w:rPr>
        <w:t>五、检查考核办法及奖惩制度</w:t>
      </w:r>
    </w:p>
    <w:p>
      <w:pPr>
        <w:pStyle w:val="2"/>
        <w:rPr>
          <w:rFonts w:hint="eastAsia"/>
        </w:rPr>
      </w:pPr>
      <w:r>
        <w:rPr>
          <w:rFonts w:hint="eastAsia"/>
        </w:rPr>
        <w:t> 1.考核扣款：</w:t>
      </w:r>
    </w:p>
    <w:p>
      <w:pPr>
        <w:pStyle w:val="2"/>
        <w:rPr>
          <w:rFonts w:hint="eastAsia"/>
        </w:rPr>
      </w:pPr>
      <w:r>
        <w:rPr>
          <w:rFonts w:hint="eastAsia"/>
        </w:rPr>
        <w:t>1.1、根据市级检查采纳的绿化类行业问题进行扣款，市级1000元/每件，区级500元/每件；</w:t>
      </w:r>
    </w:p>
    <w:p>
      <w:pPr>
        <w:pStyle w:val="2"/>
        <w:rPr>
          <w:rFonts w:hint="eastAsia"/>
        </w:rPr>
      </w:pPr>
      <w:r>
        <w:rPr>
          <w:rFonts w:hint="eastAsia"/>
        </w:rPr>
        <w:t>1.2、区城市管理领导小组办公室每月组织养护项目“红黑榜”评比，黑榜标段每次扣款1万元；</w:t>
      </w:r>
    </w:p>
    <w:p>
      <w:pPr>
        <w:pStyle w:val="2"/>
        <w:rPr>
          <w:rFonts w:hint="eastAsia"/>
        </w:rPr>
      </w:pPr>
      <w:r>
        <w:rPr>
          <w:rFonts w:hint="eastAsia"/>
        </w:rPr>
        <w:t>1.3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pPr>
        <w:pStyle w:val="2"/>
        <w:rPr>
          <w:rFonts w:hint="eastAsia"/>
        </w:rPr>
      </w:pPr>
      <w:r>
        <w:rPr>
          <w:rFonts w:hint="eastAsia"/>
        </w:rPr>
        <w:t>1.4、标准落实：</w:t>
      </w:r>
    </w:p>
    <w:p>
      <w:pPr>
        <w:pStyle w:val="2"/>
        <w:rPr>
          <w:rFonts w:hint="eastAsia"/>
        </w:rPr>
      </w:pPr>
      <w:r>
        <w:rPr>
          <w:rFonts w:hint="eastAsia"/>
        </w:rPr>
        <w:t>在日常养护过程中，经查实作业人员、作业设备未达到投标文件约定的，人员每少1%或设备每少1台的应扣除总合同价的1%；作业遍次未达到要求的，每次扣5000元 </w:t>
      </w:r>
    </w:p>
    <w:p>
      <w:pPr>
        <w:pStyle w:val="2"/>
        <w:rPr>
          <w:rFonts w:hint="eastAsia"/>
        </w:rPr>
      </w:pPr>
      <w:r>
        <w:rPr>
          <w:rFonts w:hint="eastAsia"/>
        </w:rPr>
        <w:t>1.5、清退机制</w:t>
      </w:r>
    </w:p>
    <w:p>
      <w:pPr>
        <w:pStyle w:val="2"/>
      </w:pPr>
      <w:r>
        <w:rPr>
          <w:rFonts w:hint="eastAsia"/>
        </w:rPr>
        <w:t>对挂靠、串标、分包等扰乱市场、影响管养水平的严重违规行为，取消养护管理资格，本养护合同总终止。一年内“洁化、绿化、市政”同一标段“黑榜”连续3次或累计6次，取消养护管理资格，本养护合同总终止。一年内连续3个月或累计6次考核80分以下，取消养护管理资格，本养护合同总终止。</w:t>
      </w: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rFonts w:hint="eastAsia"/>
          <w:b/>
          <w:bCs/>
          <w:sz w:val="44"/>
        </w:rPr>
      </w:pPr>
    </w:p>
    <w:p>
      <w:pPr>
        <w:pStyle w:val="2"/>
        <w:rPr>
          <w:rFonts w:hint="eastAsia"/>
          <w:b/>
          <w:bCs/>
          <w:sz w:val="44"/>
        </w:rPr>
      </w:pPr>
    </w:p>
    <w:p>
      <w:pPr>
        <w:pStyle w:val="3"/>
        <w:rPr>
          <w:rFonts w:hint="eastAsia"/>
          <w:b/>
          <w:bCs/>
          <w:sz w:val="44"/>
        </w:rPr>
      </w:pPr>
    </w:p>
    <w:p>
      <w:pPr>
        <w:rPr>
          <w:rFonts w:hint="eastAsia"/>
          <w:b/>
          <w:bCs/>
          <w:sz w:val="44"/>
        </w:rPr>
      </w:pPr>
    </w:p>
    <w:p>
      <w:pPr>
        <w:pStyle w:val="2"/>
        <w:rPr>
          <w:rFonts w:hint="eastAsia"/>
          <w:b/>
          <w:bCs/>
          <w:sz w:val="44"/>
        </w:rPr>
      </w:pPr>
    </w:p>
    <w:p>
      <w:pPr>
        <w:pStyle w:val="3"/>
        <w:rPr>
          <w:rFonts w:hint="eastAsia"/>
          <w:b/>
          <w:bCs/>
          <w:sz w:val="44"/>
        </w:rPr>
      </w:pPr>
    </w:p>
    <w:p>
      <w:pPr>
        <w:rPr>
          <w:rFonts w:hint="eastAsia"/>
        </w:rPr>
      </w:pPr>
    </w:p>
    <w:p>
      <w:pPr>
        <w:jc w:val="center"/>
        <w:rPr>
          <w:rFonts w:hint="eastAsia"/>
          <w:b/>
          <w:bCs/>
          <w:sz w:val="44"/>
        </w:rPr>
      </w:pPr>
    </w:p>
    <w:p>
      <w:pPr>
        <w:jc w:val="center"/>
        <w:rPr>
          <w:rFonts w:hint="eastAsia"/>
          <w:b/>
          <w:bCs/>
          <w:sz w:val="44"/>
        </w:rPr>
      </w:pPr>
    </w:p>
    <w:p>
      <w:pPr>
        <w:jc w:val="center"/>
        <w:rPr>
          <w:rFonts w:hint="eastAsia"/>
          <w:b/>
          <w:bCs/>
          <w:sz w:val="44"/>
        </w:rPr>
      </w:pPr>
    </w:p>
    <w:p>
      <w:pPr>
        <w:jc w:val="center"/>
        <w:rPr>
          <w:b/>
          <w:bCs/>
          <w:sz w:val="44"/>
        </w:rPr>
      </w:pPr>
      <w:r>
        <w:rPr>
          <w:rFonts w:hint="eastAsia"/>
          <w:b/>
          <w:bCs/>
          <w:sz w:val="44"/>
        </w:rPr>
        <w:t>养护质量标准</w:t>
      </w:r>
    </w:p>
    <w:p>
      <w:pPr>
        <w:snapToGrid w:val="0"/>
        <w:spacing w:line="300" w:lineRule="auto"/>
        <w:ind w:firstLine="570"/>
        <w:rPr>
          <w:sz w:val="24"/>
        </w:rPr>
      </w:pPr>
    </w:p>
    <w:p>
      <w:pPr>
        <w:spacing w:line="360" w:lineRule="auto"/>
        <w:ind w:firstLine="480" w:firstLineChars="200"/>
        <w:rPr>
          <w:sz w:val="24"/>
        </w:rPr>
      </w:pPr>
      <w:r>
        <w:rPr>
          <w:rFonts w:hint="eastAsia"/>
          <w:sz w:val="24"/>
        </w:rPr>
        <w:t>一、市政设施养护</w:t>
      </w:r>
    </w:p>
    <w:p>
      <w:pPr>
        <w:spacing w:line="360" w:lineRule="auto"/>
        <w:ind w:firstLine="480" w:firstLineChars="200"/>
        <w:rPr>
          <w:sz w:val="24"/>
        </w:rPr>
      </w:pPr>
      <w:r>
        <w:rPr>
          <w:rFonts w:hint="eastAsia"/>
          <w:sz w:val="24"/>
        </w:rPr>
        <w:t>1、所有路面（沥青路面、混凝土路面、地板、地沟盖板、井盖）平整，无明显沉陷及翘曲，地沟盖板等固件或配件齐全。</w:t>
      </w:r>
    </w:p>
    <w:p>
      <w:pPr>
        <w:spacing w:line="360" w:lineRule="auto"/>
        <w:ind w:firstLine="480" w:firstLineChars="200"/>
        <w:rPr>
          <w:sz w:val="24"/>
        </w:rPr>
      </w:pPr>
      <w:r>
        <w:rPr>
          <w:rFonts w:hint="eastAsia"/>
          <w:sz w:val="24"/>
        </w:rPr>
        <w:t>2、各类窨井及排水设施应保持畅通，路面、花台无明显积水、淤泥，所有路面要求无严重破损。</w:t>
      </w:r>
    </w:p>
    <w:p>
      <w:pPr>
        <w:spacing w:line="360" w:lineRule="auto"/>
        <w:ind w:firstLine="480" w:firstLineChars="200"/>
        <w:rPr>
          <w:sz w:val="24"/>
        </w:rPr>
      </w:pPr>
      <w:r>
        <w:rPr>
          <w:rFonts w:hint="eastAsia"/>
          <w:sz w:val="24"/>
        </w:rPr>
        <w:t>3、路面、桥梁栏杆、排水沟盖板等材料、设施、设备无破损，一旦发现应及时修复与调换；修补（复）及调整时材料应与原材料、质量相同。同时，应定时对养护范围内的所有设施、设备进行修复和维修，木构件一年油漆两次。</w:t>
      </w:r>
    </w:p>
    <w:p>
      <w:pPr>
        <w:spacing w:line="360" w:lineRule="auto"/>
        <w:ind w:firstLine="480" w:firstLineChars="200"/>
        <w:rPr>
          <w:sz w:val="24"/>
        </w:rPr>
      </w:pPr>
      <w:r>
        <w:rPr>
          <w:rFonts w:hint="eastAsia"/>
          <w:sz w:val="24"/>
        </w:rPr>
        <w:t>二、综合管理</w:t>
      </w:r>
    </w:p>
    <w:p>
      <w:pPr>
        <w:spacing w:line="360" w:lineRule="auto"/>
        <w:ind w:firstLine="480" w:firstLineChars="200"/>
        <w:rPr>
          <w:sz w:val="24"/>
        </w:rPr>
      </w:pPr>
      <w:r>
        <w:rPr>
          <w:rFonts w:hint="eastAsia"/>
          <w:sz w:val="24"/>
        </w:rPr>
        <w:t>1、管理机构健全，管理人员配备合理。各项工作有明确的责任人。管理制度完备，执行有效。</w:t>
      </w:r>
    </w:p>
    <w:p>
      <w:pPr>
        <w:spacing w:line="360" w:lineRule="auto"/>
        <w:ind w:firstLine="480" w:firstLineChars="200"/>
        <w:rPr>
          <w:sz w:val="24"/>
        </w:rPr>
      </w:pPr>
      <w:r>
        <w:rPr>
          <w:rFonts w:hint="eastAsia"/>
          <w:sz w:val="24"/>
        </w:rPr>
        <w:t>2、养护各项规章制度健全。贯彻措施得力，定期监督检查，每月有养护工作完整的书面记录和相应台帐。</w:t>
      </w:r>
    </w:p>
    <w:p>
      <w:pPr>
        <w:spacing w:line="360" w:lineRule="auto"/>
        <w:ind w:firstLine="480" w:firstLineChars="200"/>
        <w:rPr>
          <w:sz w:val="24"/>
        </w:rPr>
      </w:pPr>
      <w:r>
        <w:rPr>
          <w:rFonts w:hint="eastAsia"/>
          <w:sz w:val="24"/>
        </w:rPr>
        <w:t>3、具有良好的质量形象，良好的视觉形象和文明的员工形象；确立自身的产品品牌标志，并全面恰当的使用。</w:t>
      </w:r>
    </w:p>
    <w:p>
      <w:pPr>
        <w:spacing w:line="360" w:lineRule="auto"/>
        <w:ind w:firstLine="480" w:firstLineChars="200"/>
        <w:rPr>
          <w:sz w:val="24"/>
        </w:rPr>
      </w:pPr>
      <w:r>
        <w:rPr>
          <w:rFonts w:hint="eastAsia"/>
          <w:sz w:val="24"/>
        </w:rPr>
        <w:t>4、养护人员等应持证上岗。并有专用工作服装。</w:t>
      </w:r>
    </w:p>
    <w:p>
      <w:pPr>
        <w:spacing w:line="360" w:lineRule="auto"/>
        <w:ind w:firstLine="480" w:firstLineChars="200"/>
        <w:rPr>
          <w:sz w:val="24"/>
        </w:rPr>
      </w:pPr>
      <w:r>
        <w:rPr>
          <w:rFonts w:hint="eastAsia"/>
          <w:sz w:val="24"/>
        </w:rPr>
        <w:t>5、高级管理人员应具备中专以上文化程度。</w:t>
      </w:r>
    </w:p>
    <w:p>
      <w:pPr>
        <w:spacing w:line="360" w:lineRule="auto"/>
        <w:ind w:firstLine="480" w:firstLineChars="200"/>
        <w:rPr>
          <w:sz w:val="24"/>
        </w:rPr>
      </w:pPr>
      <w:r>
        <w:rPr>
          <w:rFonts w:hint="eastAsia"/>
          <w:sz w:val="24"/>
        </w:rPr>
        <w:t>6、安全等各项业务培训制度完善，并得到有效实施。上岗人员培训合格率达100%。</w:t>
      </w:r>
    </w:p>
    <w:p>
      <w:pPr>
        <w:spacing w:line="360" w:lineRule="auto"/>
        <w:ind w:firstLine="480" w:firstLineChars="200"/>
        <w:rPr>
          <w:sz w:val="24"/>
          <w:highlight w:val="red"/>
        </w:rPr>
      </w:pPr>
    </w:p>
    <w:p>
      <w:pPr>
        <w:pStyle w:val="25"/>
        <w:spacing w:before="159" w:after="24"/>
        <w:ind w:left="2911" w:right="2917"/>
        <w:jc w:val="center"/>
        <w:rPr>
          <w:rFonts w:ascii="新宋体" w:eastAsia="新宋体"/>
        </w:rPr>
      </w:pPr>
      <w:r>
        <w:rPr>
          <w:rFonts w:hint="eastAsia" w:hAnsi="宋体" w:cs="宋体"/>
          <w:b/>
          <w:bCs/>
          <w:sz w:val="28"/>
          <w:szCs w:val="28"/>
          <w:highlight w:val="red"/>
        </w:rPr>
        <w:br w:type="page"/>
      </w:r>
      <w:r>
        <w:rPr>
          <w:rFonts w:hint="eastAsia" w:ascii="新宋体" w:eastAsia="新宋体"/>
        </w:rPr>
        <w:t>临平区市政考核评分细则</w:t>
      </w:r>
    </w:p>
    <w:tbl>
      <w:tblPr>
        <w:tblStyle w:val="62"/>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920"/>
        <w:gridCol w:w="6226"/>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748" w:type="dxa"/>
            <w:gridSpan w:val="2"/>
          </w:tcPr>
          <w:p>
            <w:pPr>
              <w:pStyle w:val="617"/>
              <w:spacing w:before="224"/>
              <w:ind w:left="393"/>
              <w:rPr>
                <w:rFonts w:ascii="黑体" w:eastAsia="黑体"/>
                <w:sz w:val="24"/>
              </w:rPr>
            </w:pPr>
            <w:r>
              <w:rPr>
                <w:rFonts w:hint="eastAsia" w:ascii="黑体" w:eastAsia="黑体"/>
                <w:sz w:val="24"/>
              </w:rPr>
              <w:t>考核内容</w:t>
            </w:r>
          </w:p>
        </w:tc>
        <w:tc>
          <w:tcPr>
            <w:tcW w:w="6226" w:type="dxa"/>
          </w:tcPr>
          <w:p>
            <w:pPr>
              <w:pStyle w:val="617"/>
              <w:spacing w:before="224"/>
              <w:ind w:left="2613" w:right="2602"/>
              <w:jc w:val="center"/>
              <w:rPr>
                <w:rFonts w:ascii="黑体" w:eastAsia="黑体"/>
                <w:sz w:val="24"/>
              </w:rPr>
            </w:pPr>
            <w:r>
              <w:rPr>
                <w:rFonts w:hint="eastAsia" w:ascii="黑体" w:eastAsia="黑体"/>
                <w:sz w:val="24"/>
              </w:rPr>
              <w:t>评分标准</w:t>
            </w:r>
          </w:p>
        </w:tc>
        <w:tc>
          <w:tcPr>
            <w:tcW w:w="1086" w:type="dxa"/>
          </w:tcPr>
          <w:p>
            <w:pPr>
              <w:pStyle w:val="617"/>
              <w:spacing w:before="65" w:line="247" w:lineRule="auto"/>
              <w:ind w:left="303" w:right="290"/>
              <w:rPr>
                <w:rFonts w:ascii="黑体" w:eastAsia="黑体"/>
                <w:sz w:val="24"/>
              </w:rPr>
            </w:pPr>
            <w:r>
              <w:rPr>
                <w:rFonts w:hint="eastAsia" w:ascii="黑体" w:eastAsia="黑体"/>
                <w:sz w:val="24"/>
              </w:rPr>
              <w:t>考核分值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28" w:type="dxa"/>
            <w:vMerge w:val="restart"/>
          </w:tcPr>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rPr>
                <w:rFonts w:ascii="新宋体"/>
                <w:sz w:val="24"/>
              </w:rPr>
            </w:pPr>
          </w:p>
          <w:p>
            <w:pPr>
              <w:pStyle w:val="617"/>
              <w:spacing w:before="10"/>
              <w:rPr>
                <w:rFonts w:ascii="新宋体"/>
                <w:sz w:val="17"/>
              </w:rPr>
            </w:pPr>
          </w:p>
          <w:p>
            <w:pPr>
              <w:pStyle w:val="617"/>
              <w:spacing w:before="1" w:line="283" w:lineRule="auto"/>
              <w:ind w:left="177" w:right="165" w:firstLine="26"/>
              <w:jc w:val="both"/>
              <w:rPr>
                <w:sz w:val="21"/>
              </w:rPr>
            </w:pPr>
            <w:r>
              <w:rPr>
                <w:sz w:val="21"/>
              </w:rPr>
              <w:t>日常养护60</w:t>
            </w:r>
            <w:r>
              <w:rPr>
                <w:spacing w:val="-35"/>
                <w:sz w:val="21"/>
              </w:rPr>
              <w:t xml:space="preserve"> 分</w:t>
            </w:r>
          </w:p>
        </w:tc>
        <w:tc>
          <w:tcPr>
            <w:tcW w:w="920" w:type="dxa"/>
          </w:tcPr>
          <w:p>
            <w:pPr>
              <w:pStyle w:val="617"/>
              <w:spacing w:before="10"/>
              <w:rPr>
                <w:rFonts w:ascii="新宋体"/>
                <w:sz w:val="26"/>
              </w:rPr>
            </w:pPr>
          </w:p>
          <w:p>
            <w:pPr>
              <w:pStyle w:val="617"/>
              <w:spacing w:line="283" w:lineRule="auto"/>
              <w:ind w:left="145" w:right="132"/>
              <w:jc w:val="center"/>
              <w:rPr>
                <w:sz w:val="21"/>
              </w:rPr>
            </w:pPr>
            <w:r>
              <w:rPr>
                <w:spacing w:val="-6"/>
                <w:sz w:val="21"/>
              </w:rPr>
              <w:t>车行道</w:t>
            </w:r>
            <w:r>
              <w:rPr>
                <w:sz w:val="21"/>
              </w:rPr>
              <w:t>养护 20</w:t>
            </w:r>
            <w:r>
              <w:rPr>
                <w:spacing w:val="-28"/>
                <w:sz w:val="21"/>
              </w:rPr>
              <w:t xml:space="preserve"> 分</w:t>
            </w:r>
          </w:p>
        </w:tc>
        <w:tc>
          <w:tcPr>
            <w:tcW w:w="6226" w:type="dxa"/>
          </w:tcPr>
          <w:p>
            <w:pPr>
              <w:pStyle w:val="617"/>
              <w:spacing w:before="24"/>
              <w:ind w:left="109"/>
              <w:rPr>
                <w:sz w:val="21"/>
                <w:lang w:eastAsia="zh-CN"/>
              </w:rPr>
            </w:pPr>
            <w:r>
              <w:rPr>
                <w:sz w:val="21"/>
                <w:lang w:eastAsia="zh-CN"/>
              </w:rPr>
              <w:t>裂缝 1 米以内每处扣 0.5 分,1 米以上每处扣 1 分；</w:t>
            </w:r>
          </w:p>
          <w:p>
            <w:pPr>
              <w:pStyle w:val="617"/>
              <w:spacing w:before="50" w:line="283" w:lineRule="auto"/>
              <w:ind w:left="109" w:right="96"/>
              <w:rPr>
                <w:sz w:val="21"/>
                <w:lang w:eastAsia="zh-CN"/>
              </w:rPr>
            </w:pPr>
            <w:r>
              <w:rPr>
                <w:spacing w:val="-15"/>
                <w:sz w:val="21"/>
                <w:lang w:eastAsia="zh-CN"/>
              </w:rPr>
              <w:t>破损、网裂、碎裂、坑洞、下沉、凸起等，</w:t>
            </w:r>
            <w:r>
              <w:rPr>
                <w:spacing w:val="-16"/>
                <w:sz w:val="21"/>
                <w:lang w:eastAsia="zh-CN"/>
              </w:rPr>
              <w:t>1</w:t>
            </w:r>
            <w:r>
              <w:rPr>
                <w:spacing w:val="-13"/>
                <w:sz w:val="21"/>
                <w:lang w:eastAsia="zh-CN"/>
              </w:rPr>
              <w:t xml:space="preserve"> 平方米以内每处扣 </w:t>
            </w:r>
            <w:r>
              <w:rPr>
                <w:sz w:val="21"/>
                <w:lang w:eastAsia="zh-CN"/>
              </w:rPr>
              <w:t>0.5 分，1</w:t>
            </w:r>
            <w:r>
              <w:rPr>
                <w:spacing w:val="-36"/>
                <w:sz w:val="21"/>
                <w:lang w:eastAsia="zh-CN"/>
              </w:rPr>
              <w:t xml:space="preserve"> 至 </w:t>
            </w:r>
            <w:r>
              <w:rPr>
                <w:sz w:val="21"/>
                <w:lang w:eastAsia="zh-CN"/>
              </w:rPr>
              <w:t>2</w:t>
            </w:r>
            <w:r>
              <w:rPr>
                <w:spacing w:val="-15"/>
                <w:sz w:val="21"/>
                <w:lang w:eastAsia="zh-CN"/>
              </w:rPr>
              <w:t xml:space="preserve"> 平方米每处扣 </w:t>
            </w:r>
            <w:r>
              <w:rPr>
                <w:sz w:val="21"/>
                <w:lang w:eastAsia="zh-CN"/>
              </w:rPr>
              <w:t>1</w:t>
            </w:r>
            <w:r>
              <w:rPr>
                <w:spacing w:val="-28"/>
                <w:sz w:val="21"/>
                <w:lang w:eastAsia="zh-CN"/>
              </w:rPr>
              <w:t xml:space="preserve"> 分</w:t>
            </w:r>
            <w:r>
              <w:rPr>
                <w:sz w:val="21"/>
                <w:lang w:eastAsia="zh-CN"/>
              </w:rPr>
              <w:t>，2</w:t>
            </w:r>
            <w:r>
              <w:rPr>
                <w:spacing w:val="-13"/>
                <w:sz w:val="21"/>
                <w:lang w:eastAsia="zh-CN"/>
              </w:rPr>
              <w:t xml:space="preserve"> 平方米以上每处扣 </w:t>
            </w:r>
            <w:r>
              <w:rPr>
                <w:sz w:val="21"/>
                <w:lang w:eastAsia="zh-CN"/>
              </w:rPr>
              <w:t>3</w:t>
            </w:r>
            <w:r>
              <w:rPr>
                <w:spacing w:val="-18"/>
                <w:sz w:val="21"/>
                <w:lang w:eastAsia="zh-CN"/>
              </w:rPr>
              <w:t xml:space="preserve"> 分；</w:t>
            </w:r>
          </w:p>
          <w:p>
            <w:pPr>
              <w:pStyle w:val="617"/>
              <w:spacing w:before="1"/>
              <w:ind w:left="109"/>
              <w:rPr>
                <w:sz w:val="21"/>
                <w:lang w:eastAsia="zh-CN"/>
              </w:rPr>
            </w:pPr>
            <w:r>
              <w:rPr>
                <w:spacing w:val="-5"/>
                <w:sz w:val="21"/>
                <w:lang w:eastAsia="zh-CN"/>
              </w:rPr>
              <w:t xml:space="preserve">沥青修复接茬处高差大于 </w:t>
            </w:r>
            <w:r>
              <w:rPr>
                <w:sz w:val="21"/>
                <w:lang w:eastAsia="zh-CN"/>
              </w:rPr>
              <w:t>5mm</w:t>
            </w:r>
            <w:r>
              <w:rPr>
                <w:spacing w:val="-24"/>
                <w:sz w:val="21"/>
                <w:lang w:eastAsia="zh-CN"/>
              </w:rPr>
              <w:t xml:space="preserve"> 每处扣 </w:t>
            </w:r>
            <w:r>
              <w:rPr>
                <w:sz w:val="21"/>
                <w:lang w:eastAsia="zh-CN"/>
              </w:rPr>
              <w:t>2</w:t>
            </w:r>
            <w:r>
              <w:rPr>
                <w:spacing w:val="-13"/>
                <w:sz w:val="21"/>
                <w:lang w:eastAsia="zh-CN"/>
              </w:rPr>
              <w:t xml:space="preserve"> 分、未封边的每处扣 </w:t>
            </w:r>
            <w:r>
              <w:rPr>
                <w:sz w:val="21"/>
                <w:lang w:eastAsia="zh-CN"/>
              </w:rPr>
              <w:t>1</w:t>
            </w:r>
            <w:r>
              <w:rPr>
                <w:spacing w:val="-18"/>
                <w:sz w:val="21"/>
                <w:lang w:eastAsia="zh-CN"/>
              </w:rPr>
              <w:t xml:space="preserve"> 分；</w:t>
            </w:r>
          </w:p>
          <w:p>
            <w:pPr>
              <w:pStyle w:val="617"/>
              <w:spacing w:before="48"/>
              <w:ind w:left="109"/>
              <w:rPr>
                <w:sz w:val="21"/>
                <w:lang w:eastAsia="zh-CN"/>
              </w:rPr>
            </w:pPr>
            <w:r>
              <w:rPr>
                <w:spacing w:val="-3"/>
                <w:sz w:val="21"/>
                <w:lang w:eastAsia="zh-CN"/>
              </w:rPr>
              <w:t xml:space="preserve">检查井盖、雨水篦子破损，或与路面高差大于 </w:t>
            </w:r>
            <w:r>
              <w:rPr>
                <w:sz w:val="21"/>
                <w:lang w:eastAsia="zh-CN"/>
              </w:rPr>
              <w:t>7mm</w:t>
            </w:r>
            <w:r>
              <w:rPr>
                <w:spacing w:val="-20"/>
                <w:sz w:val="21"/>
                <w:lang w:eastAsia="zh-CN"/>
              </w:rPr>
              <w:t xml:space="preserve"> 的每处扣 </w:t>
            </w:r>
            <w:r>
              <w:rPr>
                <w:sz w:val="21"/>
                <w:lang w:eastAsia="zh-CN"/>
              </w:rPr>
              <w:t>2</w:t>
            </w:r>
            <w:r>
              <w:rPr>
                <w:spacing w:val="-19"/>
                <w:sz w:val="21"/>
                <w:lang w:eastAsia="zh-CN"/>
              </w:rPr>
              <w:t xml:space="preserve">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28" w:type="dxa"/>
            <w:vMerge w:val="continue"/>
            <w:tcBorders>
              <w:top w:val="nil"/>
            </w:tcBorders>
          </w:tcPr>
          <w:p>
            <w:pPr>
              <w:rPr>
                <w:sz w:val="2"/>
                <w:szCs w:val="2"/>
              </w:rPr>
            </w:pPr>
          </w:p>
        </w:tc>
        <w:tc>
          <w:tcPr>
            <w:tcW w:w="920" w:type="dxa"/>
          </w:tcPr>
          <w:p>
            <w:pPr>
              <w:pStyle w:val="617"/>
              <w:spacing w:before="8"/>
              <w:rPr>
                <w:rFonts w:ascii="新宋体"/>
                <w:sz w:val="26"/>
                <w:lang w:eastAsia="zh-CN"/>
              </w:rPr>
            </w:pPr>
          </w:p>
          <w:p>
            <w:pPr>
              <w:pStyle w:val="617"/>
              <w:spacing w:line="283" w:lineRule="auto"/>
              <w:ind w:left="145" w:right="132"/>
              <w:jc w:val="center"/>
              <w:rPr>
                <w:sz w:val="21"/>
              </w:rPr>
            </w:pPr>
            <w:r>
              <w:rPr>
                <w:spacing w:val="-6"/>
                <w:sz w:val="21"/>
              </w:rPr>
              <w:t>人行道</w:t>
            </w:r>
            <w:r>
              <w:rPr>
                <w:sz w:val="21"/>
              </w:rPr>
              <w:t>养护 15</w:t>
            </w:r>
            <w:r>
              <w:rPr>
                <w:spacing w:val="-28"/>
                <w:sz w:val="21"/>
              </w:rPr>
              <w:t xml:space="preserve"> 分</w:t>
            </w:r>
          </w:p>
        </w:tc>
        <w:tc>
          <w:tcPr>
            <w:tcW w:w="6226" w:type="dxa"/>
          </w:tcPr>
          <w:p>
            <w:pPr>
              <w:pStyle w:val="617"/>
              <w:spacing w:before="25" w:line="283" w:lineRule="auto"/>
              <w:ind w:left="109" w:right="95"/>
              <w:rPr>
                <w:sz w:val="21"/>
                <w:lang w:eastAsia="zh-CN"/>
              </w:rPr>
            </w:pPr>
            <w:r>
              <w:rPr>
                <w:spacing w:val="-1"/>
                <w:sz w:val="21"/>
                <w:lang w:eastAsia="zh-CN"/>
              </w:rPr>
              <w:t>人行道破损、松动、沉降，</w:t>
            </w:r>
            <w:r>
              <w:rPr>
                <w:sz w:val="21"/>
                <w:lang w:eastAsia="zh-CN"/>
              </w:rPr>
              <w:t>1</w:t>
            </w:r>
            <w:r>
              <w:rPr>
                <w:spacing w:val="-12"/>
                <w:sz w:val="21"/>
                <w:lang w:eastAsia="zh-CN"/>
              </w:rPr>
              <w:t xml:space="preserve"> 平方米以内每处扣 </w:t>
            </w:r>
            <w:r>
              <w:rPr>
                <w:sz w:val="21"/>
                <w:lang w:eastAsia="zh-CN"/>
              </w:rPr>
              <w:t>0.5</w:t>
            </w:r>
            <w:r>
              <w:rPr>
                <w:spacing w:val="-17"/>
                <w:sz w:val="21"/>
                <w:lang w:eastAsia="zh-CN"/>
              </w:rPr>
              <w:t xml:space="preserve"> 分，</w:t>
            </w:r>
            <w:r>
              <w:rPr>
                <w:sz w:val="21"/>
                <w:lang w:eastAsia="zh-CN"/>
              </w:rPr>
              <w:t>1</w:t>
            </w:r>
            <w:r>
              <w:rPr>
                <w:spacing w:val="-33"/>
                <w:sz w:val="21"/>
                <w:lang w:eastAsia="zh-CN"/>
              </w:rPr>
              <w:t xml:space="preserve"> 至 </w:t>
            </w:r>
            <w:r>
              <w:rPr>
                <w:sz w:val="21"/>
                <w:lang w:eastAsia="zh-CN"/>
              </w:rPr>
              <w:t>2</w:t>
            </w:r>
            <w:r>
              <w:rPr>
                <w:spacing w:val="-25"/>
                <w:sz w:val="21"/>
                <w:lang w:eastAsia="zh-CN"/>
              </w:rPr>
              <w:t xml:space="preserve"> 平</w:t>
            </w:r>
            <w:r>
              <w:rPr>
                <w:spacing w:val="-30"/>
                <w:sz w:val="21"/>
                <w:lang w:eastAsia="zh-CN"/>
              </w:rPr>
              <w:t xml:space="preserve">方米每处扣 </w:t>
            </w:r>
            <w:r>
              <w:rPr>
                <w:sz w:val="21"/>
                <w:lang w:eastAsia="zh-CN"/>
              </w:rPr>
              <w:t>1</w:t>
            </w:r>
            <w:r>
              <w:rPr>
                <w:spacing w:val="-18"/>
                <w:sz w:val="21"/>
                <w:lang w:eastAsia="zh-CN"/>
              </w:rPr>
              <w:t xml:space="preserve"> 分，</w:t>
            </w:r>
            <w:r>
              <w:rPr>
                <w:sz w:val="21"/>
                <w:lang w:eastAsia="zh-CN"/>
              </w:rPr>
              <w:t>2</w:t>
            </w:r>
            <w:r>
              <w:rPr>
                <w:spacing w:val="-13"/>
                <w:sz w:val="21"/>
                <w:lang w:eastAsia="zh-CN"/>
              </w:rPr>
              <w:t xml:space="preserve"> 平方米以上每处扣 </w:t>
            </w:r>
            <w:r>
              <w:rPr>
                <w:sz w:val="21"/>
                <w:lang w:eastAsia="zh-CN"/>
              </w:rPr>
              <w:t>3</w:t>
            </w:r>
            <w:r>
              <w:rPr>
                <w:spacing w:val="-19"/>
                <w:sz w:val="21"/>
                <w:lang w:eastAsia="zh-CN"/>
              </w:rPr>
              <w:t xml:space="preserve"> 分；</w:t>
            </w:r>
          </w:p>
          <w:p>
            <w:pPr>
              <w:pStyle w:val="617"/>
              <w:spacing w:before="1" w:line="283" w:lineRule="auto"/>
              <w:ind w:left="109" w:right="94"/>
              <w:rPr>
                <w:sz w:val="21"/>
                <w:lang w:eastAsia="zh-CN"/>
              </w:rPr>
            </w:pPr>
            <w:r>
              <w:rPr>
                <w:spacing w:val="-6"/>
                <w:sz w:val="21"/>
                <w:lang w:eastAsia="zh-CN"/>
              </w:rPr>
              <w:t xml:space="preserve">平侧石破损缺失每处扣 </w:t>
            </w:r>
            <w:r>
              <w:rPr>
                <w:sz w:val="21"/>
                <w:lang w:eastAsia="zh-CN"/>
              </w:rPr>
              <w:t>0.5</w:t>
            </w:r>
            <w:r>
              <w:rPr>
                <w:spacing w:val="-19"/>
                <w:sz w:val="21"/>
                <w:lang w:eastAsia="zh-CN"/>
              </w:rPr>
              <w:t xml:space="preserve"> 分，接坡每处扣 </w:t>
            </w:r>
            <w:r>
              <w:rPr>
                <w:sz w:val="21"/>
                <w:lang w:eastAsia="zh-CN"/>
              </w:rPr>
              <w:t>0.5</w:t>
            </w:r>
            <w:r>
              <w:rPr>
                <w:spacing w:val="-13"/>
                <w:sz w:val="21"/>
                <w:lang w:eastAsia="zh-CN"/>
              </w:rPr>
              <w:t xml:space="preserve"> 分；无障碍设施不</w:t>
            </w:r>
            <w:r>
              <w:rPr>
                <w:spacing w:val="-20"/>
                <w:sz w:val="21"/>
                <w:lang w:eastAsia="zh-CN"/>
              </w:rPr>
              <w:t xml:space="preserve">规范每处扣 </w:t>
            </w:r>
            <w:r>
              <w:rPr>
                <w:sz w:val="21"/>
                <w:lang w:eastAsia="zh-CN"/>
              </w:rPr>
              <w:t>1</w:t>
            </w:r>
            <w:r>
              <w:rPr>
                <w:spacing w:val="-18"/>
                <w:sz w:val="21"/>
                <w:lang w:eastAsia="zh-CN"/>
              </w:rPr>
              <w:t xml:space="preserve"> 分。</w:t>
            </w:r>
          </w:p>
          <w:p>
            <w:pPr>
              <w:pStyle w:val="617"/>
              <w:spacing w:before="1"/>
              <w:ind w:left="109"/>
              <w:rPr>
                <w:sz w:val="21"/>
                <w:lang w:eastAsia="zh-CN"/>
              </w:rPr>
            </w:pPr>
            <w:r>
              <w:rPr>
                <w:sz w:val="21"/>
                <w:lang w:eastAsia="zh-CN"/>
              </w:rPr>
              <w:t>井盖破损或沉降，每处扣 2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28" w:type="dxa"/>
            <w:vMerge w:val="continue"/>
            <w:tcBorders>
              <w:top w:val="nil"/>
            </w:tcBorders>
          </w:tcPr>
          <w:p>
            <w:pPr>
              <w:rPr>
                <w:sz w:val="2"/>
                <w:szCs w:val="2"/>
              </w:rPr>
            </w:pPr>
          </w:p>
        </w:tc>
        <w:tc>
          <w:tcPr>
            <w:tcW w:w="920" w:type="dxa"/>
            <w:vMerge w:val="restart"/>
          </w:tcPr>
          <w:p>
            <w:pPr>
              <w:pStyle w:val="617"/>
              <w:rPr>
                <w:rFonts w:ascii="新宋体"/>
                <w:sz w:val="24"/>
                <w:lang w:eastAsia="zh-CN"/>
              </w:rPr>
            </w:pPr>
          </w:p>
          <w:p>
            <w:pPr>
              <w:pStyle w:val="617"/>
              <w:rPr>
                <w:rFonts w:ascii="新宋体"/>
                <w:sz w:val="24"/>
                <w:lang w:eastAsia="zh-CN"/>
              </w:rPr>
            </w:pPr>
          </w:p>
          <w:p>
            <w:pPr>
              <w:pStyle w:val="617"/>
              <w:rPr>
                <w:rFonts w:ascii="新宋体"/>
                <w:sz w:val="24"/>
                <w:lang w:eastAsia="zh-CN"/>
              </w:rPr>
            </w:pPr>
          </w:p>
          <w:p>
            <w:pPr>
              <w:pStyle w:val="617"/>
              <w:rPr>
                <w:rFonts w:ascii="新宋体"/>
                <w:sz w:val="24"/>
                <w:lang w:eastAsia="zh-CN"/>
              </w:rPr>
            </w:pPr>
          </w:p>
          <w:p>
            <w:pPr>
              <w:pStyle w:val="617"/>
              <w:spacing w:before="7"/>
              <w:rPr>
                <w:rFonts w:ascii="新宋体"/>
                <w:sz w:val="21"/>
                <w:lang w:eastAsia="zh-CN"/>
              </w:rPr>
            </w:pPr>
          </w:p>
          <w:p>
            <w:pPr>
              <w:pStyle w:val="617"/>
              <w:spacing w:line="283" w:lineRule="auto"/>
              <w:ind w:left="145" w:right="132"/>
              <w:jc w:val="both"/>
              <w:rPr>
                <w:sz w:val="21"/>
              </w:rPr>
            </w:pPr>
            <w:r>
              <w:rPr>
                <w:sz w:val="21"/>
              </w:rPr>
              <w:t>桥梁隧道养护10 分</w:t>
            </w:r>
          </w:p>
        </w:tc>
        <w:tc>
          <w:tcPr>
            <w:tcW w:w="6226" w:type="dxa"/>
          </w:tcPr>
          <w:p>
            <w:pPr>
              <w:pStyle w:val="617"/>
              <w:spacing w:before="23"/>
              <w:ind w:left="109"/>
              <w:rPr>
                <w:sz w:val="21"/>
                <w:lang w:eastAsia="zh-CN"/>
              </w:rPr>
            </w:pPr>
            <w:r>
              <w:rPr>
                <w:spacing w:val="-16"/>
                <w:sz w:val="21"/>
                <w:lang w:eastAsia="zh-CN"/>
              </w:rPr>
              <w:t>桥面裂缝、坑槽、破损、伸缩缝破损、支座破损锈蚀、等每处扣</w:t>
            </w:r>
            <w:r>
              <w:rPr>
                <w:sz w:val="21"/>
                <w:lang w:eastAsia="zh-CN"/>
              </w:rPr>
              <w:t>3</w:t>
            </w:r>
            <w:r>
              <w:rPr>
                <w:spacing w:val="-22"/>
                <w:sz w:val="21"/>
                <w:lang w:eastAsia="zh-CN"/>
              </w:rPr>
              <w:t xml:space="preserve"> 分；</w:t>
            </w:r>
          </w:p>
          <w:p>
            <w:pPr>
              <w:pStyle w:val="617"/>
              <w:spacing w:before="10" w:line="310" w:lineRule="atLeast"/>
              <w:ind w:left="109" w:right="78"/>
              <w:rPr>
                <w:sz w:val="21"/>
                <w:lang w:eastAsia="zh-CN"/>
              </w:rPr>
            </w:pPr>
            <w:r>
              <w:rPr>
                <w:spacing w:val="-6"/>
                <w:sz w:val="21"/>
                <w:lang w:eastAsia="zh-CN"/>
              </w:rPr>
              <w:t xml:space="preserve">存在桥头跳车的每处扣 </w:t>
            </w:r>
            <w:r>
              <w:rPr>
                <w:sz w:val="21"/>
                <w:lang w:eastAsia="zh-CN"/>
              </w:rPr>
              <w:t>5</w:t>
            </w:r>
            <w:r>
              <w:rPr>
                <w:spacing w:val="-17"/>
                <w:sz w:val="21"/>
                <w:lang w:eastAsia="zh-CN"/>
              </w:rPr>
              <w:t xml:space="preserve"> 分；墩台墙柱开裂每处扣</w:t>
            </w:r>
            <w:r>
              <w:rPr>
                <w:sz w:val="21"/>
                <w:lang w:eastAsia="zh-CN"/>
              </w:rPr>
              <w:t>5</w:t>
            </w:r>
            <w:r>
              <w:rPr>
                <w:spacing w:val="-21"/>
                <w:sz w:val="21"/>
                <w:lang w:eastAsia="zh-CN"/>
              </w:rPr>
              <w:t xml:space="preserve"> 分，基础下沉扣5</w:t>
            </w:r>
            <w:r>
              <w:rPr>
                <w:spacing w:val="-15"/>
                <w:sz w:val="21"/>
                <w:lang w:eastAsia="zh-CN"/>
              </w:rPr>
              <w:t xml:space="preserve"> 分， 基础位移扣</w:t>
            </w:r>
            <w:r>
              <w:rPr>
                <w:sz w:val="21"/>
                <w:lang w:eastAsia="zh-CN"/>
              </w:rPr>
              <w:t>10</w:t>
            </w:r>
            <w:r>
              <w:rPr>
                <w:spacing w:val="-18"/>
                <w:sz w:val="21"/>
                <w:lang w:eastAsia="zh-CN"/>
              </w:rPr>
              <w:t xml:space="preserve">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2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6226" w:type="dxa"/>
          </w:tcPr>
          <w:p>
            <w:pPr>
              <w:pStyle w:val="617"/>
              <w:spacing w:before="132" w:line="283" w:lineRule="auto"/>
              <w:ind w:left="109" w:right="-29"/>
              <w:rPr>
                <w:sz w:val="21"/>
                <w:lang w:eastAsia="zh-CN"/>
              </w:rPr>
            </w:pPr>
            <w:r>
              <w:rPr>
                <w:spacing w:val="-25"/>
                <w:w w:val="95"/>
                <w:sz w:val="21"/>
                <w:lang w:eastAsia="zh-CN"/>
              </w:rPr>
              <w:t xml:space="preserve">栏杆破损、松动，排水设施堵塞、破损，挡墙损坏开裂，隔音屏破损等，  </w:t>
            </w:r>
            <w:r>
              <w:rPr>
                <w:sz w:val="21"/>
                <w:lang w:eastAsia="zh-CN"/>
              </w:rPr>
              <w:t>每处扣2</w:t>
            </w:r>
            <w:r>
              <w:rPr>
                <w:spacing w:val="-18"/>
                <w:sz w:val="21"/>
                <w:lang w:eastAsia="zh-CN"/>
              </w:rPr>
              <w:t xml:space="preserve">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2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6226" w:type="dxa"/>
          </w:tcPr>
          <w:p>
            <w:pPr>
              <w:pStyle w:val="617"/>
              <w:spacing w:before="23"/>
              <w:ind w:left="109"/>
              <w:rPr>
                <w:sz w:val="21"/>
                <w:lang w:eastAsia="zh-CN"/>
              </w:rPr>
            </w:pPr>
            <w:r>
              <w:rPr>
                <w:sz w:val="21"/>
                <w:lang w:eastAsia="zh-CN"/>
              </w:rPr>
              <w:t>隧道结构开裂、渗漏水、剥落等，每处扣 1 分；</w:t>
            </w:r>
          </w:p>
          <w:p>
            <w:pPr>
              <w:pStyle w:val="617"/>
              <w:spacing w:before="50"/>
              <w:ind w:left="109"/>
              <w:rPr>
                <w:sz w:val="21"/>
                <w:lang w:eastAsia="zh-CN"/>
              </w:rPr>
            </w:pPr>
            <w:r>
              <w:rPr>
                <w:spacing w:val="-17"/>
                <w:sz w:val="21"/>
                <w:lang w:eastAsia="zh-CN"/>
              </w:rPr>
              <w:t xml:space="preserve">隧道照明、供配电、排水、监控、消防等设施故障，每处扣 </w:t>
            </w:r>
            <w:r>
              <w:rPr>
                <w:sz w:val="21"/>
                <w:lang w:eastAsia="zh-CN"/>
              </w:rPr>
              <w:t>5</w:t>
            </w:r>
            <w:r>
              <w:rPr>
                <w:spacing w:val="-12"/>
                <w:sz w:val="21"/>
                <w:lang w:eastAsia="zh-CN"/>
              </w:rPr>
              <w:t xml:space="preserve"> 分；灭</w:t>
            </w:r>
          </w:p>
          <w:p>
            <w:pPr>
              <w:pStyle w:val="617"/>
              <w:spacing w:before="48"/>
              <w:ind w:left="109"/>
              <w:rPr>
                <w:sz w:val="21"/>
                <w:lang w:eastAsia="zh-CN"/>
              </w:rPr>
            </w:pPr>
            <w:r>
              <w:rPr>
                <w:sz w:val="21"/>
                <w:lang w:eastAsia="zh-CN"/>
              </w:rPr>
              <w:t>火器过期每处扣 1 分；</w:t>
            </w:r>
          </w:p>
          <w:p>
            <w:pPr>
              <w:pStyle w:val="617"/>
              <w:spacing w:before="50"/>
              <w:ind w:left="109"/>
              <w:rPr>
                <w:sz w:val="21"/>
                <w:lang w:eastAsia="zh-CN"/>
              </w:rPr>
            </w:pPr>
            <w:r>
              <w:rPr>
                <w:spacing w:val="-20"/>
                <w:sz w:val="21"/>
                <w:lang w:eastAsia="zh-CN"/>
              </w:rPr>
              <w:t xml:space="preserve">管理用房内不整齐，灯具积灰，每处扣 </w:t>
            </w:r>
            <w:r>
              <w:rPr>
                <w:sz w:val="21"/>
                <w:lang w:eastAsia="zh-CN"/>
              </w:rPr>
              <w:t>1</w:t>
            </w:r>
            <w:r>
              <w:rPr>
                <w:spacing w:val="-10"/>
                <w:sz w:val="21"/>
                <w:lang w:eastAsia="zh-CN"/>
              </w:rPr>
              <w:t xml:space="preserve"> 分；防雷设施未设置、或未</w:t>
            </w:r>
          </w:p>
          <w:p>
            <w:pPr>
              <w:pStyle w:val="617"/>
              <w:spacing w:before="48"/>
              <w:ind w:left="109"/>
              <w:rPr>
                <w:sz w:val="21"/>
              </w:rPr>
            </w:pPr>
            <w:r>
              <w:rPr>
                <w:sz w:val="21"/>
              </w:rPr>
              <w:t>检测扣 2 分。</w:t>
            </w:r>
          </w:p>
        </w:tc>
        <w:tc>
          <w:tcPr>
            <w:tcW w:w="1086" w:type="dxa"/>
          </w:tcPr>
          <w:p>
            <w:pPr>
              <w:pStyle w:val="6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8"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6226" w:type="dxa"/>
          </w:tcPr>
          <w:p>
            <w:pPr>
              <w:pStyle w:val="617"/>
              <w:spacing w:before="112"/>
              <w:ind w:left="109"/>
              <w:rPr>
                <w:sz w:val="21"/>
                <w:lang w:eastAsia="zh-CN"/>
              </w:rPr>
            </w:pPr>
            <w:r>
              <w:rPr>
                <w:sz w:val="21"/>
                <w:lang w:eastAsia="zh-CN"/>
              </w:rPr>
              <w:t>桥隧名牌、限载牌、限高牌缺失、破损每处扣1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828" w:type="dxa"/>
            <w:vMerge w:val="continue"/>
            <w:tcBorders>
              <w:top w:val="nil"/>
            </w:tcBorders>
          </w:tcPr>
          <w:p>
            <w:pPr>
              <w:rPr>
                <w:sz w:val="2"/>
                <w:szCs w:val="2"/>
              </w:rPr>
            </w:pPr>
          </w:p>
        </w:tc>
        <w:tc>
          <w:tcPr>
            <w:tcW w:w="920" w:type="dxa"/>
          </w:tcPr>
          <w:p>
            <w:pPr>
              <w:pStyle w:val="617"/>
              <w:rPr>
                <w:rFonts w:ascii="新宋体"/>
                <w:sz w:val="24"/>
                <w:lang w:eastAsia="zh-CN"/>
              </w:rPr>
            </w:pPr>
          </w:p>
          <w:p>
            <w:pPr>
              <w:pStyle w:val="617"/>
              <w:rPr>
                <w:rFonts w:ascii="新宋体"/>
                <w:sz w:val="24"/>
                <w:lang w:eastAsia="zh-CN"/>
              </w:rPr>
            </w:pPr>
          </w:p>
          <w:p>
            <w:pPr>
              <w:pStyle w:val="617"/>
              <w:spacing w:before="205" w:line="283" w:lineRule="auto"/>
              <w:ind w:left="145" w:right="132"/>
              <w:jc w:val="both"/>
              <w:rPr>
                <w:sz w:val="21"/>
              </w:rPr>
            </w:pPr>
            <w:r>
              <w:rPr>
                <w:sz w:val="21"/>
              </w:rPr>
              <w:t>排水设施养护10 分</w:t>
            </w:r>
          </w:p>
        </w:tc>
        <w:tc>
          <w:tcPr>
            <w:tcW w:w="6226" w:type="dxa"/>
          </w:tcPr>
          <w:p>
            <w:pPr>
              <w:pStyle w:val="617"/>
              <w:spacing w:before="23" w:line="283" w:lineRule="auto"/>
              <w:ind w:left="109" w:right="-15"/>
              <w:rPr>
                <w:sz w:val="21"/>
                <w:lang w:eastAsia="zh-CN"/>
              </w:rPr>
            </w:pPr>
            <w:r>
              <w:rPr>
                <w:spacing w:val="-10"/>
                <w:sz w:val="21"/>
                <w:lang w:eastAsia="zh-CN"/>
              </w:rPr>
              <w:t>管网堵塞每处扣</w:t>
            </w:r>
            <w:r>
              <w:rPr>
                <w:sz w:val="21"/>
                <w:lang w:eastAsia="zh-CN"/>
              </w:rPr>
              <w:t>2</w:t>
            </w:r>
            <w:r>
              <w:rPr>
                <w:spacing w:val="-23"/>
                <w:sz w:val="21"/>
                <w:lang w:eastAsia="zh-CN"/>
              </w:rPr>
              <w:t xml:space="preserve"> 分；严重积泥每处扣</w:t>
            </w:r>
            <w:r>
              <w:rPr>
                <w:sz w:val="21"/>
                <w:lang w:eastAsia="zh-CN"/>
              </w:rPr>
              <w:t>2</w:t>
            </w:r>
            <w:r>
              <w:rPr>
                <w:spacing w:val="-13"/>
                <w:sz w:val="21"/>
                <w:lang w:eastAsia="zh-CN"/>
              </w:rPr>
              <w:t xml:space="preserve"> 分；未及时清淤造成积水的， </w:t>
            </w:r>
            <w:r>
              <w:rPr>
                <w:spacing w:val="-8"/>
                <w:sz w:val="21"/>
                <w:lang w:eastAsia="zh-CN"/>
              </w:rPr>
              <w:t xml:space="preserve">积水面积小于 </w:t>
            </w:r>
            <w:r>
              <w:rPr>
                <w:sz w:val="21"/>
                <w:lang w:eastAsia="zh-CN"/>
              </w:rPr>
              <w:t>10</w:t>
            </w:r>
            <w:r>
              <w:rPr>
                <w:spacing w:val="-50"/>
                <w:sz w:val="21"/>
                <w:lang w:eastAsia="zh-CN"/>
              </w:rPr>
              <w:t xml:space="preserve"> </w:t>
            </w:r>
            <w:r>
              <w:rPr>
                <w:rFonts w:hint="eastAsia" w:ascii="宋体"/>
                <w:spacing w:val="3"/>
                <w:sz w:val="21"/>
                <w:lang w:eastAsia="zh-CN"/>
              </w:rPr>
              <w:t>㎡</w:t>
            </w:r>
            <w:r>
              <w:rPr>
                <w:spacing w:val="-12"/>
                <w:sz w:val="21"/>
                <w:lang w:eastAsia="zh-CN"/>
              </w:rPr>
              <w:t xml:space="preserve">每处扣 </w:t>
            </w:r>
            <w:r>
              <w:rPr>
                <w:sz w:val="21"/>
                <w:lang w:eastAsia="zh-CN"/>
              </w:rPr>
              <w:t>2</w:t>
            </w:r>
            <w:r>
              <w:rPr>
                <w:spacing w:val="-25"/>
                <w:sz w:val="21"/>
                <w:lang w:eastAsia="zh-CN"/>
              </w:rPr>
              <w:t xml:space="preserve"> 分</w:t>
            </w:r>
            <w:r>
              <w:rPr>
                <w:sz w:val="21"/>
                <w:lang w:eastAsia="zh-CN"/>
              </w:rPr>
              <w:t>,10</w:t>
            </w:r>
            <w:r>
              <w:rPr>
                <w:spacing w:val="-50"/>
                <w:sz w:val="21"/>
                <w:lang w:eastAsia="zh-CN"/>
              </w:rPr>
              <w:t xml:space="preserve"> </w:t>
            </w:r>
            <w:r>
              <w:rPr>
                <w:rFonts w:hint="eastAsia" w:ascii="宋体"/>
                <w:spacing w:val="4"/>
                <w:sz w:val="21"/>
                <w:lang w:eastAsia="zh-CN"/>
              </w:rPr>
              <w:t>㎡</w:t>
            </w:r>
            <w:r>
              <w:rPr>
                <w:spacing w:val="-25"/>
                <w:sz w:val="21"/>
                <w:lang w:eastAsia="zh-CN"/>
              </w:rPr>
              <w:t xml:space="preserve">至 </w:t>
            </w:r>
            <w:r>
              <w:rPr>
                <w:sz w:val="21"/>
                <w:lang w:eastAsia="zh-CN"/>
              </w:rPr>
              <w:t>50</w:t>
            </w:r>
            <w:r>
              <w:rPr>
                <w:spacing w:val="-53"/>
                <w:sz w:val="21"/>
                <w:lang w:eastAsia="zh-CN"/>
              </w:rPr>
              <w:t xml:space="preserve"> </w:t>
            </w:r>
            <w:r>
              <w:rPr>
                <w:rFonts w:hint="eastAsia" w:ascii="宋体"/>
                <w:spacing w:val="4"/>
                <w:sz w:val="21"/>
                <w:lang w:eastAsia="zh-CN"/>
              </w:rPr>
              <w:t>㎡</w:t>
            </w:r>
            <w:r>
              <w:rPr>
                <w:spacing w:val="-11"/>
                <w:sz w:val="21"/>
                <w:lang w:eastAsia="zh-CN"/>
              </w:rPr>
              <w:t xml:space="preserve">每处扣 </w:t>
            </w:r>
            <w:r>
              <w:rPr>
                <w:sz w:val="21"/>
                <w:lang w:eastAsia="zh-CN"/>
              </w:rPr>
              <w:t>5</w:t>
            </w:r>
            <w:r>
              <w:rPr>
                <w:spacing w:val="-7"/>
                <w:sz w:val="21"/>
                <w:lang w:eastAsia="zh-CN"/>
              </w:rPr>
              <w:t xml:space="preserve"> 分,面积大</w:t>
            </w:r>
            <w:r>
              <w:rPr>
                <w:spacing w:val="-31"/>
                <w:sz w:val="21"/>
                <w:lang w:eastAsia="zh-CN"/>
              </w:rPr>
              <w:t xml:space="preserve">于 </w:t>
            </w:r>
            <w:r>
              <w:rPr>
                <w:sz w:val="21"/>
                <w:lang w:eastAsia="zh-CN"/>
              </w:rPr>
              <w:t>50</w:t>
            </w:r>
            <w:r>
              <w:rPr>
                <w:spacing w:val="-54"/>
                <w:sz w:val="21"/>
                <w:lang w:eastAsia="zh-CN"/>
              </w:rPr>
              <w:t xml:space="preserve"> </w:t>
            </w:r>
            <w:r>
              <w:rPr>
                <w:rFonts w:hint="eastAsia" w:ascii="宋体"/>
                <w:sz w:val="21"/>
                <w:lang w:eastAsia="zh-CN"/>
              </w:rPr>
              <w:t>㎡</w:t>
            </w:r>
            <w:r>
              <w:rPr>
                <w:spacing w:val="-14"/>
                <w:sz w:val="21"/>
                <w:lang w:eastAsia="zh-CN"/>
              </w:rPr>
              <w:t xml:space="preserve">每处扣 </w:t>
            </w:r>
            <w:r>
              <w:rPr>
                <w:sz w:val="21"/>
                <w:lang w:eastAsia="zh-CN"/>
              </w:rPr>
              <w:t>10</w:t>
            </w:r>
            <w:r>
              <w:rPr>
                <w:spacing w:val="-18"/>
                <w:sz w:val="21"/>
                <w:lang w:eastAsia="zh-CN"/>
              </w:rPr>
              <w:t xml:space="preserve"> 分；</w:t>
            </w:r>
          </w:p>
          <w:p>
            <w:pPr>
              <w:pStyle w:val="617"/>
              <w:spacing w:before="3" w:line="283" w:lineRule="auto"/>
              <w:ind w:left="109" w:right="-15"/>
              <w:rPr>
                <w:sz w:val="21"/>
                <w:lang w:eastAsia="zh-CN"/>
              </w:rPr>
            </w:pPr>
            <w:r>
              <w:rPr>
                <w:spacing w:val="-13"/>
                <w:sz w:val="21"/>
                <w:lang w:eastAsia="zh-CN"/>
              </w:rPr>
              <w:t>未设置防坠网的每处扣</w:t>
            </w:r>
            <w:r>
              <w:rPr>
                <w:sz w:val="21"/>
                <w:lang w:eastAsia="zh-CN"/>
              </w:rPr>
              <w:t>3</w:t>
            </w:r>
            <w:r>
              <w:rPr>
                <w:spacing w:val="-22"/>
                <w:sz w:val="21"/>
                <w:lang w:eastAsia="zh-CN"/>
              </w:rPr>
              <w:t xml:space="preserve"> 分，井盖缺失等存在严重安全隐患的扣</w:t>
            </w:r>
            <w:r>
              <w:rPr>
                <w:sz w:val="21"/>
                <w:lang w:eastAsia="zh-CN"/>
              </w:rPr>
              <w:t>10</w:t>
            </w:r>
            <w:r>
              <w:rPr>
                <w:spacing w:val="-32"/>
                <w:sz w:val="21"/>
                <w:lang w:eastAsia="zh-CN"/>
              </w:rPr>
              <w:t xml:space="preserve"> 分； </w:t>
            </w:r>
            <w:r>
              <w:rPr>
                <w:spacing w:val="-22"/>
                <w:sz w:val="21"/>
                <w:lang w:eastAsia="zh-CN"/>
              </w:rPr>
              <w:t xml:space="preserve">泵站供配电、排水、监控等电器设施故障，每处扣 </w:t>
            </w:r>
            <w:r>
              <w:rPr>
                <w:sz w:val="21"/>
                <w:lang w:eastAsia="zh-CN"/>
              </w:rPr>
              <w:t>5</w:t>
            </w:r>
            <w:r>
              <w:rPr>
                <w:spacing w:val="-10"/>
                <w:sz w:val="21"/>
                <w:lang w:eastAsia="zh-CN"/>
              </w:rPr>
              <w:t xml:space="preserve"> 分；灭火器过期</w:t>
            </w:r>
            <w:r>
              <w:rPr>
                <w:spacing w:val="-22"/>
                <w:sz w:val="21"/>
                <w:lang w:eastAsia="zh-CN"/>
              </w:rPr>
              <w:t xml:space="preserve">每处扣 </w:t>
            </w:r>
            <w:r>
              <w:rPr>
                <w:sz w:val="21"/>
                <w:lang w:eastAsia="zh-CN"/>
              </w:rPr>
              <w:t>1</w:t>
            </w:r>
            <w:r>
              <w:rPr>
                <w:spacing w:val="-11"/>
                <w:sz w:val="21"/>
                <w:lang w:eastAsia="zh-CN"/>
              </w:rPr>
              <w:t xml:space="preserve"> 分；防雷设施未设置或未定期检测扣 </w:t>
            </w:r>
            <w:r>
              <w:rPr>
                <w:sz w:val="21"/>
                <w:lang w:eastAsia="zh-CN"/>
              </w:rPr>
              <w:t>2</w:t>
            </w:r>
            <w:r>
              <w:rPr>
                <w:spacing w:val="-8"/>
                <w:sz w:val="21"/>
                <w:lang w:eastAsia="zh-CN"/>
              </w:rPr>
              <w:t xml:space="preserve"> 分；监控、道闸、</w:t>
            </w:r>
            <w:r>
              <w:rPr>
                <w:spacing w:val="-12"/>
                <w:sz w:val="21"/>
                <w:lang w:eastAsia="zh-CN"/>
              </w:rPr>
              <w:t xml:space="preserve">应急电源等“六个一律”未设置到位的，每处扣 </w:t>
            </w:r>
            <w:r>
              <w:rPr>
                <w:sz w:val="21"/>
                <w:lang w:eastAsia="zh-CN"/>
              </w:rPr>
              <w:t>5</w:t>
            </w:r>
            <w:r>
              <w:rPr>
                <w:spacing w:val="-12"/>
                <w:sz w:val="21"/>
                <w:lang w:eastAsia="zh-CN"/>
              </w:rPr>
              <w:t xml:space="preserve"> 分；排水沟、集</w:t>
            </w:r>
          </w:p>
          <w:p>
            <w:pPr>
              <w:pStyle w:val="617"/>
              <w:spacing w:before="2"/>
              <w:ind w:left="109"/>
              <w:rPr>
                <w:sz w:val="21"/>
                <w:lang w:eastAsia="zh-CN"/>
              </w:rPr>
            </w:pPr>
            <w:r>
              <w:rPr>
                <w:sz w:val="21"/>
                <w:lang w:eastAsia="zh-CN"/>
              </w:rPr>
              <w:t>水井清淤不到位的，每处扣 3 分。</w:t>
            </w:r>
          </w:p>
        </w:tc>
        <w:tc>
          <w:tcPr>
            <w:tcW w:w="1086" w:type="dxa"/>
          </w:tcPr>
          <w:p>
            <w:pPr>
              <w:pStyle w:val="617"/>
              <w:rPr>
                <w:rFonts w:ascii="Times New Roman"/>
                <w:sz w:val="20"/>
                <w:lang w:eastAsia="zh-CN"/>
              </w:rPr>
            </w:pPr>
          </w:p>
        </w:tc>
      </w:tr>
    </w:tbl>
    <w:p>
      <w:pPr>
        <w:rPr>
          <w:sz w:val="20"/>
        </w:rPr>
        <w:sectPr>
          <w:headerReference r:id="rId8" w:type="default"/>
          <w:footerReference r:id="rId9" w:type="default"/>
          <w:footerReference r:id="rId10" w:type="even"/>
          <w:pgSz w:w="11910" w:h="16840"/>
          <w:pgMar w:top="1580" w:right="1200" w:bottom="1080" w:left="1320" w:header="0" w:footer="888" w:gutter="0"/>
          <w:cols w:space="720" w:num="1"/>
        </w:sectPr>
      </w:pPr>
    </w:p>
    <w:p>
      <w:pPr>
        <w:pStyle w:val="25"/>
        <w:rPr>
          <w:rFonts w:ascii="Times New Roman"/>
          <w:sz w:val="20"/>
        </w:rPr>
      </w:pPr>
    </w:p>
    <w:p>
      <w:pPr>
        <w:pStyle w:val="25"/>
        <w:spacing w:before="5" w:after="1"/>
        <w:rPr>
          <w:rFonts w:ascii="Times New Roman"/>
          <w:sz w:val="23"/>
        </w:rPr>
      </w:pPr>
    </w:p>
    <w:tbl>
      <w:tblPr>
        <w:tblStyle w:val="62"/>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920"/>
        <w:gridCol w:w="6226"/>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28" w:type="dxa"/>
          </w:tcPr>
          <w:p>
            <w:pPr>
              <w:pStyle w:val="617"/>
              <w:rPr>
                <w:rFonts w:ascii="Times New Roman"/>
                <w:sz w:val="20"/>
                <w:lang w:eastAsia="zh-CN"/>
              </w:rPr>
            </w:pPr>
          </w:p>
        </w:tc>
        <w:tc>
          <w:tcPr>
            <w:tcW w:w="920" w:type="dxa"/>
          </w:tcPr>
          <w:p>
            <w:pPr>
              <w:pStyle w:val="617"/>
              <w:spacing w:before="9"/>
              <w:rPr>
                <w:rFonts w:ascii="Times New Roman"/>
                <w:sz w:val="29"/>
                <w:lang w:eastAsia="zh-CN"/>
              </w:rPr>
            </w:pPr>
          </w:p>
          <w:p>
            <w:pPr>
              <w:pStyle w:val="617"/>
              <w:spacing w:line="283" w:lineRule="auto"/>
              <w:ind w:left="249" w:right="240"/>
              <w:jc w:val="both"/>
              <w:rPr>
                <w:sz w:val="21"/>
              </w:rPr>
            </w:pPr>
            <w:r>
              <w:rPr>
                <w:sz w:val="21"/>
              </w:rPr>
              <w:t>路灯养护5 分</w:t>
            </w:r>
          </w:p>
        </w:tc>
        <w:tc>
          <w:tcPr>
            <w:tcW w:w="6226" w:type="dxa"/>
          </w:tcPr>
          <w:p>
            <w:pPr>
              <w:pStyle w:val="617"/>
              <w:spacing w:before="23"/>
              <w:ind w:left="109"/>
              <w:rPr>
                <w:sz w:val="21"/>
                <w:lang w:eastAsia="zh-CN"/>
              </w:rPr>
            </w:pPr>
            <w:r>
              <w:rPr>
                <w:sz w:val="21"/>
                <w:lang w:eastAsia="zh-CN"/>
              </w:rPr>
              <w:t>路灯缺亮的，每处扣 1 分；</w:t>
            </w:r>
          </w:p>
          <w:p>
            <w:pPr>
              <w:pStyle w:val="617"/>
              <w:spacing w:before="50"/>
              <w:ind w:left="109"/>
              <w:rPr>
                <w:sz w:val="21"/>
                <w:lang w:eastAsia="zh-CN"/>
              </w:rPr>
            </w:pPr>
            <w:r>
              <w:rPr>
                <w:spacing w:val="-8"/>
                <w:sz w:val="21"/>
                <w:lang w:eastAsia="zh-CN"/>
              </w:rPr>
              <w:t xml:space="preserve">路灯设施倾斜、缺损每处扣 </w:t>
            </w:r>
            <w:r>
              <w:rPr>
                <w:sz w:val="21"/>
                <w:lang w:eastAsia="zh-CN"/>
              </w:rPr>
              <w:t>1</w:t>
            </w:r>
            <w:r>
              <w:rPr>
                <w:spacing w:val="-11"/>
                <w:sz w:val="21"/>
                <w:lang w:eastAsia="zh-CN"/>
              </w:rPr>
              <w:t xml:space="preserve"> 分；油漆剥落和锈斑、外观不整洁每</w:t>
            </w:r>
          </w:p>
          <w:p>
            <w:pPr>
              <w:pStyle w:val="617"/>
              <w:spacing w:before="48"/>
              <w:ind w:left="109"/>
              <w:rPr>
                <w:sz w:val="21"/>
                <w:lang w:eastAsia="zh-CN"/>
              </w:rPr>
            </w:pPr>
            <w:r>
              <w:rPr>
                <w:sz w:val="21"/>
                <w:lang w:eastAsia="zh-CN"/>
              </w:rPr>
              <w:t>处扣 1 分；</w:t>
            </w:r>
          </w:p>
          <w:p>
            <w:pPr>
              <w:pStyle w:val="617"/>
              <w:spacing w:before="50"/>
              <w:ind w:left="109"/>
              <w:rPr>
                <w:sz w:val="21"/>
                <w:lang w:eastAsia="zh-CN"/>
              </w:rPr>
            </w:pPr>
            <w:r>
              <w:rPr>
                <w:spacing w:val="-7"/>
                <w:sz w:val="21"/>
                <w:lang w:eastAsia="zh-CN"/>
              </w:rPr>
              <w:t xml:space="preserve">控制箱存在违规接电等，存在安全隐患的扣 </w:t>
            </w:r>
            <w:r>
              <w:rPr>
                <w:sz w:val="21"/>
                <w:lang w:eastAsia="zh-CN"/>
              </w:rPr>
              <w:t>5</w:t>
            </w:r>
            <w:r>
              <w:rPr>
                <w:spacing w:val="-12"/>
                <w:sz w:val="21"/>
                <w:lang w:eastAsia="zh-CN"/>
              </w:rPr>
              <w:t xml:space="preserve"> 分；发生漏电等安全</w:t>
            </w:r>
          </w:p>
          <w:p>
            <w:pPr>
              <w:pStyle w:val="617"/>
              <w:spacing w:before="48"/>
              <w:ind w:left="109"/>
              <w:rPr>
                <w:sz w:val="21"/>
              </w:rPr>
            </w:pPr>
            <w:r>
              <w:rPr>
                <w:sz w:val="21"/>
              </w:rPr>
              <w:t>事故的扣 5 分。</w:t>
            </w:r>
          </w:p>
        </w:tc>
        <w:tc>
          <w:tcPr>
            <w:tcW w:w="1086" w:type="dxa"/>
          </w:tcPr>
          <w:p>
            <w:pPr>
              <w:pStyle w:val="6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1748" w:type="dxa"/>
            <w:gridSpan w:val="2"/>
          </w:tcPr>
          <w:p>
            <w:pPr>
              <w:pStyle w:val="617"/>
              <w:rPr>
                <w:rFonts w:ascii="Times New Roman"/>
                <w:sz w:val="24"/>
              </w:rPr>
            </w:pPr>
          </w:p>
          <w:p>
            <w:pPr>
              <w:pStyle w:val="617"/>
              <w:spacing w:before="7"/>
              <w:rPr>
                <w:rFonts w:ascii="Times New Roman"/>
                <w:sz w:val="19"/>
              </w:rPr>
            </w:pPr>
          </w:p>
          <w:p>
            <w:pPr>
              <w:pStyle w:val="617"/>
              <w:spacing w:line="283" w:lineRule="auto"/>
              <w:ind w:left="638" w:right="444" w:hanging="185"/>
              <w:rPr>
                <w:sz w:val="21"/>
              </w:rPr>
            </w:pPr>
            <w:r>
              <w:rPr>
                <w:sz w:val="21"/>
              </w:rPr>
              <w:t>应急保障20 分</w:t>
            </w:r>
          </w:p>
        </w:tc>
        <w:tc>
          <w:tcPr>
            <w:tcW w:w="6226" w:type="dxa"/>
          </w:tcPr>
          <w:p>
            <w:pPr>
              <w:pStyle w:val="617"/>
              <w:spacing w:before="24" w:line="285" w:lineRule="auto"/>
              <w:ind w:left="109" w:right="94"/>
              <w:rPr>
                <w:sz w:val="21"/>
                <w:lang w:eastAsia="zh-CN"/>
              </w:rPr>
            </w:pPr>
            <w:r>
              <w:rPr>
                <w:spacing w:val="-5"/>
                <w:sz w:val="21"/>
                <w:lang w:eastAsia="zh-CN"/>
              </w:rPr>
              <w:t xml:space="preserve">养护作业围护不到位每处扣 </w:t>
            </w:r>
            <w:r>
              <w:rPr>
                <w:sz w:val="21"/>
                <w:lang w:eastAsia="zh-CN"/>
              </w:rPr>
              <w:t>2.5</w:t>
            </w:r>
            <w:r>
              <w:rPr>
                <w:spacing w:val="-18"/>
                <w:sz w:val="21"/>
                <w:lang w:eastAsia="zh-CN"/>
              </w:rPr>
              <w:t xml:space="preserve"> 分，无围护每处扣 </w:t>
            </w:r>
            <w:r>
              <w:rPr>
                <w:sz w:val="21"/>
                <w:lang w:eastAsia="zh-CN"/>
              </w:rPr>
              <w:t>5</w:t>
            </w:r>
            <w:r>
              <w:rPr>
                <w:spacing w:val="-15"/>
                <w:sz w:val="21"/>
                <w:lang w:eastAsia="zh-CN"/>
              </w:rPr>
              <w:t xml:space="preserve"> 分；着装不规</w:t>
            </w:r>
            <w:r>
              <w:rPr>
                <w:spacing w:val="-24"/>
                <w:sz w:val="21"/>
                <w:lang w:eastAsia="zh-CN"/>
              </w:rPr>
              <w:t xml:space="preserve">范每处扣 </w:t>
            </w:r>
            <w:r>
              <w:rPr>
                <w:sz w:val="21"/>
                <w:lang w:eastAsia="zh-CN"/>
              </w:rPr>
              <w:t>2</w:t>
            </w:r>
            <w:r>
              <w:rPr>
                <w:spacing w:val="-14"/>
                <w:sz w:val="21"/>
                <w:lang w:eastAsia="zh-CN"/>
              </w:rPr>
              <w:t xml:space="preserve"> 分；未及时发现违章施工的每处扣 </w:t>
            </w:r>
            <w:r>
              <w:rPr>
                <w:sz w:val="21"/>
                <w:lang w:eastAsia="zh-CN"/>
              </w:rPr>
              <w:t>3</w:t>
            </w:r>
            <w:r>
              <w:rPr>
                <w:spacing w:val="-13"/>
                <w:sz w:val="21"/>
                <w:lang w:eastAsia="zh-CN"/>
              </w:rPr>
              <w:t xml:space="preserve"> 分，批后监管不到</w:t>
            </w:r>
          </w:p>
          <w:p>
            <w:pPr>
              <w:pStyle w:val="617"/>
              <w:spacing w:line="265" w:lineRule="exact"/>
              <w:ind w:left="109"/>
              <w:rPr>
                <w:sz w:val="21"/>
                <w:lang w:eastAsia="zh-CN"/>
              </w:rPr>
            </w:pPr>
            <w:r>
              <w:rPr>
                <w:sz w:val="21"/>
                <w:lang w:eastAsia="zh-CN"/>
              </w:rPr>
              <w:t>位的每处扣 3 分。</w:t>
            </w:r>
          </w:p>
          <w:p>
            <w:pPr>
              <w:pStyle w:val="617"/>
              <w:spacing w:before="9" w:line="310" w:lineRule="atLeast"/>
              <w:ind w:left="109" w:right="543"/>
              <w:rPr>
                <w:sz w:val="21"/>
                <w:lang w:eastAsia="zh-CN"/>
              </w:rPr>
            </w:pPr>
            <w:r>
              <w:rPr>
                <w:sz w:val="21"/>
                <w:lang w:eastAsia="zh-CN"/>
              </w:rPr>
              <w:t>防汛防台、抗雪防冻等应急处置不到位的每次扣 10 分； 下井、登高等特种作业，发生违规作业情况的每次扣 10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1748" w:type="dxa"/>
            <w:gridSpan w:val="2"/>
          </w:tcPr>
          <w:p>
            <w:pPr>
              <w:pStyle w:val="617"/>
              <w:rPr>
                <w:rFonts w:ascii="Times New Roman"/>
                <w:sz w:val="24"/>
                <w:lang w:eastAsia="zh-CN"/>
              </w:rPr>
            </w:pPr>
          </w:p>
          <w:p>
            <w:pPr>
              <w:pStyle w:val="617"/>
              <w:spacing w:before="7"/>
              <w:rPr>
                <w:rFonts w:ascii="Times New Roman"/>
                <w:lang w:eastAsia="zh-CN"/>
              </w:rPr>
            </w:pPr>
          </w:p>
          <w:p>
            <w:pPr>
              <w:pStyle w:val="617"/>
              <w:ind w:left="88" w:right="770"/>
              <w:jc w:val="center"/>
              <w:rPr>
                <w:sz w:val="21"/>
              </w:rPr>
            </w:pPr>
            <w:r>
              <w:rPr>
                <w:sz w:val="21"/>
              </w:rPr>
              <w:t>合同履约</w:t>
            </w:r>
          </w:p>
          <w:p>
            <w:pPr>
              <w:pStyle w:val="617"/>
              <w:spacing w:before="51"/>
              <w:ind w:left="88" w:right="80"/>
              <w:jc w:val="center"/>
              <w:rPr>
                <w:sz w:val="21"/>
              </w:rPr>
            </w:pPr>
            <w:r>
              <w:rPr>
                <w:sz w:val="21"/>
              </w:rPr>
              <w:t>20 分</w:t>
            </w:r>
          </w:p>
        </w:tc>
        <w:tc>
          <w:tcPr>
            <w:tcW w:w="6226" w:type="dxa"/>
          </w:tcPr>
          <w:p>
            <w:pPr>
              <w:pStyle w:val="617"/>
              <w:spacing w:before="1"/>
              <w:rPr>
                <w:rFonts w:ascii="Times New Roman"/>
                <w:sz w:val="19"/>
                <w:lang w:eastAsia="zh-CN"/>
              </w:rPr>
            </w:pPr>
          </w:p>
          <w:p>
            <w:pPr>
              <w:pStyle w:val="617"/>
              <w:spacing w:line="283" w:lineRule="auto"/>
              <w:ind w:left="109" w:right="97"/>
              <w:rPr>
                <w:sz w:val="21"/>
                <w:lang w:eastAsia="zh-CN"/>
              </w:rPr>
            </w:pPr>
            <w:r>
              <w:rPr>
                <w:spacing w:val="-6"/>
                <w:w w:val="95"/>
                <w:sz w:val="21"/>
                <w:lang w:eastAsia="zh-CN"/>
              </w:rPr>
              <w:t xml:space="preserve">根据合同及招标文件要求，合理配备人员、车辆等应急物资设施设 </w:t>
            </w:r>
            <w:r>
              <w:rPr>
                <w:spacing w:val="-11"/>
                <w:sz w:val="21"/>
                <w:lang w:eastAsia="zh-CN"/>
              </w:rPr>
              <w:t xml:space="preserve">备，配备不到位的每次扣 </w:t>
            </w:r>
            <w:r>
              <w:rPr>
                <w:sz w:val="21"/>
                <w:lang w:eastAsia="zh-CN"/>
              </w:rPr>
              <w:t>5</w:t>
            </w:r>
            <w:r>
              <w:rPr>
                <w:spacing w:val="-18"/>
                <w:sz w:val="21"/>
                <w:lang w:eastAsia="zh-CN"/>
              </w:rPr>
              <w:t xml:space="preserve"> 分。</w:t>
            </w:r>
          </w:p>
          <w:p>
            <w:pPr>
              <w:pStyle w:val="617"/>
              <w:spacing w:before="1" w:line="283" w:lineRule="auto"/>
              <w:ind w:left="109" w:right="5"/>
              <w:rPr>
                <w:sz w:val="21"/>
                <w:lang w:eastAsia="zh-CN"/>
              </w:rPr>
            </w:pPr>
            <w:r>
              <w:rPr>
                <w:w w:val="95"/>
                <w:sz w:val="21"/>
                <w:lang w:eastAsia="zh-CN"/>
              </w:rPr>
              <w:t xml:space="preserve">市政设施具备一路一卡、一桥一卡、一隧一卡，台账资料不齐全、 </w:t>
            </w:r>
            <w:r>
              <w:rPr>
                <w:sz w:val="21"/>
                <w:lang w:eastAsia="zh-CN"/>
              </w:rPr>
              <w:t>不准确的，每处扣 1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7" w:hRule="atLeast"/>
        </w:trPr>
        <w:tc>
          <w:tcPr>
            <w:tcW w:w="1748" w:type="dxa"/>
            <w:gridSpan w:val="2"/>
          </w:tcPr>
          <w:p>
            <w:pPr>
              <w:pStyle w:val="617"/>
              <w:rPr>
                <w:rFonts w:ascii="Times New Roman"/>
                <w:sz w:val="24"/>
                <w:lang w:eastAsia="zh-CN"/>
              </w:rPr>
            </w:pPr>
          </w:p>
          <w:p>
            <w:pPr>
              <w:pStyle w:val="617"/>
              <w:rPr>
                <w:rFonts w:ascii="Times New Roman"/>
                <w:sz w:val="24"/>
                <w:lang w:eastAsia="zh-CN"/>
              </w:rPr>
            </w:pPr>
          </w:p>
          <w:p>
            <w:pPr>
              <w:pStyle w:val="617"/>
              <w:rPr>
                <w:rFonts w:ascii="Times New Roman"/>
                <w:sz w:val="24"/>
                <w:lang w:eastAsia="zh-CN"/>
              </w:rPr>
            </w:pPr>
          </w:p>
          <w:p>
            <w:pPr>
              <w:pStyle w:val="617"/>
              <w:rPr>
                <w:rFonts w:ascii="Times New Roman"/>
                <w:sz w:val="24"/>
                <w:lang w:eastAsia="zh-CN"/>
              </w:rPr>
            </w:pPr>
          </w:p>
          <w:p>
            <w:pPr>
              <w:pStyle w:val="617"/>
              <w:rPr>
                <w:rFonts w:ascii="Times New Roman"/>
                <w:sz w:val="24"/>
                <w:lang w:eastAsia="zh-CN"/>
              </w:rPr>
            </w:pPr>
          </w:p>
          <w:p>
            <w:pPr>
              <w:pStyle w:val="617"/>
              <w:spacing w:before="4"/>
              <w:rPr>
                <w:rFonts w:ascii="Times New Roman"/>
                <w:sz w:val="20"/>
                <w:lang w:eastAsia="zh-CN"/>
              </w:rPr>
            </w:pPr>
          </w:p>
          <w:p>
            <w:pPr>
              <w:pStyle w:val="617"/>
              <w:ind w:left="486"/>
              <w:rPr>
                <w:sz w:val="21"/>
              </w:rPr>
            </w:pPr>
            <w:r>
              <w:rPr>
                <w:sz w:val="21"/>
              </w:rPr>
              <w:t>正负清单</w:t>
            </w:r>
          </w:p>
        </w:tc>
        <w:tc>
          <w:tcPr>
            <w:tcW w:w="6226" w:type="dxa"/>
          </w:tcPr>
          <w:p>
            <w:pPr>
              <w:pStyle w:val="617"/>
              <w:spacing w:before="25" w:line="283" w:lineRule="auto"/>
              <w:ind w:left="109" w:right="80"/>
              <w:jc w:val="both"/>
              <w:rPr>
                <w:sz w:val="21"/>
                <w:lang w:eastAsia="zh-CN"/>
              </w:rPr>
            </w:pPr>
            <w:r>
              <w:rPr>
                <w:spacing w:val="-14"/>
                <w:sz w:val="21"/>
                <w:lang w:eastAsia="zh-CN"/>
              </w:rPr>
              <w:t>市级领导及以上批示表扬的每次加</w:t>
            </w:r>
            <w:r>
              <w:rPr>
                <w:sz w:val="21"/>
                <w:lang w:eastAsia="zh-CN"/>
              </w:rPr>
              <w:t>1</w:t>
            </w:r>
            <w:r>
              <w:rPr>
                <w:spacing w:val="-18"/>
                <w:sz w:val="21"/>
                <w:lang w:eastAsia="zh-CN"/>
              </w:rPr>
              <w:t xml:space="preserve"> 分，批评的每次扣</w:t>
            </w:r>
            <w:r>
              <w:rPr>
                <w:sz w:val="21"/>
                <w:lang w:eastAsia="zh-CN"/>
              </w:rPr>
              <w:t>1</w:t>
            </w:r>
            <w:r>
              <w:rPr>
                <w:spacing w:val="-24"/>
                <w:sz w:val="21"/>
                <w:lang w:eastAsia="zh-CN"/>
              </w:rPr>
              <w:t xml:space="preserve"> 分；区级主要</w:t>
            </w:r>
            <w:r>
              <w:rPr>
                <w:spacing w:val="-13"/>
                <w:sz w:val="21"/>
                <w:lang w:eastAsia="zh-CN"/>
              </w:rPr>
              <w:t>领导批示表扬的每次加</w:t>
            </w:r>
            <w:r>
              <w:rPr>
                <w:spacing w:val="-5"/>
                <w:sz w:val="21"/>
                <w:lang w:eastAsia="zh-CN"/>
              </w:rPr>
              <w:t>0.5</w:t>
            </w:r>
            <w:r>
              <w:rPr>
                <w:spacing w:val="-18"/>
                <w:sz w:val="21"/>
                <w:lang w:eastAsia="zh-CN"/>
              </w:rPr>
              <w:t xml:space="preserve"> 分，批评的每次扣</w:t>
            </w:r>
            <w:r>
              <w:rPr>
                <w:spacing w:val="-5"/>
                <w:sz w:val="21"/>
                <w:lang w:eastAsia="zh-CN"/>
              </w:rPr>
              <w:t>0.5</w:t>
            </w:r>
            <w:r>
              <w:rPr>
                <w:spacing w:val="-28"/>
                <w:sz w:val="21"/>
                <w:lang w:eastAsia="zh-CN"/>
              </w:rPr>
              <w:t xml:space="preserve"> 分。</w:t>
            </w:r>
          </w:p>
          <w:p>
            <w:pPr>
              <w:pStyle w:val="617"/>
              <w:spacing w:before="1" w:line="283" w:lineRule="auto"/>
              <w:ind w:left="109" w:right="80"/>
              <w:jc w:val="both"/>
              <w:rPr>
                <w:sz w:val="21"/>
                <w:lang w:eastAsia="zh-CN"/>
              </w:rPr>
            </w:pPr>
            <w:r>
              <w:rPr>
                <w:spacing w:val="-3"/>
                <w:sz w:val="21"/>
                <w:lang w:eastAsia="zh-CN"/>
              </w:rPr>
              <w:t xml:space="preserve">联系函、抄告单等超时回复或不回复的每次扣 </w:t>
            </w:r>
            <w:r>
              <w:rPr>
                <w:sz w:val="21"/>
                <w:lang w:eastAsia="zh-CN"/>
              </w:rPr>
              <w:t>0.2</w:t>
            </w:r>
            <w:r>
              <w:rPr>
                <w:spacing w:val="-17"/>
                <w:sz w:val="21"/>
                <w:lang w:eastAsia="zh-CN"/>
              </w:rPr>
              <w:t xml:space="preserve"> 分，二次抄告及</w:t>
            </w:r>
            <w:r>
              <w:rPr>
                <w:spacing w:val="-6"/>
                <w:sz w:val="21"/>
                <w:lang w:eastAsia="zh-CN"/>
              </w:rPr>
              <w:t>以上的每次扣</w:t>
            </w:r>
            <w:r>
              <w:rPr>
                <w:spacing w:val="-5"/>
                <w:sz w:val="21"/>
                <w:lang w:eastAsia="zh-CN"/>
              </w:rPr>
              <w:t>0.5</w:t>
            </w:r>
            <w:r>
              <w:rPr>
                <w:spacing w:val="-23"/>
                <w:sz w:val="21"/>
                <w:lang w:eastAsia="zh-CN"/>
              </w:rPr>
              <w:t xml:space="preserve"> 分；</w:t>
            </w:r>
          </w:p>
          <w:p>
            <w:pPr>
              <w:pStyle w:val="617"/>
              <w:spacing w:before="1" w:line="283" w:lineRule="auto"/>
              <w:ind w:left="109" w:right="93"/>
              <w:jc w:val="both"/>
              <w:rPr>
                <w:sz w:val="21"/>
                <w:lang w:eastAsia="zh-CN"/>
              </w:rPr>
            </w:pPr>
            <w:r>
              <w:rPr>
                <w:w w:val="99"/>
                <w:sz w:val="21"/>
                <w:lang w:eastAsia="zh-CN"/>
              </w:rPr>
              <w:t>积极提供市政宣传报道素材</w:t>
            </w:r>
            <w:r>
              <w:rPr>
                <w:spacing w:val="2"/>
                <w:w w:val="99"/>
                <w:sz w:val="21"/>
                <w:lang w:eastAsia="zh-CN"/>
              </w:rPr>
              <w:t>（</w:t>
            </w:r>
            <w:r>
              <w:rPr>
                <w:w w:val="99"/>
                <w:sz w:val="21"/>
                <w:lang w:eastAsia="zh-CN"/>
              </w:rPr>
              <w:t>图片、文字等</w:t>
            </w:r>
            <w:r>
              <w:rPr>
                <w:spacing w:val="-104"/>
                <w:w w:val="99"/>
                <w:sz w:val="21"/>
                <w:lang w:eastAsia="zh-CN"/>
              </w:rPr>
              <w:t>）</w:t>
            </w:r>
            <w:r>
              <w:rPr>
                <w:w w:val="99"/>
                <w:sz w:val="21"/>
                <w:lang w:eastAsia="zh-CN"/>
              </w:rPr>
              <w:t>，经区城管局审核，</w:t>
            </w:r>
            <w:r>
              <w:rPr>
                <w:spacing w:val="-7"/>
                <w:sz w:val="21"/>
                <w:lang w:eastAsia="zh-CN"/>
              </w:rPr>
              <w:t xml:space="preserve">被录用正面宣传报道的，区级媒体每件次加 </w:t>
            </w:r>
            <w:r>
              <w:rPr>
                <w:sz w:val="21"/>
                <w:lang w:eastAsia="zh-CN"/>
              </w:rPr>
              <w:t>0.1</w:t>
            </w:r>
            <w:r>
              <w:rPr>
                <w:spacing w:val="-13"/>
                <w:sz w:val="21"/>
                <w:lang w:eastAsia="zh-CN"/>
              </w:rPr>
              <w:t xml:space="preserve"> 分，市级媒体每件</w:t>
            </w:r>
            <w:r>
              <w:rPr>
                <w:spacing w:val="-29"/>
                <w:sz w:val="21"/>
                <w:lang w:eastAsia="zh-CN"/>
              </w:rPr>
              <w:t xml:space="preserve">次加 </w:t>
            </w:r>
            <w:r>
              <w:rPr>
                <w:sz w:val="21"/>
                <w:lang w:eastAsia="zh-CN"/>
              </w:rPr>
              <w:t>0.2</w:t>
            </w:r>
            <w:r>
              <w:rPr>
                <w:spacing w:val="-15"/>
                <w:sz w:val="21"/>
                <w:lang w:eastAsia="zh-CN"/>
              </w:rPr>
              <w:t xml:space="preserve"> 分，省级及以上媒体每件次加 </w:t>
            </w:r>
            <w:r>
              <w:rPr>
                <w:sz w:val="21"/>
                <w:lang w:eastAsia="zh-CN"/>
              </w:rPr>
              <w:t>0.3</w:t>
            </w:r>
            <w:r>
              <w:rPr>
                <w:spacing w:val="-11"/>
                <w:sz w:val="21"/>
                <w:lang w:eastAsia="zh-CN"/>
              </w:rPr>
              <w:t xml:space="preserve"> 分，同一事项以最高加</w:t>
            </w:r>
          </w:p>
          <w:p>
            <w:pPr>
              <w:pStyle w:val="617"/>
              <w:spacing w:before="1" w:line="285" w:lineRule="auto"/>
              <w:ind w:left="109" w:right="96"/>
              <w:jc w:val="both"/>
              <w:rPr>
                <w:sz w:val="21"/>
                <w:lang w:eastAsia="zh-CN"/>
              </w:rPr>
            </w:pPr>
            <w:r>
              <w:rPr>
                <w:spacing w:val="-13"/>
                <w:sz w:val="21"/>
                <w:lang w:eastAsia="zh-CN"/>
              </w:rPr>
              <w:t>分项计；市级及以上媒体曝光每件扣</w:t>
            </w:r>
            <w:r>
              <w:rPr>
                <w:spacing w:val="-5"/>
                <w:sz w:val="21"/>
                <w:lang w:eastAsia="zh-CN"/>
              </w:rPr>
              <w:t>0.5</w:t>
            </w:r>
            <w:r>
              <w:rPr>
                <w:spacing w:val="-21"/>
                <w:sz w:val="21"/>
                <w:lang w:eastAsia="zh-CN"/>
              </w:rPr>
              <w:t xml:space="preserve"> 分，区级媒体曝光每件扣</w:t>
            </w:r>
            <w:r>
              <w:rPr>
                <w:sz w:val="21"/>
                <w:lang w:eastAsia="zh-CN"/>
              </w:rPr>
              <w:t>0.2 分；</w:t>
            </w:r>
          </w:p>
          <w:p>
            <w:pPr>
              <w:pStyle w:val="617"/>
              <w:spacing w:line="264" w:lineRule="exact"/>
              <w:ind w:left="109"/>
              <w:jc w:val="both"/>
              <w:rPr>
                <w:sz w:val="21"/>
                <w:lang w:eastAsia="zh-CN"/>
              </w:rPr>
            </w:pPr>
            <w:r>
              <w:rPr>
                <w:spacing w:val="-7"/>
                <w:sz w:val="21"/>
                <w:lang w:eastAsia="zh-CN"/>
              </w:rPr>
              <w:t xml:space="preserve">发生无人员死亡有责安全生产事故的，每起扣 </w:t>
            </w:r>
            <w:r>
              <w:rPr>
                <w:sz w:val="21"/>
                <w:lang w:eastAsia="zh-CN"/>
              </w:rPr>
              <w:t>2</w:t>
            </w:r>
            <w:r>
              <w:rPr>
                <w:spacing w:val="-13"/>
                <w:sz w:val="21"/>
                <w:lang w:eastAsia="zh-CN"/>
              </w:rPr>
              <w:t xml:space="preserve"> 分；发生人员死亡</w:t>
            </w:r>
          </w:p>
          <w:p>
            <w:pPr>
              <w:pStyle w:val="617"/>
              <w:spacing w:before="50"/>
              <w:ind w:left="109"/>
              <w:jc w:val="both"/>
              <w:rPr>
                <w:sz w:val="21"/>
                <w:lang w:eastAsia="zh-CN"/>
              </w:rPr>
            </w:pPr>
            <w:r>
              <w:rPr>
                <w:sz w:val="21"/>
                <w:lang w:eastAsia="zh-CN"/>
              </w:rPr>
              <w:t>有责安全生产事故的，每起扣 3 分。</w:t>
            </w:r>
          </w:p>
        </w:tc>
        <w:tc>
          <w:tcPr>
            <w:tcW w:w="1086" w:type="dxa"/>
          </w:tcPr>
          <w:p>
            <w:pPr>
              <w:pStyle w:val="617"/>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974" w:type="dxa"/>
            <w:gridSpan w:val="3"/>
          </w:tcPr>
          <w:p>
            <w:pPr>
              <w:pStyle w:val="617"/>
              <w:spacing w:before="103"/>
              <w:ind w:left="3544" w:right="3539"/>
              <w:jc w:val="center"/>
              <w:rPr>
                <w:sz w:val="21"/>
              </w:rPr>
            </w:pPr>
            <w:r>
              <w:rPr>
                <w:sz w:val="21"/>
              </w:rPr>
              <w:t>评分合计</w:t>
            </w:r>
          </w:p>
        </w:tc>
        <w:tc>
          <w:tcPr>
            <w:tcW w:w="1086" w:type="dxa"/>
          </w:tcPr>
          <w:p>
            <w:pPr>
              <w:pStyle w:val="6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748" w:type="dxa"/>
            <w:gridSpan w:val="2"/>
          </w:tcPr>
          <w:p>
            <w:pPr>
              <w:pStyle w:val="617"/>
              <w:spacing w:before="6"/>
              <w:rPr>
                <w:rFonts w:ascii="Times New Roman"/>
                <w:sz w:val="25"/>
              </w:rPr>
            </w:pPr>
          </w:p>
          <w:p>
            <w:pPr>
              <w:pStyle w:val="617"/>
              <w:ind w:left="88" w:right="80"/>
              <w:jc w:val="center"/>
              <w:rPr>
                <w:sz w:val="21"/>
              </w:rPr>
            </w:pPr>
            <w:r>
              <w:rPr>
                <w:sz w:val="21"/>
              </w:rPr>
              <w:t>备注</w:t>
            </w:r>
          </w:p>
        </w:tc>
        <w:tc>
          <w:tcPr>
            <w:tcW w:w="7312" w:type="dxa"/>
            <w:gridSpan w:val="2"/>
          </w:tcPr>
          <w:p>
            <w:pPr>
              <w:pStyle w:val="617"/>
              <w:spacing w:before="6"/>
              <w:rPr>
                <w:rFonts w:ascii="Times New Roman"/>
                <w:sz w:val="25"/>
                <w:lang w:eastAsia="zh-CN"/>
              </w:rPr>
            </w:pPr>
          </w:p>
          <w:p>
            <w:pPr>
              <w:pStyle w:val="617"/>
              <w:ind w:left="109"/>
              <w:rPr>
                <w:sz w:val="21"/>
                <w:lang w:eastAsia="zh-CN"/>
              </w:rPr>
            </w:pPr>
            <w:r>
              <w:rPr>
                <w:sz w:val="21"/>
                <w:lang w:eastAsia="zh-CN"/>
              </w:rPr>
              <w:t>正负面分数累计加减分分别不高于 3 分，超过按 3 分计入。</w:t>
            </w:r>
          </w:p>
        </w:tc>
      </w:tr>
    </w:tbl>
    <w:p>
      <w:pPr>
        <w:rPr>
          <w:rFonts w:ascii="宋体" w:hAnsi="宋体" w:cs="宋体"/>
          <w:b/>
          <w:bCs/>
          <w:sz w:val="28"/>
          <w:szCs w:val="28"/>
          <w:highlight w:val="red"/>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r>
        <w:rPr>
          <w:rFonts w:hint="eastAsia" w:ascii="宋体" w:hAnsi="宋体" w:cs="宋体"/>
          <w:b/>
          <w:bCs/>
          <w:sz w:val="28"/>
          <w:szCs w:val="28"/>
        </w:rPr>
        <w:t xml:space="preserve">第四部分   </w:t>
      </w:r>
      <w:bookmarkStart w:id="29" w:name="_Toc184310302"/>
      <w:bookmarkEnd w:id="29"/>
      <w:bookmarkStart w:id="30" w:name="_Toc184310286"/>
      <w:bookmarkEnd w:id="30"/>
      <w:bookmarkStart w:id="31" w:name="_Toc184310322"/>
      <w:bookmarkEnd w:id="31"/>
      <w:bookmarkStart w:id="32" w:name="_Toc184313292"/>
      <w:bookmarkEnd w:id="32"/>
      <w:bookmarkStart w:id="33" w:name="_Toc184313263"/>
      <w:bookmarkEnd w:id="33"/>
      <w:bookmarkStart w:id="34" w:name="_Toc184312130"/>
      <w:bookmarkEnd w:id="34"/>
      <w:bookmarkStart w:id="35" w:name="_Toc184314439"/>
      <w:bookmarkEnd w:id="35"/>
      <w:bookmarkStart w:id="36" w:name="_Toc184313248"/>
      <w:bookmarkEnd w:id="36"/>
      <w:bookmarkStart w:id="37" w:name="_Toc184312082"/>
      <w:bookmarkEnd w:id="37"/>
      <w:bookmarkStart w:id="38" w:name="_Toc184313242"/>
      <w:bookmarkEnd w:id="38"/>
      <w:bookmarkStart w:id="39" w:name="_Toc184312083"/>
      <w:bookmarkEnd w:id="39"/>
      <w:bookmarkStart w:id="40" w:name="_Toc184308067"/>
      <w:bookmarkEnd w:id="40"/>
      <w:bookmarkStart w:id="41" w:name="_Toc184308069"/>
      <w:bookmarkEnd w:id="41"/>
      <w:bookmarkStart w:id="42" w:name="_Toc184313256"/>
      <w:bookmarkEnd w:id="42"/>
      <w:bookmarkStart w:id="43" w:name="_Toc184314478"/>
      <w:bookmarkEnd w:id="43"/>
      <w:bookmarkStart w:id="44" w:name="_Toc184308045"/>
      <w:bookmarkEnd w:id="44"/>
      <w:bookmarkStart w:id="45" w:name="_Toc184314466"/>
      <w:bookmarkEnd w:id="45"/>
      <w:bookmarkStart w:id="46" w:name="_Toc184312124"/>
      <w:bookmarkEnd w:id="46"/>
      <w:bookmarkStart w:id="47" w:name="_Toc184314472"/>
      <w:bookmarkEnd w:id="47"/>
      <w:bookmarkStart w:id="48" w:name="_Toc184312102"/>
      <w:bookmarkEnd w:id="48"/>
      <w:bookmarkStart w:id="49" w:name="_Toc184314482"/>
      <w:bookmarkEnd w:id="49"/>
      <w:bookmarkStart w:id="50" w:name="_Toc184314410"/>
      <w:bookmarkEnd w:id="50"/>
      <w:bookmarkStart w:id="51" w:name="_Toc184310306"/>
      <w:bookmarkEnd w:id="51"/>
      <w:bookmarkStart w:id="52" w:name="_Toc184310289"/>
      <w:bookmarkEnd w:id="52"/>
      <w:bookmarkStart w:id="53" w:name="_Toc184310297"/>
      <w:bookmarkEnd w:id="53"/>
      <w:bookmarkStart w:id="54" w:name="_Toc184313272"/>
      <w:bookmarkEnd w:id="54"/>
      <w:bookmarkStart w:id="55" w:name="_Toc184313243"/>
      <w:bookmarkEnd w:id="55"/>
      <w:bookmarkStart w:id="56" w:name="_Toc184314477"/>
      <w:bookmarkEnd w:id="56"/>
      <w:bookmarkStart w:id="57" w:name="_Toc184314433"/>
      <w:bookmarkEnd w:id="57"/>
      <w:bookmarkStart w:id="58" w:name="_Toc184310344"/>
      <w:bookmarkEnd w:id="58"/>
      <w:bookmarkStart w:id="59" w:name="_Toc184314422"/>
      <w:bookmarkEnd w:id="59"/>
      <w:bookmarkStart w:id="60" w:name="_Toc184313249"/>
      <w:bookmarkEnd w:id="60"/>
      <w:bookmarkStart w:id="61" w:name="_Toc184312073"/>
      <w:bookmarkEnd w:id="61"/>
      <w:bookmarkStart w:id="62" w:name="_Toc184314438"/>
      <w:bookmarkEnd w:id="62"/>
      <w:bookmarkStart w:id="63" w:name="_Toc184310295"/>
      <w:bookmarkEnd w:id="63"/>
      <w:bookmarkStart w:id="64" w:name="_Toc184314450"/>
      <w:bookmarkEnd w:id="64"/>
      <w:bookmarkStart w:id="65" w:name="_Toc184312084"/>
      <w:bookmarkEnd w:id="65"/>
      <w:bookmarkStart w:id="66" w:name="_Toc184313281"/>
      <w:bookmarkEnd w:id="66"/>
      <w:bookmarkStart w:id="67" w:name="_Toc184312132"/>
      <w:bookmarkEnd w:id="67"/>
      <w:bookmarkStart w:id="68" w:name="_Toc184308107"/>
      <w:bookmarkEnd w:id="68"/>
      <w:bookmarkStart w:id="69" w:name="_Toc184312077"/>
      <w:bookmarkEnd w:id="69"/>
      <w:bookmarkStart w:id="70" w:name="_Toc184308070"/>
      <w:bookmarkEnd w:id="70"/>
      <w:bookmarkStart w:id="71" w:name="_Toc184310307"/>
      <w:bookmarkEnd w:id="71"/>
      <w:bookmarkStart w:id="72" w:name="_Toc184310277"/>
      <w:bookmarkEnd w:id="72"/>
      <w:bookmarkStart w:id="73" w:name="_Toc184308051"/>
      <w:bookmarkEnd w:id="73"/>
      <w:bookmarkStart w:id="74" w:name="_Toc184310333"/>
      <w:bookmarkEnd w:id="74"/>
      <w:bookmarkStart w:id="75" w:name="_Toc184308084"/>
      <w:bookmarkEnd w:id="75"/>
      <w:bookmarkStart w:id="76" w:name="_Toc184310308"/>
      <w:bookmarkEnd w:id="76"/>
      <w:bookmarkStart w:id="77" w:name="_Toc184312133"/>
      <w:bookmarkEnd w:id="77"/>
      <w:bookmarkStart w:id="78" w:name="_Toc184313282"/>
      <w:bookmarkEnd w:id="78"/>
      <w:bookmarkStart w:id="79" w:name="_Toc184314411"/>
      <w:bookmarkEnd w:id="79"/>
      <w:bookmarkStart w:id="80" w:name="_Toc184312092"/>
      <w:bookmarkEnd w:id="80"/>
      <w:bookmarkStart w:id="81" w:name="_Toc184314427"/>
      <w:bookmarkEnd w:id="81"/>
      <w:bookmarkStart w:id="82" w:name="_Toc184312079"/>
      <w:bookmarkEnd w:id="82"/>
      <w:bookmarkStart w:id="83" w:name="_Toc184310332"/>
      <w:bookmarkEnd w:id="83"/>
      <w:bookmarkStart w:id="84" w:name="_Toc184312113"/>
      <w:bookmarkEnd w:id="84"/>
      <w:bookmarkStart w:id="85" w:name="_Toc184310296"/>
      <w:bookmarkEnd w:id="85"/>
      <w:bookmarkStart w:id="86" w:name="_Toc184308089"/>
      <w:bookmarkEnd w:id="86"/>
      <w:bookmarkStart w:id="87" w:name="_Toc184313254"/>
      <w:bookmarkEnd w:id="87"/>
      <w:bookmarkStart w:id="88" w:name="_Toc184314436"/>
      <w:bookmarkEnd w:id="88"/>
      <w:bookmarkStart w:id="89" w:name="_Toc184310340"/>
      <w:bookmarkEnd w:id="89"/>
      <w:bookmarkStart w:id="90" w:name="_Toc184310282"/>
      <w:bookmarkEnd w:id="90"/>
      <w:bookmarkStart w:id="91" w:name="_Toc184313296"/>
      <w:bookmarkEnd w:id="91"/>
      <w:bookmarkStart w:id="92" w:name="_Toc184313238"/>
      <w:bookmarkEnd w:id="92"/>
      <w:bookmarkStart w:id="93" w:name="_Toc184312129"/>
      <w:bookmarkEnd w:id="93"/>
      <w:bookmarkStart w:id="94" w:name="_Toc184314425"/>
      <w:bookmarkEnd w:id="94"/>
      <w:bookmarkStart w:id="95" w:name="_Toc184314424"/>
      <w:bookmarkEnd w:id="95"/>
      <w:bookmarkStart w:id="96" w:name="_Toc184312122"/>
      <w:bookmarkEnd w:id="96"/>
      <w:bookmarkStart w:id="97" w:name="_Toc184312104"/>
      <w:bookmarkEnd w:id="97"/>
      <w:bookmarkStart w:id="98" w:name="_Toc184314452"/>
      <w:bookmarkEnd w:id="98"/>
      <w:bookmarkStart w:id="99" w:name="_Toc184314430"/>
      <w:bookmarkEnd w:id="99"/>
      <w:bookmarkStart w:id="100" w:name="_Toc184313264"/>
      <w:bookmarkEnd w:id="100"/>
      <w:bookmarkStart w:id="101" w:name="_Toc184313306"/>
      <w:bookmarkEnd w:id="101"/>
      <w:bookmarkStart w:id="102" w:name="_Toc184308079"/>
      <w:bookmarkEnd w:id="102"/>
      <w:bookmarkStart w:id="103" w:name="_Toc184313267"/>
      <w:bookmarkEnd w:id="103"/>
      <w:bookmarkStart w:id="104" w:name="_Toc184313309"/>
      <w:bookmarkEnd w:id="104"/>
      <w:bookmarkStart w:id="105" w:name="_Toc184308038"/>
      <w:bookmarkEnd w:id="105"/>
      <w:bookmarkStart w:id="106" w:name="_Toc184310338"/>
      <w:bookmarkEnd w:id="106"/>
      <w:bookmarkStart w:id="107" w:name="_Toc184310278"/>
      <w:bookmarkEnd w:id="107"/>
      <w:bookmarkStart w:id="108" w:name="_Toc184310312"/>
      <w:bookmarkEnd w:id="108"/>
      <w:bookmarkStart w:id="109" w:name="_Toc184313240"/>
      <w:bookmarkEnd w:id="109"/>
      <w:bookmarkStart w:id="110" w:name="_Toc184314464"/>
      <w:bookmarkEnd w:id="110"/>
      <w:bookmarkStart w:id="111" w:name="_Toc184312108"/>
      <w:bookmarkEnd w:id="111"/>
      <w:bookmarkStart w:id="112" w:name="_Toc184313308"/>
      <w:bookmarkEnd w:id="112"/>
      <w:bookmarkStart w:id="113" w:name="_Toc184313268"/>
      <w:bookmarkEnd w:id="113"/>
      <w:bookmarkStart w:id="114" w:name="_Toc184310284"/>
      <w:bookmarkEnd w:id="114"/>
      <w:bookmarkStart w:id="115" w:name="_Toc184313259"/>
      <w:bookmarkEnd w:id="115"/>
      <w:bookmarkStart w:id="116" w:name="_Toc184312100"/>
      <w:bookmarkEnd w:id="116"/>
      <w:bookmarkStart w:id="117" w:name="_Toc184312131"/>
      <w:bookmarkEnd w:id="117"/>
      <w:bookmarkStart w:id="118" w:name="_Toc184312070"/>
      <w:bookmarkEnd w:id="118"/>
      <w:bookmarkStart w:id="119" w:name="_Toc184308062"/>
      <w:bookmarkEnd w:id="119"/>
      <w:bookmarkStart w:id="120" w:name="_Toc184314440"/>
      <w:bookmarkEnd w:id="120"/>
      <w:bookmarkStart w:id="121" w:name="_Toc184312085"/>
      <w:bookmarkEnd w:id="121"/>
      <w:bookmarkStart w:id="122" w:name="_Toc184310327"/>
      <w:bookmarkEnd w:id="122"/>
      <w:bookmarkStart w:id="123" w:name="_Toc184312093"/>
      <w:bookmarkEnd w:id="123"/>
      <w:bookmarkStart w:id="124" w:name="_Toc184312118"/>
      <w:bookmarkEnd w:id="124"/>
      <w:bookmarkStart w:id="125" w:name="_Toc184313277"/>
      <w:bookmarkEnd w:id="125"/>
      <w:bookmarkStart w:id="126" w:name="_Toc184313284"/>
      <w:bookmarkEnd w:id="126"/>
      <w:bookmarkStart w:id="127" w:name="_Toc184310321"/>
      <w:bookmarkEnd w:id="127"/>
      <w:bookmarkStart w:id="128" w:name="_Toc184314465"/>
      <w:bookmarkEnd w:id="128"/>
      <w:bookmarkStart w:id="129" w:name="_Toc184312117"/>
      <w:bookmarkEnd w:id="129"/>
      <w:bookmarkStart w:id="130" w:name="_Toc184312109"/>
      <w:bookmarkEnd w:id="130"/>
      <w:bookmarkStart w:id="131" w:name="_Toc184308066"/>
      <w:bookmarkEnd w:id="131"/>
      <w:bookmarkStart w:id="132" w:name="_Toc184310342"/>
      <w:bookmarkEnd w:id="132"/>
      <w:bookmarkStart w:id="133" w:name="_Toc184313288"/>
      <w:bookmarkEnd w:id="133"/>
      <w:bookmarkStart w:id="134" w:name="_Toc184308057"/>
      <w:bookmarkEnd w:id="134"/>
      <w:bookmarkStart w:id="135" w:name="_Toc184310310"/>
      <w:bookmarkEnd w:id="135"/>
      <w:bookmarkStart w:id="136" w:name="_Toc184308108"/>
      <w:bookmarkEnd w:id="136"/>
      <w:bookmarkStart w:id="137" w:name="_Toc184314441"/>
      <w:bookmarkEnd w:id="137"/>
      <w:bookmarkStart w:id="138" w:name="_Toc184310318"/>
      <w:bookmarkEnd w:id="138"/>
      <w:bookmarkStart w:id="139" w:name="_Toc184310320"/>
      <w:bookmarkEnd w:id="139"/>
      <w:bookmarkStart w:id="140" w:name="_Toc184310339"/>
      <w:bookmarkEnd w:id="140"/>
      <w:bookmarkStart w:id="141" w:name="_Toc184308046"/>
      <w:bookmarkEnd w:id="141"/>
      <w:bookmarkStart w:id="142" w:name="_Toc184313266"/>
      <w:bookmarkEnd w:id="142"/>
      <w:bookmarkStart w:id="143" w:name="_Toc184312097"/>
      <w:bookmarkEnd w:id="143"/>
      <w:bookmarkStart w:id="144" w:name="_Toc184314463"/>
      <w:bookmarkEnd w:id="144"/>
      <w:bookmarkStart w:id="145" w:name="_Toc184314432"/>
      <w:bookmarkEnd w:id="145"/>
      <w:bookmarkStart w:id="146" w:name="_Toc184310292"/>
      <w:bookmarkEnd w:id="146"/>
      <w:bookmarkStart w:id="147" w:name="_Toc184310300"/>
      <w:bookmarkEnd w:id="147"/>
      <w:bookmarkStart w:id="148" w:name="_Toc184314453"/>
      <w:bookmarkEnd w:id="148"/>
      <w:bookmarkStart w:id="149" w:name="_Toc184308049"/>
      <w:bookmarkEnd w:id="149"/>
      <w:bookmarkStart w:id="150" w:name="_Toc184308105"/>
      <w:bookmarkEnd w:id="150"/>
      <w:bookmarkStart w:id="151" w:name="_Toc184314456"/>
      <w:bookmarkEnd w:id="151"/>
      <w:bookmarkStart w:id="152" w:name="_Toc184314415"/>
      <w:bookmarkEnd w:id="152"/>
      <w:bookmarkStart w:id="153" w:name="_Toc184310330"/>
      <w:bookmarkEnd w:id="153"/>
      <w:bookmarkStart w:id="154" w:name="_Toc184313290"/>
      <w:bookmarkEnd w:id="154"/>
      <w:bookmarkStart w:id="155" w:name="_Toc184310298"/>
      <w:bookmarkEnd w:id="155"/>
      <w:bookmarkStart w:id="156" w:name="_Toc184313305"/>
      <w:bookmarkEnd w:id="156"/>
      <w:bookmarkStart w:id="157" w:name="_Toc184310304"/>
      <w:bookmarkEnd w:id="157"/>
      <w:bookmarkStart w:id="158" w:name="_Toc184310343"/>
      <w:bookmarkEnd w:id="158"/>
      <w:bookmarkStart w:id="159" w:name="_Toc184313300"/>
      <w:bookmarkEnd w:id="159"/>
      <w:bookmarkStart w:id="160" w:name="_Toc184308050"/>
      <w:bookmarkEnd w:id="160"/>
      <w:bookmarkStart w:id="161" w:name="_Toc184314467"/>
      <w:bookmarkEnd w:id="161"/>
      <w:bookmarkStart w:id="162" w:name="_Toc184312086"/>
      <w:bookmarkEnd w:id="162"/>
      <w:bookmarkStart w:id="163" w:name="_Toc184313302"/>
      <w:bookmarkEnd w:id="163"/>
      <w:bookmarkStart w:id="164" w:name="_Toc184308043"/>
      <w:bookmarkEnd w:id="164"/>
      <w:bookmarkStart w:id="165" w:name="_Toc184312115"/>
      <w:bookmarkEnd w:id="165"/>
      <w:bookmarkStart w:id="166" w:name="_Toc184312125"/>
      <w:bookmarkEnd w:id="166"/>
      <w:bookmarkStart w:id="167" w:name="_Toc184310317"/>
      <w:bookmarkEnd w:id="167"/>
      <w:bookmarkStart w:id="168" w:name="_Toc184314471"/>
      <w:bookmarkEnd w:id="168"/>
      <w:bookmarkStart w:id="169" w:name="_Toc184312091"/>
      <w:bookmarkEnd w:id="169"/>
      <w:bookmarkStart w:id="170" w:name="_Toc184310326"/>
      <w:bookmarkEnd w:id="170"/>
      <w:bookmarkStart w:id="171" w:name="_Toc184308036"/>
      <w:bookmarkEnd w:id="171"/>
      <w:bookmarkStart w:id="172" w:name="_Toc184313294"/>
      <w:bookmarkEnd w:id="172"/>
      <w:bookmarkStart w:id="173" w:name="_Toc184312076"/>
      <w:bookmarkEnd w:id="173"/>
      <w:bookmarkStart w:id="174" w:name="_Toc184314420"/>
      <w:bookmarkEnd w:id="174"/>
      <w:bookmarkStart w:id="175" w:name="_Toc184314414"/>
      <w:bookmarkEnd w:id="175"/>
      <w:bookmarkStart w:id="176" w:name="_Toc184312119"/>
      <w:bookmarkEnd w:id="176"/>
      <w:bookmarkStart w:id="177" w:name="_Toc184314442"/>
      <w:bookmarkEnd w:id="177"/>
      <w:bookmarkStart w:id="178" w:name="_Toc184313283"/>
      <w:bookmarkEnd w:id="178"/>
      <w:bookmarkStart w:id="179" w:name="_Toc184313274"/>
      <w:bookmarkEnd w:id="179"/>
      <w:bookmarkStart w:id="180" w:name="_Toc184310324"/>
      <w:bookmarkEnd w:id="180"/>
      <w:bookmarkStart w:id="181" w:name="_Toc184312120"/>
      <w:bookmarkEnd w:id="181"/>
      <w:bookmarkStart w:id="182" w:name="_Toc184314462"/>
      <w:bookmarkEnd w:id="182"/>
      <w:bookmarkStart w:id="183" w:name="_Toc184308059"/>
      <w:bookmarkEnd w:id="183"/>
      <w:bookmarkStart w:id="184" w:name="_Toc184308058"/>
      <w:bookmarkEnd w:id="184"/>
      <w:bookmarkStart w:id="185" w:name="_Toc184310335"/>
      <w:bookmarkEnd w:id="185"/>
      <w:bookmarkStart w:id="186" w:name="_Toc184310279"/>
      <w:bookmarkEnd w:id="186"/>
      <w:bookmarkStart w:id="187" w:name="_Toc184312111"/>
      <w:bookmarkEnd w:id="187"/>
      <w:bookmarkStart w:id="188" w:name="_Toc184313253"/>
      <w:bookmarkEnd w:id="188"/>
      <w:bookmarkStart w:id="189" w:name="_Toc184310291"/>
      <w:bookmarkEnd w:id="189"/>
      <w:bookmarkStart w:id="190" w:name="_Toc184312071"/>
      <w:bookmarkEnd w:id="190"/>
      <w:bookmarkStart w:id="191" w:name="_Toc184308065"/>
      <w:bookmarkEnd w:id="191"/>
      <w:bookmarkStart w:id="192" w:name="_Toc184308101"/>
      <w:bookmarkEnd w:id="192"/>
      <w:bookmarkStart w:id="193" w:name="_Toc184314418"/>
      <w:bookmarkEnd w:id="193"/>
      <w:bookmarkStart w:id="194" w:name="_Toc184308093"/>
      <w:bookmarkEnd w:id="194"/>
      <w:bookmarkStart w:id="195" w:name="_Toc184310311"/>
      <w:bookmarkEnd w:id="195"/>
      <w:bookmarkStart w:id="196" w:name="_Toc184313297"/>
      <w:bookmarkEnd w:id="196"/>
      <w:bookmarkStart w:id="197" w:name="_Toc184312098"/>
      <w:bookmarkEnd w:id="197"/>
      <w:bookmarkStart w:id="198" w:name="_Toc184314416"/>
      <w:bookmarkEnd w:id="198"/>
      <w:bookmarkStart w:id="199" w:name="_Toc184308068"/>
      <w:bookmarkEnd w:id="199"/>
      <w:bookmarkStart w:id="200" w:name="_Toc184314421"/>
      <w:bookmarkEnd w:id="200"/>
      <w:bookmarkStart w:id="201" w:name="_Toc184314457"/>
      <w:bookmarkEnd w:id="201"/>
      <w:bookmarkStart w:id="202" w:name="_Toc184313301"/>
      <w:bookmarkEnd w:id="202"/>
      <w:bookmarkStart w:id="203" w:name="_Toc184308100"/>
      <w:bookmarkEnd w:id="203"/>
      <w:bookmarkStart w:id="204" w:name="_Toc184310283"/>
      <w:bookmarkEnd w:id="204"/>
      <w:bookmarkStart w:id="205" w:name="_Toc184310319"/>
      <w:bookmarkEnd w:id="205"/>
      <w:bookmarkStart w:id="206" w:name="_Toc184313257"/>
      <w:bookmarkEnd w:id="206"/>
      <w:bookmarkStart w:id="207" w:name="_Toc184314431"/>
      <w:bookmarkEnd w:id="207"/>
      <w:bookmarkStart w:id="208" w:name="_Toc184310272"/>
      <w:bookmarkEnd w:id="208"/>
      <w:bookmarkStart w:id="209" w:name="_Toc184313303"/>
      <w:bookmarkEnd w:id="209"/>
      <w:bookmarkStart w:id="210" w:name="_Toc184313304"/>
      <w:bookmarkEnd w:id="210"/>
      <w:bookmarkStart w:id="211" w:name="_Toc184310275"/>
      <w:bookmarkEnd w:id="211"/>
      <w:bookmarkStart w:id="212" w:name="_Toc184312089"/>
      <w:bookmarkEnd w:id="212"/>
      <w:bookmarkStart w:id="213" w:name="_Toc184313258"/>
      <w:bookmarkEnd w:id="213"/>
      <w:bookmarkStart w:id="214" w:name="_Toc184310273"/>
      <w:bookmarkEnd w:id="214"/>
      <w:bookmarkStart w:id="215" w:name="_Toc184308080"/>
      <w:bookmarkEnd w:id="215"/>
      <w:bookmarkStart w:id="216" w:name="_Toc184310301"/>
      <w:bookmarkEnd w:id="216"/>
      <w:bookmarkStart w:id="217" w:name="_Toc184314445"/>
      <w:bookmarkEnd w:id="217"/>
      <w:bookmarkStart w:id="218" w:name="_Toc184308044"/>
      <w:bookmarkEnd w:id="218"/>
      <w:bookmarkStart w:id="219" w:name="_Toc184312116"/>
      <w:bookmarkEnd w:id="219"/>
      <w:bookmarkStart w:id="220" w:name="_Toc184313252"/>
      <w:bookmarkEnd w:id="220"/>
      <w:bookmarkStart w:id="221" w:name="_Toc184308090"/>
      <w:bookmarkEnd w:id="221"/>
      <w:bookmarkStart w:id="222" w:name="_Toc184310331"/>
      <w:bookmarkEnd w:id="222"/>
      <w:bookmarkStart w:id="223" w:name="_Toc184313276"/>
      <w:bookmarkEnd w:id="223"/>
      <w:bookmarkStart w:id="224" w:name="_Toc184310285"/>
      <w:bookmarkEnd w:id="224"/>
      <w:bookmarkStart w:id="225" w:name="_Toc184308056"/>
      <w:bookmarkEnd w:id="225"/>
      <w:bookmarkStart w:id="226" w:name="_Toc184308096"/>
      <w:bookmarkEnd w:id="226"/>
      <w:bookmarkStart w:id="227" w:name="_Toc184313270"/>
      <w:bookmarkEnd w:id="227"/>
      <w:bookmarkStart w:id="228" w:name="_Toc184310336"/>
      <w:bookmarkEnd w:id="228"/>
      <w:bookmarkStart w:id="229" w:name="_Toc184308073"/>
      <w:bookmarkEnd w:id="229"/>
      <w:bookmarkStart w:id="230" w:name="_Toc184312090"/>
      <w:bookmarkEnd w:id="230"/>
      <w:bookmarkStart w:id="231" w:name="_Toc184313262"/>
      <w:bookmarkEnd w:id="231"/>
      <w:bookmarkStart w:id="232" w:name="_Toc184310290"/>
      <w:bookmarkEnd w:id="232"/>
      <w:bookmarkStart w:id="233" w:name="_Toc184312087"/>
      <w:bookmarkEnd w:id="233"/>
      <w:bookmarkStart w:id="234" w:name="_Toc184310325"/>
      <w:bookmarkEnd w:id="234"/>
      <w:bookmarkStart w:id="235" w:name="_Toc184312081"/>
      <w:bookmarkEnd w:id="235"/>
      <w:bookmarkStart w:id="236" w:name="_Toc184314437"/>
      <w:bookmarkEnd w:id="236"/>
      <w:bookmarkStart w:id="237" w:name="_Toc184314458"/>
      <w:bookmarkEnd w:id="237"/>
      <w:bookmarkStart w:id="238" w:name="_Toc184312099"/>
      <w:bookmarkEnd w:id="238"/>
      <w:bookmarkStart w:id="239" w:name="_Toc184314461"/>
      <w:bookmarkEnd w:id="239"/>
      <w:bookmarkStart w:id="240" w:name="_Toc184314480"/>
      <w:bookmarkEnd w:id="240"/>
      <w:bookmarkStart w:id="241" w:name="_Toc184308054"/>
      <w:bookmarkEnd w:id="241"/>
      <w:bookmarkStart w:id="242" w:name="_Toc184314451"/>
      <w:bookmarkEnd w:id="242"/>
      <w:bookmarkStart w:id="243" w:name="_Toc184308074"/>
      <w:bookmarkEnd w:id="243"/>
      <w:bookmarkStart w:id="244" w:name="_Toc184310323"/>
      <w:bookmarkEnd w:id="244"/>
      <w:bookmarkStart w:id="245" w:name="_Toc184308076"/>
      <w:bookmarkEnd w:id="245"/>
      <w:bookmarkStart w:id="246" w:name="_Toc184308077"/>
      <w:bookmarkEnd w:id="246"/>
      <w:bookmarkStart w:id="247" w:name="_Toc184308094"/>
      <w:bookmarkEnd w:id="247"/>
      <w:bookmarkStart w:id="248" w:name="_Toc184313247"/>
      <w:bookmarkEnd w:id="248"/>
      <w:bookmarkStart w:id="249" w:name="_Toc184308064"/>
      <w:bookmarkEnd w:id="249"/>
      <w:bookmarkStart w:id="250" w:name="_Toc184312110"/>
      <w:bookmarkEnd w:id="250"/>
      <w:bookmarkStart w:id="251" w:name="_Toc184314455"/>
      <w:bookmarkEnd w:id="251"/>
      <w:bookmarkStart w:id="252" w:name="_Toc184308102"/>
      <w:bookmarkEnd w:id="252"/>
      <w:bookmarkStart w:id="253" w:name="_Toc184312107"/>
      <w:bookmarkEnd w:id="253"/>
      <w:bookmarkStart w:id="254" w:name="_Toc184314413"/>
      <w:bookmarkEnd w:id="254"/>
      <w:bookmarkStart w:id="255" w:name="_Toc184308055"/>
      <w:bookmarkEnd w:id="255"/>
      <w:bookmarkStart w:id="256" w:name="_Toc184314423"/>
      <w:bookmarkEnd w:id="256"/>
      <w:bookmarkStart w:id="257" w:name="_Toc184310313"/>
      <w:bookmarkEnd w:id="257"/>
      <w:bookmarkStart w:id="258" w:name="_Toc184314468"/>
      <w:bookmarkEnd w:id="258"/>
      <w:bookmarkStart w:id="259" w:name="_Toc184308037"/>
      <w:bookmarkEnd w:id="259"/>
      <w:bookmarkStart w:id="260" w:name="_Toc184310314"/>
      <w:bookmarkEnd w:id="260"/>
      <w:bookmarkStart w:id="261" w:name="_Toc184310315"/>
      <w:bookmarkEnd w:id="261"/>
      <w:bookmarkStart w:id="262" w:name="_Toc184310288"/>
      <w:bookmarkEnd w:id="262"/>
      <w:bookmarkStart w:id="263" w:name="_Toc184308040"/>
      <w:bookmarkEnd w:id="263"/>
      <w:bookmarkStart w:id="264" w:name="_Toc184308098"/>
      <w:bookmarkEnd w:id="264"/>
      <w:bookmarkStart w:id="265" w:name="_Toc184313279"/>
      <w:bookmarkEnd w:id="265"/>
      <w:bookmarkStart w:id="266" w:name="_Toc184310305"/>
      <w:bookmarkEnd w:id="266"/>
      <w:bookmarkStart w:id="267" w:name="_Toc184310341"/>
      <w:bookmarkEnd w:id="267"/>
      <w:bookmarkStart w:id="268" w:name="_Toc184314469"/>
      <w:bookmarkEnd w:id="268"/>
      <w:bookmarkStart w:id="269" w:name="_Toc184308082"/>
      <w:bookmarkEnd w:id="269"/>
      <w:bookmarkStart w:id="270" w:name="_Toc184308053"/>
      <w:bookmarkEnd w:id="270"/>
      <w:bookmarkStart w:id="271" w:name="_Toc184313307"/>
      <w:bookmarkEnd w:id="271"/>
      <w:bookmarkStart w:id="272" w:name="_Toc184308088"/>
      <w:bookmarkEnd w:id="272"/>
      <w:bookmarkStart w:id="273" w:name="_Toc184308042"/>
      <w:bookmarkEnd w:id="273"/>
      <w:bookmarkStart w:id="274" w:name="_Toc184314446"/>
      <w:bookmarkEnd w:id="274"/>
      <w:bookmarkStart w:id="275" w:name="_Toc184313280"/>
      <w:bookmarkEnd w:id="275"/>
      <w:bookmarkStart w:id="276" w:name="_Toc184313244"/>
      <w:bookmarkEnd w:id="276"/>
      <w:bookmarkStart w:id="277" w:name="_Toc184310274"/>
      <w:bookmarkEnd w:id="277"/>
      <w:bookmarkStart w:id="278" w:name="_Toc184313273"/>
      <w:bookmarkEnd w:id="278"/>
      <w:bookmarkStart w:id="279" w:name="_Toc184308106"/>
      <w:bookmarkEnd w:id="279"/>
      <w:bookmarkStart w:id="280" w:name="_Toc184310281"/>
      <w:bookmarkEnd w:id="280"/>
      <w:bookmarkStart w:id="281" w:name="_Toc184312072"/>
      <w:bookmarkEnd w:id="281"/>
      <w:bookmarkStart w:id="282" w:name="_Toc184314435"/>
      <w:bookmarkEnd w:id="282"/>
      <w:bookmarkStart w:id="283" w:name="_Toc184312138"/>
      <w:bookmarkEnd w:id="283"/>
      <w:bookmarkStart w:id="284" w:name="_Toc184313265"/>
      <w:bookmarkEnd w:id="284"/>
      <w:bookmarkStart w:id="285" w:name="_Toc184313261"/>
      <w:bookmarkEnd w:id="285"/>
      <w:bookmarkStart w:id="286" w:name="_Toc184314476"/>
      <w:bookmarkEnd w:id="286"/>
      <w:bookmarkStart w:id="287" w:name="_Toc184308052"/>
      <w:bookmarkEnd w:id="287"/>
      <w:bookmarkStart w:id="288" w:name="_Toc184314475"/>
      <w:bookmarkEnd w:id="288"/>
      <w:bookmarkStart w:id="289" w:name="_Toc184314459"/>
      <w:bookmarkEnd w:id="289"/>
      <w:bookmarkStart w:id="290" w:name="_Toc184314460"/>
      <w:bookmarkEnd w:id="290"/>
      <w:bookmarkStart w:id="291" w:name="_Toc184312101"/>
      <w:bookmarkEnd w:id="291"/>
      <w:bookmarkStart w:id="292" w:name="_Toc184313251"/>
      <w:bookmarkEnd w:id="292"/>
      <w:bookmarkStart w:id="293" w:name="_Toc184313255"/>
      <w:bookmarkEnd w:id="293"/>
      <w:bookmarkStart w:id="294" w:name="_Toc184313286"/>
      <w:bookmarkEnd w:id="294"/>
      <w:bookmarkStart w:id="295" w:name="_Toc184308097"/>
      <w:bookmarkEnd w:id="295"/>
      <w:bookmarkStart w:id="296" w:name="_Toc184312095"/>
      <w:bookmarkEnd w:id="296"/>
      <w:bookmarkStart w:id="297" w:name="_Toc184313285"/>
      <w:bookmarkEnd w:id="297"/>
      <w:bookmarkStart w:id="298" w:name="_Toc184308095"/>
      <w:bookmarkEnd w:id="298"/>
      <w:bookmarkStart w:id="299" w:name="_Toc184312135"/>
      <w:bookmarkEnd w:id="299"/>
      <w:bookmarkStart w:id="300" w:name="_Toc184310287"/>
      <w:bookmarkEnd w:id="300"/>
      <w:bookmarkStart w:id="301" w:name="_Toc184312103"/>
      <w:bookmarkEnd w:id="301"/>
      <w:bookmarkStart w:id="302" w:name="_Toc184310280"/>
      <w:bookmarkEnd w:id="302"/>
      <w:bookmarkStart w:id="303" w:name="_Toc184308041"/>
      <w:bookmarkEnd w:id="303"/>
      <w:bookmarkStart w:id="304" w:name="_Toc184310337"/>
      <w:bookmarkEnd w:id="304"/>
      <w:bookmarkStart w:id="305" w:name="_Toc184308071"/>
      <w:bookmarkEnd w:id="305"/>
      <w:bookmarkStart w:id="306" w:name="_Toc184308086"/>
      <w:bookmarkEnd w:id="306"/>
      <w:bookmarkStart w:id="307" w:name="_Toc184312134"/>
      <w:bookmarkEnd w:id="307"/>
      <w:bookmarkStart w:id="308" w:name="_Toc184313271"/>
      <w:bookmarkEnd w:id="308"/>
      <w:bookmarkStart w:id="309" w:name="_Toc184310299"/>
      <w:bookmarkEnd w:id="309"/>
      <w:bookmarkStart w:id="310" w:name="_Toc184312080"/>
      <w:bookmarkEnd w:id="310"/>
      <w:bookmarkStart w:id="311" w:name="_Toc184314448"/>
      <w:bookmarkEnd w:id="311"/>
      <w:bookmarkStart w:id="312" w:name="_Toc184308103"/>
      <w:bookmarkEnd w:id="312"/>
      <w:bookmarkStart w:id="313" w:name="_Toc184314474"/>
      <w:bookmarkEnd w:id="313"/>
      <w:bookmarkStart w:id="314" w:name="_Toc184314470"/>
      <w:bookmarkEnd w:id="314"/>
      <w:bookmarkStart w:id="315" w:name="_Toc184308047"/>
      <w:bookmarkEnd w:id="315"/>
      <w:bookmarkStart w:id="316" w:name="_Toc184308060"/>
      <w:bookmarkEnd w:id="316"/>
      <w:bookmarkStart w:id="317" w:name="_Toc184310294"/>
      <w:bookmarkEnd w:id="317"/>
      <w:bookmarkStart w:id="318" w:name="_Toc184312139"/>
      <w:bookmarkEnd w:id="318"/>
      <w:bookmarkStart w:id="319" w:name="_Toc184314479"/>
      <w:bookmarkEnd w:id="319"/>
      <w:bookmarkStart w:id="320" w:name="_Toc184314434"/>
      <w:bookmarkEnd w:id="320"/>
      <w:bookmarkStart w:id="321" w:name="_Toc184308078"/>
      <w:bookmarkEnd w:id="321"/>
      <w:bookmarkStart w:id="322" w:name="_Toc184312121"/>
      <w:bookmarkEnd w:id="322"/>
      <w:bookmarkStart w:id="323" w:name="_Toc184310293"/>
      <w:bookmarkEnd w:id="323"/>
      <w:bookmarkStart w:id="324" w:name="_Toc184312069"/>
      <w:bookmarkEnd w:id="324"/>
      <w:bookmarkStart w:id="325" w:name="_Toc184310316"/>
      <w:bookmarkEnd w:id="325"/>
      <w:bookmarkStart w:id="326" w:name="_Toc184310328"/>
      <w:bookmarkEnd w:id="326"/>
      <w:bookmarkStart w:id="327" w:name="_Toc184310303"/>
      <w:bookmarkEnd w:id="327"/>
      <w:bookmarkStart w:id="328" w:name="_Toc184312068"/>
      <w:bookmarkEnd w:id="328"/>
      <w:bookmarkStart w:id="329" w:name="_Toc184308092"/>
      <w:bookmarkEnd w:id="329"/>
      <w:bookmarkStart w:id="330" w:name="_Toc184313299"/>
      <w:bookmarkEnd w:id="330"/>
      <w:bookmarkStart w:id="331" w:name="_Toc184308048"/>
      <w:bookmarkEnd w:id="331"/>
      <w:bookmarkStart w:id="332" w:name="_Toc184312096"/>
      <w:bookmarkEnd w:id="332"/>
      <w:bookmarkStart w:id="333" w:name="_Toc184313250"/>
      <w:bookmarkEnd w:id="333"/>
      <w:bookmarkStart w:id="334" w:name="_Toc184313287"/>
      <w:bookmarkEnd w:id="334"/>
      <w:bookmarkStart w:id="335" w:name="_Toc184312075"/>
      <w:bookmarkEnd w:id="335"/>
      <w:bookmarkStart w:id="336" w:name="_Toc184312137"/>
      <w:bookmarkEnd w:id="336"/>
      <w:bookmarkStart w:id="337" w:name="_Toc184313239"/>
      <w:bookmarkEnd w:id="337"/>
      <w:bookmarkStart w:id="338" w:name="_Toc184308061"/>
      <w:bookmarkEnd w:id="338"/>
      <w:bookmarkStart w:id="339" w:name="_Toc184314481"/>
      <w:bookmarkEnd w:id="339"/>
      <w:bookmarkStart w:id="340" w:name="_Toc184314417"/>
      <w:bookmarkEnd w:id="340"/>
      <w:bookmarkStart w:id="341" w:name="_Toc184310329"/>
      <w:bookmarkEnd w:id="341"/>
      <w:bookmarkStart w:id="342" w:name="_Toc184312088"/>
      <w:bookmarkEnd w:id="342"/>
      <w:bookmarkStart w:id="343" w:name="_Toc184312112"/>
      <w:bookmarkEnd w:id="343"/>
      <w:bookmarkStart w:id="344" w:name="_Toc184308075"/>
      <w:bookmarkEnd w:id="344"/>
      <w:bookmarkStart w:id="345" w:name="_Toc184314449"/>
      <w:bookmarkEnd w:id="345"/>
      <w:bookmarkStart w:id="346" w:name="_Toc184313293"/>
      <w:bookmarkEnd w:id="346"/>
      <w:bookmarkStart w:id="347" w:name="_Toc184312106"/>
      <w:bookmarkEnd w:id="347"/>
      <w:bookmarkStart w:id="348" w:name="_Toc184313245"/>
      <w:bookmarkEnd w:id="348"/>
      <w:bookmarkStart w:id="349" w:name="_Toc184308085"/>
      <w:bookmarkEnd w:id="349"/>
      <w:bookmarkStart w:id="350" w:name="_Toc184312067"/>
      <w:bookmarkEnd w:id="350"/>
      <w:bookmarkStart w:id="351" w:name="_Toc184313295"/>
      <w:bookmarkEnd w:id="351"/>
      <w:bookmarkStart w:id="352" w:name="_Toc184314473"/>
      <w:bookmarkEnd w:id="352"/>
      <w:bookmarkStart w:id="353" w:name="_Toc184314428"/>
      <w:bookmarkEnd w:id="353"/>
      <w:bookmarkStart w:id="354" w:name="_Toc184313291"/>
      <w:bookmarkEnd w:id="354"/>
      <w:bookmarkStart w:id="355" w:name="_Toc184308099"/>
      <w:bookmarkEnd w:id="355"/>
      <w:bookmarkStart w:id="356" w:name="_Toc184310276"/>
      <w:bookmarkEnd w:id="356"/>
      <w:bookmarkStart w:id="357" w:name="_Toc184312094"/>
      <w:bookmarkEnd w:id="357"/>
      <w:bookmarkStart w:id="358" w:name="_Toc184308072"/>
      <w:bookmarkEnd w:id="358"/>
      <w:bookmarkStart w:id="359" w:name="_Toc184314443"/>
      <w:bookmarkEnd w:id="359"/>
      <w:bookmarkStart w:id="360" w:name="_Toc184313289"/>
      <w:bookmarkEnd w:id="360"/>
      <w:bookmarkStart w:id="361" w:name="_Toc184310309"/>
      <w:bookmarkEnd w:id="361"/>
      <w:bookmarkStart w:id="362" w:name="_Toc184312114"/>
      <w:bookmarkEnd w:id="362"/>
      <w:bookmarkStart w:id="363" w:name="_Toc184310334"/>
      <w:bookmarkEnd w:id="363"/>
      <w:bookmarkStart w:id="364" w:name="_Toc184314444"/>
      <w:bookmarkEnd w:id="364"/>
      <w:bookmarkStart w:id="365" w:name="_Toc184314454"/>
      <w:bookmarkEnd w:id="365"/>
      <w:bookmarkStart w:id="366" w:name="_Toc184314419"/>
      <w:bookmarkEnd w:id="366"/>
      <w:bookmarkStart w:id="367" w:name="_Toc184312074"/>
      <w:bookmarkEnd w:id="367"/>
      <w:bookmarkStart w:id="368" w:name="_Toc184313278"/>
      <w:bookmarkEnd w:id="368"/>
      <w:bookmarkStart w:id="369" w:name="_Toc184312126"/>
      <w:bookmarkEnd w:id="369"/>
      <w:bookmarkStart w:id="370" w:name="_Toc184313260"/>
      <w:bookmarkEnd w:id="370"/>
      <w:bookmarkStart w:id="371" w:name="_Toc184313269"/>
      <w:bookmarkEnd w:id="371"/>
      <w:bookmarkStart w:id="372" w:name="_Toc184314412"/>
      <w:bookmarkEnd w:id="372"/>
      <w:bookmarkStart w:id="373" w:name="_Toc184312078"/>
      <w:bookmarkEnd w:id="373"/>
      <w:bookmarkStart w:id="374" w:name="_Toc184313241"/>
      <w:bookmarkEnd w:id="374"/>
      <w:bookmarkStart w:id="375" w:name="_Toc184308039"/>
      <w:bookmarkEnd w:id="375"/>
      <w:bookmarkStart w:id="376" w:name="_Toc184313310"/>
      <w:bookmarkEnd w:id="376"/>
      <w:bookmarkStart w:id="377" w:name="_Toc184314426"/>
      <w:bookmarkEnd w:id="377"/>
      <w:bookmarkStart w:id="378" w:name="_Toc184308104"/>
      <w:bookmarkEnd w:id="378"/>
      <w:bookmarkStart w:id="379" w:name="_Toc184313298"/>
      <w:bookmarkEnd w:id="379"/>
      <w:bookmarkStart w:id="380" w:name="_Toc184312127"/>
      <w:bookmarkEnd w:id="380"/>
      <w:bookmarkStart w:id="381" w:name="_Toc184312105"/>
      <w:bookmarkEnd w:id="381"/>
      <w:bookmarkStart w:id="382" w:name="_Toc184314429"/>
      <w:bookmarkEnd w:id="382"/>
      <w:bookmarkStart w:id="383" w:name="_Toc184312136"/>
      <w:bookmarkEnd w:id="383"/>
      <w:bookmarkStart w:id="384" w:name="_Toc184308087"/>
      <w:bookmarkEnd w:id="384"/>
      <w:bookmarkStart w:id="385" w:name="_Toc184308083"/>
      <w:bookmarkEnd w:id="385"/>
      <w:bookmarkStart w:id="386" w:name="_Toc184314447"/>
      <w:bookmarkEnd w:id="386"/>
      <w:bookmarkStart w:id="387" w:name="_Toc184313275"/>
      <w:bookmarkEnd w:id="387"/>
      <w:bookmarkStart w:id="388" w:name="_Toc184308081"/>
      <w:bookmarkEnd w:id="388"/>
      <w:bookmarkStart w:id="389" w:name="_Toc184308091"/>
      <w:bookmarkEnd w:id="389"/>
      <w:bookmarkStart w:id="390" w:name="_Toc184308063"/>
      <w:bookmarkEnd w:id="390"/>
      <w:bookmarkStart w:id="391" w:name="_Toc184313246"/>
      <w:bookmarkEnd w:id="391"/>
      <w:bookmarkStart w:id="392" w:name="_Toc184312128"/>
      <w:bookmarkEnd w:id="392"/>
      <w:bookmarkStart w:id="393" w:name="_Toc184312123"/>
      <w:bookmarkEnd w:id="393"/>
      <w:r>
        <w:rPr>
          <w:rFonts w:hint="eastAsia" w:ascii="宋体" w:hAnsi="宋体" w:cs="宋体"/>
          <w:b/>
          <w:bCs/>
          <w:sz w:val="28"/>
          <w:szCs w:val="28"/>
        </w:rPr>
        <w:t>评标办法</w:t>
      </w:r>
    </w:p>
    <w:p>
      <w:pPr>
        <w:spacing w:line="600" w:lineRule="exact"/>
        <w:jc w:val="center"/>
        <w:rPr>
          <w:rFonts w:ascii="宋体" w:hAnsi="宋体" w:cs="宋体"/>
          <w:b/>
          <w:bCs/>
          <w:sz w:val="28"/>
          <w:szCs w:val="28"/>
        </w:rPr>
      </w:pPr>
      <w:r>
        <w:rPr>
          <w:rFonts w:hint="eastAsia" w:ascii="宋体" w:hAnsi="宋体" w:cs="宋体"/>
          <w:b/>
          <w:bCs/>
          <w:sz w:val="28"/>
          <w:szCs w:val="28"/>
        </w:rPr>
        <w:t>评标办法前附表</w:t>
      </w:r>
    </w:p>
    <w:tbl>
      <w:tblPr>
        <w:tblStyle w:val="62"/>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554"/>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sz w:val="24"/>
              </w:rPr>
            </w:pPr>
            <w:r>
              <w:rPr>
                <w:rFonts w:hint="eastAsia"/>
                <w:sz w:val="24"/>
              </w:rPr>
              <w:t>序号</w:t>
            </w:r>
          </w:p>
        </w:tc>
        <w:tc>
          <w:tcPr>
            <w:tcW w:w="7554" w:type="dxa"/>
            <w:vAlign w:val="center"/>
          </w:tcPr>
          <w:p>
            <w:pPr>
              <w:jc w:val="center"/>
              <w:rPr>
                <w:sz w:val="24"/>
              </w:rPr>
            </w:pPr>
            <w:r>
              <w:rPr>
                <w:rFonts w:hint="eastAsia"/>
                <w:sz w:val="24"/>
              </w:rPr>
              <w:t>评分细则内容</w:t>
            </w:r>
          </w:p>
        </w:tc>
        <w:tc>
          <w:tcPr>
            <w:tcW w:w="1139" w:type="dxa"/>
            <w:vAlign w:val="center"/>
          </w:tcPr>
          <w:p>
            <w:pPr>
              <w:jc w:val="center"/>
              <w:rPr>
                <w:sz w:val="24"/>
              </w:rPr>
            </w:pPr>
            <w:r>
              <w:rPr>
                <w:rFonts w:hint="eastAsia"/>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ascii="宋体" w:hAnsi="宋体" w:cs="宋体"/>
                <w:sz w:val="24"/>
              </w:rPr>
            </w:pPr>
            <w:r>
              <w:rPr>
                <w:rFonts w:hint="eastAsia" w:ascii="宋体" w:hAnsi="宋体" w:cs="宋体"/>
                <w:sz w:val="24"/>
              </w:rPr>
              <w:t>1</w:t>
            </w:r>
          </w:p>
        </w:tc>
        <w:tc>
          <w:tcPr>
            <w:tcW w:w="7554" w:type="dxa"/>
            <w:vAlign w:val="center"/>
          </w:tcPr>
          <w:p>
            <w:pPr>
              <w:adjustRightInd/>
              <w:spacing w:line="600" w:lineRule="exact"/>
              <w:jc w:val="left"/>
              <w:rPr>
                <w:rFonts w:ascii="宋体" w:hAnsi="宋体" w:cs="宋体"/>
                <w:sz w:val="24"/>
              </w:rPr>
            </w:pPr>
            <w:r>
              <w:rPr>
                <w:rFonts w:hint="eastAsia" w:ascii="宋体" w:hAnsi="宋体" w:cs="宋体"/>
                <w:sz w:val="24"/>
              </w:rPr>
              <w:t>投标人具有质量管理体系认证、环境管理体系认证、职业健康安全管理体系认证的有1个认证得2分，本项最多得6分。</w:t>
            </w:r>
          </w:p>
          <w:p>
            <w:pPr>
              <w:adjustRightInd/>
              <w:spacing w:line="600" w:lineRule="exact"/>
              <w:jc w:val="left"/>
              <w:rPr>
                <w:rFonts w:ascii="宋体" w:hAnsi="宋体" w:cs="宋体"/>
                <w:sz w:val="24"/>
              </w:rPr>
            </w:pPr>
            <w:r>
              <w:rPr>
                <w:rFonts w:hint="eastAsia"/>
                <w:b/>
                <w:bCs/>
                <w:spacing w:val="-2"/>
                <w:sz w:val="24"/>
              </w:rPr>
              <w:t>（投标文件中提供</w:t>
            </w:r>
            <w:r>
              <w:rPr>
                <w:rFonts w:hint="eastAsia" w:ascii="宋体" w:hAnsi="宋体" w:cs="宋体"/>
                <w:b/>
                <w:sz w:val="24"/>
              </w:rPr>
              <w:t>有效期内的认证证书</w:t>
            </w:r>
            <w:r>
              <w:rPr>
                <w:rFonts w:hint="eastAsia"/>
                <w:b/>
                <w:bCs/>
                <w:spacing w:val="-2"/>
                <w:sz w:val="24"/>
              </w:rPr>
              <w:t>复印件并加盖公章）；</w:t>
            </w:r>
          </w:p>
        </w:tc>
        <w:tc>
          <w:tcPr>
            <w:tcW w:w="1139"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7554" w:type="dxa"/>
            <w:vAlign w:val="center"/>
          </w:tcPr>
          <w:p>
            <w:pPr>
              <w:adjustRightInd/>
              <w:spacing w:line="600" w:lineRule="exact"/>
              <w:jc w:val="left"/>
              <w:rPr>
                <w:b/>
                <w:bCs/>
                <w:spacing w:val="-2"/>
                <w:sz w:val="24"/>
              </w:rPr>
            </w:pPr>
            <w:r>
              <w:rPr>
                <w:rFonts w:hint="eastAsia" w:ascii="宋体" w:hAnsi="宋体" w:cs="宋体"/>
                <w:kern w:val="0"/>
                <w:sz w:val="24"/>
                <w:lang w:bidi="ar"/>
              </w:rPr>
              <w:t>反应速度：投标人承诺响应及到达现场时间在30分钟以内，区级及以上整改内容在24小时以内完成并回复的得3分，</w:t>
            </w:r>
            <w:r>
              <w:rPr>
                <w:rFonts w:hint="eastAsia" w:ascii="宋体" w:hAnsi="宋体" w:cs="仿宋"/>
                <w:sz w:val="24"/>
              </w:rPr>
              <w:t>不承诺不得分（格式自拟）。</w:t>
            </w:r>
          </w:p>
        </w:tc>
        <w:tc>
          <w:tcPr>
            <w:tcW w:w="1139" w:type="dxa"/>
            <w:vAlign w:val="center"/>
          </w:tcPr>
          <w:p>
            <w:pPr>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554" w:type="dxa"/>
            <w:vAlign w:val="center"/>
          </w:tcPr>
          <w:p>
            <w:pPr>
              <w:adjustRightInd/>
              <w:spacing w:line="600" w:lineRule="exact"/>
              <w:jc w:val="left"/>
              <w:rPr>
                <w:b/>
                <w:bCs/>
                <w:spacing w:val="-2"/>
                <w:sz w:val="24"/>
              </w:rPr>
            </w:pPr>
            <w:r>
              <w:rPr>
                <w:rFonts w:hint="eastAsia" w:ascii="宋体" w:hAnsi="宋体" w:cs="仿宋"/>
                <w:sz w:val="24"/>
              </w:rPr>
              <w:t>投标人承诺在中标后正式进场前，在养护服务所在镇街范围内设立工作场所（含办公、仓库等）且面积满足养护工作需求的得3分，不承诺不得分（格式自拟）。</w:t>
            </w:r>
          </w:p>
        </w:tc>
        <w:tc>
          <w:tcPr>
            <w:tcW w:w="1139" w:type="dxa"/>
            <w:vAlign w:val="center"/>
          </w:tcPr>
          <w:p>
            <w:pPr>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7554" w:type="dxa"/>
            <w:vAlign w:val="center"/>
          </w:tcPr>
          <w:p>
            <w:pPr>
              <w:adjustRightInd/>
              <w:spacing w:line="600" w:lineRule="exact"/>
              <w:jc w:val="left"/>
              <w:rPr>
                <w:b/>
                <w:bCs/>
                <w:spacing w:val="-2"/>
                <w:sz w:val="24"/>
              </w:rPr>
            </w:pPr>
            <w:r>
              <w:rPr>
                <w:rFonts w:hint="eastAsia" w:ascii="宋体" w:hAnsi="宋体" w:cs="仿宋"/>
                <w:sz w:val="24"/>
              </w:rPr>
              <w:t>项目负责人</w:t>
            </w:r>
            <w:r>
              <w:rPr>
                <w:rFonts w:hint="eastAsia" w:ascii="宋体" w:hAnsi="宋体" w:cs="宋体"/>
                <w:bCs/>
                <w:sz w:val="24"/>
                <w:szCs w:val="22"/>
              </w:rPr>
              <w:t>具备市政二级建造师及以上的得3分，同时具备中级及以上工程师职称得3分，最高得6分，</w:t>
            </w:r>
            <w:r>
              <w:rPr>
                <w:rFonts w:hint="eastAsia" w:ascii="宋体" w:hAnsi="宋体" w:cs="仿宋"/>
                <w:sz w:val="24"/>
              </w:rPr>
              <w:t>没有不得分。（</w:t>
            </w:r>
            <w:r>
              <w:rPr>
                <w:rFonts w:hint="eastAsia"/>
                <w:b/>
                <w:bCs/>
                <w:spacing w:val="-2"/>
                <w:sz w:val="24"/>
              </w:rPr>
              <w:t>投标文件中提供</w:t>
            </w:r>
            <w:r>
              <w:rPr>
                <w:rFonts w:hint="eastAsia" w:ascii="宋体" w:hAnsi="宋体" w:cs="宋体"/>
                <w:b/>
                <w:sz w:val="24"/>
              </w:rPr>
              <w:t>相关证书</w:t>
            </w:r>
            <w:r>
              <w:rPr>
                <w:rFonts w:hint="eastAsia"/>
                <w:b/>
                <w:bCs/>
                <w:spacing w:val="-2"/>
                <w:sz w:val="24"/>
              </w:rPr>
              <w:t>复印件并加盖公章及近一个月的本单位社保证明材料）</w:t>
            </w:r>
          </w:p>
        </w:tc>
        <w:tc>
          <w:tcPr>
            <w:tcW w:w="1139"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554" w:type="dxa"/>
            <w:vAlign w:val="center"/>
          </w:tcPr>
          <w:p>
            <w:pPr>
              <w:adjustRightInd/>
              <w:spacing w:line="600" w:lineRule="exact"/>
              <w:jc w:val="left"/>
              <w:rPr>
                <w:rFonts w:ascii="宋体" w:hAnsi="宋体" w:cs="宋体"/>
                <w:sz w:val="24"/>
              </w:rPr>
            </w:pPr>
            <w:r>
              <w:rPr>
                <w:rFonts w:hint="eastAsia" w:ascii="宋体" w:hAnsi="宋体" w:cs="仿宋"/>
                <w:sz w:val="24"/>
              </w:rPr>
              <w:t>项目管理班子的人员（除项目负责人外）配备齐全（包括施工员、质量员、安全员、材料员、资料员）有1个得1分，最多得5分；持有建筑电工上岗证的人员，每人得1分，最多得3分；持有下水道养护工证的人员，每人得1分，最多得4分，持有潜水员证书的人员，每人得1分，最多得2分；持有管道CCTV检测证书的人员，每人得1分，最多得1分。（</w:t>
            </w:r>
            <w:r>
              <w:rPr>
                <w:rFonts w:hint="eastAsia"/>
                <w:b/>
                <w:bCs/>
                <w:spacing w:val="-2"/>
                <w:sz w:val="24"/>
              </w:rPr>
              <w:t>投标文件中提供</w:t>
            </w:r>
            <w:r>
              <w:rPr>
                <w:rFonts w:hint="eastAsia" w:ascii="宋体" w:hAnsi="宋体" w:cs="宋体"/>
                <w:b/>
                <w:sz w:val="24"/>
              </w:rPr>
              <w:t>相关证书</w:t>
            </w:r>
            <w:r>
              <w:rPr>
                <w:rFonts w:hint="eastAsia"/>
                <w:b/>
                <w:bCs/>
                <w:spacing w:val="-2"/>
                <w:sz w:val="24"/>
              </w:rPr>
              <w:t>复印件并加盖公章及近一个月的本单位社保证明材料）</w:t>
            </w:r>
          </w:p>
        </w:tc>
        <w:tc>
          <w:tcPr>
            <w:tcW w:w="1139" w:type="dxa"/>
            <w:vAlign w:val="center"/>
          </w:tcPr>
          <w:p>
            <w:pPr>
              <w:jc w:val="center"/>
              <w:rPr>
                <w:rFonts w:ascii="宋体" w:hAnsi="宋体" w:cs="宋体"/>
              </w:rPr>
            </w:pPr>
            <w:r>
              <w:rPr>
                <w:rFonts w:hint="eastAsia" w:ascii="宋体" w:hAnsi="宋体" w:cs="宋体"/>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554" w:type="dxa"/>
            <w:vAlign w:val="center"/>
          </w:tcPr>
          <w:p>
            <w:pPr>
              <w:adjustRightInd/>
              <w:spacing w:line="600" w:lineRule="exact"/>
              <w:jc w:val="left"/>
              <w:rPr>
                <w:rFonts w:ascii="宋体" w:hAnsi="宋体" w:cs="仿宋"/>
                <w:sz w:val="24"/>
              </w:rPr>
            </w:pPr>
            <w:r>
              <w:rPr>
                <w:rFonts w:hint="eastAsia" w:ascii="宋体" w:hAnsi="宋体"/>
                <w:sz w:val="24"/>
                <w:szCs w:val="28"/>
              </w:rPr>
              <w:t>作业设备：①自有</w:t>
            </w:r>
            <w:r>
              <w:rPr>
                <w:rFonts w:hint="eastAsia"/>
                <w:bCs/>
                <w:sz w:val="24"/>
                <w:szCs w:val="28"/>
              </w:rPr>
              <w:t>日常管道养护的专用工程车的</w:t>
            </w:r>
            <w:r>
              <w:rPr>
                <w:rFonts w:hint="eastAsia" w:ascii="宋体" w:hAnsi="宋体"/>
                <w:sz w:val="24"/>
                <w:szCs w:val="28"/>
              </w:rPr>
              <w:t>，有1辆得1分，最多得5分；②自有</w:t>
            </w:r>
            <w:r>
              <w:rPr>
                <w:bCs/>
                <w:color w:val="000000"/>
                <w:sz w:val="24"/>
                <w:szCs w:val="28"/>
              </w:rPr>
              <w:t>雨污水管道</w:t>
            </w:r>
            <w:r>
              <w:rPr>
                <w:rFonts w:hint="eastAsia"/>
                <w:bCs/>
                <w:color w:val="000000"/>
                <w:sz w:val="24"/>
                <w:szCs w:val="28"/>
              </w:rPr>
              <w:t>专用</w:t>
            </w:r>
            <w:r>
              <w:rPr>
                <w:bCs/>
                <w:color w:val="000000"/>
                <w:sz w:val="24"/>
                <w:szCs w:val="28"/>
              </w:rPr>
              <w:t>高压冲洗车</w:t>
            </w:r>
            <w:r>
              <w:rPr>
                <w:rFonts w:hint="eastAsia" w:ascii="宋体" w:hAnsi="宋体" w:cs="宋体"/>
              </w:rPr>
              <w:t>，</w:t>
            </w:r>
            <w:r>
              <w:rPr>
                <w:rFonts w:hint="eastAsia" w:ascii="宋体" w:hAnsi="宋体"/>
                <w:sz w:val="24"/>
                <w:szCs w:val="28"/>
              </w:rPr>
              <w:t>有1辆得1分,最多得2分；③自有</w:t>
            </w:r>
            <w:r>
              <w:rPr>
                <w:rFonts w:hint="eastAsia"/>
                <w:bCs/>
                <w:color w:val="000000"/>
                <w:sz w:val="24"/>
                <w:szCs w:val="28"/>
              </w:rPr>
              <w:t>管道CCTV摄像检测系统</w:t>
            </w:r>
            <w:r>
              <w:rPr>
                <w:rFonts w:hint="eastAsia" w:ascii="宋体" w:hAnsi="宋体"/>
                <w:sz w:val="24"/>
                <w:szCs w:val="28"/>
              </w:rPr>
              <w:t>，有1套得2分,最多得4分；④自有</w:t>
            </w:r>
            <w:r>
              <w:rPr>
                <w:rFonts w:hint="eastAsia"/>
                <w:bCs/>
                <w:color w:val="000000"/>
                <w:sz w:val="24"/>
                <w:szCs w:val="28"/>
              </w:rPr>
              <w:t>QV</w:t>
            </w:r>
            <w:r>
              <w:rPr>
                <w:rFonts w:hint="eastAsia" w:ascii="宋体" w:hAnsi="宋体"/>
                <w:sz w:val="24"/>
                <w:szCs w:val="28"/>
              </w:rPr>
              <w:t>管道潜望镜，有1套得2分，最多得2分；⑤自有DN1200及以上封堵气囊，有1套得2分，最多得4分；⑥自有30kw及以上发电机组，有1台得2分,最多得4分；⑦</w:t>
            </w:r>
            <w:r>
              <w:rPr>
                <w:bCs/>
                <w:color w:val="000000"/>
                <w:sz w:val="24"/>
                <w:szCs w:val="28"/>
              </w:rPr>
              <w:t>雨污水管道</w:t>
            </w:r>
            <w:r>
              <w:rPr>
                <w:rFonts w:hint="eastAsia"/>
                <w:bCs/>
                <w:color w:val="000000"/>
                <w:sz w:val="24"/>
                <w:szCs w:val="28"/>
              </w:rPr>
              <w:t>抽水泵，</w:t>
            </w:r>
            <w:r>
              <w:rPr>
                <w:rFonts w:hint="eastAsia" w:ascii="宋体" w:hAnsi="宋体"/>
                <w:sz w:val="24"/>
                <w:szCs w:val="28"/>
              </w:rPr>
              <w:t>有1台得2分,最多得4分。</w:t>
            </w:r>
            <w:r>
              <w:rPr>
                <w:rFonts w:hint="eastAsia" w:ascii="宋体" w:hAnsi="宋体" w:cs="仿宋"/>
                <w:b/>
                <w:bCs/>
                <w:sz w:val="24"/>
              </w:rPr>
              <w:t>(投标文件中提供投标人本单位的设备或车辆的购买发票复印件（其中车辆还须提供行驶证复印件）进行证明并加盖公章，否则不得分)</w:t>
            </w:r>
          </w:p>
        </w:tc>
        <w:tc>
          <w:tcPr>
            <w:tcW w:w="1139" w:type="dxa"/>
            <w:vAlign w:val="center"/>
          </w:tcPr>
          <w:p>
            <w:pPr>
              <w:jc w:val="center"/>
              <w:rPr>
                <w:rFonts w:ascii="宋体" w:hAnsi="宋体" w:cs="宋体"/>
                <w:sz w:val="24"/>
              </w:rPr>
            </w:pPr>
            <w:r>
              <w:rPr>
                <w:rFonts w:hint="eastAsia" w:ascii="宋体" w:hAnsi="宋体" w:cs="宋体"/>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7554" w:type="dxa"/>
            <w:vAlign w:val="center"/>
          </w:tcPr>
          <w:p>
            <w:pPr>
              <w:adjustRightInd/>
              <w:spacing w:line="600" w:lineRule="exact"/>
              <w:jc w:val="left"/>
              <w:rPr>
                <w:rFonts w:ascii="宋体" w:hAnsi="宋体" w:cs="仿宋"/>
                <w:sz w:val="24"/>
              </w:rPr>
            </w:pPr>
            <w:r>
              <w:rPr>
                <w:rFonts w:hint="eastAsia"/>
                <w:bCs/>
                <w:color w:val="000000"/>
                <w:sz w:val="24"/>
                <w:szCs w:val="28"/>
              </w:rPr>
              <w:t>安全防护设备：①自有有毒有害气体气体检测仪</w:t>
            </w:r>
            <w:r>
              <w:rPr>
                <w:rFonts w:hint="eastAsia" w:ascii="宋体" w:hAnsi="宋体" w:cs="宋体"/>
              </w:rPr>
              <w:t>，</w:t>
            </w:r>
            <w:r>
              <w:rPr>
                <w:rFonts w:hint="eastAsia" w:ascii="宋体" w:hAnsi="宋体"/>
                <w:sz w:val="24"/>
                <w:szCs w:val="28"/>
              </w:rPr>
              <w:t>有1台得1分,最多得2分；</w:t>
            </w:r>
            <w:r>
              <w:rPr>
                <w:rFonts w:hint="eastAsia"/>
                <w:bCs/>
                <w:color w:val="000000"/>
                <w:sz w:val="24"/>
                <w:szCs w:val="28"/>
              </w:rPr>
              <w:t>②自有隔离式空气呼吸器</w:t>
            </w:r>
            <w:r>
              <w:rPr>
                <w:rFonts w:hint="eastAsia" w:ascii="宋体" w:hAnsi="宋体" w:cs="宋体"/>
              </w:rPr>
              <w:t>，</w:t>
            </w:r>
            <w:r>
              <w:rPr>
                <w:rFonts w:hint="eastAsia" w:ascii="宋体" w:hAnsi="宋体"/>
                <w:sz w:val="24"/>
                <w:szCs w:val="28"/>
              </w:rPr>
              <w:t>有1套得1分,最多得2分；</w:t>
            </w:r>
            <w:r>
              <w:rPr>
                <w:rFonts w:hint="eastAsia"/>
                <w:bCs/>
                <w:color w:val="000000"/>
                <w:sz w:val="24"/>
                <w:szCs w:val="28"/>
              </w:rPr>
              <w:t>③防毒面具</w:t>
            </w:r>
            <w:r>
              <w:rPr>
                <w:rFonts w:hint="eastAsia" w:ascii="宋体" w:hAnsi="宋体" w:cs="宋体"/>
              </w:rPr>
              <w:t>，</w:t>
            </w:r>
            <w:r>
              <w:rPr>
                <w:rFonts w:hint="eastAsia" w:ascii="宋体" w:hAnsi="宋体"/>
                <w:sz w:val="24"/>
                <w:szCs w:val="28"/>
              </w:rPr>
              <w:t>有1套得1分,最多得2分；</w:t>
            </w:r>
            <w:r>
              <w:rPr>
                <w:rFonts w:hint="eastAsia" w:ascii="宋体" w:hAnsi="宋体" w:cs="仿宋"/>
                <w:b/>
                <w:bCs/>
                <w:sz w:val="24"/>
              </w:rPr>
              <w:t>(投标文件中提供投标人本单位的设备的购买发票复印件进行证明并加盖公章，否则不得分)</w:t>
            </w:r>
          </w:p>
        </w:tc>
        <w:tc>
          <w:tcPr>
            <w:tcW w:w="1139"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7554" w:type="dxa"/>
            <w:vAlign w:val="center"/>
          </w:tcPr>
          <w:p>
            <w:pPr>
              <w:widowControl/>
              <w:spacing w:line="600" w:lineRule="exact"/>
              <w:jc w:val="left"/>
              <w:rPr>
                <w:rFonts w:ascii="宋体" w:hAnsi="宋体"/>
                <w:sz w:val="24"/>
                <w:szCs w:val="28"/>
              </w:rPr>
            </w:pPr>
            <w:r>
              <w:rPr>
                <w:rFonts w:hint="eastAsia" w:ascii="宋体" w:hAnsi="宋体"/>
                <w:sz w:val="24"/>
              </w:rPr>
              <w:t>根据本项目内容，供应商针对本项目的实施方案</w:t>
            </w:r>
            <w:r>
              <w:rPr>
                <w:rFonts w:hint="eastAsia" w:ascii="宋体" w:hAnsi="宋体" w:cs="宋体"/>
                <w:sz w:val="24"/>
              </w:rPr>
              <w:t>.</w:t>
            </w:r>
            <w:r>
              <w:rPr>
                <w:rFonts w:hint="eastAsia" w:ascii="宋体" w:hAnsi="宋体" w:cs="宋体"/>
                <w:b/>
                <w:bCs/>
                <w:sz w:val="24"/>
              </w:rPr>
              <w:t>符合的得</w:t>
            </w:r>
            <w:r>
              <w:rPr>
                <w:rFonts w:hint="eastAsia" w:ascii="宋体" w:hAnsi="宋体" w:cs="宋体"/>
                <w:b/>
                <w:bCs/>
                <w:sz w:val="24"/>
                <w:lang w:val="en-US" w:eastAsia="zh-CN"/>
              </w:rPr>
              <w:t>4</w:t>
            </w:r>
            <w:r>
              <w:rPr>
                <w:rFonts w:hint="eastAsia" w:ascii="宋体" w:hAnsi="宋体" w:cs="宋体"/>
                <w:b/>
                <w:bCs/>
                <w:sz w:val="24"/>
              </w:rPr>
              <w:t>分，部分符合的得</w:t>
            </w:r>
            <w:r>
              <w:rPr>
                <w:rFonts w:hint="eastAsia" w:ascii="宋体" w:hAnsi="宋体" w:cs="宋体"/>
                <w:b/>
                <w:bCs/>
                <w:sz w:val="24"/>
                <w:lang w:val="en-US" w:eastAsia="zh-CN"/>
              </w:rPr>
              <w:t>2</w:t>
            </w:r>
            <w:r>
              <w:rPr>
                <w:rFonts w:hint="eastAsia" w:ascii="宋体" w:hAnsi="宋体" w:cs="宋体"/>
                <w:b/>
                <w:bCs/>
                <w:sz w:val="24"/>
              </w:rPr>
              <w:t>分，不符合不得分；</w:t>
            </w:r>
          </w:p>
        </w:tc>
        <w:tc>
          <w:tcPr>
            <w:tcW w:w="1139" w:type="dxa"/>
            <w:vAlign w:val="center"/>
          </w:tcPr>
          <w:p>
            <w:pPr>
              <w:jc w:val="center"/>
              <w:rPr>
                <w:rFonts w:hint="eastAsia" w:ascii="宋体" w:hAnsi="宋体" w:eastAsia="宋体" w:cs="宋体"/>
                <w:sz w:val="24"/>
                <w:lang w:eastAsia="zh-CN"/>
              </w:rPr>
            </w:pPr>
            <w:r>
              <w:rPr>
                <w:rFonts w:hint="eastAsia" w:ascii="宋体" w:hAnsi="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554" w:type="dxa"/>
            <w:vAlign w:val="center"/>
          </w:tcPr>
          <w:p>
            <w:pPr>
              <w:adjustRightInd/>
              <w:spacing w:line="600" w:lineRule="exact"/>
              <w:rPr>
                <w:rFonts w:ascii="宋体" w:hAnsi="宋体" w:cs="宋体"/>
                <w:sz w:val="24"/>
              </w:rPr>
            </w:pPr>
            <w:r>
              <w:rPr>
                <w:rFonts w:hint="eastAsia" w:ascii="宋体" w:hAnsi="宋体"/>
                <w:sz w:val="24"/>
              </w:rPr>
              <w:t>管理制度是否切实可行</w:t>
            </w:r>
            <w:r>
              <w:rPr>
                <w:rFonts w:hint="eastAsia" w:ascii="宋体" w:hAnsi="宋体" w:cs="宋体"/>
                <w:sz w:val="24"/>
              </w:rPr>
              <w:t>.</w:t>
            </w:r>
            <w:r>
              <w:rPr>
                <w:rFonts w:hint="eastAsia" w:ascii="宋体" w:hAnsi="宋体" w:cs="宋体"/>
                <w:b/>
                <w:bCs/>
                <w:sz w:val="24"/>
              </w:rPr>
              <w:t>符合的得</w:t>
            </w:r>
            <w:r>
              <w:rPr>
                <w:rFonts w:hint="eastAsia" w:ascii="宋体" w:hAnsi="宋体" w:cs="宋体"/>
                <w:b/>
                <w:bCs/>
                <w:sz w:val="24"/>
                <w:lang w:val="en-US" w:eastAsia="zh-CN"/>
              </w:rPr>
              <w:t>4</w:t>
            </w:r>
            <w:r>
              <w:rPr>
                <w:rFonts w:hint="eastAsia" w:ascii="宋体" w:hAnsi="宋体" w:cs="宋体"/>
                <w:b/>
                <w:bCs/>
                <w:sz w:val="24"/>
              </w:rPr>
              <w:t>分，部分符合的得</w:t>
            </w:r>
            <w:r>
              <w:rPr>
                <w:rFonts w:hint="eastAsia" w:ascii="宋体" w:hAnsi="宋体" w:cs="宋体"/>
                <w:b/>
                <w:bCs/>
                <w:sz w:val="24"/>
                <w:lang w:val="en-US" w:eastAsia="zh-CN"/>
              </w:rPr>
              <w:t>2</w:t>
            </w:r>
            <w:r>
              <w:rPr>
                <w:rFonts w:hint="eastAsia" w:ascii="宋体" w:hAnsi="宋体" w:cs="宋体"/>
                <w:b/>
                <w:bCs/>
                <w:sz w:val="24"/>
              </w:rPr>
              <w:t>分，不符合不得分；</w:t>
            </w:r>
          </w:p>
        </w:tc>
        <w:tc>
          <w:tcPr>
            <w:tcW w:w="1139" w:type="dxa"/>
            <w:vAlign w:val="center"/>
          </w:tcPr>
          <w:p>
            <w:pPr>
              <w:jc w:val="center"/>
              <w:rPr>
                <w:rFonts w:hint="eastAsia" w:ascii="宋体" w:hAnsi="宋体" w:eastAsia="宋体" w:cs="宋体"/>
                <w:lang w:eastAsia="zh-CN"/>
              </w:rPr>
            </w:pPr>
            <w:r>
              <w:rPr>
                <w:rFonts w:hint="eastAsia" w:ascii="宋体" w:hAnsi="宋体" w:cs="宋体"/>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7554" w:type="dxa"/>
            <w:vAlign w:val="center"/>
          </w:tcPr>
          <w:p>
            <w:pPr>
              <w:adjustRightInd/>
              <w:spacing w:line="600" w:lineRule="exact"/>
              <w:rPr>
                <w:rFonts w:ascii="宋体" w:hAnsi="宋体" w:cs="宋体"/>
              </w:rPr>
            </w:pPr>
            <w:r>
              <w:rPr>
                <w:rFonts w:hint="eastAsia" w:ascii="宋体" w:hAnsi="宋体" w:cs="宋体"/>
                <w:kern w:val="0"/>
                <w:sz w:val="24"/>
              </w:rPr>
              <w:t>质量管理体系、质量保障措施是否切实可行</w:t>
            </w:r>
            <w:r>
              <w:rPr>
                <w:rFonts w:hint="eastAsia" w:ascii="宋体" w:hAnsi="宋体" w:cs="宋体"/>
                <w:sz w:val="24"/>
              </w:rPr>
              <w:t>.</w:t>
            </w:r>
            <w:r>
              <w:rPr>
                <w:rFonts w:hint="eastAsia" w:ascii="宋体" w:hAnsi="宋体" w:cs="宋体"/>
                <w:b/>
                <w:bCs/>
                <w:sz w:val="24"/>
              </w:rPr>
              <w:t>符合的得</w:t>
            </w:r>
            <w:r>
              <w:rPr>
                <w:rFonts w:hint="eastAsia" w:ascii="宋体" w:hAnsi="宋体" w:cs="宋体"/>
                <w:b/>
                <w:bCs/>
                <w:sz w:val="24"/>
                <w:lang w:val="en-US" w:eastAsia="zh-CN"/>
              </w:rPr>
              <w:t>4</w:t>
            </w:r>
            <w:r>
              <w:rPr>
                <w:rFonts w:hint="eastAsia" w:ascii="宋体" w:hAnsi="宋体" w:cs="宋体"/>
                <w:b/>
                <w:bCs/>
                <w:sz w:val="24"/>
              </w:rPr>
              <w:t>分，部分符合的得</w:t>
            </w:r>
            <w:r>
              <w:rPr>
                <w:rFonts w:hint="eastAsia" w:ascii="宋体" w:hAnsi="宋体" w:cs="宋体"/>
                <w:b/>
                <w:bCs/>
                <w:sz w:val="24"/>
                <w:lang w:val="en-US" w:eastAsia="zh-CN"/>
              </w:rPr>
              <w:t>2</w:t>
            </w:r>
            <w:r>
              <w:rPr>
                <w:rFonts w:hint="eastAsia" w:ascii="宋体" w:hAnsi="宋体" w:cs="宋体"/>
                <w:b/>
                <w:bCs/>
                <w:sz w:val="24"/>
              </w:rPr>
              <w:t>分，不符合不得分；</w:t>
            </w:r>
          </w:p>
        </w:tc>
        <w:tc>
          <w:tcPr>
            <w:tcW w:w="1139" w:type="dxa"/>
            <w:vAlign w:val="center"/>
          </w:tcPr>
          <w:p>
            <w:pPr>
              <w:jc w:val="center"/>
              <w:rPr>
                <w:rFonts w:hint="eastAsia" w:ascii="宋体" w:hAnsi="宋体" w:eastAsia="宋体" w:cs="宋体"/>
                <w:lang w:eastAsia="zh-CN"/>
              </w:rPr>
            </w:pPr>
            <w:r>
              <w:rPr>
                <w:rFonts w:hint="eastAsia" w:ascii="宋体" w:hAnsi="宋体" w:cs="宋体"/>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554" w:type="dxa"/>
            <w:vAlign w:val="center"/>
          </w:tcPr>
          <w:p>
            <w:pPr>
              <w:adjustRightInd/>
              <w:spacing w:line="600" w:lineRule="exact"/>
              <w:jc w:val="left"/>
              <w:rPr>
                <w:spacing w:val="-2"/>
                <w:sz w:val="24"/>
              </w:rPr>
            </w:pPr>
            <w:r>
              <w:rPr>
                <w:rFonts w:hint="eastAsia" w:ascii="宋体" w:hAnsi="宋体" w:cs="宋体"/>
                <w:kern w:val="0"/>
                <w:sz w:val="24"/>
              </w:rPr>
              <w:t>安全保证体系和安全保证措施是否切实可行</w:t>
            </w:r>
            <w:r>
              <w:rPr>
                <w:rFonts w:hint="eastAsia" w:ascii="宋体" w:hAnsi="宋体" w:cs="宋体"/>
                <w:sz w:val="24"/>
              </w:rPr>
              <w:t>.</w:t>
            </w:r>
            <w:r>
              <w:rPr>
                <w:rFonts w:hint="eastAsia" w:ascii="宋体" w:hAnsi="宋体" w:cs="宋体"/>
                <w:b/>
                <w:bCs/>
                <w:sz w:val="24"/>
              </w:rPr>
              <w:t>符合的得3分，部分符合的得1.5分，不符合不得分；</w:t>
            </w:r>
          </w:p>
        </w:tc>
        <w:tc>
          <w:tcPr>
            <w:tcW w:w="1139" w:type="dxa"/>
            <w:vAlign w:val="center"/>
          </w:tcPr>
          <w:p>
            <w:pPr>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7554" w:type="dxa"/>
            <w:vAlign w:val="center"/>
          </w:tcPr>
          <w:p>
            <w:pPr>
              <w:adjustRightInd/>
              <w:spacing w:line="600" w:lineRule="exact"/>
              <w:jc w:val="left"/>
              <w:rPr>
                <w:spacing w:val="-2"/>
                <w:sz w:val="24"/>
              </w:rPr>
            </w:pPr>
            <w:r>
              <w:rPr>
                <w:rFonts w:hint="eastAsia" w:ascii="宋体" w:hAnsi="宋体" w:cs="宋体"/>
                <w:kern w:val="0"/>
                <w:sz w:val="24"/>
              </w:rPr>
              <w:t>文明施工措施及环保方案是否切实可行</w:t>
            </w:r>
            <w:r>
              <w:rPr>
                <w:rFonts w:hint="eastAsia" w:ascii="宋体" w:hAnsi="宋体" w:cs="宋体"/>
                <w:sz w:val="24"/>
              </w:rPr>
              <w:t>.</w:t>
            </w:r>
            <w:r>
              <w:rPr>
                <w:rFonts w:hint="eastAsia" w:ascii="宋体" w:hAnsi="宋体" w:cs="宋体"/>
                <w:b/>
                <w:bCs/>
                <w:sz w:val="24"/>
              </w:rPr>
              <w:t>符合的得3分，部分符合的得1.5分，不符合不得分；</w:t>
            </w:r>
          </w:p>
        </w:tc>
        <w:tc>
          <w:tcPr>
            <w:tcW w:w="1139" w:type="dxa"/>
            <w:vAlign w:val="center"/>
          </w:tcPr>
          <w:p>
            <w:pPr>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7554" w:type="dxa"/>
            <w:vAlign w:val="center"/>
          </w:tcPr>
          <w:p>
            <w:pPr>
              <w:adjustRightInd/>
              <w:spacing w:line="600" w:lineRule="exact"/>
              <w:jc w:val="left"/>
              <w:rPr>
                <w:b/>
                <w:bCs/>
                <w:spacing w:val="-2"/>
                <w:sz w:val="24"/>
              </w:rPr>
            </w:pPr>
            <w:r>
              <w:rPr>
                <w:rFonts w:hint="eastAsia" w:ascii="宋体" w:hAnsi="宋体" w:cs="宋体"/>
                <w:kern w:val="0"/>
                <w:sz w:val="24"/>
              </w:rPr>
              <w:t>应对突发事故、自然灾害等应急预案是否科学、合理、有针对性</w:t>
            </w:r>
            <w:r>
              <w:rPr>
                <w:rFonts w:hint="eastAsia" w:ascii="宋体" w:hAnsi="宋体" w:cs="宋体"/>
                <w:sz w:val="24"/>
              </w:rPr>
              <w:t>.</w:t>
            </w:r>
            <w:r>
              <w:rPr>
                <w:rFonts w:hint="eastAsia" w:ascii="宋体" w:hAnsi="宋体" w:cs="宋体"/>
                <w:b/>
                <w:bCs/>
                <w:sz w:val="24"/>
              </w:rPr>
              <w:t>符合的得4分，部分符合的得2分，不符合不得分；</w:t>
            </w:r>
          </w:p>
        </w:tc>
        <w:tc>
          <w:tcPr>
            <w:tcW w:w="1139" w:type="dxa"/>
            <w:vAlign w:val="center"/>
          </w:tcPr>
          <w:p>
            <w:pPr>
              <w:jc w:val="center"/>
              <w:rPr>
                <w:rFonts w:ascii="宋体" w:hAnsi="宋体" w:cs="宋体"/>
                <w:sz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7554" w:type="dxa"/>
            <w:vAlign w:val="center"/>
          </w:tcPr>
          <w:p>
            <w:pPr>
              <w:adjustRightInd/>
              <w:spacing w:line="600" w:lineRule="exact"/>
              <w:jc w:val="left"/>
              <w:rPr>
                <w:b/>
                <w:bCs/>
                <w:spacing w:val="-2"/>
                <w:sz w:val="24"/>
              </w:rPr>
            </w:pPr>
            <w:r>
              <w:rPr>
                <w:rFonts w:hint="eastAsia" w:ascii="宋体" w:hAnsi="宋体" w:cs="宋体"/>
                <w:kern w:val="0"/>
                <w:sz w:val="24"/>
              </w:rPr>
              <w:t>合理化建议是否科学、合理、有针对性</w:t>
            </w:r>
            <w:r>
              <w:rPr>
                <w:rFonts w:hint="eastAsia" w:ascii="宋体" w:hAnsi="宋体" w:cs="宋体"/>
                <w:sz w:val="24"/>
              </w:rPr>
              <w:t>.</w:t>
            </w:r>
            <w:r>
              <w:rPr>
                <w:rFonts w:hint="eastAsia" w:ascii="宋体" w:hAnsi="宋体" w:cs="宋体"/>
                <w:b/>
                <w:bCs/>
                <w:sz w:val="24"/>
              </w:rPr>
              <w:t>符合的得4分，部分符合的得2分，不符合不得分；</w:t>
            </w:r>
          </w:p>
        </w:tc>
        <w:tc>
          <w:tcPr>
            <w:tcW w:w="1139" w:type="dxa"/>
            <w:vAlign w:val="center"/>
          </w:tcPr>
          <w:p>
            <w:pPr>
              <w:jc w:val="center"/>
              <w:rPr>
                <w:rFonts w:ascii="宋体" w:hAnsi="宋体" w:cs="宋体"/>
                <w:sz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802" w:type="dxa"/>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7554" w:type="dxa"/>
          </w:tcPr>
          <w:p>
            <w:pPr>
              <w:spacing w:line="600" w:lineRule="exact"/>
              <w:jc w:val="left"/>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pPr>
              <w:spacing w:line="600" w:lineRule="exact"/>
              <w:jc w:val="left"/>
              <w:rPr>
                <w:rFonts w:ascii="宋体" w:hAnsi="宋体" w:cs="宋体"/>
                <w:sz w:val="24"/>
              </w:rPr>
            </w:pPr>
            <w:r>
              <w:rPr>
                <w:rFonts w:hint="eastAsia" w:ascii="宋体" w:hAnsi="宋体" w:cs="宋体"/>
                <w:sz w:val="24"/>
              </w:rPr>
              <w:t>评标过程中，不得去掉报价中的最高报价和最低报价。</w:t>
            </w:r>
          </w:p>
          <w:p>
            <w:pPr>
              <w:spacing w:line="600" w:lineRule="exact"/>
              <w:rPr>
                <w:spacing w:val="-2"/>
                <w:sz w:val="24"/>
              </w:rPr>
            </w:pPr>
            <w:r>
              <w:rPr>
                <w:rFonts w:hint="eastAsia" w:ascii="宋体" w:hAnsi="宋体" w:cs="宋体"/>
                <w:sz w:val="24"/>
              </w:rPr>
              <w:t>因落实政府采购政策需要进行价格调整的，以调整后的价格计算评标基准价和投标报价。</w:t>
            </w:r>
          </w:p>
        </w:tc>
        <w:tc>
          <w:tcPr>
            <w:tcW w:w="1139" w:type="dxa"/>
            <w:vAlign w:val="center"/>
          </w:tcPr>
          <w:p>
            <w:pPr>
              <w:pStyle w:val="90"/>
              <w:spacing w:before="0" w:line="600" w:lineRule="exact"/>
              <w:ind w:firstLine="0" w:firstLineChars="0"/>
              <w:rPr>
                <w:rFonts w:ascii="宋体" w:hAnsi="宋体" w:cs="宋体"/>
                <w:szCs w:val="24"/>
              </w:rPr>
            </w:pPr>
            <w:r>
              <w:rPr>
                <w:rFonts w:hint="eastAsia" w:ascii="宋体" w:hAnsi="宋体" w:cs="宋体"/>
                <w:szCs w:val="24"/>
              </w:rPr>
              <w:t xml:space="preserve">   10</w:t>
            </w:r>
          </w:p>
        </w:tc>
      </w:tr>
    </w:tbl>
    <w:p>
      <w:pPr>
        <w:snapToGrid w:val="0"/>
        <w:spacing w:line="600" w:lineRule="exact"/>
        <w:rPr>
          <w:rFonts w:ascii="宋体" w:hAnsi="宋体" w:cs="宋体"/>
          <w:b/>
          <w:sz w:val="28"/>
          <w:szCs w:val="28"/>
        </w:rPr>
      </w:pPr>
      <w:r>
        <w:rPr>
          <w:rFonts w:hint="eastAsia" w:ascii="宋体" w:hAnsi="宋体" w:cs="宋体"/>
          <w:b/>
          <w:sz w:val="28"/>
          <w:szCs w:val="28"/>
        </w:rPr>
        <w:t>一、评标方法</w:t>
      </w:r>
    </w:p>
    <w:p>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600" w:lineRule="exact"/>
        <w:rPr>
          <w:rFonts w:ascii="宋体" w:hAnsi="宋体" w:cs="宋体"/>
          <w:kern w:val="0"/>
          <w:sz w:val="28"/>
          <w:szCs w:val="28"/>
        </w:rPr>
      </w:pPr>
      <w:r>
        <w:rPr>
          <w:rFonts w:hint="eastAsia" w:ascii="宋体" w:hAnsi="宋体" w:cs="宋体"/>
          <w:b/>
          <w:sz w:val="28"/>
          <w:szCs w:val="28"/>
        </w:rPr>
        <w:t>二、评标标准</w:t>
      </w:r>
    </w:p>
    <w:p>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600" w:lineRule="exact"/>
        <w:outlineLvl w:val="0"/>
        <w:rPr>
          <w:rFonts w:ascii="宋体" w:hAnsi="宋体" w:cs="宋体"/>
          <w:b/>
          <w:sz w:val="28"/>
          <w:szCs w:val="28"/>
        </w:rPr>
      </w:pPr>
      <w:r>
        <w:rPr>
          <w:rFonts w:hint="eastAsia" w:ascii="宋体" w:hAnsi="宋体" w:cs="宋体"/>
          <w:b/>
          <w:sz w:val="28"/>
          <w:szCs w:val="28"/>
        </w:rPr>
        <w:t>三、评标程序</w:t>
      </w:r>
    </w:p>
    <w:p>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pPr>
        <w:spacing w:line="600" w:lineRule="exact"/>
        <w:ind w:firstLine="470" w:firstLineChars="196"/>
        <w:rPr>
          <w:rFonts w:ascii="宋体" w:hAnsi="宋体" w:cs="宋体"/>
          <w:kern w:val="0"/>
          <w:sz w:val="24"/>
        </w:rPr>
      </w:pPr>
      <w:r>
        <w:rPr>
          <w:rFonts w:hint="eastAsia" w:ascii="宋体" w:hAnsi="宋体" w:cs="宋体"/>
          <w:kern w:val="0"/>
          <w:sz w:val="24"/>
        </w:rPr>
        <w:t>3.4.1投标文件报价出现前后不一致的，按照下列规定修正：</w:t>
      </w:r>
    </w:p>
    <w:p>
      <w:pPr>
        <w:pStyle w:val="90"/>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0"/>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0"/>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0"/>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0"/>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0"/>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ascii="宋体" w:hAnsi="宋体" w:cs="宋体"/>
          <w:b/>
          <w:kern w:val="0"/>
          <w:sz w:val="24"/>
        </w:rPr>
      </w:pPr>
      <w:r>
        <w:rPr>
          <w:rFonts w:hint="eastAsia" w:ascii="宋体" w:hAnsi="宋体" w:cs="宋体"/>
          <w:kern w:val="0"/>
          <w:sz w:val="24"/>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ascii="宋体" w:hAnsi="宋体" w:cs="宋体"/>
          <w:b/>
          <w:sz w:val="28"/>
          <w:szCs w:val="28"/>
        </w:rPr>
      </w:pPr>
      <w:r>
        <w:rPr>
          <w:rFonts w:hint="eastAsia" w:ascii="宋体" w:hAnsi="宋体" w:cs="宋体"/>
          <w:b/>
          <w:sz w:val="28"/>
          <w:szCs w:val="28"/>
        </w:rPr>
        <w:t>四、评标中的其他事项</w:t>
      </w:r>
    </w:p>
    <w:p>
      <w:pPr>
        <w:pStyle w:val="90"/>
        <w:spacing w:before="0" w:line="600" w:lineRule="exact"/>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600" w:lineRule="exact"/>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600" w:lineRule="exact"/>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600" w:lineRule="exact"/>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600" w:lineRule="exact"/>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600" w:lineRule="exact"/>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600" w:lineRule="exact"/>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600" w:lineRule="exact"/>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60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600" w:lineRule="exact"/>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600" w:lineRule="exact"/>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600" w:lineRule="exact"/>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5"/>
        <w:spacing w:line="600" w:lineRule="exact"/>
        <w:ind w:left="0" w:firstLine="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    4.2.13 投标文件不满足招标文件的其它实质性要求的；</w:t>
      </w:r>
    </w:p>
    <w:p>
      <w:pPr>
        <w:spacing w:line="600" w:lineRule="exact"/>
        <w:rPr>
          <w:rFonts w:ascii="宋体" w:hAnsi="宋体" w:cs="宋体"/>
          <w:kern w:val="0"/>
          <w:sz w:val="24"/>
        </w:rPr>
      </w:pPr>
      <w:r>
        <w:rPr>
          <w:rFonts w:hint="eastAsia" w:ascii="宋体" w:hAnsi="宋体" w:cs="宋体"/>
          <w:kern w:val="0"/>
          <w:sz w:val="24"/>
        </w:rPr>
        <w:t xml:space="preserve">    4.2.14法律、法规、规章（适用本市的）及省级以上规范性文件（适用本市的）规定的其他无效情形。</w:t>
      </w:r>
    </w:p>
    <w:p>
      <w:pPr>
        <w:pStyle w:val="2"/>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600" w:lineRule="exact"/>
        <w:rPr>
          <w:rFonts w:cs="宋体"/>
        </w:rPr>
      </w:pPr>
      <w:r>
        <w:rPr>
          <w:rFonts w:hint="eastAsia" w:cs="宋体"/>
        </w:rPr>
        <w:t>5.1符合专业条件的供应商或者对招标文件作实质响应的供应商不足3家的；</w:t>
      </w:r>
    </w:p>
    <w:p>
      <w:pPr>
        <w:pStyle w:val="2"/>
        <w:snapToGrid w:val="0"/>
        <w:spacing w:line="600" w:lineRule="exact"/>
        <w:rPr>
          <w:rFonts w:cs="宋体"/>
        </w:rPr>
      </w:pPr>
      <w:r>
        <w:rPr>
          <w:rFonts w:hint="eastAsia" w:cs="宋体"/>
        </w:rPr>
        <w:t>5.2出现影响采购公正的违法、违规行为的；</w:t>
      </w:r>
    </w:p>
    <w:p>
      <w:pPr>
        <w:pStyle w:val="2"/>
        <w:snapToGrid w:val="0"/>
        <w:spacing w:line="600" w:lineRule="exact"/>
        <w:rPr>
          <w:rFonts w:cs="宋体"/>
        </w:rPr>
      </w:pPr>
      <w:r>
        <w:rPr>
          <w:rFonts w:hint="eastAsia" w:cs="宋体"/>
        </w:rPr>
        <w:t>5.3投标人的报价均超过了采购预算，采购人不能支付的；</w:t>
      </w:r>
    </w:p>
    <w:p>
      <w:pPr>
        <w:pStyle w:val="2"/>
        <w:snapToGrid w:val="0"/>
        <w:spacing w:line="600" w:lineRule="exact"/>
        <w:rPr>
          <w:rFonts w:cs="宋体"/>
        </w:rPr>
      </w:pPr>
      <w:r>
        <w:rPr>
          <w:rFonts w:hint="eastAsia" w:cs="宋体"/>
        </w:rPr>
        <w:t>5.4因重大变故，采购任务取消的。</w:t>
      </w:r>
    </w:p>
    <w:p>
      <w:pPr>
        <w:pStyle w:val="2"/>
        <w:snapToGrid w:val="0"/>
        <w:spacing w:line="600" w:lineRule="exact"/>
        <w:rPr>
          <w:rFonts w:cs="宋体"/>
        </w:rPr>
      </w:pPr>
      <w:r>
        <w:rPr>
          <w:rFonts w:hint="eastAsia" w:cs="宋体"/>
        </w:rPr>
        <w:t>废标后，采购机构应当将废标理由通知所有投标人。</w:t>
      </w:r>
    </w:p>
    <w:p>
      <w:pPr>
        <w:pStyle w:val="2"/>
        <w:snapToGrid w:val="0"/>
        <w:spacing w:line="600" w:lineRule="exact"/>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
        <w:snapToGrid w:val="0"/>
        <w:spacing w:line="600" w:lineRule="exact"/>
        <w:rPr>
          <w:rFonts w:cs="宋体"/>
        </w:rPr>
      </w:pPr>
      <w:r>
        <w:rPr>
          <w:rFonts w:hint="eastAsia" w:cs="宋体"/>
        </w:rPr>
        <w:t>7.1未确定中标或者中标人的，终止本次政府采购活动，重新开展政府采购活动。</w:t>
      </w:r>
    </w:p>
    <w:p>
      <w:pPr>
        <w:pStyle w:val="2"/>
        <w:snapToGrid w:val="0"/>
        <w:spacing w:line="600" w:lineRule="exact"/>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600" w:lineRule="exact"/>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600" w:lineRule="exact"/>
        <w:rPr>
          <w:rFonts w:cs="宋体"/>
        </w:rPr>
      </w:pPr>
      <w:r>
        <w:rPr>
          <w:rFonts w:hint="eastAsia" w:cs="宋体"/>
        </w:rPr>
        <w:t>7.4政府采购合同已经履行，给采购人、供应商造成损失的，由责任人承担赔偿责任。</w:t>
      </w:r>
    </w:p>
    <w:p>
      <w:pPr>
        <w:pStyle w:val="2"/>
        <w:snapToGrid w:val="0"/>
        <w:spacing w:line="600" w:lineRule="exact"/>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6"/>
    <w:p>
      <w:pPr>
        <w:pStyle w:val="3"/>
        <w:ind w:left="0" w:leftChars="0" w:firstLine="0" w:firstLineChars="0"/>
        <w:rPr>
          <w:rFonts w:cs="宋体"/>
          <w:sz w:val="24"/>
        </w:rPr>
      </w:pPr>
      <w:bookmarkStart w:id="394" w:name="第五部分"/>
      <w:bookmarkStart w:id="395" w:name="_Toc86217003"/>
    </w:p>
    <w:p>
      <w:pPr>
        <w:jc w:val="both"/>
        <w:rPr>
          <w:b/>
          <w:bCs/>
          <w:sz w:val="28"/>
          <w:szCs w:val="28"/>
        </w:rPr>
        <w:sectPr>
          <w:headerReference r:id="rId12" w:type="first"/>
          <w:headerReference r:id="rId11" w:type="default"/>
          <w:pgSz w:w="11905" w:h="16838"/>
          <w:pgMar w:top="1531" w:right="1304" w:bottom="1531" w:left="1361" w:header="851" w:footer="992" w:gutter="0"/>
          <w:cols w:space="720" w:num="1"/>
          <w:titlePg/>
          <w:docGrid w:linePitch="1" w:charSpace="0"/>
        </w:sectPr>
      </w:pPr>
    </w:p>
    <w:p>
      <w:pPr>
        <w:jc w:val="center"/>
        <w:rPr>
          <w:b/>
          <w:bCs/>
          <w:sz w:val="28"/>
          <w:szCs w:val="28"/>
        </w:rPr>
      </w:pPr>
      <w:r>
        <w:rPr>
          <w:rFonts w:hint="eastAsia"/>
          <w:b/>
          <w:bCs/>
          <w:sz w:val="28"/>
          <w:szCs w:val="28"/>
        </w:rPr>
        <w:t>第五部分 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政府采购合同参考范本（以实际签订为准）</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526"/>
        <w:ind w:firstLine="723"/>
        <w:rPr>
          <w:rFonts w:hAnsi="仿宋" w:cs="仿宋_GB2312"/>
          <w:b/>
          <w:sz w:val="36"/>
          <w:szCs w:val="36"/>
        </w:rPr>
      </w:pPr>
    </w:p>
    <w:p>
      <w:pPr>
        <w:rPr>
          <w:rFonts w:ascii="仿宋_GB2312" w:hAnsi="仿宋" w:eastAsia="仿宋_GB2312" w:cs="仿宋_GB2312"/>
          <w:b/>
          <w:sz w:val="36"/>
          <w:szCs w:val="36"/>
        </w:rPr>
      </w:pPr>
    </w:p>
    <w:p>
      <w:pPr>
        <w:pStyle w:val="3"/>
        <w:ind w:firstLine="420"/>
      </w:pPr>
    </w:p>
    <w:p>
      <w:pPr>
        <w:pStyle w:val="526"/>
        <w:ind w:firstLine="723"/>
        <w:rPr>
          <w:rFonts w:hAnsi="仿宋" w:cs="仿宋_GB2312"/>
          <w:b/>
          <w:sz w:val="36"/>
          <w:szCs w:val="36"/>
        </w:rPr>
      </w:pPr>
    </w:p>
    <w:p>
      <w:pPr>
        <w:pStyle w:val="35"/>
        <w:snapToGrid w:val="0"/>
        <w:spacing w:line="360" w:lineRule="auto"/>
        <w:jc w:val="center"/>
        <w:rPr>
          <w:rFonts w:hAnsi="宋体" w:cs="宋体"/>
          <w:b/>
          <w:bCs/>
          <w:sz w:val="24"/>
          <w:szCs w:val="24"/>
        </w:rPr>
      </w:pPr>
      <w:bookmarkStart w:id="396" w:name="_Toc295465365"/>
      <w:bookmarkEnd w:id="396"/>
    </w:p>
    <w:p>
      <w:pPr>
        <w:pStyle w:val="35"/>
        <w:snapToGrid w:val="0"/>
        <w:spacing w:line="360" w:lineRule="auto"/>
        <w:jc w:val="center"/>
        <w:rPr>
          <w:rFonts w:hAnsi="宋体" w:cs="宋体"/>
          <w:b/>
          <w:bCs/>
          <w:sz w:val="24"/>
          <w:szCs w:val="24"/>
        </w:rPr>
      </w:pPr>
      <w:r>
        <w:rPr>
          <w:rFonts w:hint="eastAsia" w:hAnsi="宋体" w:cs="宋体"/>
          <w:b/>
          <w:bCs/>
          <w:sz w:val="24"/>
          <w:szCs w:val="24"/>
        </w:rPr>
        <w:t>（本合同为合同样稿，最终稿由双方协商后确定）</w:t>
      </w:r>
    </w:p>
    <w:p>
      <w:pPr>
        <w:pStyle w:val="35"/>
        <w:snapToGrid w:val="0"/>
        <w:spacing w:line="360" w:lineRule="auto"/>
        <w:jc w:val="center"/>
        <w:rPr>
          <w:rFonts w:hAnsi="宋体" w:cs="宋体"/>
          <w:b/>
          <w:bCs/>
          <w:sz w:val="24"/>
          <w:szCs w:val="24"/>
        </w:rPr>
      </w:pPr>
      <w:r>
        <w:rPr>
          <w:rFonts w:hint="eastAsia" w:hAnsi="宋体" w:cs="宋体"/>
          <w:b/>
          <w:bCs/>
          <w:sz w:val="24"/>
          <w:szCs w:val="24"/>
        </w:rPr>
        <w:t xml:space="preserve"> </w:t>
      </w:r>
    </w:p>
    <w:p>
      <w:pPr>
        <w:pStyle w:val="35"/>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p>
    <w:p>
      <w:pPr>
        <w:pStyle w:val="35"/>
        <w:snapToGrid w:val="0"/>
        <w:spacing w:line="600" w:lineRule="exact"/>
        <w:ind w:firstLine="480" w:firstLineChars="200"/>
        <w:rPr>
          <w:rFonts w:hAnsi="宋体" w:cs="宋体"/>
          <w:color w:val="000000"/>
          <w:sz w:val="24"/>
        </w:rPr>
      </w:pPr>
      <w:r>
        <w:rPr>
          <w:rFonts w:hint="eastAsia" w:hAnsi="宋体" w:cs="宋体"/>
          <w:color w:val="000000"/>
          <w:sz w:val="24"/>
        </w:rPr>
        <w:t>项目名称：</w:t>
      </w:r>
      <w:r>
        <w:rPr>
          <w:rFonts w:hint="eastAsia" w:hAnsi="宋体" w:cs="宋体"/>
          <w:sz w:val="24"/>
          <w:szCs w:val="24"/>
        </w:rPr>
        <w:t xml:space="preserve"> </w:t>
      </w:r>
    </w:p>
    <w:p>
      <w:pPr>
        <w:pStyle w:val="35"/>
        <w:snapToGrid w:val="0"/>
        <w:spacing w:line="600" w:lineRule="exact"/>
        <w:ind w:firstLine="480" w:firstLineChars="200"/>
        <w:rPr>
          <w:rFonts w:hAnsi="宋体" w:cs="宋体"/>
          <w:color w:val="000000"/>
          <w:sz w:val="24"/>
          <w:szCs w:val="24"/>
        </w:rPr>
      </w:pPr>
      <w:r>
        <w:rPr>
          <w:rFonts w:hint="eastAsia" w:hAnsi="宋体" w:cs="宋体"/>
          <w:color w:val="000000"/>
          <w:sz w:val="24"/>
          <w:szCs w:val="24"/>
        </w:rPr>
        <w:t>项目编号：</w:t>
      </w:r>
      <w:r>
        <w:rPr>
          <w:rFonts w:hint="eastAsia" w:hAnsi="宋体" w:cs="宋体"/>
          <w:sz w:val="24"/>
        </w:rPr>
        <w:t xml:space="preserve"> </w:t>
      </w:r>
    </w:p>
    <w:p>
      <w:pPr>
        <w:pStyle w:val="35"/>
        <w:snapToGrid w:val="0"/>
        <w:spacing w:line="600" w:lineRule="exact"/>
        <w:ind w:firstLine="480" w:firstLineChars="200"/>
        <w:rPr>
          <w:rFonts w:hAnsi="宋体" w:cs="宋体"/>
          <w:color w:val="000000"/>
          <w:sz w:val="24"/>
          <w:szCs w:val="24"/>
        </w:rPr>
      </w:pPr>
      <w:r>
        <w:rPr>
          <w:rFonts w:hint="eastAsia" w:hAnsi="宋体" w:cs="宋体"/>
          <w:color w:val="000000"/>
          <w:sz w:val="24"/>
          <w:szCs w:val="24"/>
        </w:rPr>
        <w:t>甲方：杭州市临平区人民政府乔司街道办事处</w:t>
      </w:r>
    </w:p>
    <w:p>
      <w:pPr>
        <w:snapToGrid w:val="0"/>
        <w:spacing w:line="600" w:lineRule="exact"/>
        <w:ind w:firstLine="480" w:firstLineChars="200"/>
        <w:jc w:val="left"/>
        <w:rPr>
          <w:rFonts w:ascii="宋体" w:hAnsi="宋体" w:cs="宋体"/>
          <w:color w:val="000000"/>
          <w:sz w:val="24"/>
        </w:rPr>
      </w:pPr>
      <w:r>
        <w:rPr>
          <w:rFonts w:hint="eastAsia" w:ascii="宋体" w:hAnsi="宋体" w:cs="宋体"/>
          <w:color w:val="000000"/>
          <w:sz w:val="24"/>
        </w:rPr>
        <w:t>乙方：</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甲、乙双方根据</w:t>
      </w:r>
      <w:r>
        <w:rPr>
          <w:rFonts w:hint="eastAsia" w:ascii="宋体" w:hAnsi="宋体"/>
          <w:sz w:val="24"/>
          <w:szCs w:val="24"/>
          <w:u w:val="single"/>
        </w:rPr>
        <w:t xml:space="preserve">                    </w:t>
      </w:r>
      <w:r>
        <w:rPr>
          <w:rFonts w:hint="eastAsia" w:ascii="宋体" w:hAnsi="宋体"/>
          <w:color w:val="000000"/>
          <w:sz w:val="24"/>
        </w:rPr>
        <w:t>政府采购</w:t>
      </w:r>
      <w:r>
        <w:rPr>
          <w:rFonts w:hint="eastAsia" w:ascii="宋体" w:hAnsi="宋体"/>
          <w:color w:val="000000"/>
          <w:sz w:val="24"/>
          <w:szCs w:val="24"/>
        </w:rPr>
        <w:t>公开招标的结果，签署本合同。</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一、服务内容</w:t>
      </w:r>
    </w:p>
    <w:p>
      <w:pPr>
        <w:snapToGrid w:val="0"/>
        <w:spacing w:line="600" w:lineRule="exact"/>
        <w:ind w:firstLine="480" w:firstLineChars="200"/>
        <w:rPr>
          <w:rFonts w:ascii="宋体" w:hAnsi="宋体" w:cs="宋体"/>
          <w:sz w:val="24"/>
        </w:rPr>
      </w:pPr>
      <w:r>
        <w:rPr>
          <w:rFonts w:hint="eastAsia" w:ascii="宋体" w:hAnsi="宋体" w:cs="宋体"/>
          <w:sz w:val="24"/>
        </w:rPr>
        <w:t>乔司街道集镇区块管道养护服务项目，具体内容和相关要求详见招标文件“</w:t>
      </w:r>
      <w:r>
        <w:rPr>
          <w:rFonts w:hint="eastAsia" w:ascii="宋体" w:hAnsi="宋体" w:cs="宋体"/>
          <w:kern w:val="0"/>
          <w:sz w:val="24"/>
        </w:rPr>
        <w:t>第三部分——项目技术规范和服务要求”</w:t>
      </w:r>
    </w:p>
    <w:p>
      <w:pPr>
        <w:pStyle w:val="171"/>
        <w:snapToGrid w:val="0"/>
        <w:spacing w:line="600" w:lineRule="exact"/>
        <w:ind w:firstLine="482" w:firstLineChars="200"/>
        <w:rPr>
          <w:rFonts w:ascii="宋体" w:hAnsi="宋体"/>
          <w:sz w:val="24"/>
          <w:szCs w:val="24"/>
        </w:rPr>
      </w:pPr>
      <w:r>
        <w:rPr>
          <w:rFonts w:hint="eastAsia" w:ascii="宋体" w:hAnsi="宋体"/>
          <w:b/>
          <w:color w:val="000000"/>
          <w:sz w:val="24"/>
          <w:szCs w:val="24"/>
        </w:rPr>
        <w:t>二、</w:t>
      </w:r>
      <w:r>
        <w:rPr>
          <w:rFonts w:hint="eastAsia" w:ascii="宋体" w:hAnsi="宋体"/>
          <w:b/>
          <w:bCs/>
          <w:sz w:val="24"/>
          <w:lang w:bidi="en-US"/>
        </w:rPr>
        <w:t>服务时间要求：</w:t>
      </w:r>
      <w:r>
        <w:rPr>
          <w:rFonts w:hint="eastAsia" w:ascii="宋体" w:hAnsi="宋体" w:cs="宋体"/>
          <w:b/>
          <w:bCs/>
          <w:color w:val="0000FF"/>
          <w:sz w:val="24"/>
        </w:rPr>
        <w:t>二年</w:t>
      </w:r>
      <w:r>
        <w:rPr>
          <w:rFonts w:hint="eastAsia" w:ascii="宋体" w:hAnsi="宋体"/>
          <w:sz w:val="24"/>
          <w:szCs w:val="24"/>
        </w:rPr>
        <w:t>.</w:t>
      </w:r>
    </w:p>
    <w:p>
      <w:pPr>
        <w:pStyle w:val="171"/>
        <w:tabs>
          <w:tab w:val="left" w:pos="3781"/>
        </w:tabs>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三、合同金额</w:t>
      </w:r>
      <w:r>
        <w:rPr>
          <w:rFonts w:hint="eastAsia" w:ascii="宋体" w:hAnsi="宋体"/>
          <w:b/>
          <w:color w:val="000000"/>
          <w:sz w:val="24"/>
          <w:szCs w:val="24"/>
        </w:rPr>
        <w:tab/>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标项内容综合单价为人民币（大写）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元），总价为人民币（大写）</w:t>
      </w:r>
      <w:r>
        <w:rPr>
          <w:rFonts w:hint="eastAsia" w:ascii="宋体" w:hAnsi="宋体"/>
          <w:color w:val="000000"/>
          <w:sz w:val="24"/>
          <w:szCs w:val="24"/>
          <w:u w:val="single"/>
        </w:rPr>
        <w:t xml:space="preserve">             </w:t>
      </w:r>
      <w:r>
        <w:rPr>
          <w:rFonts w:hint="eastAsia" w:ascii="宋体" w:hAnsi="宋体"/>
          <w:color w:val="000000"/>
          <w:sz w:val="24"/>
          <w:szCs w:val="24"/>
        </w:rPr>
        <w:t>元整（￥</w:t>
      </w:r>
      <w:r>
        <w:rPr>
          <w:rFonts w:hint="eastAsia" w:ascii="宋体" w:hAnsi="宋体"/>
          <w:color w:val="000000"/>
          <w:sz w:val="24"/>
          <w:szCs w:val="24"/>
          <w:u w:val="single"/>
        </w:rPr>
        <w:t xml:space="preserve">        </w:t>
      </w:r>
      <w:r>
        <w:rPr>
          <w:rFonts w:hint="eastAsia" w:ascii="宋体" w:hAnsi="宋体"/>
          <w:color w:val="000000"/>
          <w:sz w:val="24"/>
          <w:szCs w:val="24"/>
        </w:rPr>
        <w:t>元），其中已包括售后服务等全部费用。本合同执行中相关的一切税费均由乙方负担。</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四、技术资料</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1、乙方应按招标文件规定的时间向甲方提供有关技术资料。</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五、知识产权</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乙方应保证提供服务过程中不会侵犯任何第三方的知识产权。</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六、履约保证金</w:t>
      </w:r>
    </w:p>
    <w:p>
      <w:pPr>
        <w:spacing w:line="600" w:lineRule="exact"/>
        <w:ind w:firstLine="480" w:firstLineChars="200"/>
        <w:rPr>
          <w:rFonts w:ascii="宋体" w:hAnsi="宋体" w:cs="宋体"/>
          <w:sz w:val="24"/>
        </w:rPr>
      </w:pPr>
      <w:r>
        <w:rPr>
          <w:rFonts w:hint="eastAsia" w:ascii="宋体" w:hAnsi="宋体" w:cs="宋体"/>
          <w:bCs/>
          <w:sz w:val="24"/>
        </w:rPr>
        <w:t>中标单位在合同签订后支付中标总额1 %的履约保证金（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七、转包或分包</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1、本合同范围的服务，应由乙方直接供应，不得转让他人供应；</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2、除非得到甲方的书面同意，乙方不得将本合同范围的服务全部或部分分包给他人供应；</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3、如有转让和未经甲方同意的分包行为，甲方有权解除合同，没收履约保证金并追究乙方的违约责任。</w:t>
      </w:r>
    </w:p>
    <w:p>
      <w:pPr>
        <w:pStyle w:val="171"/>
        <w:snapToGrid w:val="0"/>
        <w:spacing w:line="600" w:lineRule="exact"/>
        <w:ind w:firstLine="482" w:firstLineChars="200"/>
        <w:rPr>
          <w:rFonts w:ascii="宋体" w:hAnsi="宋体"/>
          <w:color w:val="000000"/>
          <w:sz w:val="24"/>
          <w:szCs w:val="24"/>
        </w:rPr>
      </w:pPr>
      <w:r>
        <w:rPr>
          <w:rFonts w:hint="eastAsia" w:ascii="宋体" w:hAnsi="宋体"/>
          <w:b/>
          <w:color w:val="000000"/>
          <w:sz w:val="24"/>
          <w:szCs w:val="24"/>
        </w:rPr>
        <w:t>八、合同履行时间、履行方式及履行地点</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1、履行时间：    ；</w:t>
      </w:r>
    </w:p>
    <w:p>
      <w:pPr>
        <w:pStyle w:val="171"/>
        <w:snapToGrid w:val="0"/>
        <w:spacing w:line="600" w:lineRule="exact"/>
        <w:ind w:firstLine="480" w:firstLineChars="200"/>
        <w:rPr>
          <w:rFonts w:ascii="宋体" w:hAnsi="宋体"/>
          <w:color w:val="000000"/>
          <w:sz w:val="24"/>
        </w:rPr>
      </w:pPr>
      <w:r>
        <w:rPr>
          <w:rFonts w:hint="eastAsia" w:ascii="宋体" w:hAnsi="宋体"/>
          <w:color w:val="000000"/>
          <w:sz w:val="24"/>
          <w:szCs w:val="24"/>
        </w:rPr>
        <w:t>2、</w:t>
      </w:r>
      <w:r>
        <w:rPr>
          <w:rFonts w:hint="eastAsia" w:ascii="宋体" w:hAnsi="宋体"/>
          <w:color w:val="000000"/>
          <w:sz w:val="24"/>
        </w:rPr>
        <w:t>履行地点：    。</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九、款项支付：</w:t>
      </w:r>
    </w:p>
    <w:p>
      <w:pPr>
        <w:autoSpaceDE w:val="0"/>
        <w:autoSpaceDN w:val="0"/>
        <w:snapToGrid w:val="0"/>
        <w:spacing w:line="600" w:lineRule="exact"/>
        <w:ind w:firstLine="480" w:firstLineChars="200"/>
        <w:rPr>
          <w:rFonts w:ascii="宋体" w:hAnsi="宋体" w:cs="宋体"/>
          <w:b/>
          <w:color w:val="000000"/>
          <w:sz w:val="24"/>
        </w:rPr>
      </w:pPr>
      <w:r>
        <w:rPr>
          <w:rFonts w:hint="eastAsia" w:ascii="宋体" w:hAnsi="宋体" w:cs="宋体"/>
          <w:color w:val="0000FF"/>
          <w:sz w:val="24"/>
        </w:rPr>
        <w:t xml:space="preserve"> </w:t>
      </w:r>
      <w:r>
        <w:rPr>
          <w:rFonts w:hint="eastAsia" w:ascii="宋体" w:hAnsi="宋体" w:cs="宋体"/>
          <w:b/>
          <w:color w:val="000000"/>
          <w:sz w:val="24"/>
        </w:rPr>
        <w:t>十、税费</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本合同执行中相关的一切税费均由乙方负担。</w:t>
      </w:r>
    </w:p>
    <w:p>
      <w:pPr>
        <w:snapToGrid w:val="0"/>
        <w:spacing w:line="600" w:lineRule="exact"/>
        <w:rPr>
          <w:rFonts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十二、违约责任</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1、甲方无正当理由拒收接受服务的，甲方向乙方偿付合同款项百分之五作为违约金。</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2、甲方无故逾期验收和办理款项支付手续的，甲方应按逾期付款总额每日万分之五向乙方支付违约金。</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十三、不可抗力事件处理</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1、在合同有效期内，任何一方因不可抗力事件导致不能履行合同，则合同履行期可延长，其延长期与不可抗力影响期相同。2、不可抗力事件发生后，应立即通知对方，并寄送有关权威机构出具的证明。</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3、不可抗力事件延续120天以上，双方应通过友好协商，确定是否继续履行合同。</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十四、诉讼</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双方在执行合同中所发生的一切争议，应通过协商解决。如协商不成，可向甲方所在地法院起诉。</w:t>
      </w:r>
    </w:p>
    <w:p>
      <w:pPr>
        <w:pStyle w:val="171"/>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十五、合同生效及其它</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1、合同经双方法定代表人或授权代表签字并加盖单位公章后生效。</w:t>
      </w:r>
    </w:p>
    <w:p>
      <w:pPr>
        <w:pStyle w:val="171"/>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3、招标文件、投标文件及评标过程中形成的文字资料、询标纪要均作为本合同的组成部分，具有同等效力。本合同未尽事宜，遵照《民法典》有关条文执行。</w:t>
      </w:r>
    </w:p>
    <w:p>
      <w:pPr>
        <w:pStyle w:val="35"/>
        <w:snapToGrid w:val="0"/>
        <w:spacing w:line="600" w:lineRule="exact"/>
        <w:ind w:firstLine="480" w:firstLineChars="200"/>
        <w:rPr>
          <w:rFonts w:hAnsi="宋体" w:cs="宋体"/>
          <w:color w:val="000000"/>
          <w:sz w:val="24"/>
        </w:rPr>
      </w:pPr>
      <w:r>
        <w:rPr>
          <w:rFonts w:hint="eastAsia" w:hAnsi="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ascii="宋体" w:hAnsi="宋体" w:cs="宋体"/>
          <w:color w:val="000000"/>
          <w:sz w:val="24"/>
        </w:rPr>
      </w:pP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签订时间：                                签订时间：</w:t>
      </w:r>
    </w:p>
    <w:p>
      <w:pPr>
        <w:pStyle w:val="3"/>
        <w:spacing w:line="600" w:lineRule="exact"/>
        <w:ind w:firstLine="5280" w:firstLineChars="2200"/>
        <w:rPr>
          <w:rFonts w:cs="宋体"/>
          <w:color w:val="000000"/>
          <w:sz w:val="24"/>
        </w:rPr>
      </w:pPr>
    </w:p>
    <w:p>
      <w:pPr>
        <w:pStyle w:val="3"/>
        <w:spacing w:line="600" w:lineRule="exact"/>
        <w:ind w:firstLine="5280" w:firstLineChars="2200"/>
        <w:rPr>
          <w:rFonts w:cs="宋体"/>
          <w:sz w:val="24"/>
        </w:rPr>
      </w:pPr>
      <w:r>
        <w:rPr>
          <w:rFonts w:hint="eastAsia" w:cs="宋体"/>
          <w:color w:val="000000"/>
          <w:sz w:val="24"/>
        </w:rPr>
        <w:t>签订地点：</w:t>
      </w:r>
      <w:r>
        <w:rPr>
          <w:rFonts w:hint="eastAsia" w:cs="宋体"/>
          <w:sz w:val="24"/>
        </w:rPr>
        <w:t xml:space="preserve">                  </w:t>
      </w:r>
    </w:p>
    <w:p>
      <w:pPr>
        <w:spacing w:line="600" w:lineRule="exact"/>
        <w:jc w:val="center"/>
        <w:rPr>
          <w:rFonts w:ascii="宋体" w:hAnsi="宋体" w:cs="宋体"/>
          <w:b/>
          <w:bCs/>
          <w:sz w:val="24"/>
        </w:rPr>
      </w:pPr>
      <w:bookmarkStart w:id="397" w:name="_Toc328381300"/>
      <w:bookmarkStart w:id="398" w:name="_Toc350327365"/>
      <w:bookmarkStart w:id="399" w:name="_Toc326765771"/>
      <w:bookmarkStart w:id="400" w:name="_Toc349721554"/>
      <w:bookmarkStart w:id="401" w:name="_Toc339872468"/>
      <w:r>
        <w:rPr>
          <w:rFonts w:hint="eastAsia" w:ascii="宋体" w:hAnsi="宋体" w:cs="宋体"/>
          <w:b/>
          <w:bCs/>
          <w:sz w:val="24"/>
        </w:rPr>
        <w:t>★ 此仅为合同书样本，中标单位需根据实际情况和采购人签订相应的合同！</w:t>
      </w:r>
      <w:bookmarkEnd w:id="397"/>
      <w:bookmarkEnd w:id="398"/>
      <w:bookmarkEnd w:id="399"/>
      <w:bookmarkEnd w:id="400"/>
      <w:bookmarkEnd w:id="401"/>
    </w:p>
    <w:p>
      <w:pPr>
        <w:snapToGrid w:val="0"/>
        <w:spacing w:line="600" w:lineRule="exact"/>
        <w:rPr>
          <w:rFonts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jc w:val="center"/>
        <w:outlineLvl w:val="0"/>
        <w:rPr>
          <w:rFonts w:ascii="宋体" w:hAnsi="宋体" w:cs="宋体"/>
          <w:b/>
          <w:sz w:val="28"/>
          <w:szCs w:val="28"/>
        </w:rPr>
      </w:pPr>
      <w:r>
        <w:rPr>
          <w:rFonts w:hint="eastAsia" w:ascii="宋体" w:hAnsi="宋体" w:cs="宋体"/>
          <w:b/>
          <w:sz w:val="28"/>
          <w:szCs w:val="28"/>
        </w:rPr>
        <w:t>第六部分</w:t>
      </w:r>
      <w:bookmarkEnd w:id="394"/>
      <w:r>
        <w:rPr>
          <w:rFonts w:hint="eastAsia" w:ascii="宋体" w:hAnsi="宋体" w:cs="宋体"/>
          <w:b/>
          <w:sz w:val="28"/>
          <w:szCs w:val="28"/>
        </w:rPr>
        <w:t xml:space="preserve"> </w:t>
      </w:r>
      <w:bookmarkEnd w:id="395"/>
      <w:r>
        <w:rPr>
          <w:rFonts w:hint="eastAsia" w:ascii="宋体" w:hAnsi="宋体" w:cs="宋体"/>
          <w:b/>
          <w:sz w:val="28"/>
          <w:szCs w:val="28"/>
        </w:rPr>
        <w:t>应提交的有关格式范例</w:t>
      </w:r>
    </w:p>
    <w:p>
      <w:pPr>
        <w:spacing w:line="360" w:lineRule="auto"/>
        <w:jc w:val="center"/>
        <w:outlineLvl w:val="0"/>
        <w:rPr>
          <w:rFonts w:ascii="宋体" w:hAnsi="宋体" w:cs="宋体"/>
          <w:b/>
          <w:kern w:val="0"/>
          <w:sz w:val="36"/>
          <w:szCs w:val="36"/>
        </w:rPr>
      </w:pPr>
    </w:p>
    <w:p>
      <w:pPr>
        <w:spacing w:line="600" w:lineRule="exact"/>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600" w:lineRule="exact"/>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rPr>
          <w:rFonts w:ascii="宋体" w:hAnsi="宋体" w:cs="宋体"/>
          <w:sz w:val="24"/>
        </w:rPr>
      </w:pPr>
      <w:r>
        <w:rPr>
          <w:rFonts w:hint="eastAsia" w:ascii="宋体" w:hAnsi="宋体" w:cs="宋体"/>
          <w:sz w:val="24"/>
        </w:rPr>
        <w:t>（4）附件五中小企业声明函………………………………………………（页码）</w:t>
      </w:r>
    </w:p>
    <w:p>
      <w:pPr>
        <w:snapToGrid w:val="0"/>
        <w:spacing w:line="360" w:lineRule="auto"/>
        <w:rPr>
          <w:rFonts w:ascii="宋体" w:hAnsi="宋体" w:cs="宋体"/>
          <w:b/>
          <w:kern w:val="0"/>
          <w:sz w:val="32"/>
          <w:szCs w:val="32"/>
        </w:rPr>
      </w:pPr>
      <w:r>
        <w:rPr>
          <w:rFonts w:hint="eastAsia" w:ascii="宋体" w:hAnsi="宋体" w:cs="宋体"/>
          <w:sz w:val="24"/>
        </w:rPr>
        <w:t>（5）营业执照…………………………………………………………………（页码）</w:t>
      </w: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600" w:lineRule="exact"/>
        <w:rPr>
          <w:rFonts w:ascii="宋体" w:hAnsi="宋体" w:cs="宋体"/>
          <w:sz w:val="24"/>
        </w:rPr>
      </w:pPr>
      <w:r>
        <w:rPr>
          <w:rFonts w:hint="eastAsia" w:ascii="宋体" w:hAnsi="宋体" w:cs="宋体"/>
          <w:sz w:val="24"/>
        </w:rPr>
        <w:t>杭州市临平区人民政府乔司街道办事处、（招标代理）：</w:t>
      </w:r>
    </w:p>
    <w:p>
      <w:pPr>
        <w:snapToGrid w:val="0"/>
        <w:spacing w:line="600" w:lineRule="exact"/>
        <w:ind w:firstLine="480" w:firstLineChars="200"/>
        <w:rPr>
          <w:rFonts w:ascii="宋体" w:hAnsi="宋体" w:cs="宋体"/>
          <w:sz w:val="24"/>
        </w:rPr>
      </w:pPr>
      <w:r>
        <w:rPr>
          <w:rFonts w:hint="eastAsia" w:ascii="宋体" w:hAnsi="宋体" w:cs="宋体"/>
          <w:sz w:val="24"/>
        </w:rPr>
        <w:t>我方参与乔司街道集镇区块管道养护服务项目【招标编号：               】政府采购活动，郑重承诺：</w:t>
      </w:r>
    </w:p>
    <w:p>
      <w:pPr>
        <w:snapToGrid w:val="0"/>
        <w:spacing w:line="600" w:lineRule="exact"/>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600" w:lineRule="exact"/>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6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6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600" w:lineRule="exact"/>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600" w:lineRule="exact"/>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ascii="宋体" w:hAnsi="宋体" w:cs="宋体"/>
          <w:sz w:val="24"/>
        </w:rPr>
      </w:pPr>
      <w:r>
        <w:rPr>
          <w:rFonts w:hint="eastAsia" w:ascii="宋体" w:hAnsi="宋体" w:cs="宋体"/>
          <w:sz w:val="24"/>
        </w:rPr>
        <w:t>（三）不存在以下情况：</w:t>
      </w:r>
    </w:p>
    <w:p>
      <w:pPr>
        <w:snapToGrid w:val="0"/>
        <w:spacing w:line="6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6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600" w:lineRule="exact"/>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6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600" w:lineRule="exact"/>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line="600" w:lineRule="exact"/>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sz w:val="24"/>
        </w:rPr>
      </w:pPr>
      <w:r>
        <w:rPr>
          <w:rFonts w:hint="eastAsia" w:ascii="宋体" w:hAnsi="宋体" w:cs="宋体"/>
          <w:kern w:val="0"/>
          <w:sz w:val="24"/>
          <w:lang w:val="zh-CN"/>
        </w:rPr>
        <w:t xml:space="preserve">                                               日期：  年  月   日</w:t>
      </w:r>
    </w:p>
    <w:p>
      <w:pPr>
        <w:spacing w:line="600" w:lineRule="exact"/>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60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spacing w:line="600" w:lineRule="exact"/>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600" w:lineRule="exact"/>
        <w:ind w:firstLine="576"/>
        <w:rPr>
          <w:rFonts w:ascii="宋体" w:hAnsi="宋体" w:cs="宋体"/>
          <w:u w:val="single"/>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600" w:lineRule="exact"/>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600" w:lineRule="exact"/>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600" w:lineRule="exact"/>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600" w:lineRule="exact"/>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pacing w:line="600" w:lineRule="exact"/>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600" w:lineRule="exact"/>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36"/>
          <w:szCs w:val="36"/>
        </w:rPr>
      </w:pPr>
    </w:p>
    <w:p>
      <w:pPr>
        <w:spacing w:line="360" w:lineRule="auto"/>
        <w:ind w:right="420"/>
        <w:jc w:val="center"/>
        <w:rPr>
          <w:rFonts w:ascii="宋体" w:hAnsi="宋体" w:cs="宋体"/>
          <w:b/>
          <w:kern w:val="0"/>
          <w:sz w:val="36"/>
          <w:szCs w:val="36"/>
        </w:rPr>
      </w:pPr>
    </w:p>
    <w:p>
      <w:pPr>
        <w:pStyle w:val="4"/>
        <w:rPr>
          <w:rFonts w:ascii="宋体" w:hAnsi="宋体" w:cs="宋体"/>
          <w:kern w:val="0"/>
          <w:sz w:val="36"/>
          <w:szCs w:val="36"/>
        </w:rPr>
      </w:pPr>
    </w:p>
    <w:p>
      <w:pPr>
        <w:rPr>
          <w:rFonts w:ascii="宋体" w:hAnsi="宋体" w:cs="宋体"/>
          <w:b/>
          <w:kern w:val="0"/>
          <w:sz w:val="36"/>
          <w:szCs w:val="36"/>
        </w:rPr>
      </w:pPr>
    </w:p>
    <w:p>
      <w:pPr>
        <w:pStyle w:val="4"/>
        <w:spacing w:line="240" w:lineRule="auto"/>
        <w:rPr>
          <w:rFonts w:ascii="宋体" w:hAnsi="宋体" w:cs="宋体"/>
        </w:rPr>
      </w:pPr>
    </w:p>
    <w:p>
      <w:pPr>
        <w:spacing w:line="360" w:lineRule="auto"/>
        <w:ind w:right="420"/>
        <w:jc w:val="center"/>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 xml:space="preserve">  </w:t>
      </w:r>
    </w:p>
    <w:p>
      <w:pPr>
        <w:spacing w:line="360" w:lineRule="auto"/>
        <w:ind w:right="420"/>
        <w:jc w:val="center"/>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color w:val="000000"/>
          <w:kern w:val="0"/>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color w:val="000000"/>
          <w:kern w:val="0"/>
          <w:sz w:val="24"/>
        </w:rPr>
        <w:t>所投产品具体配置表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color w:val="000000"/>
          <w:kern w:val="0"/>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600" w:lineRule="exact"/>
        <w:rPr>
          <w:rFonts w:ascii="宋体" w:hAnsi="宋体" w:cs="宋体"/>
          <w:sz w:val="24"/>
        </w:rPr>
      </w:pPr>
      <w:r>
        <w:rPr>
          <w:rFonts w:hint="eastAsia" w:ascii="宋体" w:hAnsi="宋体" w:cs="宋体"/>
          <w:sz w:val="24"/>
        </w:rPr>
        <w:t>杭州市临平区人民政府乔司街道办事处、</w:t>
      </w:r>
      <w:r>
        <w:rPr>
          <w:rFonts w:hint="eastAsia" w:ascii="宋体" w:hAnsi="宋体" w:cs="宋体"/>
          <w:sz w:val="24"/>
          <w:lang w:eastAsia="zh-CN"/>
        </w:rPr>
        <w:t>浙江华夏工程管理有限公司</w:t>
      </w:r>
      <w:r>
        <w:rPr>
          <w:rFonts w:hint="eastAsia" w:ascii="宋体" w:hAnsi="宋体" w:cs="宋体"/>
          <w:sz w:val="24"/>
        </w:rPr>
        <w:t>：</w:t>
      </w:r>
    </w:p>
    <w:p>
      <w:pPr>
        <w:snapToGrid w:val="0"/>
        <w:spacing w:line="600" w:lineRule="exact"/>
        <w:ind w:firstLine="480" w:firstLineChars="200"/>
        <w:rPr>
          <w:rFonts w:ascii="宋体" w:hAnsi="宋体" w:cs="宋体"/>
          <w:sz w:val="24"/>
        </w:rPr>
      </w:pPr>
      <w:r>
        <w:rPr>
          <w:rFonts w:hint="eastAsia" w:ascii="宋体" w:hAnsi="宋体" w:cs="宋体"/>
          <w:sz w:val="24"/>
        </w:rPr>
        <w:t>我方参加你方组织的乔司街道集镇区块管道养护服务项目【招标编号：</w:t>
      </w:r>
      <w:r>
        <w:rPr>
          <w:rFonts w:hint="eastAsia" w:ascii="宋体" w:hAnsi="宋体" w:cs="宋体"/>
          <w:sz w:val="24"/>
          <w:lang w:eastAsia="zh-CN"/>
        </w:rPr>
        <w:t>HX2024001</w:t>
      </w:r>
      <w:r>
        <w:rPr>
          <w:rFonts w:hint="eastAsia" w:ascii="宋体" w:hAnsi="宋体" w:cs="宋体"/>
          <w:sz w:val="24"/>
        </w:rPr>
        <w:t>】招标的有关活动，并对此项目进行投标。为此：</w:t>
      </w:r>
    </w:p>
    <w:p>
      <w:pPr>
        <w:snapToGrid w:val="0"/>
        <w:spacing w:line="6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天（不少于90天），本投标文件在投标有效期满之前均具有约束力。</w:t>
      </w:r>
    </w:p>
    <w:p>
      <w:pPr>
        <w:snapToGrid w:val="0"/>
        <w:spacing w:line="600" w:lineRule="exact"/>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600" w:lineRule="exact"/>
        <w:rPr>
          <w:rFonts w:ascii="宋体" w:hAnsi="宋体" w:cs="宋体"/>
          <w:sz w:val="24"/>
        </w:rPr>
      </w:pPr>
      <w:r>
        <w:rPr>
          <w:rFonts w:hint="eastAsia" w:ascii="宋体" w:hAnsi="宋体" w:cs="宋体"/>
          <w:sz w:val="24"/>
        </w:rPr>
        <w:t xml:space="preserve">      2.1资格文件：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2.1.1承诺函；</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6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600" w:lineRule="exact"/>
        <w:ind w:left="420" w:leftChars="200" w:firstLine="480" w:firstLineChars="200"/>
        <w:rPr>
          <w:rFonts w:ascii="宋体" w:hAnsi="宋体" w:cs="宋体"/>
          <w:color w:val="000000"/>
          <w:kern w:val="0"/>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color w:val="000000"/>
          <w:kern w:val="0"/>
          <w:sz w:val="24"/>
        </w:rPr>
        <w:t>所投产品具体配置表</w:t>
      </w:r>
    </w:p>
    <w:p>
      <w:pPr>
        <w:snapToGrid w:val="0"/>
        <w:spacing w:line="600" w:lineRule="exact"/>
        <w:ind w:left="420" w:leftChars="200" w:firstLine="480" w:firstLineChars="200"/>
        <w:rPr>
          <w:rFonts w:ascii="宋体" w:hAnsi="宋体" w:cs="宋体"/>
          <w:sz w:val="24"/>
          <w:lang w:val="zh-CN"/>
        </w:rPr>
      </w:pPr>
      <w:r>
        <w:rPr>
          <w:rFonts w:hint="eastAsia" w:ascii="宋体" w:hAnsi="宋体" w:cs="宋体"/>
          <w:color w:val="000000"/>
          <w:kern w:val="0"/>
          <w:sz w:val="24"/>
        </w:rPr>
        <w:t>2.2.9</w:t>
      </w:r>
      <w:r>
        <w:rPr>
          <w:rFonts w:hint="eastAsia" w:ascii="宋体" w:hAnsi="宋体" w:cs="宋体"/>
          <w:sz w:val="24"/>
          <w:lang w:val="zh-CN"/>
        </w:rPr>
        <w:t>政府采购供应商廉洁自律承诺书；</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6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600" w:lineRule="exact"/>
        <w:ind w:firstLine="480" w:firstLineChars="200"/>
        <w:rPr>
          <w:rFonts w:ascii="宋体" w:hAnsi="宋体" w:cs="宋体"/>
          <w:sz w:val="24"/>
        </w:rPr>
      </w:pPr>
      <w:r>
        <w:rPr>
          <w:rFonts w:hint="eastAsia" w:ascii="宋体" w:hAnsi="宋体" w:cs="宋体"/>
          <w:sz w:val="24"/>
        </w:rPr>
        <w:t>4、如我方中标，我方承诺：</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600" w:lineRule="exact"/>
        <w:ind w:firstLine="3600" w:firstLineChars="1500"/>
        <w:rPr>
          <w:rFonts w:ascii="宋体" w:hAnsi="宋体" w:cs="宋体"/>
          <w:sz w:val="24"/>
        </w:rPr>
      </w:pPr>
      <w:r>
        <w:rPr>
          <w:rFonts w:hint="eastAsia" w:ascii="宋体" w:hAnsi="宋体" w:cs="宋体"/>
          <w:sz w:val="24"/>
        </w:rPr>
        <w:t xml:space="preserve">投标人名称（电子签名）：                          </w:t>
      </w:r>
    </w:p>
    <w:p>
      <w:pPr>
        <w:spacing w:line="600" w:lineRule="exact"/>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600" w:lineRule="exact"/>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600" w:lineRule="exact"/>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pStyle w:val="4"/>
        <w:rPr>
          <w:rFonts w:ascii="宋体" w:hAnsi="宋体" w:cs="宋体"/>
          <w:kern w:val="0"/>
          <w:sz w:val="24"/>
          <w:lang w:val="zh-CN"/>
        </w:rPr>
      </w:pPr>
    </w:p>
    <w:p>
      <w:pPr>
        <w:rPr>
          <w:rFonts w:ascii="宋体" w:hAnsi="宋体" w:cs="宋体"/>
          <w:kern w:val="0"/>
          <w:sz w:val="24"/>
          <w:lang w:val="zh-CN"/>
        </w:rPr>
      </w:pPr>
    </w:p>
    <w:p>
      <w:pPr>
        <w:pStyle w:val="4"/>
        <w:rPr>
          <w:rFonts w:ascii="宋体" w:hAnsi="宋体" w:cs="宋体"/>
          <w:kern w:val="0"/>
          <w:sz w:val="24"/>
          <w:lang w:val="zh-CN"/>
        </w:rPr>
      </w:pPr>
    </w:p>
    <w:p>
      <w:pPr>
        <w:rPr>
          <w:rFonts w:ascii="宋体" w:hAnsi="宋体" w:cs="宋体"/>
          <w:kern w:val="0"/>
          <w:sz w:val="24"/>
          <w:lang w:val="zh-CN"/>
        </w:rPr>
      </w:pPr>
    </w:p>
    <w:p>
      <w:pPr>
        <w:pStyle w:val="4"/>
        <w:rPr>
          <w:rFonts w:ascii="宋体" w:hAnsi="宋体" w:cs="宋体"/>
          <w:kern w:val="0"/>
          <w:sz w:val="24"/>
          <w:lang w:val="zh-CN"/>
        </w:rPr>
      </w:pPr>
    </w:p>
    <w:p>
      <w:pPr>
        <w:rPr>
          <w:rFonts w:ascii="宋体" w:hAnsi="宋体" w:cs="宋体"/>
          <w:kern w:val="0"/>
          <w:sz w:val="24"/>
          <w:lang w:val="zh-CN"/>
        </w:rPr>
      </w:pPr>
    </w:p>
    <w:p>
      <w:pPr>
        <w:rPr>
          <w:rFonts w:ascii="宋体" w:hAnsi="宋体" w:cs="宋体"/>
          <w:lang w:val="zh-CN"/>
        </w:rPr>
      </w:pPr>
    </w:p>
    <w:p>
      <w:pPr>
        <w:pStyle w:val="2"/>
        <w:rPr>
          <w:lang w:val="zh-CN"/>
        </w:rPr>
      </w:pPr>
    </w:p>
    <w:p>
      <w:pPr>
        <w:pStyle w:val="4"/>
        <w:spacing w:line="240" w:lineRule="auto"/>
        <w:rPr>
          <w:rFonts w:ascii="宋体" w:hAnsi="宋体" w:cs="宋体"/>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2"/>
              <w:adjustRightInd w:val="0"/>
              <w:spacing w:line="360" w:lineRule="auto"/>
              <w:rPr>
                <w:rFonts w:hAnsi="宋体" w:cs="宋体"/>
                <w:bCs/>
                <w:sz w:val="24"/>
              </w:rPr>
            </w:pPr>
            <w:r>
              <w:rPr>
                <w:rFonts w:hint="eastAsia" w:hAnsi="宋体" w:cs="宋体"/>
                <w:bCs/>
                <w:sz w:val="24"/>
              </w:rPr>
              <w:t>正面：                                 反面：</w:t>
            </w:r>
          </w:p>
          <w:p>
            <w:pPr>
              <w:pStyle w:val="9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600" w:lineRule="exact"/>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w:t>
      </w:r>
    </w:p>
    <w:p>
      <w:pPr>
        <w:snapToGrid w:val="0"/>
        <w:spacing w:line="600" w:lineRule="exact"/>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sz w:val="24"/>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600" w:lineRule="exact"/>
        <w:ind w:right="480"/>
        <w:rPr>
          <w:rFonts w:ascii="宋体" w:hAnsi="宋体" w:cs="宋体"/>
          <w:b/>
          <w:kern w:val="0"/>
          <w:sz w:val="24"/>
          <w:lang w:val="zh-CN"/>
        </w:rPr>
        <w:sectPr>
          <w:headerReference r:id="rId14" w:type="first"/>
          <w:footerReference r:id="rId16" w:type="first"/>
          <w:headerReference r:id="rId13" w:type="default"/>
          <w:footerReference r:id="rId15" w:type="default"/>
          <w:pgSz w:w="11905" w:h="16838"/>
          <w:pgMar w:top="1531" w:right="1304" w:bottom="1531" w:left="1361"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60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spacing w:line="600" w:lineRule="exact"/>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600" w:lineRule="exact"/>
        <w:ind w:firstLine="576"/>
        <w:rPr>
          <w:rFonts w:ascii="宋体" w:hAnsi="宋体" w:cs="宋体"/>
          <w:u w:val="single"/>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600" w:lineRule="exact"/>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600" w:lineRule="exact"/>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600" w:lineRule="exact"/>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600" w:lineRule="exact"/>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5"/>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b/>
          <w:bCs/>
          <w:sz w:val="28"/>
          <w:szCs w:val="28"/>
        </w:rPr>
      </w:pPr>
      <w:r>
        <w:rPr>
          <w:rFonts w:hint="eastAsia"/>
          <w:b/>
          <w:bCs/>
          <w:sz w:val="28"/>
          <w:szCs w:val="28"/>
        </w:rPr>
        <w:t>六、评标标准相应的商务技术资料</w:t>
      </w:r>
    </w:p>
    <w:p>
      <w:pPr>
        <w:snapToGrid w:val="0"/>
        <w:spacing w:line="360" w:lineRule="auto"/>
        <w:jc w:val="left"/>
        <w:rPr>
          <w:rFonts w:ascii="宋体" w:hAnsi="宋体" w:cs="宋体"/>
          <w:b/>
          <w:sz w:val="24"/>
        </w:rPr>
      </w:pPr>
    </w:p>
    <w:p>
      <w:pPr>
        <w:snapToGrid w:val="0"/>
        <w:spacing w:line="600" w:lineRule="exact"/>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b/>
          <w:bCs/>
          <w:sz w:val="28"/>
          <w:szCs w:val="28"/>
        </w:rPr>
      </w:pPr>
      <w:r>
        <w:rPr>
          <w:rFonts w:hint="eastAsia"/>
          <w:b/>
          <w:bCs/>
          <w:sz w:val="28"/>
          <w:szCs w:val="28"/>
        </w:rPr>
        <w:t>七、商务技术偏离表</w:t>
      </w:r>
    </w:p>
    <w:p>
      <w:pPr>
        <w:pStyle w:val="2"/>
        <w:ind w:firstLine="0" w:firstLineChars="0"/>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序号</w:t>
            </w:r>
          </w:p>
        </w:tc>
        <w:tc>
          <w:tcPr>
            <w:tcW w:w="3683" w:type="dxa"/>
            <w:vAlign w:val="center"/>
          </w:tcPr>
          <w:p>
            <w:pPr>
              <w:jc w:val="center"/>
              <w:rPr>
                <w:sz w:val="24"/>
              </w:rPr>
            </w:pPr>
            <w:r>
              <w:rPr>
                <w:rFonts w:hint="eastAsia"/>
                <w:sz w:val="24"/>
              </w:rPr>
              <w:t>招标文件章节及具体内容</w:t>
            </w:r>
          </w:p>
        </w:tc>
        <w:tc>
          <w:tcPr>
            <w:tcW w:w="3546" w:type="dxa"/>
            <w:vAlign w:val="center"/>
          </w:tcPr>
          <w:p>
            <w:pPr>
              <w:jc w:val="center"/>
              <w:rPr>
                <w:sz w:val="24"/>
              </w:rPr>
            </w:pPr>
            <w:r>
              <w:rPr>
                <w:rFonts w:hint="eastAsia"/>
                <w:sz w:val="24"/>
              </w:rPr>
              <w:t>投标文件章节及具体内容</w:t>
            </w:r>
          </w:p>
        </w:tc>
        <w:tc>
          <w:tcPr>
            <w:tcW w:w="1276" w:type="dxa"/>
            <w:vAlign w:val="center"/>
          </w:tcPr>
          <w:p>
            <w:pPr>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1</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2</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autoSpaceDE w:val="0"/>
        <w:autoSpaceDN w:val="0"/>
        <w:spacing w:line="440" w:lineRule="exact"/>
        <w:jc w:val="center"/>
        <w:rPr>
          <w:b/>
          <w:bCs/>
          <w:sz w:val="28"/>
          <w:szCs w:val="28"/>
        </w:rPr>
      </w:pPr>
      <w:r>
        <w:rPr>
          <w:rFonts w:hint="eastAsia"/>
          <w:b/>
          <w:bCs/>
          <w:sz w:val="28"/>
          <w:szCs w:val="28"/>
        </w:rPr>
        <w:t>八、所投产品具体配置表</w:t>
      </w:r>
    </w:p>
    <w:p>
      <w:pPr>
        <w:autoSpaceDE w:val="0"/>
        <w:autoSpaceDN w:val="0"/>
        <w:spacing w:line="440" w:lineRule="exact"/>
        <w:rPr>
          <w:rFonts w:ascii="宋体" w:hAnsi="宋体" w:cs="宋体"/>
          <w:b/>
          <w:kern w:val="0"/>
          <w:sz w:val="24"/>
        </w:rPr>
      </w:pPr>
      <w:r>
        <w:rPr>
          <w:rFonts w:hint="eastAsia" w:ascii="宋体" w:hAnsi="宋体" w:cs="宋体"/>
          <w:b/>
          <w:kern w:val="0"/>
          <w:sz w:val="24"/>
        </w:rPr>
        <w:t xml:space="preserve">项目编号： </w:t>
      </w:r>
    </w:p>
    <w:tbl>
      <w:tblPr>
        <w:tblStyle w:val="6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49"/>
        <w:gridCol w:w="990"/>
        <w:gridCol w:w="1354"/>
        <w:gridCol w:w="17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jc w:val="center"/>
              <w:rPr>
                <w:rFonts w:ascii="宋体" w:hAnsi="宋体" w:cs="宋体"/>
                <w:b/>
                <w:sz w:val="24"/>
              </w:rPr>
            </w:pPr>
            <w:r>
              <w:rPr>
                <w:rFonts w:hint="eastAsia" w:ascii="宋体" w:hAnsi="宋体" w:cs="宋体"/>
                <w:b/>
                <w:sz w:val="24"/>
              </w:rPr>
              <w:t>序号</w:t>
            </w:r>
          </w:p>
        </w:tc>
        <w:tc>
          <w:tcPr>
            <w:tcW w:w="2149" w:type="dxa"/>
            <w:vAlign w:val="center"/>
          </w:tcPr>
          <w:p>
            <w:pPr>
              <w:jc w:val="center"/>
              <w:rPr>
                <w:rFonts w:ascii="宋体" w:hAnsi="宋体" w:cs="宋体"/>
                <w:b/>
                <w:sz w:val="24"/>
              </w:rPr>
            </w:pPr>
            <w:r>
              <w:rPr>
                <w:rFonts w:hint="eastAsia" w:ascii="宋体" w:hAnsi="宋体" w:cs="宋体"/>
                <w:b/>
                <w:sz w:val="24"/>
              </w:rPr>
              <w:t>产品名称</w:t>
            </w:r>
          </w:p>
        </w:tc>
        <w:tc>
          <w:tcPr>
            <w:tcW w:w="990" w:type="dxa"/>
            <w:vAlign w:val="center"/>
          </w:tcPr>
          <w:p>
            <w:pPr>
              <w:autoSpaceDE w:val="0"/>
              <w:autoSpaceDN w:val="0"/>
              <w:jc w:val="center"/>
              <w:rPr>
                <w:rFonts w:ascii="宋体" w:hAnsi="宋体" w:cs="宋体"/>
                <w:b/>
                <w:sz w:val="24"/>
              </w:rPr>
            </w:pPr>
            <w:r>
              <w:rPr>
                <w:rFonts w:hint="eastAsia" w:ascii="宋体" w:hAnsi="宋体" w:cs="宋体"/>
                <w:b/>
                <w:sz w:val="24"/>
              </w:rPr>
              <w:t>数量</w:t>
            </w:r>
          </w:p>
        </w:tc>
        <w:tc>
          <w:tcPr>
            <w:tcW w:w="1354" w:type="dxa"/>
            <w:vAlign w:val="center"/>
          </w:tcPr>
          <w:p>
            <w:pPr>
              <w:jc w:val="center"/>
              <w:rPr>
                <w:rFonts w:ascii="宋体" w:hAnsi="宋体" w:cs="宋体"/>
                <w:b/>
                <w:sz w:val="24"/>
              </w:rPr>
            </w:pPr>
            <w:r>
              <w:rPr>
                <w:rFonts w:hint="eastAsia" w:ascii="宋体" w:hAnsi="宋体" w:cs="宋体"/>
                <w:b/>
                <w:sz w:val="24"/>
              </w:rPr>
              <w:t>规格型号</w:t>
            </w:r>
          </w:p>
        </w:tc>
        <w:tc>
          <w:tcPr>
            <w:tcW w:w="1797" w:type="dxa"/>
            <w:vAlign w:val="center"/>
          </w:tcPr>
          <w:p>
            <w:pPr>
              <w:jc w:val="center"/>
              <w:rPr>
                <w:rFonts w:ascii="宋体" w:hAnsi="宋体" w:cs="宋体"/>
                <w:b/>
                <w:sz w:val="24"/>
              </w:rPr>
            </w:pPr>
            <w:r>
              <w:rPr>
                <w:rFonts w:hint="eastAsia" w:ascii="宋体" w:hAnsi="宋体" w:cs="宋体"/>
                <w:b/>
                <w:sz w:val="24"/>
              </w:rPr>
              <w:t>性能及指标</w:t>
            </w:r>
          </w:p>
        </w:tc>
        <w:tc>
          <w:tcPr>
            <w:tcW w:w="1467" w:type="dxa"/>
            <w:vAlign w:val="center"/>
          </w:tcPr>
          <w:p>
            <w:pPr>
              <w:jc w:val="center"/>
              <w:rPr>
                <w:rFonts w:ascii="宋体" w:hAnsi="宋体" w:cs="宋体"/>
                <w:b/>
                <w:sz w:val="24"/>
              </w:rPr>
            </w:pPr>
            <w:r>
              <w:rPr>
                <w:rFonts w:hint="eastAsia" w:ascii="宋体" w:hAnsi="宋体" w:cs="宋体"/>
                <w:b/>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1</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2</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3</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4</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r>
              <w:rPr>
                <w:rFonts w:hint="eastAsia" w:ascii="宋体" w:hAnsi="宋体" w:cs="宋体"/>
                <w:sz w:val="24"/>
              </w:rPr>
              <w:t>…</w:t>
            </w:r>
          </w:p>
        </w:tc>
      </w:tr>
    </w:tbl>
    <w:p>
      <w:pPr>
        <w:autoSpaceDE w:val="0"/>
        <w:autoSpaceDN w:val="0"/>
        <w:spacing w:line="440" w:lineRule="exact"/>
        <w:rPr>
          <w:rFonts w:ascii="宋体" w:hAnsi="宋体" w:cs="宋体"/>
          <w:b/>
          <w:sz w:val="24"/>
        </w:rPr>
      </w:pPr>
      <w:r>
        <w:rPr>
          <w:rFonts w:hint="eastAsia" w:ascii="宋体" w:hAnsi="宋体" w:cs="宋体"/>
          <w:kern w:val="0"/>
          <w:sz w:val="24"/>
        </w:rPr>
        <w:t>备注：</w:t>
      </w:r>
      <w:r>
        <w:rPr>
          <w:rFonts w:hint="eastAsia" w:ascii="宋体" w:hAnsi="宋体" w:cs="宋体"/>
          <w:b/>
          <w:kern w:val="0"/>
          <w:sz w:val="24"/>
        </w:rPr>
        <w:t>主要产品的规格型号、性能指标等内容。</w:t>
      </w:r>
      <w:r>
        <w:rPr>
          <w:rFonts w:hint="eastAsia" w:ascii="宋体" w:hAnsi="宋体" w:cs="宋体"/>
          <w:b/>
          <w:sz w:val="24"/>
        </w:rPr>
        <w:t>可附投标产品介绍图文资料。</w:t>
      </w:r>
    </w:p>
    <w:p>
      <w:pPr>
        <w:spacing w:line="460" w:lineRule="exact"/>
        <w:rPr>
          <w:rFonts w:ascii="宋体" w:hAnsi="宋体" w:cs="宋体"/>
          <w:sz w:val="24"/>
        </w:rPr>
      </w:pP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投标人(公章）：     </w:t>
      </w: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法定代表人或授权代表(签字）：     </w:t>
      </w:r>
    </w:p>
    <w:p>
      <w:pPr>
        <w:pStyle w:val="35"/>
        <w:snapToGrid w:val="0"/>
        <w:spacing w:line="600" w:lineRule="exact"/>
        <w:ind w:firstLine="480" w:firstLineChars="200"/>
        <w:jc w:val="center"/>
        <w:outlineLvl w:val="2"/>
        <w:rPr>
          <w:rFonts w:hAnsi="宋体" w:cs="宋体"/>
          <w:b/>
          <w:color w:val="000000"/>
          <w:sz w:val="28"/>
          <w:szCs w:val="28"/>
          <w:lang w:val="zh-CN"/>
        </w:rPr>
      </w:pPr>
      <w:r>
        <w:rPr>
          <w:rFonts w:hint="eastAsia" w:hAnsi="宋体" w:cs="宋体"/>
          <w:kern w:val="0"/>
          <w:sz w:val="24"/>
        </w:rPr>
        <w:t xml:space="preserve">      </w:t>
      </w:r>
      <w:r>
        <w:rPr>
          <w:rFonts w:hint="eastAsia" w:hAnsi="宋体" w:cs="宋体"/>
          <w:kern w:val="0"/>
          <w:sz w:val="24"/>
          <w:lang w:val="zh-CN"/>
        </w:rPr>
        <w:t xml:space="preserve"> 日期：20  年  月   日  </w:t>
      </w:r>
    </w:p>
    <w:p>
      <w:pPr>
        <w:jc w:val="center"/>
        <w:rPr>
          <w:b/>
          <w:bCs/>
          <w:sz w:val="28"/>
          <w:szCs w:val="28"/>
          <w:lang w:val="zh-CN"/>
        </w:rPr>
        <w:sectPr>
          <w:headerReference r:id="rId18" w:type="first"/>
          <w:footerReference r:id="rId20" w:type="first"/>
          <w:headerReference r:id="rId17" w:type="default"/>
          <w:footerReference r:id="rId19" w:type="default"/>
          <w:pgSz w:w="11905" w:h="16838"/>
          <w:pgMar w:top="1531" w:right="1304" w:bottom="1531" w:left="1361" w:header="851" w:footer="992" w:gutter="0"/>
          <w:cols w:space="720" w:num="1"/>
          <w:titlePg/>
          <w:docGrid w:linePitch="312" w:charSpace="0"/>
        </w:sectPr>
      </w:pPr>
    </w:p>
    <w:p>
      <w:pPr>
        <w:jc w:val="center"/>
        <w:rPr>
          <w:b/>
          <w:bCs/>
          <w:sz w:val="28"/>
          <w:szCs w:val="28"/>
        </w:rPr>
      </w:pPr>
      <w:r>
        <w:rPr>
          <w:rFonts w:hint="eastAsia"/>
          <w:b/>
          <w:bCs/>
          <w:sz w:val="28"/>
          <w:szCs w:val="28"/>
          <w:lang w:val="zh-CN"/>
        </w:rPr>
        <w:t>九、政府采购供应商廉洁自律承诺书</w:t>
      </w:r>
    </w:p>
    <w:p/>
    <w:p>
      <w:pPr>
        <w:spacing w:line="600" w:lineRule="exact"/>
        <w:rPr>
          <w:sz w:val="24"/>
        </w:rPr>
      </w:pPr>
      <w:r>
        <w:rPr>
          <w:rFonts w:hint="eastAsia"/>
          <w:sz w:val="24"/>
          <w:lang w:val="zh-CN"/>
        </w:rPr>
        <w:t>（采购人）、（采购代理机构）：</w:t>
      </w:r>
    </w:p>
    <w:p>
      <w:pPr>
        <w:spacing w:line="600" w:lineRule="exact"/>
        <w:ind w:firstLine="480" w:firstLineChars="200"/>
        <w:rPr>
          <w:sz w:val="24"/>
          <w:lang w:val="zh-CN"/>
        </w:rPr>
      </w:pPr>
      <w:r>
        <w:rPr>
          <w:rFonts w:hint="eastAsia"/>
          <w:sz w:val="24"/>
          <w:lang w:val="zh-CN"/>
        </w:rPr>
        <w:t>我单位响应你</w:t>
      </w:r>
      <w:r>
        <w:rPr>
          <w:rFonts w:hint="eastAsia"/>
          <w:sz w:val="24"/>
        </w:rPr>
        <w:t>单位</w:t>
      </w:r>
      <w:r>
        <w:rPr>
          <w:rFonts w:hint="eastAsia"/>
          <w:sz w:val="24"/>
          <w:lang w:val="zh-CN"/>
        </w:rPr>
        <w:t>项目招标要求参加投标。在这次投标过程中和中标后，我们将严格遵守国家法律法规要求，并郑重承诺：</w:t>
      </w:r>
    </w:p>
    <w:p>
      <w:pPr>
        <w:spacing w:line="600" w:lineRule="exact"/>
        <w:ind w:firstLine="480" w:firstLineChars="200"/>
        <w:rPr>
          <w:sz w:val="24"/>
          <w:lang w:val="zh-CN"/>
        </w:rPr>
      </w:pPr>
      <w:r>
        <w:rPr>
          <w:rFonts w:hint="eastAsia"/>
          <w:sz w:val="24"/>
          <w:lang w:val="zh-CN"/>
        </w:rPr>
        <w:t xml:space="preserve">一、不向项目有关人员及部门赠送礼金礼物、有价证券、回扣以及中介费、介绍费、咨询费等好处费； </w:t>
      </w:r>
    </w:p>
    <w:p>
      <w:pPr>
        <w:spacing w:line="600" w:lineRule="exact"/>
        <w:ind w:firstLine="480" w:firstLineChars="200"/>
        <w:rPr>
          <w:sz w:val="24"/>
          <w:lang w:val="zh-CN"/>
        </w:rPr>
      </w:pPr>
      <w:r>
        <w:rPr>
          <w:rFonts w:hint="eastAsia"/>
          <w:sz w:val="24"/>
          <w:lang w:val="zh-CN"/>
        </w:rPr>
        <w:t xml:space="preserve">二、不为项目有关人员及部门报销应由你方单位或个人支付的费用； </w:t>
      </w:r>
    </w:p>
    <w:p>
      <w:pPr>
        <w:spacing w:line="600" w:lineRule="exact"/>
        <w:ind w:firstLine="480" w:firstLineChars="200"/>
        <w:rPr>
          <w:sz w:val="24"/>
          <w:lang w:val="zh-CN"/>
        </w:rPr>
      </w:pPr>
      <w:r>
        <w:rPr>
          <w:rFonts w:hint="eastAsia"/>
          <w:sz w:val="24"/>
          <w:lang w:val="zh-CN"/>
        </w:rPr>
        <w:t xml:space="preserve">三、不向项目有关人员及部门提供有可能影响公正的宴请和健身娱乐等活动； </w:t>
      </w:r>
    </w:p>
    <w:p>
      <w:pPr>
        <w:spacing w:line="600" w:lineRule="exact"/>
        <w:ind w:firstLine="480" w:firstLineChars="200"/>
        <w:rPr>
          <w:sz w:val="24"/>
          <w:lang w:val="zh-CN"/>
        </w:rPr>
      </w:pPr>
      <w:r>
        <w:rPr>
          <w:rFonts w:hint="eastAsia"/>
          <w:sz w:val="24"/>
          <w:lang w:val="zh-CN"/>
        </w:rPr>
        <w:t>四、不为项目有关人员及部门出国（境）、旅游等提供方便；</w:t>
      </w:r>
    </w:p>
    <w:p>
      <w:pPr>
        <w:spacing w:line="600" w:lineRule="exact"/>
        <w:ind w:firstLine="480" w:firstLineChars="200"/>
        <w:rPr>
          <w:sz w:val="24"/>
          <w:lang w:val="zh-CN"/>
        </w:rPr>
      </w:pPr>
      <w:r>
        <w:rPr>
          <w:rFonts w:hint="eastAsia"/>
          <w:sz w:val="24"/>
          <w:lang w:val="zh-CN"/>
        </w:rPr>
        <w:t>五、不为项目有关人员个人装修住房、婚丧嫁娶、配偶子女工作安排等提供好处；</w:t>
      </w:r>
    </w:p>
    <w:p>
      <w:pPr>
        <w:spacing w:line="600" w:lineRule="exact"/>
        <w:ind w:firstLine="480" w:firstLineChars="200"/>
        <w:rPr>
          <w:sz w:val="24"/>
          <w:lang w:val="zh-CN"/>
        </w:rPr>
      </w:pPr>
      <w:r>
        <w:rPr>
          <w:rFonts w:hint="eastAsia"/>
          <w:sz w:val="24"/>
          <w:lang w:val="zh-CN"/>
        </w:rPr>
        <w:t>六、严格遵守《中华人民共和国政府采购法》《中华人民共和国招标投标法》《中华人民共和国民法典》等法律法规，诚实守信，合法经营，坚决抵制各种违法违纪行为。</w:t>
      </w:r>
    </w:p>
    <w:p>
      <w:pPr>
        <w:spacing w:line="600" w:lineRule="exact"/>
        <w:rPr>
          <w:sz w:val="24"/>
          <w:lang w:val="zh-CN"/>
        </w:rPr>
      </w:pPr>
      <w:r>
        <w:rPr>
          <w:rFonts w:hint="eastAsia"/>
          <w:sz w:val="24"/>
          <w:lang w:val="zh-CN"/>
        </w:rPr>
        <w:t>如违反上述承诺，你</w:t>
      </w:r>
      <w:r>
        <w:rPr>
          <w:rFonts w:hint="eastAsia"/>
          <w:sz w:val="24"/>
        </w:rPr>
        <w:t>单位</w:t>
      </w:r>
      <w:r>
        <w:rPr>
          <w:rFonts w:hint="eastAsia"/>
          <w:sz w:val="24"/>
          <w:lang w:val="zh-CN"/>
        </w:rPr>
        <w:t>有权立即取消我单位投标、中标或在建项目的建设资格，有权拒绝我单位在一定时期内进入你</w:t>
      </w:r>
      <w:r>
        <w:rPr>
          <w:rFonts w:hint="eastAsia"/>
          <w:sz w:val="24"/>
        </w:rPr>
        <w:t>单位</w:t>
      </w:r>
      <w:r>
        <w:rPr>
          <w:rFonts w:hint="eastAsia"/>
          <w:sz w:val="24"/>
          <w:lang w:val="zh-CN"/>
        </w:rPr>
        <w:t>进行项目建设或其他经营活动，并通报市财政局。由此引起的相应损失均由我单位承担。</w:t>
      </w:r>
    </w:p>
    <w:p>
      <w:pPr>
        <w:spacing w:line="600" w:lineRule="exact"/>
        <w:rPr>
          <w:sz w:val="24"/>
          <w:lang w:val="zh-CN"/>
        </w:rPr>
      </w:pPr>
    </w:p>
    <w:p>
      <w:pPr>
        <w:spacing w:line="600" w:lineRule="exact"/>
        <w:rPr>
          <w:sz w:val="24"/>
          <w:lang w:val="zh-CN"/>
        </w:rPr>
      </w:pPr>
    </w:p>
    <w:p>
      <w:pPr>
        <w:spacing w:line="600" w:lineRule="exact"/>
        <w:jc w:val="right"/>
        <w:rPr>
          <w:sz w:val="24"/>
          <w:lang w:val="zh-CN"/>
        </w:rPr>
      </w:pPr>
      <w:r>
        <w:rPr>
          <w:rFonts w:hint="eastAsia"/>
          <w:sz w:val="24"/>
          <w:lang w:val="zh-CN"/>
        </w:rPr>
        <w:t>投标人名称（</w:t>
      </w:r>
      <w:r>
        <w:rPr>
          <w:rFonts w:hint="eastAsia"/>
          <w:sz w:val="24"/>
        </w:rPr>
        <w:t>电子签名</w:t>
      </w:r>
      <w:r>
        <w:rPr>
          <w:rFonts w:hint="eastAsia"/>
          <w:sz w:val="24"/>
          <w:lang w:val="zh-CN"/>
        </w:rPr>
        <w:t>）：</w:t>
      </w:r>
    </w:p>
    <w:p>
      <w:pPr>
        <w:spacing w:line="600" w:lineRule="exact"/>
        <w:jc w:val="right"/>
        <w:rPr>
          <w:rFonts w:ascii="宋体" w:hAnsi="宋体" w:cs="宋体"/>
          <w:sz w:val="24"/>
        </w:rPr>
      </w:pPr>
      <w:r>
        <w:rPr>
          <w:rFonts w:hint="eastAsia"/>
          <w:sz w:val="24"/>
          <w:lang w:val="zh-CN"/>
        </w:rPr>
        <w:t>日期</w:t>
      </w:r>
      <w:r>
        <w:rPr>
          <w:rFonts w:hint="eastAsia"/>
          <w:sz w:val="24"/>
        </w:rPr>
        <w:t>：</w:t>
      </w:r>
      <w:r>
        <w:rPr>
          <w:rFonts w:hint="eastAsia"/>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5" w:h="16838"/>
          <w:pgMar w:top="1531" w:right="1304" w:bottom="1531" w:left="1361"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0"/>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5" w:h="16838"/>
          <w:pgMar w:top="1531" w:right="1304" w:bottom="1531" w:left="1361" w:header="851" w:footer="992" w:gutter="0"/>
          <w:cols w:space="720" w:num="1"/>
          <w:titlePg/>
          <w:docGrid w:linePitch="312" w:charSpace="0"/>
        </w:sectPr>
      </w:pPr>
    </w:p>
    <w:p>
      <w:pPr>
        <w:pStyle w:val="38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w:t>
      </w:r>
      <w:r>
        <w:rPr>
          <w:rFonts w:hint="eastAsia" w:ascii="仿宋_GB2312" w:hAnsi="仿宋" w:eastAsia="仿宋_GB2312" w:cs="仿宋_GB2312"/>
          <w:b/>
          <w:kern w:val="0"/>
          <w:sz w:val="24"/>
        </w:rPr>
        <w:t>本项目为费率报价</w:t>
      </w:r>
      <w:r>
        <w:rPr>
          <w:rFonts w:ascii="仿宋_GB2312" w:hAnsi="仿宋" w:eastAsia="仿宋_GB2312" w:cs="仿宋_GB2312"/>
          <w:b/>
          <w:kern w:val="0"/>
          <w:sz w:val="24"/>
          <w:lang w:val="zh-CN"/>
        </w:rPr>
        <w:t>)</w:t>
      </w:r>
    </w:p>
    <w:tbl>
      <w:tblPr>
        <w:tblStyle w:val="6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98"/>
        <w:gridCol w:w="510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702" w:type="dxa"/>
            <w:vAlign w:val="center"/>
          </w:tcPr>
          <w:p>
            <w:pPr>
              <w:shd w:val="clear" w:color="auto" w:fill="FFFFFF"/>
              <w:tabs>
                <w:tab w:val="right" w:pos="-3426"/>
              </w:tabs>
              <w:snapToGrid w:val="0"/>
              <w:spacing w:line="360" w:lineRule="auto"/>
              <w:jc w:val="left"/>
              <w:rPr>
                <w:sz w:val="24"/>
              </w:rPr>
            </w:pPr>
            <w:r>
              <w:rPr>
                <w:rFonts w:hint="eastAsia"/>
                <w:sz w:val="24"/>
              </w:rPr>
              <w:t>序号</w:t>
            </w:r>
          </w:p>
        </w:tc>
        <w:tc>
          <w:tcPr>
            <w:tcW w:w="1198" w:type="dxa"/>
            <w:vAlign w:val="center"/>
          </w:tcPr>
          <w:p>
            <w:pPr>
              <w:shd w:val="clear" w:color="auto" w:fill="FFFFFF"/>
              <w:snapToGrid w:val="0"/>
              <w:spacing w:line="360" w:lineRule="auto"/>
              <w:jc w:val="center"/>
              <w:rPr>
                <w:sz w:val="24"/>
              </w:rPr>
            </w:pPr>
            <w:r>
              <w:rPr>
                <w:rFonts w:hint="eastAsia"/>
                <w:sz w:val="24"/>
              </w:rPr>
              <w:t>项目名称</w:t>
            </w:r>
          </w:p>
        </w:tc>
        <w:tc>
          <w:tcPr>
            <w:tcW w:w="5107" w:type="dxa"/>
            <w:vAlign w:val="center"/>
          </w:tcPr>
          <w:p>
            <w:pPr>
              <w:shd w:val="clear" w:color="auto" w:fill="FFFFFF"/>
              <w:snapToGrid w:val="0"/>
              <w:spacing w:line="360" w:lineRule="auto"/>
              <w:jc w:val="left"/>
              <w:rPr>
                <w:sz w:val="24"/>
              </w:rPr>
            </w:pPr>
            <w:r>
              <w:rPr>
                <w:rFonts w:hint="eastAsia"/>
                <w:szCs w:val="21"/>
              </w:rPr>
              <w:t>我单位投标报价为：《浙江省市政设施养护维修定额》（20</w:t>
            </w:r>
            <w:r>
              <w:rPr>
                <w:rFonts w:hint="eastAsia"/>
                <w:szCs w:val="21"/>
                <w:lang w:val="en-US" w:eastAsia="zh-CN"/>
              </w:rPr>
              <w:t>18</w:t>
            </w:r>
            <w:r>
              <w:rPr>
                <w:rFonts w:hint="eastAsia"/>
                <w:szCs w:val="21"/>
              </w:rPr>
              <w:t>版）、《浙江省市政工程预算定额（2018版）》相应定额子目，材料价按施工实际发生当月的《杭州造价信息》、《浙江省造价信息》，无价材料参考市场价格。人工材料补差按施工实际发生当季价格。(注:本项目结算编制按当前最新文件来编制)，进行组价后的    %计取。（最多保留两位小数）</w:t>
            </w:r>
          </w:p>
        </w:tc>
        <w:tc>
          <w:tcPr>
            <w:tcW w:w="1225" w:type="dxa"/>
            <w:vAlign w:val="center"/>
          </w:tcPr>
          <w:p>
            <w:pPr>
              <w:shd w:val="clear" w:color="auto" w:fill="FFFFFF"/>
              <w:snapToGrid w:val="0"/>
              <w:spacing w:line="360" w:lineRule="auto"/>
              <w:jc w:val="left"/>
              <w:rPr>
                <w:sz w:val="24"/>
              </w:rPr>
            </w:pPr>
            <w:r>
              <w:rPr>
                <w:rFonts w:hint="eastAsia"/>
                <w:sz w:val="24"/>
              </w:rPr>
              <w:t>服务期</w:t>
            </w:r>
          </w:p>
        </w:tc>
        <w:tc>
          <w:tcPr>
            <w:tcW w:w="1225" w:type="dxa"/>
            <w:vAlign w:val="center"/>
          </w:tcPr>
          <w:p>
            <w:pPr>
              <w:shd w:val="clear" w:color="auto" w:fill="FFFFFF"/>
              <w:snapToGrid w:val="0"/>
              <w:spacing w:line="360" w:lineRule="auto"/>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702" w:type="dxa"/>
            <w:vAlign w:val="center"/>
          </w:tcPr>
          <w:p>
            <w:pPr>
              <w:spacing w:line="600" w:lineRule="exact"/>
              <w:jc w:val="center"/>
              <w:rPr>
                <w:sz w:val="24"/>
              </w:rPr>
            </w:pPr>
            <w:r>
              <w:rPr>
                <w:rFonts w:hint="eastAsia" w:ascii="宋体" w:hAnsi="宋体" w:cs="宋体"/>
                <w:b/>
                <w:bCs/>
                <w:sz w:val="24"/>
              </w:rPr>
              <w:t>1</w:t>
            </w:r>
          </w:p>
        </w:tc>
        <w:tc>
          <w:tcPr>
            <w:tcW w:w="1198" w:type="dxa"/>
            <w:vAlign w:val="center"/>
          </w:tcPr>
          <w:p>
            <w:pPr>
              <w:spacing w:line="600" w:lineRule="exact"/>
              <w:jc w:val="center"/>
              <w:rPr>
                <w:sz w:val="24"/>
              </w:rPr>
            </w:pPr>
          </w:p>
        </w:tc>
        <w:tc>
          <w:tcPr>
            <w:tcW w:w="5107" w:type="dxa"/>
            <w:vAlign w:val="center"/>
          </w:tcPr>
          <w:p>
            <w:pPr>
              <w:rPr>
                <w:sz w:val="24"/>
                <w:u w:val="single"/>
              </w:rPr>
            </w:pPr>
          </w:p>
        </w:tc>
        <w:tc>
          <w:tcPr>
            <w:tcW w:w="1225" w:type="dxa"/>
            <w:vAlign w:val="center"/>
          </w:tcPr>
          <w:p>
            <w:pPr>
              <w:jc w:val="center"/>
              <w:rPr>
                <w:b/>
                <w:bCs/>
                <w:sz w:val="24"/>
              </w:rPr>
            </w:pPr>
          </w:p>
        </w:tc>
        <w:tc>
          <w:tcPr>
            <w:tcW w:w="1225" w:type="dxa"/>
            <w:vAlign w:val="center"/>
          </w:tcPr>
          <w:p>
            <w:pPr>
              <w:jc w:val="center"/>
              <w:rPr>
                <w:b/>
                <w:bCs/>
                <w:sz w:val="24"/>
              </w:rPr>
            </w:pPr>
            <w:r>
              <w:rPr>
                <w:rFonts w:hint="eastAsia"/>
                <w:b/>
                <w:bCs/>
                <w:sz w:val="24"/>
              </w:rPr>
              <w:t>（投标报价为折扣率，非下浮率，各投标单位仔细阅读招标文件后，进行报价）</w:t>
            </w:r>
          </w:p>
        </w:tc>
      </w:tr>
    </w:tbl>
    <w:p>
      <w:pPr>
        <w:snapToGrid w:val="0"/>
        <w:spacing w:line="600" w:lineRule="exact"/>
        <w:ind w:left="480"/>
        <w:rPr>
          <w:rFonts w:ascii="宋体" w:hAnsi="宋体" w:cs="宋体"/>
          <w:b/>
          <w:kern w:val="0"/>
          <w:sz w:val="24"/>
          <w:lang w:val="zh-CN"/>
        </w:rPr>
      </w:pPr>
      <w:r>
        <w:rPr>
          <w:rFonts w:hint="eastAsia" w:ascii="宋体" w:hAnsi="宋体" w:cs="宋体"/>
          <w:b/>
          <w:kern w:val="0"/>
          <w:sz w:val="24"/>
          <w:lang w:val="zh-CN"/>
        </w:rPr>
        <w:t>注：</w:t>
      </w:r>
    </w:p>
    <w:p>
      <w:pPr>
        <w:spacing w:line="600" w:lineRule="exact"/>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600" w:lineRule="exact"/>
        <w:ind w:firstLine="480" w:firstLineChars="200"/>
        <w:jc w:val="left"/>
        <w:rPr>
          <w:rFonts w:ascii="宋体" w:hAnsi="宋体" w:cs="宋体"/>
          <w:kern w:val="0"/>
          <w:sz w:val="24"/>
          <w:lang w:val="zh-CN"/>
        </w:rPr>
        <w:sectPr>
          <w:headerReference r:id="rId26" w:type="first"/>
          <w:footerReference r:id="rId29" w:type="first"/>
          <w:headerReference r:id="rId25" w:type="default"/>
          <w:footerReference r:id="rId27" w:type="default"/>
          <w:footerReference r:id="rId28" w:type="even"/>
          <w:pgSz w:w="11905" w:h="16838"/>
          <w:pgMar w:top="1531" w:right="1304" w:bottom="1531" w:left="1361" w:header="851" w:footer="992" w:gutter="0"/>
          <w:cols w:space="720" w:num="1"/>
          <w:titlePg/>
          <w:docGrid w:linePitch="312" w:charSpace="0"/>
        </w:sect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600" w:lineRule="exact"/>
        <w:ind w:firstLine="640" w:firstLineChars="200"/>
        <w:jc w:val="center"/>
        <w:rPr>
          <w:rFonts w:ascii="宋体" w:hAnsi="宋体" w:cs="宋体"/>
          <w:sz w:val="32"/>
          <w:szCs w:val="32"/>
        </w:rPr>
      </w:pPr>
      <w:r>
        <w:rPr>
          <w:rFonts w:hint="eastAsia" w:ascii="宋体" w:hAnsi="宋体" w:cs="宋体"/>
          <w:sz w:val="32"/>
          <w:szCs w:val="32"/>
        </w:rPr>
        <w:t>二、中小企业声明函</w:t>
      </w:r>
    </w:p>
    <w:p>
      <w:pPr>
        <w:widowControl/>
        <w:spacing w:line="600" w:lineRule="exact"/>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ascii="宋体" w:hAnsi="宋体" w:cs="宋体"/>
          <w:b/>
          <w:sz w:val="24"/>
        </w:rPr>
      </w:pPr>
      <w:r>
        <w:rPr>
          <w:rFonts w:hint="eastAsia" w:ascii="宋体" w:hAnsi="宋体" w:cs="宋体"/>
          <w:b/>
          <w:sz w:val="24"/>
        </w:rPr>
        <w:t>一、适用对象</w:t>
      </w:r>
    </w:p>
    <w:p>
      <w:pPr>
        <w:spacing w:line="600" w:lineRule="exact"/>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600" w:lineRule="exact"/>
        <w:ind w:firstLine="482" w:firstLineChars="200"/>
        <w:rPr>
          <w:rFonts w:ascii="宋体" w:hAnsi="宋体" w:cs="宋体"/>
          <w:b/>
          <w:sz w:val="24"/>
        </w:rPr>
      </w:pPr>
      <w:r>
        <w:rPr>
          <w:rFonts w:hint="eastAsia" w:ascii="宋体" w:hAnsi="宋体" w:cs="宋体"/>
          <w:b/>
          <w:sz w:val="24"/>
        </w:rPr>
        <w:t>二、相关信息获取方式</w:t>
      </w:r>
    </w:p>
    <w:p>
      <w:pPr>
        <w:spacing w:line="600" w:lineRule="exact"/>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ascii="宋体" w:hAnsi="宋体" w:cs="宋体"/>
          <w:b/>
          <w:sz w:val="24"/>
        </w:rPr>
      </w:pPr>
      <w:r>
        <w:rPr>
          <w:rFonts w:hint="eastAsia" w:ascii="宋体" w:hAnsi="宋体" w:cs="宋体"/>
          <w:b/>
          <w:sz w:val="24"/>
        </w:rPr>
        <w:t>三、　政府采购信用融资操作流程：</w:t>
      </w:r>
    </w:p>
    <w:p>
      <w:pPr>
        <w:spacing w:line="600" w:lineRule="exact"/>
        <w:ind w:firstLine="960" w:firstLineChars="400"/>
        <w:rPr>
          <w:rFonts w:ascii="宋体" w:hAnsi="宋体" w:cs="宋体"/>
          <w:sz w:val="24"/>
        </w:rPr>
      </w:pPr>
      <w:r>
        <w:rPr>
          <w:rFonts w:hint="eastAsia" w:ascii="宋体" w:hAnsi="宋体" w:cs="宋体"/>
          <w:sz w:val="24"/>
        </w:rPr>
        <w:t>（一）线上融资模式：</w:t>
      </w:r>
    </w:p>
    <w:p>
      <w:pPr>
        <w:spacing w:line="600" w:lineRule="exact"/>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600" w:lineRule="exact"/>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600" w:lineRule="exact"/>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600" w:lineRule="exact"/>
        <w:ind w:firstLine="480" w:firstLineChars="200"/>
        <w:rPr>
          <w:rFonts w:ascii="宋体" w:hAnsi="宋体" w:cs="宋体"/>
          <w:sz w:val="24"/>
        </w:rPr>
      </w:pPr>
      <w:r>
        <w:rPr>
          <w:rFonts w:hint="eastAsia" w:ascii="宋体" w:hAnsi="宋体" w:cs="宋体"/>
          <w:sz w:val="24"/>
        </w:rPr>
        <w:t>　　4.审批通过后，在线办理放贷手续。</w:t>
      </w:r>
    </w:p>
    <w:p>
      <w:pPr>
        <w:spacing w:line="600" w:lineRule="exact"/>
        <w:ind w:firstLine="480" w:firstLineChars="200"/>
        <w:rPr>
          <w:rFonts w:ascii="宋体" w:hAnsi="宋体" w:cs="宋体"/>
          <w:sz w:val="24"/>
        </w:rPr>
      </w:pPr>
      <w:r>
        <w:rPr>
          <w:rFonts w:hint="eastAsia" w:ascii="宋体" w:hAnsi="宋体" w:cs="宋体"/>
          <w:sz w:val="24"/>
        </w:rPr>
        <w:t>　　（二）线下融资模式：</w:t>
      </w:r>
    </w:p>
    <w:p>
      <w:pPr>
        <w:spacing w:line="600" w:lineRule="exact"/>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600" w:lineRule="exact"/>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600" w:lineRule="exact"/>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spacing w:line="600" w:lineRule="exact"/>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spacing w:line="600" w:lineRule="exact"/>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600" w:lineRule="exact"/>
        <w:ind w:firstLine="482" w:firstLineChars="200"/>
        <w:rPr>
          <w:rFonts w:ascii="宋体" w:hAnsi="宋体" w:cs="宋体"/>
          <w:b/>
          <w:sz w:val="24"/>
        </w:rPr>
      </w:pPr>
      <w:r>
        <w:rPr>
          <w:rFonts w:hint="eastAsia" w:ascii="宋体" w:hAnsi="宋体" w:cs="宋体"/>
          <w:b/>
          <w:sz w:val="24"/>
        </w:rPr>
        <w:t>四、注意事项</w:t>
      </w:r>
    </w:p>
    <w:p>
      <w:pPr>
        <w:spacing w:line="600" w:lineRule="exact"/>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600" w:lineRule="exact"/>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pageBreakBefore/>
        <w:widowControl/>
        <w:spacing w:before="100" w:beforeAutospacing="1" w:after="100" w:afterAutospacing="1" w:line="360" w:lineRule="auto"/>
        <w:ind w:left="1290" w:firstLine="3092" w:firstLineChars="700"/>
        <w:rPr>
          <w:rFonts w:ascii="宋体" w:hAnsi="宋体" w:cs="宋体"/>
        </w:rPr>
      </w:pPr>
      <w:bookmarkStart w:id="402" w:name="_Toc465665161"/>
      <w:r>
        <w:rPr>
          <w:rFonts w:hint="eastAsia" w:ascii="宋体" w:hAnsi="宋体" w:cs="宋体"/>
        </w:rPr>
        <w:t>附件</w:t>
      </w:r>
      <w:bookmarkEnd w:id="40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3" w:name="OLE_LINK14"/>
      <w:bookmarkStart w:id="404" w:name="OLE_LINK13"/>
      <w:r>
        <w:rPr>
          <w:rFonts w:hint="eastAsia" w:ascii="宋体" w:hAnsi="宋体" w:cs="宋体"/>
          <w:b/>
          <w:spacing w:val="6"/>
          <w:sz w:val="32"/>
          <w:szCs w:val="32"/>
        </w:rPr>
        <w:t>残疾人福利性单位声明函</w:t>
      </w:r>
    </w:p>
    <w:bookmarkEnd w:id="403"/>
    <w:bookmarkEnd w:id="404"/>
    <w:p>
      <w:pPr>
        <w:spacing w:line="600" w:lineRule="exact"/>
        <w:rPr>
          <w:rFonts w:ascii="宋体" w:hAnsi="宋体" w:cs="宋体"/>
          <w:b/>
          <w:spacing w:val="6"/>
          <w:sz w:val="30"/>
          <w:szCs w:val="30"/>
        </w:rPr>
      </w:pPr>
    </w:p>
    <w:p>
      <w:pPr>
        <w:spacing w:line="6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tabs>
          <w:tab w:val="left" w:pos="4860"/>
        </w:tabs>
        <w:spacing w:line="600" w:lineRule="exact"/>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600" w:lineRule="exact"/>
        <w:ind w:right="1560" w:firstLine="480" w:firstLineChars="200"/>
        <w:jc w:val="center"/>
        <w:rPr>
          <w:rFonts w:ascii="宋体" w:hAnsi="宋体" w:cs="宋体"/>
          <w:sz w:val="24"/>
        </w:rPr>
      </w:pPr>
      <w:r>
        <w:rPr>
          <w:rFonts w:hint="eastAsia" w:ascii="宋体" w:hAnsi="宋体" w:cs="宋体"/>
          <w:sz w:val="24"/>
        </w:rPr>
        <w:t xml:space="preserve">       日  期：</w:t>
      </w:r>
    </w:p>
    <w:p>
      <w:pPr>
        <w:spacing w:line="600" w:lineRule="exact"/>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spacing w:val="6"/>
          <w:sz w:val="32"/>
          <w:szCs w:val="32"/>
        </w:rPr>
      </w:pPr>
    </w:p>
    <w:p>
      <w:pPr>
        <w:pStyle w:val="4"/>
        <w:spacing w:line="240" w:lineRule="auto"/>
        <w:ind w:left="0" w:firstLine="0"/>
        <w:rPr>
          <w:rFonts w:ascii="宋体" w:hAnsi="宋体" w:cs="宋体"/>
        </w:rPr>
      </w:pPr>
    </w:p>
    <w:p>
      <w:pPr>
        <w:rPr>
          <w:rFonts w:ascii="宋体" w:hAnsi="宋体" w:cs="宋体"/>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；承建企业为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；承建企业为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 xml:space="preserve">注：   </w:t>
      </w:r>
    </w:p>
    <w:p>
      <w:pPr>
        <w:spacing w:line="360" w:lineRule="auto"/>
        <w:jc w:val="left"/>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posOffset>2451100</wp:posOffset>
              </wp:positionH>
              <wp:positionV relativeFrom="paragraph">
                <wp:posOffset>-327025</wp:posOffset>
              </wp:positionV>
              <wp:extent cx="2243455" cy="243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3455" cy="243205"/>
                      </a:xfrm>
                      <a:prstGeom prst="rect">
                        <a:avLst/>
                      </a:prstGeom>
                      <a:noFill/>
                      <a:ln>
                        <a:noFill/>
                      </a:ln>
                    </wps:spPr>
                    <wps:txbx>
                      <w:txbxContent>
                        <w:p>
                          <w:pPr>
                            <w:spacing w:line="362" w:lineRule="exact"/>
                            <w:ind w:left="20"/>
                            <w:jc w:val="left"/>
                            <w:rPr>
                              <w:sz w:val="30"/>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27</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78</w:t>
                          </w:r>
                          <w:r>
                            <w:rPr>
                              <w:sz w:val="18"/>
                              <w:szCs w:val="18"/>
                            </w:rPr>
                            <w:fldChar w:fldCharType="end"/>
                          </w:r>
                          <w:r>
                            <w:rPr>
                              <w:sz w:val="18"/>
                              <w:szCs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left:193pt;margin-top:-25.75pt;height:19.15pt;width:176.65pt;mso-position-horizontal-relative:margin;z-index:251662336;mso-width-relative:page;mso-height-relative:page;" filled="f" stroked="f" coordsize="21600,21600" o:gfxdata="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yJ5RNsAAAALAQAADwAAAAAAAAABACAAAAAiAAAAZHJzL2Rvd25yZXYueG1sUEsB&#10;AhQAFAAAAAgAh07iQNOJxC65AQAAcgMAAA4AAAAAAAAAAQAgAAAAKgEAAGRycy9lMm9Eb2MueG1s&#10;UEsFBgAAAAAGAAYAWQEAAFUFAAAAAA==&#10;">
              <v:fill on="f" focussize="0,0"/>
              <v:stroke on="f"/>
              <v:imagedata o:title=""/>
              <o:lock v:ext="edit" aspectratio="f"/>
              <v:textbox inset="0mm,0mm,0mm,0mm">
                <w:txbxContent>
                  <w:p>
                    <w:pPr>
                      <w:spacing w:line="362" w:lineRule="exact"/>
                      <w:ind w:left="20"/>
                      <w:jc w:val="left"/>
                      <w:rPr>
                        <w:sz w:val="30"/>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27</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78</w:t>
                    </w:r>
                    <w:r>
                      <w:rPr>
                        <w:sz w:val="18"/>
                        <w:szCs w:val="18"/>
                      </w:rPr>
                      <w:fldChar w:fldCharType="end"/>
                    </w:r>
                    <w:r>
                      <w:rPr>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994410</wp:posOffset>
              </wp:positionH>
              <wp:positionV relativeFrom="page">
                <wp:posOffset>9937115</wp:posOffset>
              </wp:positionV>
              <wp:extent cx="598170" cy="2432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8170" cy="243205"/>
                      </a:xfrm>
                      <a:prstGeom prst="rect">
                        <a:avLst/>
                      </a:prstGeom>
                      <a:noFill/>
                      <a:ln>
                        <a:noFill/>
                      </a:ln>
                    </wps:spPr>
                    <wps:txbx>
                      <w:txbxContent>
                        <w:p>
                          <w:pPr>
                            <w:spacing w:line="362" w:lineRule="exact"/>
                            <w:ind w:left="20"/>
                            <w:jc w:val="left"/>
                            <w:rPr>
                              <w:sz w:val="30"/>
                            </w:rPr>
                          </w:pPr>
                          <w:r>
                            <w:rPr>
                              <w:sz w:val="30"/>
                            </w:rPr>
                            <w:t xml:space="preserve">- </w:t>
                          </w:r>
                          <w:r>
                            <w:fldChar w:fldCharType="begin"/>
                          </w:r>
                          <w:r>
                            <w:rPr>
                              <w:sz w:val="30"/>
                            </w:rPr>
                            <w:instrText xml:space="preserve"> PAGE </w:instrText>
                          </w:r>
                          <w:r>
                            <w:fldChar w:fldCharType="separate"/>
                          </w:r>
                          <w:r>
                            <w:t>20</w:t>
                          </w:r>
                          <w: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left:78.3pt;margin-top:782.45pt;height:19.15pt;width:47.1pt;mso-position-horizontal-relative:page;mso-position-vertical-relative:page;z-index:-251655168;mso-width-relative:page;mso-height-relative:page;" filled="f" stroked="f" coordsize="21600,21600" o:gfxdata="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zYTtoAAAANAQAADwAAAAAAAAABACAAAAAiAAAAZHJzL2Rvd25yZXYueG1sUEsB&#10;AhQAFAAAAAgAh07iQBJKoDO6AQAAcQMAAA4AAAAAAAAAAQAgAAAAKQEAAGRycy9lMm9Eb2MueG1s&#10;UEsFBgAAAAAGAAYAWQEAAFUFAAAAAA==&#10;">
              <v:fill on="f" focussize="0,0"/>
              <v:stroke on="f"/>
              <v:imagedata o:title=""/>
              <o:lock v:ext="edit" aspectratio="f"/>
              <v:textbox inset="0mm,0mm,0mm,0mm">
                <w:txbxContent>
                  <w:p>
                    <w:pPr>
                      <w:spacing w:line="362" w:lineRule="exact"/>
                      <w:ind w:left="20"/>
                      <w:jc w:val="left"/>
                      <w:rPr>
                        <w:sz w:val="30"/>
                      </w:rPr>
                    </w:pPr>
                    <w:r>
                      <w:rPr>
                        <w:sz w:val="30"/>
                      </w:rPr>
                      <w:t xml:space="preserve">- </w:t>
                    </w:r>
                    <w:r>
                      <w:fldChar w:fldCharType="begin"/>
                    </w:r>
                    <w:r>
                      <w:rPr>
                        <w:sz w:val="30"/>
                      </w:rPr>
                      <w:instrText xml:space="preserve"> PAGE </w:instrText>
                    </w:r>
                    <w:r>
                      <w:fldChar w:fldCharType="separate"/>
                    </w:r>
                    <w:r>
                      <w:t>20</w:t>
                    </w:r>
                    <w:r>
                      <w:fldChar w:fldCharType="end"/>
                    </w:r>
                    <w:r>
                      <w:rPr>
                        <w:sz w:val="30"/>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p>
  <w:p>
    <w:pPr>
      <w:pStyle w:val="43"/>
      <w:pBdr>
        <w:bottom w:val="single" w:color="auto" w:sz="6" w:space="4"/>
      </w:pBdr>
      <w:jc w:val="right"/>
    </w:pPr>
  </w:p>
  <w:p>
    <w:pPr>
      <w:pStyle w:val="43"/>
      <w:pBdr>
        <w:bottom w:val="single" w:color="auto" w:sz="6" w:space="4"/>
      </w:pBdr>
      <w:jc w:val="right"/>
    </w:pPr>
  </w:p>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p>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lang w:val="zh-CN"/>
      </w:rPr>
    </w:pPr>
  </w:p>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98FCF"/>
    <w:multiLevelType w:val="singleLevel"/>
    <w:tmpl w:val="D3B98FCF"/>
    <w:lvl w:ilvl="0" w:tentative="0">
      <w:start w:val="6"/>
      <w:numFmt w:val="chineseCounting"/>
      <w:suff w:val="nothing"/>
      <w:lvlText w:val="%1、"/>
      <w:lvlJc w:val="left"/>
      <w:rPr>
        <w:rFonts w:hint="eastAsia"/>
      </w:rPr>
    </w:lvl>
  </w:abstractNum>
  <w:abstractNum w:abstractNumId="1">
    <w:nsid w:val="7B4F8D3E"/>
    <w:multiLevelType w:val="singleLevel"/>
    <w:tmpl w:val="7B4F8D3E"/>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hOGI1NGExNTJhOTRhZjEyZjQ4MGZiNWM2MGUw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D0"/>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1A"/>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C6"/>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2BF"/>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3B45"/>
    <w:rsid w:val="019F7441"/>
    <w:rsid w:val="01B37585"/>
    <w:rsid w:val="01BA1319"/>
    <w:rsid w:val="01BB5A85"/>
    <w:rsid w:val="01CA7042"/>
    <w:rsid w:val="01D55165"/>
    <w:rsid w:val="01D84888"/>
    <w:rsid w:val="01DF6BF8"/>
    <w:rsid w:val="01EC2C57"/>
    <w:rsid w:val="026B2E25"/>
    <w:rsid w:val="02824D4D"/>
    <w:rsid w:val="02942346"/>
    <w:rsid w:val="02DC4B10"/>
    <w:rsid w:val="02DD76CE"/>
    <w:rsid w:val="02F36323"/>
    <w:rsid w:val="02F5619C"/>
    <w:rsid w:val="0326446A"/>
    <w:rsid w:val="032D5555"/>
    <w:rsid w:val="03495554"/>
    <w:rsid w:val="035749D7"/>
    <w:rsid w:val="036634D2"/>
    <w:rsid w:val="03D16C91"/>
    <w:rsid w:val="03DD35E4"/>
    <w:rsid w:val="04045220"/>
    <w:rsid w:val="04076900"/>
    <w:rsid w:val="041A5A3B"/>
    <w:rsid w:val="042311BA"/>
    <w:rsid w:val="042B157A"/>
    <w:rsid w:val="048F763B"/>
    <w:rsid w:val="049F330E"/>
    <w:rsid w:val="04A722F0"/>
    <w:rsid w:val="04AA775C"/>
    <w:rsid w:val="04AF1889"/>
    <w:rsid w:val="04C90F21"/>
    <w:rsid w:val="04F51468"/>
    <w:rsid w:val="04F66F48"/>
    <w:rsid w:val="05251E14"/>
    <w:rsid w:val="057427AF"/>
    <w:rsid w:val="059D6515"/>
    <w:rsid w:val="05A16594"/>
    <w:rsid w:val="05A7762D"/>
    <w:rsid w:val="05B5443B"/>
    <w:rsid w:val="05CE7F14"/>
    <w:rsid w:val="05DF7CFA"/>
    <w:rsid w:val="060E5941"/>
    <w:rsid w:val="06110FAF"/>
    <w:rsid w:val="063820BA"/>
    <w:rsid w:val="06447B82"/>
    <w:rsid w:val="06493CA7"/>
    <w:rsid w:val="065A6178"/>
    <w:rsid w:val="066F1CF3"/>
    <w:rsid w:val="06930BB8"/>
    <w:rsid w:val="06985EA5"/>
    <w:rsid w:val="06AE35EE"/>
    <w:rsid w:val="06DF3FC3"/>
    <w:rsid w:val="07115E54"/>
    <w:rsid w:val="07245D42"/>
    <w:rsid w:val="07264C62"/>
    <w:rsid w:val="073A569E"/>
    <w:rsid w:val="076C146E"/>
    <w:rsid w:val="0779354C"/>
    <w:rsid w:val="07922158"/>
    <w:rsid w:val="07D274E2"/>
    <w:rsid w:val="08061376"/>
    <w:rsid w:val="080F49BC"/>
    <w:rsid w:val="081859DF"/>
    <w:rsid w:val="08452D77"/>
    <w:rsid w:val="086401F8"/>
    <w:rsid w:val="08751CAA"/>
    <w:rsid w:val="087E4C40"/>
    <w:rsid w:val="08A63A80"/>
    <w:rsid w:val="08B00092"/>
    <w:rsid w:val="08D66AD6"/>
    <w:rsid w:val="08DA33A3"/>
    <w:rsid w:val="08E6034A"/>
    <w:rsid w:val="08E80F13"/>
    <w:rsid w:val="09335624"/>
    <w:rsid w:val="0944690F"/>
    <w:rsid w:val="09535675"/>
    <w:rsid w:val="095F057D"/>
    <w:rsid w:val="09642282"/>
    <w:rsid w:val="09661764"/>
    <w:rsid w:val="097053A7"/>
    <w:rsid w:val="09733572"/>
    <w:rsid w:val="09772C16"/>
    <w:rsid w:val="098353B5"/>
    <w:rsid w:val="098A290C"/>
    <w:rsid w:val="099C34A7"/>
    <w:rsid w:val="09A92330"/>
    <w:rsid w:val="09B06B87"/>
    <w:rsid w:val="09B259BF"/>
    <w:rsid w:val="09B94F9F"/>
    <w:rsid w:val="09C13146"/>
    <w:rsid w:val="09E04166"/>
    <w:rsid w:val="0A1C0718"/>
    <w:rsid w:val="0A3E7710"/>
    <w:rsid w:val="0A4262AC"/>
    <w:rsid w:val="0A432061"/>
    <w:rsid w:val="0A5B7E63"/>
    <w:rsid w:val="0AA374A5"/>
    <w:rsid w:val="0AAB7649"/>
    <w:rsid w:val="0ABC5606"/>
    <w:rsid w:val="0ACE6829"/>
    <w:rsid w:val="0AF87B85"/>
    <w:rsid w:val="0B30404E"/>
    <w:rsid w:val="0B4C6C14"/>
    <w:rsid w:val="0B586B6C"/>
    <w:rsid w:val="0B631A88"/>
    <w:rsid w:val="0B683D45"/>
    <w:rsid w:val="0B7F3F11"/>
    <w:rsid w:val="0B867103"/>
    <w:rsid w:val="0B884417"/>
    <w:rsid w:val="0B930A8B"/>
    <w:rsid w:val="0BF6188C"/>
    <w:rsid w:val="0BF73C91"/>
    <w:rsid w:val="0BF85CAB"/>
    <w:rsid w:val="0C083FBC"/>
    <w:rsid w:val="0C170175"/>
    <w:rsid w:val="0C217A06"/>
    <w:rsid w:val="0C477D22"/>
    <w:rsid w:val="0C571A41"/>
    <w:rsid w:val="0C5C1171"/>
    <w:rsid w:val="0C5E1CBC"/>
    <w:rsid w:val="0C615B50"/>
    <w:rsid w:val="0C6A44A1"/>
    <w:rsid w:val="0C8445DA"/>
    <w:rsid w:val="0C87121B"/>
    <w:rsid w:val="0CC007F7"/>
    <w:rsid w:val="0CE105CD"/>
    <w:rsid w:val="0CE543EF"/>
    <w:rsid w:val="0CFE707A"/>
    <w:rsid w:val="0D063BDA"/>
    <w:rsid w:val="0D08375F"/>
    <w:rsid w:val="0D184CFB"/>
    <w:rsid w:val="0D2E7A52"/>
    <w:rsid w:val="0D3816F5"/>
    <w:rsid w:val="0D470510"/>
    <w:rsid w:val="0D4A7419"/>
    <w:rsid w:val="0D531267"/>
    <w:rsid w:val="0D827401"/>
    <w:rsid w:val="0D84094E"/>
    <w:rsid w:val="0D8A00E9"/>
    <w:rsid w:val="0D8D589E"/>
    <w:rsid w:val="0DA01C73"/>
    <w:rsid w:val="0DA31871"/>
    <w:rsid w:val="0DB275CB"/>
    <w:rsid w:val="0DBE4BAA"/>
    <w:rsid w:val="0DD63300"/>
    <w:rsid w:val="0DF50604"/>
    <w:rsid w:val="0DF702FE"/>
    <w:rsid w:val="0E060E51"/>
    <w:rsid w:val="0E0F4549"/>
    <w:rsid w:val="0E246BB0"/>
    <w:rsid w:val="0E5604B2"/>
    <w:rsid w:val="0E6D5D79"/>
    <w:rsid w:val="0E832BBA"/>
    <w:rsid w:val="0E9D0089"/>
    <w:rsid w:val="0EA16899"/>
    <w:rsid w:val="0EAD49A7"/>
    <w:rsid w:val="0EB803EE"/>
    <w:rsid w:val="0EF94D4B"/>
    <w:rsid w:val="0EFE6AEA"/>
    <w:rsid w:val="0F242EDB"/>
    <w:rsid w:val="0F245A3F"/>
    <w:rsid w:val="0F485376"/>
    <w:rsid w:val="0F4958DC"/>
    <w:rsid w:val="0F515DF7"/>
    <w:rsid w:val="0F596BA8"/>
    <w:rsid w:val="0F6248D2"/>
    <w:rsid w:val="0F693536"/>
    <w:rsid w:val="0F7B0511"/>
    <w:rsid w:val="0F7B76D9"/>
    <w:rsid w:val="0F816ACD"/>
    <w:rsid w:val="0F940344"/>
    <w:rsid w:val="0F9832DB"/>
    <w:rsid w:val="0FBF3FD2"/>
    <w:rsid w:val="0FBF7FF3"/>
    <w:rsid w:val="106265C5"/>
    <w:rsid w:val="10646583"/>
    <w:rsid w:val="107D4B15"/>
    <w:rsid w:val="108A3C80"/>
    <w:rsid w:val="10C26171"/>
    <w:rsid w:val="10F33360"/>
    <w:rsid w:val="10FC16EA"/>
    <w:rsid w:val="110F1D40"/>
    <w:rsid w:val="11106CF0"/>
    <w:rsid w:val="11224215"/>
    <w:rsid w:val="11266F33"/>
    <w:rsid w:val="11494E5B"/>
    <w:rsid w:val="114958B1"/>
    <w:rsid w:val="116C55A6"/>
    <w:rsid w:val="118963A1"/>
    <w:rsid w:val="119D27B8"/>
    <w:rsid w:val="11AC7198"/>
    <w:rsid w:val="11B118CB"/>
    <w:rsid w:val="11C5445D"/>
    <w:rsid w:val="11C6522A"/>
    <w:rsid w:val="11CE5105"/>
    <w:rsid w:val="11E104CC"/>
    <w:rsid w:val="11E20309"/>
    <w:rsid w:val="11E21816"/>
    <w:rsid w:val="12255233"/>
    <w:rsid w:val="12284859"/>
    <w:rsid w:val="122E5DFF"/>
    <w:rsid w:val="12486EC1"/>
    <w:rsid w:val="12530213"/>
    <w:rsid w:val="127723A9"/>
    <w:rsid w:val="12862074"/>
    <w:rsid w:val="12883966"/>
    <w:rsid w:val="1288550F"/>
    <w:rsid w:val="129034DD"/>
    <w:rsid w:val="129C0FBA"/>
    <w:rsid w:val="129E45B4"/>
    <w:rsid w:val="12A10CC7"/>
    <w:rsid w:val="12C93136"/>
    <w:rsid w:val="12D81596"/>
    <w:rsid w:val="13072A44"/>
    <w:rsid w:val="133E02C4"/>
    <w:rsid w:val="135320BB"/>
    <w:rsid w:val="135F4BE2"/>
    <w:rsid w:val="13693592"/>
    <w:rsid w:val="139B1A0A"/>
    <w:rsid w:val="139D25C7"/>
    <w:rsid w:val="13BF3CE4"/>
    <w:rsid w:val="141008D8"/>
    <w:rsid w:val="14125FE6"/>
    <w:rsid w:val="146D271E"/>
    <w:rsid w:val="14880EFB"/>
    <w:rsid w:val="14982588"/>
    <w:rsid w:val="149A5AD9"/>
    <w:rsid w:val="14A7619D"/>
    <w:rsid w:val="14A92C6F"/>
    <w:rsid w:val="14B4083D"/>
    <w:rsid w:val="14E43857"/>
    <w:rsid w:val="14F452DB"/>
    <w:rsid w:val="15035C84"/>
    <w:rsid w:val="150536C3"/>
    <w:rsid w:val="150C1963"/>
    <w:rsid w:val="151447A0"/>
    <w:rsid w:val="15354147"/>
    <w:rsid w:val="154222ED"/>
    <w:rsid w:val="154A6454"/>
    <w:rsid w:val="15592141"/>
    <w:rsid w:val="15762120"/>
    <w:rsid w:val="15C24D0F"/>
    <w:rsid w:val="15C9226B"/>
    <w:rsid w:val="15F42463"/>
    <w:rsid w:val="16390F1E"/>
    <w:rsid w:val="16A8729C"/>
    <w:rsid w:val="16B33777"/>
    <w:rsid w:val="16BA2357"/>
    <w:rsid w:val="16BC70A7"/>
    <w:rsid w:val="16C44F84"/>
    <w:rsid w:val="16C6339E"/>
    <w:rsid w:val="16C92653"/>
    <w:rsid w:val="16D12D09"/>
    <w:rsid w:val="16F21AF1"/>
    <w:rsid w:val="172F2D79"/>
    <w:rsid w:val="17557BEF"/>
    <w:rsid w:val="1794457C"/>
    <w:rsid w:val="17B56401"/>
    <w:rsid w:val="17BF5F86"/>
    <w:rsid w:val="17D349C1"/>
    <w:rsid w:val="17D77582"/>
    <w:rsid w:val="17E17DAB"/>
    <w:rsid w:val="18140BEB"/>
    <w:rsid w:val="181A2CF8"/>
    <w:rsid w:val="1830729E"/>
    <w:rsid w:val="1870062C"/>
    <w:rsid w:val="18817102"/>
    <w:rsid w:val="18830A15"/>
    <w:rsid w:val="18852B28"/>
    <w:rsid w:val="188B5321"/>
    <w:rsid w:val="188C39CD"/>
    <w:rsid w:val="18F93543"/>
    <w:rsid w:val="190968FB"/>
    <w:rsid w:val="193106D8"/>
    <w:rsid w:val="19537077"/>
    <w:rsid w:val="19716E09"/>
    <w:rsid w:val="197B7B7C"/>
    <w:rsid w:val="19932372"/>
    <w:rsid w:val="199632A2"/>
    <w:rsid w:val="19A20DD5"/>
    <w:rsid w:val="19AE03F1"/>
    <w:rsid w:val="19E03E83"/>
    <w:rsid w:val="19EB6674"/>
    <w:rsid w:val="1A071A03"/>
    <w:rsid w:val="1A1F16AE"/>
    <w:rsid w:val="1A3B5C77"/>
    <w:rsid w:val="1A646862"/>
    <w:rsid w:val="1A7C3206"/>
    <w:rsid w:val="1A984BAD"/>
    <w:rsid w:val="1AB13FB7"/>
    <w:rsid w:val="1AB8220E"/>
    <w:rsid w:val="1ABF0FF7"/>
    <w:rsid w:val="1AE4166C"/>
    <w:rsid w:val="1AF06CFB"/>
    <w:rsid w:val="1AF11B8D"/>
    <w:rsid w:val="1B11359C"/>
    <w:rsid w:val="1B2A271F"/>
    <w:rsid w:val="1B4C2CD0"/>
    <w:rsid w:val="1B522B5E"/>
    <w:rsid w:val="1B530544"/>
    <w:rsid w:val="1B713184"/>
    <w:rsid w:val="1BA209CF"/>
    <w:rsid w:val="1BB4777D"/>
    <w:rsid w:val="1BB932C3"/>
    <w:rsid w:val="1BD75AB8"/>
    <w:rsid w:val="1BD7675B"/>
    <w:rsid w:val="1BF87504"/>
    <w:rsid w:val="1C0459C2"/>
    <w:rsid w:val="1C1B3B4A"/>
    <w:rsid w:val="1C432DE2"/>
    <w:rsid w:val="1C88086E"/>
    <w:rsid w:val="1CA10E81"/>
    <w:rsid w:val="1CB17D58"/>
    <w:rsid w:val="1D266CE1"/>
    <w:rsid w:val="1D281406"/>
    <w:rsid w:val="1D3963AF"/>
    <w:rsid w:val="1D6A673C"/>
    <w:rsid w:val="1D772D50"/>
    <w:rsid w:val="1D9247AE"/>
    <w:rsid w:val="1DB567EC"/>
    <w:rsid w:val="1DF51A98"/>
    <w:rsid w:val="1E032835"/>
    <w:rsid w:val="1E3D060F"/>
    <w:rsid w:val="1E3F7D2E"/>
    <w:rsid w:val="1E4134E4"/>
    <w:rsid w:val="1E5062B3"/>
    <w:rsid w:val="1E523514"/>
    <w:rsid w:val="1E714A66"/>
    <w:rsid w:val="1E802593"/>
    <w:rsid w:val="1EA703CC"/>
    <w:rsid w:val="1EB7330C"/>
    <w:rsid w:val="1EBC58D0"/>
    <w:rsid w:val="1EC04283"/>
    <w:rsid w:val="1ECA52BC"/>
    <w:rsid w:val="1ED860B8"/>
    <w:rsid w:val="1F0A0FF3"/>
    <w:rsid w:val="1F3802BD"/>
    <w:rsid w:val="1F576995"/>
    <w:rsid w:val="1F5771FF"/>
    <w:rsid w:val="1F9E2816"/>
    <w:rsid w:val="1FE868A9"/>
    <w:rsid w:val="20034907"/>
    <w:rsid w:val="20106D3C"/>
    <w:rsid w:val="20173E4B"/>
    <w:rsid w:val="203211B0"/>
    <w:rsid w:val="204E48BC"/>
    <w:rsid w:val="20522BB1"/>
    <w:rsid w:val="20592BE1"/>
    <w:rsid w:val="20656F4F"/>
    <w:rsid w:val="208921B3"/>
    <w:rsid w:val="20973DEB"/>
    <w:rsid w:val="20B26522"/>
    <w:rsid w:val="20B44310"/>
    <w:rsid w:val="20BE06E5"/>
    <w:rsid w:val="21026DD4"/>
    <w:rsid w:val="211116EB"/>
    <w:rsid w:val="2127683B"/>
    <w:rsid w:val="213D7E0C"/>
    <w:rsid w:val="213F260C"/>
    <w:rsid w:val="215669FA"/>
    <w:rsid w:val="215C12FC"/>
    <w:rsid w:val="216058A9"/>
    <w:rsid w:val="216133FC"/>
    <w:rsid w:val="21810434"/>
    <w:rsid w:val="21837674"/>
    <w:rsid w:val="21B43AAC"/>
    <w:rsid w:val="21C0038E"/>
    <w:rsid w:val="21D56769"/>
    <w:rsid w:val="21E52EF3"/>
    <w:rsid w:val="21F9643A"/>
    <w:rsid w:val="21FB5D7B"/>
    <w:rsid w:val="220B1C3D"/>
    <w:rsid w:val="221D1D20"/>
    <w:rsid w:val="22334A87"/>
    <w:rsid w:val="228D0920"/>
    <w:rsid w:val="22BE6801"/>
    <w:rsid w:val="22C24A6D"/>
    <w:rsid w:val="22DF561F"/>
    <w:rsid w:val="22F455A3"/>
    <w:rsid w:val="23272B22"/>
    <w:rsid w:val="233500BF"/>
    <w:rsid w:val="23377FF7"/>
    <w:rsid w:val="236B425F"/>
    <w:rsid w:val="23836192"/>
    <w:rsid w:val="23901F29"/>
    <w:rsid w:val="239C0061"/>
    <w:rsid w:val="23B908A4"/>
    <w:rsid w:val="23B975BA"/>
    <w:rsid w:val="23E95BEF"/>
    <w:rsid w:val="23FD0064"/>
    <w:rsid w:val="245375B0"/>
    <w:rsid w:val="24572F93"/>
    <w:rsid w:val="24642C0A"/>
    <w:rsid w:val="247D7A56"/>
    <w:rsid w:val="24B22173"/>
    <w:rsid w:val="24B95AD9"/>
    <w:rsid w:val="24BE24DA"/>
    <w:rsid w:val="24BE74B6"/>
    <w:rsid w:val="24CF5825"/>
    <w:rsid w:val="24D01B62"/>
    <w:rsid w:val="24D663E6"/>
    <w:rsid w:val="24D77F2B"/>
    <w:rsid w:val="24E719E0"/>
    <w:rsid w:val="25233B23"/>
    <w:rsid w:val="252F5CBE"/>
    <w:rsid w:val="25565E93"/>
    <w:rsid w:val="258B00E2"/>
    <w:rsid w:val="25A917A6"/>
    <w:rsid w:val="25BE27CC"/>
    <w:rsid w:val="25F74A5C"/>
    <w:rsid w:val="2628662C"/>
    <w:rsid w:val="262D45DE"/>
    <w:rsid w:val="26575474"/>
    <w:rsid w:val="2662704F"/>
    <w:rsid w:val="268C76C0"/>
    <w:rsid w:val="269D3A99"/>
    <w:rsid w:val="26A53EF9"/>
    <w:rsid w:val="26A94201"/>
    <w:rsid w:val="26AC274F"/>
    <w:rsid w:val="26B90404"/>
    <w:rsid w:val="26C041D4"/>
    <w:rsid w:val="27044A29"/>
    <w:rsid w:val="2713401D"/>
    <w:rsid w:val="271D34C8"/>
    <w:rsid w:val="27504B24"/>
    <w:rsid w:val="276142BF"/>
    <w:rsid w:val="27652288"/>
    <w:rsid w:val="27783712"/>
    <w:rsid w:val="278664D7"/>
    <w:rsid w:val="27907362"/>
    <w:rsid w:val="27B52399"/>
    <w:rsid w:val="27D22872"/>
    <w:rsid w:val="281B6ECB"/>
    <w:rsid w:val="28333E1D"/>
    <w:rsid w:val="28454BD6"/>
    <w:rsid w:val="28455253"/>
    <w:rsid w:val="28551971"/>
    <w:rsid w:val="285B1C53"/>
    <w:rsid w:val="289F7086"/>
    <w:rsid w:val="28C32028"/>
    <w:rsid w:val="28CC490F"/>
    <w:rsid w:val="28DE40AA"/>
    <w:rsid w:val="290F1EA0"/>
    <w:rsid w:val="29345E77"/>
    <w:rsid w:val="294706C4"/>
    <w:rsid w:val="294C65AD"/>
    <w:rsid w:val="295D5512"/>
    <w:rsid w:val="29806583"/>
    <w:rsid w:val="298B3C4C"/>
    <w:rsid w:val="29B73240"/>
    <w:rsid w:val="29DF4157"/>
    <w:rsid w:val="29F26D24"/>
    <w:rsid w:val="2A15033F"/>
    <w:rsid w:val="2A1662C1"/>
    <w:rsid w:val="2A1C7367"/>
    <w:rsid w:val="2A2815FA"/>
    <w:rsid w:val="2A6D6092"/>
    <w:rsid w:val="2A79452D"/>
    <w:rsid w:val="2A7D76B4"/>
    <w:rsid w:val="2AD76BDC"/>
    <w:rsid w:val="2B434271"/>
    <w:rsid w:val="2B437463"/>
    <w:rsid w:val="2B6416DB"/>
    <w:rsid w:val="2B7807EE"/>
    <w:rsid w:val="2BAA2542"/>
    <w:rsid w:val="2BBF00EC"/>
    <w:rsid w:val="2BC37CFD"/>
    <w:rsid w:val="2BD5237F"/>
    <w:rsid w:val="2BE536CE"/>
    <w:rsid w:val="2BE758D9"/>
    <w:rsid w:val="2BFD06C1"/>
    <w:rsid w:val="2C09049E"/>
    <w:rsid w:val="2C0A653C"/>
    <w:rsid w:val="2C191F85"/>
    <w:rsid w:val="2CE82D6F"/>
    <w:rsid w:val="2D087520"/>
    <w:rsid w:val="2D343236"/>
    <w:rsid w:val="2D5B4C6E"/>
    <w:rsid w:val="2D7256F4"/>
    <w:rsid w:val="2D99286E"/>
    <w:rsid w:val="2DD15014"/>
    <w:rsid w:val="2DF72DE4"/>
    <w:rsid w:val="2E0220AF"/>
    <w:rsid w:val="2E3432E8"/>
    <w:rsid w:val="2E3F1203"/>
    <w:rsid w:val="2E4B082A"/>
    <w:rsid w:val="2E5D4E86"/>
    <w:rsid w:val="2E5D790B"/>
    <w:rsid w:val="2E652751"/>
    <w:rsid w:val="2E9A3C18"/>
    <w:rsid w:val="2EB62725"/>
    <w:rsid w:val="2EBB0FEE"/>
    <w:rsid w:val="2EC63002"/>
    <w:rsid w:val="2F0A6B38"/>
    <w:rsid w:val="2F104DB2"/>
    <w:rsid w:val="2F48454C"/>
    <w:rsid w:val="2F5A6CD3"/>
    <w:rsid w:val="2F6824F8"/>
    <w:rsid w:val="2F8514C2"/>
    <w:rsid w:val="2F946CCB"/>
    <w:rsid w:val="2F9652B7"/>
    <w:rsid w:val="2FCF58AE"/>
    <w:rsid w:val="2FD25781"/>
    <w:rsid w:val="2FE568F7"/>
    <w:rsid w:val="2FFD7934"/>
    <w:rsid w:val="30087837"/>
    <w:rsid w:val="30234D2B"/>
    <w:rsid w:val="30733ACD"/>
    <w:rsid w:val="30744ECD"/>
    <w:rsid w:val="308B0B94"/>
    <w:rsid w:val="308C3862"/>
    <w:rsid w:val="309379D8"/>
    <w:rsid w:val="30A270F7"/>
    <w:rsid w:val="30AE6631"/>
    <w:rsid w:val="30DF1478"/>
    <w:rsid w:val="30EC586F"/>
    <w:rsid w:val="311E7E87"/>
    <w:rsid w:val="319C6071"/>
    <w:rsid w:val="31A9316F"/>
    <w:rsid w:val="31AC537E"/>
    <w:rsid w:val="31E3679B"/>
    <w:rsid w:val="31E732FD"/>
    <w:rsid w:val="31FB5A1A"/>
    <w:rsid w:val="3240150B"/>
    <w:rsid w:val="32517576"/>
    <w:rsid w:val="327F081A"/>
    <w:rsid w:val="32A26FE0"/>
    <w:rsid w:val="32BE5C2C"/>
    <w:rsid w:val="32FB6478"/>
    <w:rsid w:val="33263B3F"/>
    <w:rsid w:val="336963EB"/>
    <w:rsid w:val="33816EEB"/>
    <w:rsid w:val="33EB55CD"/>
    <w:rsid w:val="33EC4C02"/>
    <w:rsid w:val="340D2360"/>
    <w:rsid w:val="3410665D"/>
    <w:rsid w:val="34211214"/>
    <w:rsid w:val="3423303B"/>
    <w:rsid w:val="342E63AB"/>
    <w:rsid w:val="345B087E"/>
    <w:rsid w:val="346823A6"/>
    <w:rsid w:val="34713BFD"/>
    <w:rsid w:val="34950E68"/>
    <w:rsid w:val="34986E94"/>
    <w:rsid w:val="34AF62C9"/>
    <w:rsid w:val="34CB4388"/>
    <w:rsid w:val="34EC05CD"/>
    <w:rsid w:val="34FA6E12"/>
    <w:rsid w:val="358D5588"/>
    <w:rsid w:val="363A3B40"/>
    <w:rsid w:val="365302AE"/>
    <w:rsid w:val="36607A0A"/>
    <w:rsid w:val="366A6E06"/>
    <w:rsid w:val="366E227C"/>
    <w:rsid w:val="366F0610"/>
    <w:rsid w:val="366F2E0D"/>
    <w:rsid w:val="367B6A5C"/>
    <w:rsid w:val="36826596"/>
    <w:rsid w:val="36A144A4"/>
    <w:rsid w:val="36A74ADA"/>
    <w:rsid w:val="36AD60D5"/>
    <w:rsid w:val="36B224F9"/>
    <w:rsid w:val="36C1534F"/>
    <w:rsid w:val="36EC0CC9"/>
    <w:rsid w:val="37070849"/>
    <w:rsid w:val="3736112E"/>
    <w:rsid w:val="373F410B"/>
    <w:rsid w:val="376163AC"/>
    <w:rsid w:val="37D02E2B"/>
    <w:rsid w:val="37EE37B7"/>
    <w:rsid w:val="37EE7094"/>
    <w:rsid w:val="37FF3979"/>
    <w:rsid w:val="381F1E51"/>
    <w:rsid w:val="38283467"/>
    <w:rsid w:val="38296C89"/>
    <w:rsid w:val="383002EB"/>
    <w:rsid w:val="38390ED6"/>
    <w:rsid w:val="38523D46"/>
    <w:rsid w:val="38586797"/>
    <w:rsid w:val="38B2631F"/>
    <w:rsid w:val="38BC0149"/>
    <w:rsid w:val="38D87D1C"/>
    <w:rsid w:val="39233FDA"/>
    <w:rsid w:val="39336C63"/>
    <w:rsid w:val="39636459"/>
    <w:rsid w:val="396B7F6C"/>
    <w:rsid w:val="397877DC"/>
    <w:rsid w:val="39903780"/>
    <w:rsid w:val="399B4B57"/>
    <w:rsid w:val="39B417A9"/>
    <w:rsid w:val="39FC5695"/>
    <w:rsid w:val="3A006D8E"/>
    <w:rsid w:val="3A3651E5"/>
    <w:rsid w:val="3A744481"/>
    <w:rsid w:val="3A78307D"/>
    <w:rsid w:val="3A8C7BEF"/>
    <w:rsid w:val="3A906246"/>
    <w:rsid w:val="3B2349B7"/>
    <w:rsid w:val="3B40257B"/>
    <w:rsid w:val="3B616CFF"/>
    <w:rsid w:val="3B6259F6"/>
    <w:rsid w:val="3B643AE4"/>
    <w:rsid w:val="3B712735"/>
    <w:rsid w:val="3B976654"/>
    <w:rsid w:val="3BC01EFC"/>
    <w:rsid w:val="3BCA786A"/>
    <w:rsid w:val="3BD31E2F"/>
    <w:rsid w:val="3BD57167"/>
    <w:rsid w:val="3BEB0DC2"/>
    <w:rsid w:val="3BF15831"/>
    <w:rsid w:val="3C105946"/>
    <w:rsid w:val="3C227C10"/>
    <w:rsid w:val="3C2C4A51"/>
    <w:rsid w:val="3C471448"/>
    <w:rsid w:val="3C4B11D8"/>
    <w:rsid w:val="3C5F759A"/>
    <w:rsid w:val="3C6C525A"/>
    <w:rsid w:val="3CA24541"/>
    <w:rsid w:val="3CA8033B"/>
    <w:rsid w:val="3CCE23CB"/>
    <w:rsid w:val="3CD17D17"/>
    <w:rsid w:val="3CD323EE"/>
    <w:rsid w:val="3CDFF1BE"/>
    <w:rsid w:val="3CE75508"/>
    <w:rsid w:val="3CEF24AB"/>
    <w:rsid w:val="3CF12B02"/>
    <w:rsid w:val="3CFD6976"/>
    <w:rsid w:val="3D031E2F"/>
    <w:rsid w:val="3D2C725B"/>
    <w:rsid w:val="3D2EEDD8"/>
    <w:rsid w:val="3D3C7F39"/>
    <w:rsid w:val="3D3E4674"/>
    <w:rsid w:val="3D440F09"/>
    <w:rsid w:val="3D4504A0"/>
    <w:rsid w:val="3D5061D7"/>
    <w:rsid w:val="3D8121DE"/>
    <w:rsid w:val="3D8734BB"/>
    <w:rsid w:val="3D9A11D4"/>
    <w:rsid w:val="3DA16D89"/>
    <w:rsid w:val="3DA364BE"/>
    <w:rsid w:val="3DE041CB"/>
    <w:rsid w:val="3E0A5EF7"/>
    <w:rsid w:val="3E0D48F6"/>
    <w:rsid w:val="3E1868B4"/>
    <w:rsid w:val="3E1E7C85"/>
    <w:rsid w:val="3E261376"/>
    <w:rsid w:val="3E377251"/>
    <w:rsid w:val="3E42664B"/>
    <w:rsid w:val="3E580A38"/>
    <w:rsid w:val="3E5A7334"/>
    <w:rsid w:val="3E6F38A3"/>
    <w:rsid w:val="3E7B5D6B"/>
    <w:rsid w:val="3E843E66"/>
    <w:rsid w:val="3E8F51FE"/>
    <w:rsid w:val="3E926F87"/>
    <w:rsid w:val="3E9A59DE"/>
    <w:rsid w:val="3E9E5F37"/>
    <w:rsid w:val="3EAF4836"/>
    <w:rsid w:val="3EC33DFA"/>
    <w:rsid w:val="3F060E16"/>
    <w:rsid w:val="3F1D1096"/>
    <w:rsid w:val="3F2F0234"/>
    <w:rsid w:val="3F310B59"/>
    <w:rsid w:val="3F3B5533"/>
    <w:rsid w:val="3F6363FE"/>
    <w:rsid w:val="3F717907"/>
    <w:rsid w:val="3F756B8F"/>
    <w:rsid w:val="3F95482B"/>
    <w:rsid w:val="3F981EFB"/>
    <w:rsid w:val="3FC76DC7"/>
    <w:rsid w:val="3FE9BE4B"/>
    <w:rsid w:val="3FFC8C8C"/>
    <w:rsid w:val="3FFF1674"/>
    <w:rsid w:val="4019356B"/>
    <w:rsid w:val="40307893"/>
    <w:rsid w:val="40384169"/>
    <w:rsid w:val="40592157"/>
    <w:rsid w:val="40681234"/>
    <w:rsid w:val="406E1CAE"/>
    <w:rsid w:val="40A0133A"/>
    <w:rsid w:val="40C31A53"/>
    <w:rsid w:val="40DF6392"/>
    <w:rsid w:val="40FF545D"/>
    <w:rsid w:val="410067C8"/>
    <w:rsid w:val="4109621C"/>
    <w:rsid w:val="413B1FBD"/>
    <w:rsid w:val="413B6C9C"/>
    <w:rsid w:val="414F18C3"/>
    <w:rsid w:val="418F0D2A"/>
    <w:rsid w:val="41C23BEB"/>
    <w:rsid w:val="41D01505"/>
    <w:rsid w:val="41D74F8A"/>
    <w:rsid w:val="42004812"/>
    <w:rsid w:val="420E5181"/>
    <w:rsid w:val="42260704"/>
    <w:rsid w:val="42474939"/>
    <w:rsid w:val="424C3C57"/>
    <w:rsid w:val="42613FF3"/>
    <w:rsid w:val="42660D96"/>
    <w:rsid w:val="428667D2"/>
    <w:rsid w:val="42CD1CE0"/>
    <w:rsid w:val="42DF08CC"/>
    <w:rsid w:val="42E1381E"/>
    <w:rsid w:val="42E27DDC"/>
    <w:rsid w:val="42ED6459"/>
    <w:rsid w:val="42FE58DD"/>
    <w:rsid w:val="43174B3D"/>
    <w:rsid w:val="434B790E"/>
    <w:rsid w:val="4360274F"/>
    <w:rsid w:val="4364263A"/>
    <w:rsid w:val="437B05F4"/>
    <w:rsid w:val="43977AB6"/>
    <w:rsid w:val="43A3342B"/>
    <w:rsid w:val="43C32D78"/>
    <w:rsid w:val="43C77C27"/>
    <w:rsid w:val="43DE09EE"/>
    <w:rsid w:val="43E64EA1"/>
    <w:rsid w:val="43F6248E"/>
    <w:rsid w:val="44002FAD"/>
    <w:rsid w:val="440E76BA"/>
    <w:rsid w:val="4436276D"/>
    <w:rsid w:val="44676DCB"/>
    <w:rsid w:val="448E6105"/>
    <w:rsid w:val="449101DD"/>
    <w:rsid w:val="44DE1391"/>
    <w:rsid w:val="44DE7172"/>
    <w:rsid w:val="45034D45"/>
    <w:rsid w:val="45080DD4"/>
    <w:rsid w:val="451B225C"/>
    <w:rsid w:val="452410C9"/>
    <w:rsid w:val="45317DFB"/>
    <w:rsid w:val="45397182"/>
    <w:rsid w:val="456D3CE4"/>
    <w:rsid w:val="4579042C"/>
    <w:rsid w:val="457F0571"/>
    <w:rsid w:val="45851176"/>
    <w:rsid w:val="45C63B94"/>
    <w:rsid w:val="45EE677E"/>
    <w:rsid w:val="46027639"/>
    <w:rsid w:val="460E7DA5"/>
    <w:rsid w:val="46422483"/>
    <w:rsid w:val="4659254A"/>
    <w:rsid w:val="465B0637"/>
    <w:rsid w:val="465E3F0D"/>
    <w:rsid w:val="465F41FD"/>
    <w:rsid w:val="466A16E6"/>
    <w:rsid w:val="467F03FC"/>
    <w:rsid w:val="4682613E"/>
    <w:rsid w:val="46893F2B"/>
    <w:rsid w:val="469D4977"/>
    <w:rsid w:val="46B661AA"/>
    <w:rsid w:val="46C4686E"/>
    <w:rsid w:val="46CC60EA"/>
    <w:rsid w:val="46D52711"/>
    <w:rsid w:val="46DA1160"/>
    <w:rsid w:val="471F2A33"/>
    <w:rsid w:val="47413903"/>
    <w:rsid w:val="477B778F"/>
    <w:rsid w:val="477C0DDF"/>
    <w:rsid w:val="478203EC"/>
    <w:rsid w:val="47B025FA"/>
    <w:rsid w:val="47BA0ADF"/>
    <w:rsid w:val="47D91D8D"/>
    <w:rsid w:val="4809698F"/>
    <w:rsid w:val="4811697D"/>
    <w:rsid w:val="4850068E"/>
    <w:rsid w:val="48627E03"/>
    <w:rsid w:val="487A3E25"/>
    <w:rsid w:val="488520C4"/>
    <w:rsid w:val="488B5503"/>
    <w:rsid w:val="488C32A4"/>
    <w:rsid w:val="48937E21"/>
    <w:rsid w:val="489A0361"/>
    <w:rsid w:val="48A31520"/>
    <w:rsid w:val="48B94FF3"/>
    <w:rsid w:val="48E37AAB"/>
    <w:rsid w:val="48E46C3C"/>
    <w:rsid w:val="48FD4B4C"/>
    <w:rsid w:val="490A68E0"/>
    <w:rsid w:val="491055FE"/>
    <w:rsid w:val="493D5485"/>
    <w:rsid w:val="49461683"/>
    <w:rsid w:val="495F5B3E"/>
    <w:rsid w:val="496F77D7"/>
    <w:rsid w:val="497654FD"/>
    <w:rsid w:val="49803358"/>
    <w:rsid w:val="49B64211"/>
    <w:rsid w:val="49C820BA"/>
    <w:rsid w:val="49D91743"/>
    <w:rsid w:val="49D97E23"/>
    <w:rsid w:val="49F6167F"/>
    <w:rsid w:val="4A064FA0"/>
    <w:rsid w:val="4A16615C"/>
    <w:rsid w:val="4A4424D7"/>
    <w:rsid w:val="4A8561FD"/>
    <w:rsid w:val="4A934476"/>
    <w:rsid w:val="4AB82D0F"/>
    <w:rsid w:val="4ADF7427"/>
    <w:rsid w:val="4AEA4C8F"/>
    <w:rsid w:val="4AEB7664"/>
    <w:rsid w:val="4AFD7C19"/>
    <w:rsid w:val="4B0567D1"/>
    <w:rsid w:val="4B236AAE"/>
    <w:rsid w:val="4B3519D1"/>
    <w:rsid w:val="4B707271"/>
    <w:rsid w:val="4B756544"/>
    <w:rsid w:val="4B7B7A82"/>
    <w:rsid w:val="4B7F49FA"/>
    <w:rsid w:val="4B812F31"/>
    <w:rsid w:val="4B8572A9"/>
    <w:rsid w:val="4B9739F7"/>
    <w:rsid w:val="4BEE2503"/>
    <w:rsid w:val="4C01166F"/>
    <w:rsid w:val="4C181CDA"/>
    <w:rsid w:val="4C245A30"/>
    <w:rsid w:val="4C431ECB"/>
    <w:rsid w:val="4C5131B0"/>
    <w:rsid w:val="4CB6685F"/>
    <w:rsid w:val="4CC367FE"/>
    <w:rsid w:val="4CEF7ED7"/>
    <w:rsid w:val="4D077F3C"/>
    <w:rsid w:val="4D123355"/>
    <w:rsid w:val="4D1A3E8C"/>
    <w:rsid w:val="4D2A3B31"/>
    <w:rsid w:val="4D312C52"/>
    <w:rsid w:val="4D8E53C8"/>
    <w:rsid w:val="4D905305"/>
    <w:rsid w:val="4D964A72"/>
    <w:rsid w:val="4D9C1254"/>
    <w:rsid w:val="4DE374C2"/>
    <w:rsid w:val="4DEF230B"/>
    <w:rsid w:val="4E094A4F"/>
    <w:rsid w:val="4E793892"/>
    <w:rsid w:val="4E800872"/>
    <w:rsid w:val="4EC569ED"/>
    <w:rsid w:val="4ED50EA1"/>
    <w:rsid w:val="4EEC050C"/>
    <w:rsid w:val="4EED74B5"/>
    <w:rsid w:val="4F104EC3"/>
    <w:rsid w:val="4F155DA1"/>
    <w:rsid w:val="4F215F1E"/>
    <w:rsid w:val="4F244236"/>
    <w:rsid w:val="4F47354A"/>
    <w:rsid w:val="4F911C54"/>
    <w:rsid w:val="4F9273F2"/>
    <w:rsid w:val="4FAD7D19"/>
    <w:rsid w:val="4FE625E0"/>
    <w:rsid w:val="4FFF25AD"/>
    <w:rsid w:val="5021480F"/>
    <w:rsid w:val="50750E8F"/>
    <w:rsid w:val="50940F47"/>
    <w:rsid w:val="50962ECB"/>
    <w:rsid w:val="50A42E38"/>
    <w:rsid w:val="50A4577F"/>
    <w:rsid w:val="50B73D1F"/>
    <w:rsid w:val="50BD5BC9"/>
    <w:rsid w:val="50C11EEE"/>
    <w:rsid w:val="50E97CFC"/>
    <w:rsid w:val="50FA4028"/>
    <w:rsid w:val="51025EB1"/>
    <w:rsid w:val="510D65B7"/>
    <w:rsid w:val="511157AB"/>
    <w:rsid w:val="512C0748"/>
    <w:rsid w:val="5142540C"/>
    <w:rsid w:val="5147420C"/>
    <w:rsid w:val="51840FBC"/>
    <w:rsid w:val="518832C8"/>
    <w:rsid w:val="51A0432A"/>
    <w:rsid w:val="51A86090"/>
    <w:rsid w:val="51B7396D"/>
    <w:rsid w:val="51C66E85"/>
    <w:rsid w:val="51E655A8"/>
    <w:rsid w:val="522E4CC3"/>
    <w:rsid w:val="5244713B"/>
    <w:rsid w:val="52615633"/>
    <w:rsid w:val="528374C6"/>
    <w:rsid w:val="52977FD4"/>
    <w:rsid w:val="52A25790"/>
    <w:rsid w:val="52A96B6F"/>
    <w:rsid w:val="52B45975"/>
    <w:rsid w:val="52D94AA4"/>
    <w:rsid w:val="52EA3A62"/>
    <w:rsid w:val="52F50BB8"/>
    <w:rsid w:val="53097272"/>
    <w:rsid w:val="533C62EE"/>
    <w:rsid w:val="53544462"/>
    <w:rsid w:val="535D3873"/>
    <w:rsid w:val="5377ACBE"/>
    <w:rsid w:val="5397158E"/>
    <w:rsid w:val="53B618CD"/>
    <w:rsid w:val="53C83B27"/>
    <w:rsid w:val="54013861"/>
    <w:rsid w:val="5416736E"/>
    <w:rsid w:val="54487265"/>
    <w:rsid w:val="544D6070"/>
    <w:rsid w:val="54605E1E"/>
    <w:rsid w:val="5463583A"/>
    <w:rsid w:val="546649A9"/>
    <w:rsid w:val="54763754"/>
    <w:rsid w:val="547C241E"/>
    <w:rsid w:val="54A454D1"/>
    <w:rsid w:val="54B3506A"/>
    <w:rsid w:val="54CA0D16"/>
    <w:rsid w:val="54D933CD"/>
    <w:rsid w:val="54DD4057"/>
    <w:rsid w:val="54E7490F"/>
    <w:rsid w:val="550764A4"/>
    <w:rsid w:val="550B2BF6"/>
    <w:rsid w:val="55214EB5"/>
    <w:rsid w:val="55364EFD"/>
    <w:rsid w:val="553C395C"/>
    <w:rsid w:val="554D78B6"/>
    <w:rsid w:val="555D4828"/>
    <w:rsid w:val="55684751"/>
    <w:rsid w:val="557A4C8B"/>
    <w:rsid w:val="558931E1"/>
    <w:rsid w:val="55923347"/>
    <w:rsid w:val="55925180"/>
    <w:rsid w:val="55983B1B"/>
    <w:rsid w:val="55A8376B"/>
    <w:rsid w:val="55C502A3"/>
    <w:rsid w:val="55DC29B6"/>
    <w:rsid w:val="55DD4241"/>
    <w:rsid w:val="566B6D1E"/>
    <w:rsid w:val="56A619D5"/>
    <w:rsid w:val="56D06A51"/>
    <w:rsid w:val="57032A2C"/>
    <w:rsid w:val="570F5219"/>
    <w:rsid w:val="572C65B0"/>
    <w:rsid w:val="573C7C43"/>
    <w:rsid w:val="575D12B5"/>
    <w:rsid w:val="57610A87"/>
    <w:rsid w:val="57644440"/>
    <w:rsid w:val="576C677A"/>
    <w:rsid w:val="577B1140"/>
    <w:rsid w:val="577B7F21"/>
    <w:rsid w:val="577D2735"/>
    <w:rsid w:val="577F181B"/>
    <w:rsid w:val="5791443C"/>
    <w:rsid w:val="57921984"/>
    <w:rsid w:val="579239FA"/>
    <w:rsid w:val="579737F0"/>
    <w:rsid w:val="57A852D8"/>
    <w:rsid w:val="57AB7B30"/>
    <w:rsid w:val="57AF5251"/>
    <w:rsid w:val="57B26373"/>
    <w:rsid w:val="57B63F04"/>
    <w:rsid w:val="57CD20C2"/>
    <w:rsid w:val="57D675AB"/>
    <w:rsid w:val="57D95FDD"/>
    <w:rsid w:val="57E82F6D"/>
    <w:rsid w:val="57E94CAC"/>
    <w:rsid w:val="588F3DA2"/>
    <w:rsid w:val="58917D2F"/>
    <w:rsid w:val="5894085C"/>
    <w:rsid w:val="58AE4F0C"/>
    <w:rsid w:val="58B85899"/>
    <w:rsid w:val="58E363A9"/>
    <w:rsid w:val="59195ED7"/>
    <w:rsid w:val="595B0BEF"/>
    <w:rsid w:val="595E1678"/>
    <w:rsid w:val="596D5BD4"/>
    <w:rsid w:val="596D67DA"/>
    <w:rsid w:val="597E3DD8"/>
    <w:rsid w:val="59C86383"/>
    <w:rsid w:val="59EF2215"/>
    <w:rsid w:val="59F80043"/>
    <w:rsid w:val="5A09252F"/>
    <w:rsid w:val="5A0B2778"/>
    <w:rsid w:val="5A2A7C7B"/>
    <w:rsid w:val="5A3E2560"/>
    <w:rsid w:val="5A4014B6"/>
    <w:rsid w:val="5A4A59F7"/>
    <w:rsid w:val="5A5D3B6E"/>
    <w:rsid w:val="5A637A76"/>
    <w:rsid w:val="5A6D33BA"/>
    <w:rsid w:val="5A792B1F"/>
    <w:rsid w:val="5A845EA7"/>
    <w:rsid w:val="5A874767"/>
    <w:rsid w:val="5A920F10"/>
    <w:rsid w:val="5AAD6F28"/>
    <w:rsid w:val="5AD50114"/>
    <w:rsid w:val="5AD63A24"/>
    <w:rsid w:val="5B0D4D97"/>
    <w:rsid w:val="5B1A64ED"/>
    <w:rsid w:val="5B2E1A1D"/>
    <w:rsid w:val="5B465534"/>
    <w:rsid w:val="5B667984"/>
    <w:rsid w:val="5B763D99"/>
    <w:rsid w:val="5B843A1C"/>
    <w:rsid w:val="5B873E3F"/>
    <w:rsid w:val="5BED0014"/>
    <w:rsid w:val="5C02690E"/>
    <w:rsid w:val="5C1473E0"/>
    <w:rsid w:val="5C196DA7"/>
    <w:rsid w:val="5C2A048C"/>
    <w:rsid w:val="5C472E73"/>
    <w:rsid w:val="5C642CAF"/>
    <w:rsid w:val="5C80234E"/>
    <w:rsid w:val="5C8A680C"/>
    <w:rsid w:val="5CAB0919"/>
    <w:rsid w:val="5CBB0E30"/>
    <w:rsid w:val="5CC74F92"/>
    <w:rsid w:val="5CDF60C1"/>
    <w:rsid w:val="5D04294B"/>
    <w:rsid w:val="5D0C4701"/>
    <w:rsid w:val="5D0F0395"/>
    <w:rsid w:val="5D205E4A"/>
    <w:rsid w:val="5D221076"/>
    <w:rsid w:val="5D397964"/>
    <w:rsid w:val="5D487342"/>
    <w:rsid w:val="5D5A391C"/>
    <w:rsid w:val="5D5F10C0"/>
    <w:rsid w:val="5D6682CB"/>
    <w:rsid w:val="5D891B7B"/>
    <w:rsid w:val="5DAD38EE"/>
    <w:rsid w:val="5DD57236"/>
    <w:rsid w:val="5DDF6BAD"/>
    <w:rsid w:val="5E006862"/>
    <w:rsid w:val="5E0207B9"/>
    <w:rsid w:val="5E027CA9"/>
    <w:rsid w:val="5E1834A1"/>
    <w:rsid w:val="5E183C9A"/>
    <w:rsid w:val="5E261785"/>
    <w:rsid w:val="5E4A7017"/>
    <w:rsid w:val="5E552BBA"/>
    <w:rsid w:val="5E562F6C"/>
    <w:rsid w:val="5E611C10"/>
    <w:rsid w:val="5E624433"/>
    <w:rsid w:val="5E8720EC"/>
    <w:rsid w:val="5ED700A8"/>
    <w:rsid w:val="5EE85627"/>
    <w:rsid w:val="5EFC7377"/>
    <w:rsid w:val="5F06174D"/>
    <w:rsid w:val="5F3A3602"/>
    <w:rsid w:val="5F6277C6"/>
    <w:rsid w:val="5F6D0B1D"/>
    <w:rsid w:val="5F85175F"/>
    <w:rsid w:val="5F8D0B82"/>
    <w:rsid w:val="5FB26357"/>
    <w:rsid w:val="5FCC5339"/>
    <w:rsid w:val="5FD9CBF5"/>
    <w:rsid w:val="5FE34A5B"/>
    <w:rsid w:val="5FE4471A"/>
    <w:rsid w:val="5FF39E0F"/>
    <w:rsid w:val="5FF7E23D"/>
    <w:rsid w:val="5FFE1E36"/>
    <w:rsid w:val="60232584"/>
    <w:rsid w:val="60252844"/>
    <w:rsid w:val="606306D7"/>
    <w:rsid w:val="606326E4"/>
    <w:rsid w:val="607330CE"/>
    <w:rsid w:val="60825176"/>
    <w:rsid w:val="608A3BE5"/>
    <w:rsid w:val="609F2AC4"/>
    <w:rsid w:val="60FA2EE8"/>
    <w:rsid w:val="61054A27"/>
    <w:rsid w:val="610A52BC"/>
    <w:rsid w:val="611D2366"/>
    <w:rsid w:val="61421856"/>
    <w:rsid w:val="615227C4"/>
    <w:rsid w:val="61654E3F"/>
    <w:rsid w:val="61786208"/>
    <w:rsid w:val="61822572"/>
    <w:rsid w:val="6182292A"/>
    <w:rsid w:val="618333DF"/>
    <w:rsid w:val="619F7F92"/>
    <w:rsid w:val="61BB1246"/>
    <w:rsid w:val="61F94C26"/>
    <w:rsid w:val="62000E56"/>
    <w:rsid w:val="620152D8"/>
    <w:rsid w:val="621E4B15"/>
    <w:rsid w:val="624F3E49"/>
    <w:rsid w:val="62632286"/>
    <w:rsid w:val="62885958"/>
    <w:rsid w:val="62F13FD7"/>
    <w:rsid w:val="62F40B65"/>
    <w:rsid w:val="62FC2CFE"/>
    <w:rsid w:val="63024505"/>
    <w:rsid w:val="635B1DB5"/>
    <w:rsid w:val="63613A84"/>
    <w:rsid w:val="63711FED"/>
    <w:rsid w:val="63880DDC"/>
    <w:rsid w:val="638D750D"/>
    <w:rsid w:val="63991151"/>
    <w:rsid w:val="63A267C1"/>
    <w:rsid w:val="63AB062A"/>
    <w:rsid w:val="63AC6CC0"/>
    <w:rsid w:val="63D65D55"/>
    <w:rsid w:val="63FA3B45"/>
    <w:rsid w:val="64055776"/>
    <w:rsid w:val="64071383"/>
    <w:rsid w:val="64240056"/>
    <w:rsid w:val="642503DD"/>
    <w:rsid w:val="643E143A"/>
    <w:rsid w:val="6471673B"/>
    <w:rsid w:val="648B6EEF"/>
    <w:rsid w:val="648F5856"/>
    <w:rsid w:val="64AC446D"/>
    <w:rsid w:val="64C158BF"/>
    <w:rsid w:val="64C366FB"/>
    <w:rsid w:val="64CE2EAA"/>
    <w:rsid w:val="64FC6110"/>
    <w:rsid w:val="653C3090"/>
    <w:rsid w:val="6549634D"/>
    <w:rsid w:val="65736F26"/>
    <w:rsid w:val="65854376"/>
    <w:rsid w:val="658767BE"/>
    <w:rsid w:val="65892531"/>
    <w:rsid w:val="659770B8"/>
    <w:rsid w:val="659D5301"/>
    <w:rsid w:val="65A672FB"/>
    <w:rsid w:val="65F65FA4"/>
    <w:rsid w:val="661912D6"/>
    <w:rsid w:val="66195831"/>
    <w:rsid w:val="662E75B1"/>
    <w:rsid w:val="66342C2E"/>
    <w:rsid w:val="663E784C"/>
    <w:rsid w:val="6677281C"/>
    <w:rsid w:val="667F3673"/>
    <w:rsid w:val="668B6A45"/>
    <w:rsid w:val="66BC24EB"/>
    <w:rsid w:val="66D32B9C"/>
    <w:rsid w:val="672F3F24"/>
    <w:rsid w:val="673E055F"/>
    <w:rsid w:val="67551CE3"/>
    <w:rsid w:val="677E1BB2"/>
    <w:rsid w:val="678A0557"/>
    <w:rsid w:val="67A22552"/>
    <w:rsid w:val="67B22DCC"/>
    <w:rsid w:val="67BE71AA"/>
    <w:rsid w:val="67C90349"/>
    <w:rsid w:val="67D90273"/>
    <w:rsid w:val="67DE5875"/>
    <w:rsid w:val="67E55852"/>
    <w:rsid w:val="67E93D8B"/>
    <w:rsid w:val="67EB1AB4"/>
    <w:rsid w:val="67FA1285"/>
    <w:rsid w:val="67FA4FE1"/>
    <w:rsid w:val="681F3395"/>
    <w:rsid w:val="68551F4F"/>
    <w:rsid w:val="687C10C9"/>
    <w:rsid w:val="68840C16"/>
    <w:rsid w:val="68876EFB"/>
    <w:rsid w:val="68884654"/>
    <w:rsid w:val="689F444F"/>
    <w:rsid w:val="68B96DBB"/>
    <w:rsid w:val="68CA2805"/>
    <w:rsid w:val="68E36491"/>
    <w:rsid w:val="68E937A3"/>
    <w:rsid w:val="69340A3E"/>
    <w:rsid w:val="693E15D3"/>
    <w:rsid w:val="693F5627"/>
    <w:rsid w:val="69627681"/>
    <w:rsid w:val="6977531D"/>
    <w:rsid w:val="69832373"/>
    <w:rsid w:val="69CC2BFF"/>
    <w:rsid w:val="69D86832"/>
    <w:rsid w:val="69F17600"/>
    <w:rsid w:val="69FD55B8"/>
    <w:rsid w:val="6A0B1C62"/>
    <w:rsid w:val="6A2406C8"/>
    <w:rsid w:val="6A3A6A0F"/>
    <w:rsid w:val="6A645E08"/>
    <w:rsid w:val="6A800215"/>
    <w:rsid w:val="6AAD2EDA"/>
    <w:rsid w:val="6ADE0BD1"/>
    <w:rsid w:val="6AE96859"/>
    <w:rsid w:val="6AF74155"/>
    <w:rsid w:val="6B147746"/>
    <w:rsid w:val="6B24787C"/>
    <w:rsid w:val="6B3E9B10"/>
    <w:rsid w:val="6B47689C"/>
    <w:rsid w:val="6B573233"/>
    <w:rsid w:val="6B5B6274"/>
    <w:rsid w:val="6B935D53"/>
    <w:rsid w:val="6BA86A50"/>
    <w:rsid w:val="6BB77A32"/>
    <w:rsid w:val="6BF54463"/>
    <w:rsid w:val="6BF65EA5"/>
    <w:rsid w:val="6C196F71"/>
    <w:rsid w:val="6C1E3136"/>
    <w:rsid w:val="6C226FCB"/>
    <w:rsid w:val="6C2341B9"/>
    <w:rsid w:val="6C31226F"/>
    <w:rsid w:val="6C552F0B"/>
    <w:rsid w:val="6C8C67B7"/>
    <w:rsid w:val="6C9D744C"/>
    <w:rsid w:val="6CA51E3D"/>
    <w:rsid w:val="6CAE6A95"/>
    <w:rsid w:val="6D167928"/>
    <w:rsid w:val="6D26299B"/>
    <w:rsid w:val="6D4772EC"/>
    <w:rsid w:val="6D5263BD"/>
    <w:rsid w:val="6D57537F"/>
    <w:rsid w:val="6D9078AF"/>
    <w:rsid w:val="6DAA3FEF"/>
    <w:rsid w:val="6DC0172B"/>
    <w:rsid w:val="6DCB690C"/>
    <w:rsid w:val="6DD41A5B"/>
    <w:rsid w:val="6DDD69F5"/>
    <w:rsid w:val="6DF43C2E"/>
    <w:rsid w:val="6DF51CA3"/>
    <w:rsid w:val="6E042E74"/>
    <w:rsid w:val="6E2E0238"/>
    <w:rsid w:val="6E663ACB"/>
    <w:rsid w:val="6E82467D"/>
    <w:rsid w:val="6E8335BD"/>
    <w:rsid w:val="6E8E12EF"/>
    <w:rsid w:val="6E972936"/>
    <w:rsid w:val="6ED446C5"/>
    <w:rsid w:val="6ED9D1D2"/>
    <w:rsid w:val="6EF21761"/>
    <w:rsid w:val="6F2A7D94"/>
    <w:rsid w:val="6F4F27B2"/>
    <w:rsid w:val="6F817D5C"/>
    <w:rsid w:val="6F8331F1"/>
    <w:rsid w:val="6F871F4B"/>
    <w:rsid w:val="6FAE1A09"/>
    <w:rsid w:val="6FD75BF8"/>
    <w:rsid w:val="701A2DBF"/>
    <w:rsid w:val="702A2886"/>
    <w:rsid w:val="707723D0"/>
    <w:rsid w:val="70CB230C"/>
    <w:rsid w:val="70F5661B"/>
    <w:rsid w:val="711E20D0"/>
    <w:rsid w:val="71226D82"/>
    <w:rsid w:val="712C3AEC"/>
    <w:rsid w:val="71360107"/>
    <w:rsid w:val="713B688E"/>
    <w:rsid w:val="714840D2"/>
    <w:rsid w:val="714D2D21"/>
    <w:rsid w:val="719646C8"/>
    <w:rsid w:val="71A22E1F"/>
    <w:rsid w:val="71D27FC2"/>
    <w:rsid w:val="71D43752"/>
    <w:rsid w:val="71F1796A"/>
    <w:rsid w:val="72154626"/>
    <w:rsid w:val="72262B5D"/>
    <w:rsid w:val="72283FF7"/>
    <w:rsid w:val="722D2858"/>
    <w:rsid w:val="722E7212"/>
    <w:rsid w:val="723A0474"/>
    <w:rsid w:val="725923E4"/>
    <w:rsid w:val="72791B84"/>
    <w:rsid w:val="72864BF7"/>
    <w:rsid w:val="729023FC"/>
    <w:rsid w:val="73267CCD"/>
    <w:rsid w:val="735859AD"/>
    <w:rsid w:val="737E242F"/>
    <w:rsid w:val="737E3665"/>
    <w:rsid w:val="73C0646E"/>
    <w:rsid w:val="73DE729D"/>
    <w:rsid w:val="73E02221"/>
    <w:rsid w:val="73FA1330"/>
    <w:rsid w:val="742222F5"/>
    <w:rsid w:val="74476126"/>
    <w:rsid w:val="74706664"/>
    <w:rsid w:val="74782B42"/>
    <w:rsid w:val="747F3682"/>
    <w:rsid w:val="749C4185"/>
    <w:rsid w:val="74DEEC6E"/>
    <w:rsid w:val="74EA0887"/>
    <w:rsid w:val="74FF9BF9"/>
    <w:rsid w:val="75067759"/>
    <w:rsid w:val="752E6DCD"/>
    <w:rsid w:val="7551380D"/>
    <w:rsid w:val="75600BE5"/>
    <w:rsid w:val="7564475C"/>
    <w:rsid w:val="7583797F"/>
    <w:rsid w:val="75C636AF"/>
    <w:rsid w:val="75C64E50"/>
    <w:rsid w:val="75D20F1D"/>
    <w:rsid w:val="75DA2C18"/>
    <w:rsid w:val="75F54412"/>
    <w:rsid w:val="75FD2145"/>
    <w:rsid w:val="760963A8"/>
    <w:rsid w:val="76097801"/>
    <w:rsid w:val="761D08E0"/>
    <w:rsid w:val="76302997"/>
    <w:rsid w:val="765D347C"/>
    <w:rsid w:val="76826699"/>
    <w:rsid w:val="769C7E50"/>
    <w:rsid w:val="76C87133"/>
    <w:rsid w:val="76CD08D5"/>
    <w:rsid w:val="76DB4B92"/>
    <w:rsid w:val="77052AA4"/>
    <w:rsid w:val="77136511"/>
    <w:rsid w:val="77274014"/>
    <w:rsid w:val="77340A39"/>
    <w:rsid w:val="77351FD0"/>
    <w:rsid w:val="77371F31"/>
    <w:rsid w:val="77472422"/>
    <w:rsid w:val="777F31F2"/>
    <w:rsid w:val="77901796"/>
    <w:rsid w:val="77D1700D"/>
    <w:rsid w:val="77DA2E34"/>
    <w:rsid w:val="77EC04CC"/>
    <w:rsid w:val="77EC0C58"/>
    <w:rsid w:val="78746DE5"/>
    <w:rsid w:val="78775729"/>
    <w:rsid w:val="7883527A"/>
    <w:rsid w:val="788C4F54"/>
    <w:rsid w:val="78A42DB0"/>
    <w:rsid w:val="78A656AB"/>
    <w:rsid w:val="78B2245C"/>
    <w:rsid w:val="78CB7157"/>
    <w:rsid w:val="78E172CC"/>
    <w:rsid w:val="78EA1D1F"/>
    <w:rsid w:val="7904172F"/>
    <w:rsid w:val="790F7E27"/>
    <w:rsid w:val="792A231A"/>
    <w:rsid w:val="79316829"/>
    <w:rsid w:val="79422A48"/>
    <w:rsid w:val="797E66A9"/>
    <w:rsid w:val="79870D9A"/>
    <w:rsid w:val="79905EA0"/>
    <w:rsid w:val="79A72F14"/>
    <w:rsid w:val="79A97383"/>
    <w:rsid w:val="79E27E8B"/>
    <w:rsid w:val="79F850CE"/>
    <w:rsid w:val="79FD443C"/>
    <w:rsid w:val="7A173ECC"/>
    <w:rsid w:val="7A1D1975"/>
    <w:rsid w:val="7A3E5150"/>
    <w:rsid w:val="7A4670D6"/>
    <w:rsid w:val="7A534B63"/>
    <w:rsid w:val="7A615382"/>
    <w:rsid w:val="7A67303B"/>
    <w:rsid w:val="7A7C57E7"/>
    <w:rsid w:val="7AAB1D04"/>
    <w:rsid w:val="7ABA4368"/>
    <w:rsid w:val="7AD05746"/>
    <w:rsid w:val="7AFA0957"/>
    <w:rsid w:val="7B257FFD"/>
    <w:rsid w:val="7B343476"/>
    <w:rsid w:val="7B413C96"/>
    <w:rsid w:val="7B5A2978"/>
    <w:rsid w:val="7B5A7E4C"/>
    <w:rsid w:val="7B5F5B2A"/>
    <w:rsid w:val="7B667AF9"/>
    <w:rsid w:val="7B7468F8"/>
    <w:rsid w:val="7B860D5E"/>
    <w:rsid w:val="7BAEF2B1"/>
    <w:rsid w:val="7BEE0103"/>
    <w:rsid w:val="7BF75F6E"/>
    <w:rsid w:val="7BFA3352"/>
    <w:rsid w:val="7BFE558F"/>
    <w:rsid w:val="7C0A0FE4"/>
    <w:rsid w:val="7C254906"/>
    <w:rsid w:val="7C4A0894"/>
    <w:rsid w:val="7C590818"/>
    <w:rsid w:val="7C7C10F6"/>
    <w:rsid w:val="7C853BEA"/>
    <w:rsid w:val="7C881368"/>
    <w:rsid w:val="7CE27788"/>
    <w:rsid w:val="7CE50319"/>
    <w:rsid w:val="7CF90201"/>
    <w:rsid w:val="7D0050EB"/>
    <w:rsid w:val="7D020E63"/>
    <w:rsid w:val="7D0351A7"/>
    <w:rsid w:val="7D0C32F1"/>
    <w:rsid w:val="7D0F408D"/>
    <w:rsid w:val="7D2E7EAA"/>
    <w:rsid w:val="7D48257F"/>
    <w:rsid w:val="7D491C6C"/>
    <w:rsid w:val="7D494CE4"/>
    <w:rsid w:val="7D5429C0"/>
    <w:rsid w:val="7D676CA0"/>
    <w:rsid w:val="7D6E6D43"/>
    <w:rsid w:val="7D755AD9"/>
    <w:rsid w:val="7D8775BA"/>
    <w:rsid w:val="7DB57A34"/>
    <w:rsid w:val="7DC9377A"/>
    <w:rsid w:val="7DE60973"/>
    <w:rsid w:val="7DEF0916"/>
    <w:rsid w:val="7DEF9BC0"/>
    <w:rsid w:val="7E1E5218"/>
    <w:rsid w:val="7E2748F9"/>
    <w:rsid w:val="7E6873EC"/>
    <w:rsid w:val="7E9A4E1F"/>
    <w:rsid w:val="7EA7723A"/>
    <w:rsid w:val="7ECB254D"/>
    <w:rsid w:val="7EEB3B79"/>
    <w:rsid w:val="7EF56FBB"/>
    <w:rsid w:val="7EFF9291"/>
    <w:rsid w:val="7F0768EB"/>
    <w:rsid w:val="7F143BEC"/>
    <w:rsid w:val="7F3B64E5"/>
    <w:rsid w:val="7F715AF2"/>
    <w:rsid w:val="7F7BEAF4"/>
    <w:rsid w:val="7F886E69"/>
    <w:rsid w:val="7F9E2999"/>
    <w:rsid w:val="7FDCADA1"/>
    <w:rsid w:val="7FF442B7"/>
    <w:rsid w:val="7FF700BA"/>
    <w:rsid w:val="9BCFC2B3"/>
    <w:rsid w:val="9F3F48C9"/>
    <w:rsid w:val="9FBE618D"/>
    <w:rsid w:val="A7AC79EC"/>
    <w:rsid w:val="AA683869"/>
    <w:rsid w:val="B5FFC5D7"/>
    <w:rsid w:val="BB7FA927"/>
    <w:rsid w:val="C28F3E43"/>
    <w:rsid w:val="D9723536"/>
    <w:rsid w:val="DB77DB80"/>
    <w:rsid w:val="DDBE6BBF"/>
    <w:rsid w:val="DEFF08B1"/>
    <w:rsid w:val="DF7D0ECD"/>
    <w:rsid w:val="DFCE0AA1"/>
    <w:rsid w:val="E7DF1C6A"/>
    <w:rsid w:val="ECEEC0CC"/>
    <w:rsid w:val="EEFFB398"/>
    <w:rsid w:val="EFFFEB87"/>
    <w:rsid w:val="F32EE331"/>
    <w:rsid w:val="F5FFD31F"/>
    <w:rsid w:val="F9F5CC1A"/>
    <w:rsid w:val="FAB5BD40"/>
    <w:rsid w:val="FAFBFCB9"/>
    <w:rsid w:val="FBE7446A"/>
    <w:rsid w:val="FBF98FB2"/>
    <w:rsid w:val="FBFC4716"/>
    <w:rsid w:val="FDBFD301"/>
    <w:rsid w:val="FDFC3AB7"/>
    <w:rsid w:val="FEEEE977"/>
    <w:rsid w:val="FF97DB9B"/>
    <w:rsid w:val="FFAB7F2F"/>
    <w:rsid w:val="FFF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3"/>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655"/>
    <w:autoRedefine/>
    <w:qFormat/>
    <w:uiPriority w:val="0"/>
    <w:pPr>
      <w:adjustRightInd/>
      <w:spacing w:after="120" w:line="240" w:lineRule="auto"/>
      <w:ind w:left="420" w:leftChars="200" w:firstLine="210"/>
    </w:pPr>
    <w:rPr>
      <w:sz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7"/>
    <w:autoRedefine/>
    <w:qFormat/>
    <w:uiPriority w:val="0"/>
    <w:pPr>
      <w:shd w:val="clear" w:color="auto" w:fill="000080"/>
    </w:pPr>
  </w:style>
  <w:style w:type="paragraph" w:styleId="21">
    <w:name w:val="annotation text"/>
    <w:basedOn w:val="1"/>
    <w:link w:val="855"/>
    <w:autoRedefine/>
    <w:qFormat/>
    <w:uiPriority w:val="99"/>
    <w:pPr>
      <w:jc w:val="left"/>
    </w:pPr>
  </w:style>
  <w:style w:type="paragraph" w:styleId="22">
    <w:name w:val="Salutation"/>
    <w:basedOn w:val="1"/>
    <w:next w:val="1"/>
    <w:link w:val="815"/>
    <w:autoRedefine/>
    <w:qFormat/>
    <w:uiPriority w:val="0"/>
    <w:rPr>
      <w:rFonts w:ascii="仿宋_GB2312" w:eastAsia="仿宋_GB2312"/>
      <w:sz w:val="28"/>
      <w:szCs w:val="20"/>
    </w:rPr>
  </w:style>
  <w:style w:type="paragraph" w:styleId="23">
    <w:name w:val="Body Text 3"/>
    <w:basedOn w:val="1"/>
    <w:link w:val="84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4"/>
    <w:autoRedefine/>
    <w:qFormat/>
    <w:uiPriority w:val="0"/>
    <w:pPr>
      <w:ind w:firstLine="420"/>
    </w:pPr>
    <w:rPr>
      <w:rFonts w:hAnsi="Calibri" w:cs="Times New Roman"/>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09"/>
    <w:autoRedefine/>
    <w:qFormat/>
    <w:uiPriority w:val="0"/>
    <w:pPr>
      <w:ind w:left="100" w:leftChars="2500"/>
    </w:pPr>
    <w:rPr>
      <w:rFonts w:ascii="宋体"/>
      <w:sz w:val="24"/>
      <w:szCs w:val="21"/>
      <w:lang w:val="zh-CN"/>
    </w:rPr>
  </w:style>
  <w:style w:type="paragraph" w:styleId="39">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0"/>
    <w:autoRedefine/>
    <w:qFormat/>
    <w:uiPriority w:val="0"/>
    <w:rPr>
      <w:lang w:val="zh-CN"/>
    </w:rPr>
  </w:style>
  <w:style w:type="paragraph" w:styleId="41">
    <w:name w:val="Balloon Text"/>
    <w:basedOn w:val="1"/>
    <w:link w:val="716"/>
    <w:autoRedefine/>
    <w:qFormat/>
    <w:uiPriority w:val="0"/>
    <w:rPr>
      <w:sz w:val="18"/>
      <w:szCs w:val="18"/>
    </w:rPr>
  </w:style>
  <w:style w:type="paragraph" w:styleId="42">
    <w:name w:val="footer"/>
    <w:basedOn w:val="1"/>
    <w:link w:val="891"/>
    <w:autoRedefine/>
    <w:qFormat/>
    <w:uiPriority w:val="99"/>
    <w:pPr>
      <w:tabs>
        <w:tab w:val="center" w:pos="4153"/>
        <w:tab w:val="right" w:pos="8306"/>
      </w:tabs>
      <w:snapToGrid w:val="0"/>
      <w:jc w:val="left"/>
    </w:pPr>
    <w:rPr>
      <w:sz w:val="18"/>
      <w:szCs w:val="18"/>
    </w:rPr>
  </w:style>
  <w:style w:type="paragraph" w:styleId="43">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825"/>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9"/>
    <w:autoRedefine/>
    <w:qFormat/>
    <w:uiPriority w:val="0"/>
    <w:pPr>
      <w:spacing w:after="120" w:line="480" w:lineRule="auto"/>
    </w:pPr>
  </w:style>
  <w:style w:type="paragraph" w:styleId="58">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2"/>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正文文本首行缩进 21"/>
    <w:basedOn w:val="2"/>
    <w:autoRedefine/>
    <w:qFormat/>
    <w:uiPriority w:val="99"/>
    <w:pPr>
      <w:spacing w:line="200" w:lineRule="atLeast"/>
      <w:ind w:firstLine="420"/>
    </w:pPr>
    <w:rPr>
      <w:rFonts w:hAnsi="Courier New"/>
      <w:spacing w:val="-4"/>
      <w:sz w:val="18"/>
    </w:rPr>
  </w:style>
  <w:style w:type="paragraph" w:customStyle="1" w:styleId="83">
    <w:name w:val="正文首行缩进 21"/>
    <w:basedOn w:val="84"/>
    <w:autoRedefine/>
    <w:qFormat/>
    <w:uiPriority w:val="0"/>
    <w:pPr>
      <w:ind w:firstLine="420"/>
    </w:pPr>
  </w:style>
  <w:style w:type="paragraph" w:customStyle="1" w:styleId="84">
    <w:name w:val="Body Text Indent1"/>
    <w:basedOn w:val="1"/>
    <w:next w:val="1"/>
    <w:autoRedefine/>
    <w:qFormat/>
    <w:uiPriority w:val="0"/>
    <w:pPr>
      <w:spacing w:after="120"/>
      <w:ind w:left="420" w:leftChars="200"/>
    </w:pPr>
    <w:rPr>
      <w:color w:val="000000"/>
      <w:szCs w:val="21"/>
    </w:rPr>
  </w:style>
  <w:style w:type="paragraph" w:customStyle="1" w:styleId="85">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4"/>
    <w:autoRedefine/>
    <w:qFormat/>
    <w:uiPriority w:val="0"/>
    <w:pPr>
      <w:spacing w:before="156" w:line="360" w:lineRule="auto"/>
      <w:ind w:firstLine="510" w:firstLineChars="200"/>
    </w:pPr>
    <w:rPr>
      <w:sz w:val="24"/>
      <w:szCs w:val="20"/>
    </w:rPr>
  </w:style>
  <w:style w:type="paragraph" w:customStyle="1" w:styleId="91">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0"/>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5"/>
    <w:autoRedefine/>
    <w:qFormat/>
    <w:uiPriority w:val="0"/>
    <w:pPr>
      <w:ind w:left="0" w:right="466" w:firstLine="288"/>
    </w:pPr>
    <w:rPr>
      <w:rFonts w:hAnsi="宋体"/>
    </w:rPr>
  </w:style>
  <w:style w:type="paragraph" w:customStyle="1" w:styleId="98">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7"/>
    <w:autoRedefine/>
    <w:qFormat/>
    <w:uiPriority w:val="0"/>
    <w:pPr>
      <w:adjustRightInd/>
      <w:spacing w:line="360" w:lineRule="auto"/>
      <w:ind w:firstLine="480" w:firstLineChars="200"/>
    </w:pPr>
    <w:rPr>
      <w:kern w:val="0"/>
      <w:sz w:val="24"/>
    </w:rPr>
  </w:style>
  <w:style w:type="paragraph" w:customStyle="1" w:styleId="103">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798"/>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0"/>
    <w:autoRedefine/>
    <w:qFormat/>
    <w:uiPriority w:val="0"/>
    <w:pPr>
      <w:tabs>
        <w:tab w:val="left" w:pos="2356"/>
      </w:tabs>
    </w:pPr>
  </w:style>
  <w:style w:type="paragraph" w:customStyle="1" w:styleId="108">
    <w:name w:val="样式 标题 4h4H4Fab-4T5Ref Heading 1rh1Heading sqlsect 1.2.3...."/>
    <w:basedOn w:val="7"/>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3"/>
    <w:autoRedefine/>
    <w:qFormat/>
    <w:uiPriority w:val="0"/>
    <w:pPr>
      <w:adjustRightInd/>
    </w:pPr>
    <w:rPr>
      <w:rFonts w:ascii="宋体" w:hAnsi="Courier New"/>
      <w:kern w:val="0"/>
      <w:sz w:val="20"/>
      <w:szCs w:val="20"/>
    </w:rPr>
  </w:style>
  <w:style w:type="paragraph" w:customStyle="1" w:styleId="111">
    <w:name w:val="正文说明"/>
    <w:basedOn w:val="1"/>
    <w:link w:val="845"/>
    <w:autoRedefine/>
    <w:qFormat/>
    <w:uiPriority w:val="0"/>
    <w:pPr>
      <w:adjustRightInd/>
      <w:spacing w:line="360" w:lineRule="auto"/>
    </w:pPr>
    <w:rPr>
      <w:kern w:val="0"/>
      <w:sz w:val="24"/>
    </w:rPr>
  </w:style>
  <w:style w:type="paragraph" w:customStyle="1" w:styleId="112">
    <w:name w:val="Table Text"/>
    <w:basedOn w:val="1"/>
    <w:link w:val="851"/>
    <w:autoRedefine/>
    <w:qFormat/>
    <w:uiPriority w:val="0"/>
    <w:pPr>
      <w:widowControl/>
      <w:spacing w:before="60" w:after="60"/>
      <w:jc w:val="left"/>
    </w:pPr>
    <w:rPr>
      <w:kern w:val="0"/>
      <w:sz w:val="24"/>
    </w:rPr>
  </w:style>
  <w:style w:type="paragraph" w:customStyle="1" w:styleId="113">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3"/>
    <w:autoRedefine/>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7"/>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312"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spacing w:before="0" w:after="0"/>
      <w:outlineLvl w:val="5"/>
    </w:pPr>
  </w:style>
  <w:style w:type="paragraph" w:customStyle="1" w:styleId="162">
    <w:name w:val="5级标题"/>
    <w:basedOn w:val="16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1"/>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6"/>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8"/>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6"/>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1"/>
    <w:next w:val="101"/>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1"/>
    <w:next w:val="101"/>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4"/>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 标题 3H3 + 两端对齐"/>
    <w:basedOn w:val="6"/>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8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autoRedefine/>
    <w:qFormat/>
    <w:uiPriority w:val="0"/>
    <w:pPr>
      <w:adjustRightInd/>
    </w:pPr>
    <w:rPr>
      <w:szCs w:val="20"/>
    </w:rPr>
  </w:style>
  <w:style w:type="paragraph" w:customStyle="1" w:styleId="44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autoRedefine/>
    <w:qFormat/>
    <w:uiPriority w:val="34"/>
    <w:pPr>
      <w:adjustRightInd/>
      <w:ind w:firstLine="420" w:firstLineChars="200"/>
    </w:pPr>
    <w:rPr>
      <w:rFonts w:eastAsia="仿宋_GB2312"/>
      <w:sz w:val="28"/>
    </w:rPr>
  </w:style>
  <w:style w:type="paragraph" w:customStyle="1" w:styleId="44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autoRedefine/>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autoRedefine/>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autoRedefine/>
    <w:qFormat/>
    <w:uiPriority w:val="0"/>
    <w:pPr>
      <w:snapToGrid w:val="0"/>
      <w:ind w:firstLine="480" w:firstLineChars="200"/>
    </w:pPr>
    <w:rPr>
      <w:rFonts w:ascii="Times New Roman"/>
      <w:szCs w:val="24"/>
      <w:lang w:val="en-US"/>
    </w:rPr>
  </w:style>
  <w:style w:type="paragraph" w:customStyle="1" w:styleId="456">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autoRedefine/>
    <w:qFormat/>
    <w:uiPriority w:val="0"/>
    <w:rPr>
      <w:rFonts w:ascii="宋体" w:hAnsi="Times New Roman" w:eastAsia="宋体" w:cs="Times New Roman"/>
      <w:kern w:val="2"/>
      <w:lang w:val="en-US" w:eastAsia="zh-CN" w:bidi="ar-SA"/>
    </w:rPr>
  </w:style>
  <w:style w:type="paragraph" w:customStyle="1" w:styleId="458">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autoRedefine/>
    <w:qFormat/>
    <w:uiPriority w:val="0"/>
    <w:pPr>
      <w:tabs>
        <w:tab w:val="left" w:pos="360"/>
      </w:tabs>
    </w:pPr>
    <w:rPr>
      <w:sz w:val="24"/>
      <w:szCs w:val="20"/>
    </w:rPr>
  </w:style>
  <w:style w:type="paragraph" w:customStyle="1" w:styleId="46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autoRedefine/>
    <w:qFormat/>
    <w:uiPriority w:val="0"/>
    <w:pPr>
      <w:widowControl/>
      <w:adjustRightInd/>
    </w:pPr>
    <w:rPr>
      <w:kern w:val="0"/>
      <w:szCs w:val="21"/>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7"/>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1"/>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20"/>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5"/>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5"/>
    <w:autoRedefine/>
    <w:qFormat/>
    <w:uiPriority w:val="0"/>
    <w:rPr>
      <w:b w:val="0"/>
      <w:sz w:val="20"/>
    </w:rPr>
  </w:style>
  <w:style w:type="paragraph" w:customStyle="1" w:styleId="580">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autoRedefine/>
    <w:qFormat/>
    <w:uiPriority w:val="0"/>
    <w:pPr>
      <w:tabs>
        <w:tab w:val="left" w:pos="1080"/>
        <w:tab w:val="clear" w:pos="1008"/>
      </w:tabs>
      <w:ind w:left="1080" w:hanging="1080"/>
    </w:pPr>
  </w:style>
  <w:style w:type="paragraph" w:customStyle="1" w:styleId="583">
    <w:name w:val="数字标题1"/>
    <w:basedOn w:val="4"/>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1"/>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5"/>
    <w:qFormat/>
    <w:uiPriority w:val="0"/>
    <w:rPr>
      <w:rFonts w:ascii="Futura Bk" w:hAnsi="Futura Bk"/>
      <w:kern w:val="2"/>
      <w:sz w:val="18"/>
      <w:szCs w:val="21"/>
      <w:lang w:val="en-US" w:eastAsia="zh-CN" w:bidi="ar-SA"/>
    </w:rPr>
  </w:style>
  <w:style w:type="character" w:customStyle="1" w:styleId="622">
    <w:name w:val="*正文 Char"/>
    <w:link w:val="86"/>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7"/>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8"/>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9"/>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3"/>
    <w:qFormat/>
    <w:uiPriority w:val="0"/>
    <w:rPr>
      <w:rFonts w:ascii="宋体" w:hAnsi="宋体"/>
      <w:kern w:val="2"/>
      <w:sz w:val="21"/>
      <w:szCs w:val="24"/>
    </w:rPr>
  </w:style>
  <w:style w:type="character" w:customStyle="1" w:styleId="656">
    <w:name w:val="font11"/>
    <w:basedOn w:val="69"/>
    <w:autoRedefine/>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90"/>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字符"/>
    <w:link w:val="49"/>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1"/>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basedOn w:val="69"/>
    <w:qFormat/>
    <w:uiPriority w:val="0"/>
    <w:rPr>
      <w:rFonts w:hint="eastAsia" w:ascii="仿宋_GB2312" w:eastAsia="仿宋_GB2312" w:cs="仿宋_GB2312"/>
      <w:color w:val="000000"/>
      <w:sz w:val="22"/>
      <w:szCs w:val="22"/>
      <w:u w:val="none"/>
    </w:rPr>
  </w:style>
  <w:style w:type="character" w:customStyle="1" w:styleId="679">
    <w:name w:val="标题 6 字符"/>
    <w:link w:val="9"/>
    <w:qFormat/>
    <w:uiPriority w:val="0"/>
    <w:rPr>
      <w:rFonts w:ascii="Arial" w:hAnsi="Arial" w:eastAsia="黑体"/>
      <w:b/>
      <w:bCs/>
      <w:kern w:val="2"/>
      <w:sz w:val="24"/>
      <w:szCs w:val="24"/>
    </w:rPr>
  </w:style>
  <w:style w:type="character" w:customStyle="1" w:styleId="680">
    <w:name w:val="纯文本 Char_0"/>
    <w:link w:val="92"/>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94"/>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autoRedefine/>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5"/>
    <w:autoRedefine/>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autoRedefine/>
    <w:qFormat/>
    <w:uiPriority w:val="0"/>
    <w:rPr>
      <w:rFonts w:ascii="Times New Roman" w:hAnsi="Times New Roman" w:eastAsia="宋体" w:cs="Times New Roman"/>
      <w:szCs w:val="24"/>
    </w:rPr>
  </w:style>
  <w:style w:type="character" w:customStyle="1" w:styleId="709">
    <w:name w:val="日期 字符"/>
    <w:link w:val="38"/>
    <w:autoRedefine/>
    <w:qFormat/>
    <w:uiPriority w:val="0"/>
    <w:rPr>
      <w:rFonts w:ascii="宋体"/>
      <w:kern w:val="2"/>
      <w:sz w:val="24"/>
      <w:szCs w:val="21"/>
      <w:lang w:val="zh-CN"/>
    </w:rPr>
  </w:style>
  <w:style w:type="character" w:customStyle="1" w:styleId="710">
    <w:name w:val="标题 9 字符"/>
    <w:link w:val="12"/>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autoRedefine/>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autoRedefine/>
    <w:semiHidden/>
    <w:qFormat/>
    <w:uiPriority w:val="99"/>
    <w:rPr>
      <w:rFonts w:ascii="Times New Roman" w:hAnsi="Times New Roman" w:eastAsia="宋体" w:cs="Times New Roman"/>
      <w:szCs w:val="24"/>
    </w:rPr>
  </w:style>
  <w:style w:type="character" w:customStyle="1" w:styleId="716">
    <w:name w:val="批注框文本 字符1"/>
    <w:link w:val="41"/>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autoRedefine/>
    <w:qFormat/>
    <w:uiPriority w:val="0"/>
    <w:rPr>
      <w:rFonts w:ascii="仿宋_GB2312" w:eastAsia="微软雅黑"/>
      <w:b/>
      <w:kern w:val="2"/>
      <w:sz w:val="23"/>
      <w:szCs w:val="23"/>
      <w:lang w:val="en-US" w:eastAsia="zh-CN" w:bidi="ar-SA"/>
    </w:rPr>
  </w:style>
  <w:style w:type="character" w:customStyle="1" w:styleId="719">
    <w:name w:val="my正文 Char"/>
    <w:link w:val="96"/>
    <w:autoRedefine/>
    <w:qFormat/>
    <w:locked/>
    <w:uiPriority w:val="0"/>
    <w:rPr>
      <w:rFonts w:ascii="Tahoma" w:hAnsi="Tahoma"/>
      <w:sz w:val="24"/>
      <w:szCs w:val="24"/>
    </w:rPr>
  </w:style>
  <w:style w:type="character" w:customStyle="1" w:styleId="720">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autoRedefine/>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7"/>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字符"/>
    <w:link w:val="20"/>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basedOn w:val="69"/>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69"/>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字符"/>
    <w:link w:val="32"/>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9"/>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100"/>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字符"/>
    <w:link w:val="18"/>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102"/>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3"/>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4"/>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字符1"/>
    <w:link w:val="2"/>
    <w:autoRedefine/>
    <w:qFormat/>
    <w:uiPriority w:val="0"/>
    <w:rPr>
      <w:rFonts w:ascii="宋体" w:hAnsi="宋体"/>
      <w:kern w:val="2"/>
      <w:sz w:val="24"/>
      <w:szCs w:val="24"/>
    </w:rPr>
  </w:style>
  <w:style w:type="character" w:customStyle="1" w:styleId="784">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6"/>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字符1"/>
    <w:link w:val="4"/>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字符"/>
    <w:link w:val="60"/>
    <w:autoRedefine/>
    <w:qFormat/>
    <w:uiPriority w:val="10"/>
    <w:rPr>
      <w:b/>
      <w:sz w:val="24"/>
    </w:rPr>
  </w:style>
  <w:style w:type="character" w:customStyle="1" w:styleId="804">
    <w:name w:val="font81"/>
    <w:basedOn w:val="69"/>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字符"/>
    <w:link w:val="8"/>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字符"/>
    <w:link w:val="22"/>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字符"/>
    <w:link w:val="58"/>
    <w:autoRedefine/>
    <w:qFormat/>
    <w:uiPriority w:val="0"/>
    <w:rPr>
      <w:rFonts w:ascii="黑体" w:hAnsi="Courier New" w:eastAsia="黑体"/>
    </w:rPr>
  </w:style>
  <w:style w:type="character" w:customStyle="1" w:styleId="819">
    <w:name w:val="正文文本 2 字符1"/>
    <w:link w:val="57"/>
    <w:autoRedefine/>
    <w:qFormat/>
    <w:uiPriority w:val="0"/>
    <w:rPr>
      <w:kern w:val="2"/>
      <w:sz w:val="21"/>
      <w:szCs w:val="24"/>
    </w:rPr>
  </w:style>
  <w:style w:type="character" w:customStyle="1" w:styleId="820">
    <w:name w:val="样式 样式 标题 4h4H4Fab-4T5Ref Heading 1rh1Heading sqlsect 1.2.3.... +... Char"/>
    <w:link w:val="107"/>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字符"/>
    <w:link w:val="10"/>
    <w:autoRedefine/>
    <w:qFormat/>
    <w:uiPriority w:val="0"/>
    <w:rPr>
      <w:b/>
      <w:bCs/>
      <w:kern w:val="2"/>
      <w:sz w:val="24"/>
      <w:szCs w:val="24"/>
    </w:rPr>
  </w:style>
  <w:style w:type="character" w:customStyle="1" w:styleId="823">
    <w:name w:val="正文文本缩进 2 字符"/>
    <w:link w:val="39"/>
    <w:autoRedefine/>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basedOn w:val="69"/>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9"/>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10"/>
    <w:qFormat/>
    <w:uiPriority w:val="0"/>
    <w:rPr>
      <w:rFonts w:ascii="宋体" w:hAnsi="Courier New"/>
    </w:rPr>
  </w:style>
  <w:style w:type="character" w:customStyle="1" w:styleId="834">
    <w:name w:val="正文文本首行缩进 字符"/>
    <w:link w:val="2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3"/>
    <w:qFormat/>
    <w:uiPriority w:val="0"/>
    <w:rPr>
      <w:kern w:val="2"/>
      <w:sz w:val="21"/>
    </w:rPr>
  </w:style>
  <w:style w:type="character" w:customStyle="1" w:styleId="844">
    <w:name w:val="font31"/>
    <w:basedOn w:val="69"/>
    <w:qFormat/>
    <w:uiPriority w:val="0"/>
    <w:rPr>
      <w:rFonts w:hint="eastAsia" w:ascii="仿宋" w:hAnsi="仿宋" w:eastAsia="仿宋" w:cs="仿宋"/>
      <w:color w:val="000000"/>
      <w:sz w:val="20"/>
      <w:szCs w:val="20"/>
      <w:u w:val="none"/>
    </w:rPr>
  </w:style>
  <w:style w:type="character" w:customStyle="1" w:styleId="845">
    <w:name w:val="正文说明 Char"/>
    <w:link w:val="111"/>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2"/>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1"/>
    <w:qFormat/>
    <w:uiPriority w:val="0"/>
    <w:rPr>
      <w:kern w:val="2"/>
      <w:sz w:val="21"/>
      <w:szCs w:val="24"/>
    </w:rPr>
  </w:style>
  <w:style w:type="character" w:customStyle="1" w:styleId="856">
    <w:name w:val="签名 字符"/>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3"/>
    <w:autoRedefine/>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4"/>
    <w:qFormat/>
    <w:uiPriority w:val="0"/>
    <w:rPr>
      <w:rFonts w:ascii="宋体"/>
    </w:rPr>
  </w:style>
  <w:style w:type="character" w:customStyle="1" w:styleId="867">
    <w:name w:val="标题 8 字符"/>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qFormat/>
    <w:uiPriority w:val="6"/>
    <w:rPr>
      <w:kern w:val="1"/>
      <w:sz w:val="18"/>
      <w:szCs w:val="18"/>
    </w:rPr>
  </w:style>
  <w:style w:type="character" w:customStyle="1" w:styleId="882">
    <w:name w:val="font51"/>
    <w:basedOn w:val="69"/>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字符"/>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5"/>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6"/>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7"/>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8"/>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9"/>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20"/>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1"/>
    <w:autoRedefine/>
    <w:qFormat/>
    <w:uiPriority w:val="0"/>
    <w:rPr>
      <w:rFonts w:cs="宋体"/>
      <w:kern w:val="2"/>
      <w:sz w:val="24"/>
    </w:rPr>
  </w:style>
  <w:style w:type="character" w:customStyle="1" w:styleId="9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0"/>
    <w:qFormat/>
    <w:uiPriority w:val="0"/>
    <w:rPr>
      <w:kern w:val="2"/>
      <w:sz w:val="21"/>
      <w:szCs w:val="24"/>
      <w:lang w:val="zh-CN"/>
    </w:rPr>
  </w:style>
  <w:style w:type="character" w:customStyle="1" w:styleId="941">
    <w:name w:val="无间隔 Char"/>
    <w:link w:val="171"/>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basedOn w:val="69"/>
    <w:qFormat/>
    <w:uiPriority w:val="0"/>
    <w:rPr>
      <w:rFonts w:hint="eastAsia" w:ascii="宋体" w:hAnsi="宋体" w:eastAsia="宋体" w:cs="宋体"/>
      <w:color w:val="000000"/>
      <w:sz w:val="22"/>
      <w:szCs w:val="22"/>
      <w:u w:val="none"/>
    </w:rPr>
  </w:style>
  <w:style w:type="character" w:customStyle="1" w:styleId="958">
    <w:name w:val="font91"/>
    <w:basedOn w:val="69"/>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表格正文"/>
    <w:basedOn w:val="1"/>
    <w:qFormat/>
    <w:uiPriority w:val="0"/>
    <w:pPr>
      <w:spacing w:line="360" w:lineRule="auto"/>
    </w:pPr>
    <w:rPr>
      <w:rFonts w:ascii="宋体" w:hAnsi="宋体" w:eastAsia="楷体_GB2312" w:cs="宋体"/>
      <w:sz w:val="24"/>
      <w:szCs w:val="20"/>
    </w:rPr>
  </w:style>
  <w:style w:type="character" w:customStyle="1" w:styleId="967">
    <w:name w:val="bookmark-item"/>
    <w:basedOn w:val="6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6120</Words>
  <Characters>34886</Characters>
  <Lines>290</Lines>
  <Paragraphs>81</Paragraphs>
  <TotalTime>13</TotalTime>
  <ScaleCrop>false</ScaleCrop>
  <LinksUpToDate>false</LinksUpToDate>
  <CharactersWithSpaces>40925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2024-01-17T03:47:00Z</dcterms:created>
  <dc:creator>Administrator</dc:creator>
  <cp:lastModifiedBy>WPS_1546044933</cp:lastModifiedBy>
  <cp:lastPrinted>2022-10-31T01:00:00Z</cp:lastPrinted>
  <dcterms:modified xsi:type="dcterms:W3CDTF">2024-01-17T09:00:53Z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CBD7A4E755E54864BF93E3E77DF8E054_13</vt:lpwstr>
  </property>
</Properties>
</file>