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cs="宋体" w:asciiTheme="minorEastAsia" w:hAnsiTheme="minorEastAsia" w:eastAsiaTheme="minorEastAsia"/>
          <w:sz w:val="48"/>
          <w:szCs w:val="48"/>
        </w:rPr>
      </w:pP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乔司街道北沙港绿道绿化养护项目</w:t>
      </w: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pPr>
        <w:adjustRightInd/>
        <w:spacing w:line="360" w:lineRule="auto"/>
        <w:jc w:val="center"/>
        <w:rPr>
          <w:rFonts w:cs="宋体" w:asciiTheme="minorEastAsia" w:hAnsiTheme="minorEastAsia" w:eastAsiaTheme="minorEastAsia"/>
          <w:b/>
          <w:sz w:val="44"/>
          <w:szCs w:val="44"/>
        </w:rPr>
      </w:pP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（电子招投标）</w:t>
      </w:r>
    </w:p>
    <w:p>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2"/>
          <w:szCs w:val="32"/>
        </w:rPr>
        <w:t>编号:</w:t>
      </w:r>
      <w:r>
        <w:rPr>
          <w:rFonts w:hint="eastAsia" w:cs="宋体" w:asciiTheme="minorEastAsia" w:hAnsiTheme="minorEastAsia" w:eastAsiaTheme="minorEastAsia"/>
          <w:sz w:val="32"/>
          <w:szCs w:val="32"/>
          <w:lang w:eastAsia="zh-CN"/>
        </w:rPr>
        <w:t>HX2023003</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snapToGrid w:val="0"/>
        <w:spacing w:line="360" w:lineRule="auto"/>
        <w:jc w:val="center"/>
        <w:rPr>
          <w:rFonts w:cs="宋体" w:asciiTheme="minorEastAsia" w:hAnsiTheme="minorEastAsia" w:eastAsiaTheme="minorEastAsia"/>
          <w:b/>
          <w:bCs/>
          <w:sz w:val="32"/>
          <w:szCs w:val="32"/>
        </w:rPr>
      </w:pPr>
    </w:p>
    <w:p>
      <w:pPr>
        <w:snapToGrid w:val="0"/>
        <w:spacing w:line="360" w:lineRule="auto"/>
        <w:jc w:val="center"/>
        <w:rPr>
          <w:rFonts w:cs="宋体" w:asciiTheme="minorEastAsia" w:hAnsiTheme="minorEastAsia" w:eastAsiaTheme="minorEastAsia"/>
          <w:sz w:val="32"/>
          <w:szCs w:val="32"/>
        </w:rPr>
      </w:pPr>
    </w:p>
    <w:p>
      <w:pPr>
        <w:pStyle w:val="5"/>
        <w:rPr>
          <w:rFonts w:cs="宋体" w:asciiTheme="minorEastAsia" w:hAnsiTheme="minorEastAsia" w:eastAsiaTheme="minorEastAsia"/>
        </w:rPr>
      </w:pPr>
    </w:p>
    <w:p>
      <w:pPr>
        <w:rPr>
          <w:rFonts w:cs="宋体" w:asciiTheme="minorEastAsia" w:hAnsiTheme="minorEastAsia" w:eastAsiaTheme="minorEastAsia"/>
          <w:sz w:val="32"/>
          <w:szCs w:val="32"/>
        </w:rPr>
      </w:pPr>
    </w:p>
    <w:p>
      <w:pPr>
        <w:pStyle w:val="5"/>
        <w:rPr>
          <w:rFonts w:cs="宋体" w:asciiTheme="minorEastAsia" w:hAnsiTheme="minorEastAsia" w:eastAsiaTheme="minorEastAsia"/>
        </w:rPr>
      </w:pP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采购人：杭州市临平区人民政府乔司街道办事处</w:t>
      </w: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采购代理机构：浙江华夏工程管理有限公司</w:t>
      </w: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二〇二三年</w:t>
      </w:r>
      <w:r>
        <w:rPr>
          <w:rFonts w:hint="eastAsia" w:cs="宋体" w:asciiTheme="minorEastAsia" w:hAnsiTheme="minorEastAsia" w:eastAsiaTheme="minorEastAsia"/>
          <w:sz w:val="32"/>
          <w:szCs w:val="32"/>
          <w:lang w:val="en-US" w:eastAsia="zh-CN"/>
        </w:rPr>
        <w:t>二</w:t>
      </w:r>
      <w:r>
        <w:rPr>
          <w:rFonts w:hint="eastAsia" w:cs="宋体" w:asciiTheme="minorEastAsia" w:hAnsiTheme="minorEastAsia" w:eastAsiaTheme="minorEastAsia"/>
          <w:sz w:val="32"/>
          <w:szCs w:val="32"/>
        </w:rPr>
        <w:t>月</w:t>
      </w:r>
    </w:p>
    <w:p>
      <w:pPr>
        <w:spacing w:line="360" w:lineRule="auto"/>
        <w:jc w:val="center"/>
        <w:rPr>
          <w:rFonts w:cs="宋体" w:asciiTheme="minorEastAsia" w:hAnsiTheme="minorEastAsia" w:eastAsiaTheme="minorEastAsia"/>
          <w:b/>
          <w:sz w:val="48"/>
          <w:szCs w:val="48"/>
        </w:r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tabs>
          <w:tab w:val="left" w:pos="5793"/>
        </w:tabs>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r>
        <w:rPr>
          <w:rFonts w:hint="eastAsia" w:cs="宋体" w:asciiTheme="minorEastAsia" w:hAnsiTheme="minorEastAsia" w:eastAsiaTheme="minorEastAsia"/>
          <w:sz w:val="32"/>
          <w:szCs w:val="32"/>
        </w:rPr>
        <w:tab/>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spacing w:line="360" w:lineRule="auto"/>
        <w:ind w:firstLine="549" w:firstLineChars="229"/>
        <w:rPr>
          <w:rFonts w:cs="宋体" w:asciiTheme="minorEastAsia" w:hAnsiTheme="minorEastAsia" w:eastAsiaTheme="minorEastAsia"/>
          <w:sz w:val="24"/>
        </w:rPr>
      </w:pPr>
      <w:bookmarkStart w:id="0" w:name="_Hlt91233176"/>
      <w:bookmarkEnd w:id="0"/>
      <w:bookmarkStart w:id="1" w:name="_Toc91899869"/>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2" w:name="第一部分"/>
      <w:r>
        <w:rPr>
          <w:rFonts w:hint="eastAsia" w:cs="宋体" w:asciiTheme="minorEastAsia" w:hAnsiTheme="minorEastAsia" w:eastAsiaTheme="minorEastAsia"/>
          <w:b/>
          <w:sz w:val="36"/>
          <w:szCs w:val="36"/>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乔司街道北沙港绿道绿化养护项目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asciiTheme="minorEastAsia" w:hAnsiTheme="minorEastAsia" w:eastAsiaTheme="minorEastAsia"/>
          <w:sz w:val="24"/>
        </w:rPr>
        <w:t>https://www.zcygov.cn/）获取（下载）招标文件，并于</w:t>
      </w:r>
      <w:r>
        <w:rPr>
          <w:rFonts w:hint="eastAsia" w:asciiTheme="minorEastAsia" w:hAnsiTheme="minorEastAsia" w:eastAsiaTheme="minorEastAsia"/>
          <w:sz w:val="24"/>
          <w:u w:val="single"/>
        </w:rPr>
        <w:t>2023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hint="eastAsia"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点00分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
          <w:sz w:val="24"/>
          <w:lang w:eastAsia="zh-CN"/>
        </w:rPr>
        <w:t>HX2023003</w:t>
      </w:r>
    </w:p>
    <w:p>
      <w:pPr>
        <w:adjustRightInd/>
        <w:spacing w:line="360" w:lineRule="auto"/>
        <w:rPr>
          <w:rFonts w:asciiTheme="minorEastAsia" w:hAnsiTheme="minorEastAsia" w:eastAsiaTheme="minorEastAsia"/>
          <w:b/>
          <w:sz w:val="24"/>
        </w:rPr>
      </w:pPr>
      <w:r>
        <w:rPr>
          <w:rFonts w:asciiTheme="minorEastAsia" w:hAnsiTheme="minorEastAsia" w:eastAsiaTheme="minorEastAsia"/>
          <w:b/>
          <w:sz w:val="24"/>
        </w:rPr>
        <w:t>项目名称：</w:t>
      </w:r>
      <w:r>
        <w:rPr>
          <w:rFonts w:hint="eastAsia" w:asciiTheme="minorEastAsia" w:hAnsiTheme="minorEastAsia" w:eastAsiaTheme="minorEastAsia"/>
          <w:b/>
          <w:sz w:val="24"/>
        </w:rPr>
        <w:t>乔司街道北沙港绿道绿化养护项目</w:t>
      </w:r>
    </w:p>
    <w:p>
      <w:pPr>
        <w:adjustRightInd/>
        <w:spacing w:line="360" w:lineRule="auto"/>
        <w:rPr>
          <w:rFonts w:asciiTheme="minorEastAsia" w:hAnsiTheme="minorEastAsia" w:eastAsiaTheme="minorEastAsia"/>
          <w:b/>
          <w:sz w:val="24"/>
        </w:rPr>
      </w:pPr>
      <w:r>
        <w:rPr>
          <w:rFonts w:asciiTheme="minorEastAsia" w:hAnsiTheme="minorEastAsia" w:eastAsiaTheme="minorEastAsia"/>
          <w:b/>
          <w:sz w:val="24"/>
        </w:rPr>
        <w:t>预算金额（元）：</w:t>
      </w:r>
      <w:r>
        <w:rPr>
          <w:rFonts w:hint="eastAsia" w:asciiTheme="minorEastAsia" w:hAnsiTheme="minorEastAsia" w:eastAsiaTheme="minorEastAsia"/>
          <w:b/>
          <w:sz w:val="24"/>
        </w:rPr>
        <w:t>2320000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asciiTheme="minorEastAsia" w:hAnsiTheme="minorEastAsia" w:eastAsiaTheme="minorEastAsia"/>
          <w:b/>
          <w:sz w:val="24"/>
          <w:highlight w:val="none"/>
        </w:rPr>
        <w:t>2310596</w:t>
      </w:r>
    </w:p>
    <w:p>
      <w:pPr>
        <w:adjustRightInd/>
        <w:spacing w:line="360" w:lineRule="auto"/>
        <w:rPr>
          <w:rFonts w:asciiTheme="minorEastAsia" w:hAnsiTheme="minorEastAsia" w:eastAsiaTheme="minorEastAsia"/>
          <w:b/>
          <w:sz w:val="24"/>
        </w:rPr>
      </w:pPr>
      <w:r>
        <w:rPr>
          <w:rFonts w:hint="eastAsia" w:asciiTheme="minorEastAsia" w:hAnsiTheme="minorEastAsia" w:eastAsiaTheme="minorEastAsia"/>
          <w:b/>
          <w:sz w:val="24"/>
        </w:rPr>
        <w:t>采购需求：乔司街道北沙港绿道绿化养护项目，简要规格描述或项目基本概况介绍、用途：详见招标文件第三部分采购需求。</w:t>
      </w:r>
    </w:p>
    <w:p>
      <w:pPr>
        <w:pStyle w:val="89"/>
        <w:ind w:firstLine="482"/>
        <w:outlineLvl w:val="2"/>
        <w:rPr>
          <w:rFonts w:asciiTheme="minorEastAsia" w:hAnsiTheme="minorEastAsia" w:eastAsiaTheme="minorEastAsia"/>
        </w:rPr>
      </w:pPr>
      <w:r>
        <w:rPr>
          <w:rFonts w:hint="eastAsia" w:asciiTheme="minorEastAsia" w:hAnsiTheme="minorEastAsia" w:eastAsiaTheme="minorEastAsia"/>
          <w:b/>
        </w:rPr>
        <w:t>合同履约期限：</w:t>
      </w:r>
      <w:r>
        <w:rPr>
          <w:rFonts w:asciiTheme="minorEastAsia" w:hAnsiTheme="minorEastAsia" w:eastAsiaTheme="minorEastAsia"/>
          <w:b/>
        </w:rPr>
        <w:t>2</w:t>
      </w:r>
      <w:r>
        <w:rPr>
          <w:rFonts w:hint="eastAsia" w:asciiTheme="minorEastAsia" w:hAnsiTheme="minorEastAsia" w:eastAsiaTheme="minorEastAsia"/>
          <w:b/>
        </w:rPr>
        <w:t>年。</w:t>
      </w:r>
    </w:p>
    <w:p>
      <w:pPr>
        <w:pStyle w:val="7"/>
        <w:spacing w:line="360" w:lineRule="auto"/>
        <w:ind w:firstLine="480"/>
        <w:rPr>
          <w:rFonts w:asciiTheme="minorEastAsia" w:hAnsiTheme="minorEastAsia" w:eastAsiaTheme="minorEastAsia"/>
          <w:b/>
          <w:sz w:val="24"/>
        </w:rPr>
      </w:pPr>
      <w:r>
        <w:rPr>
          <w:rFonts w:hint="eastAsia" w:asciiTheme="minorEastAsia" w:hAnsiTheme="minorEastAsia" w:eastAsiaTheme="minorEastAsia"/>
          <w:b/>
          <w:color w:val="auto"/>
          <w:sz w:val="24"/>
        </w:rPr>
        <w:t>本项目接受联合体投标：</w:t>
      </w:r>
      <w:r>
        <w:rPr>
          <w:rFonts w:cs="Arial" w:asciiTheme="minorEastAsia" w:hAnsiTheme="minorEastAsia" w:eastAsiaTheme="minorEastAsia"/>
          <w:color w:val="auto"/>
          <w:kern w:val="0"/>
          <w:sz w:val="24"/>
        </w:rPr>
        <w:sym w:font="Wingdings" w:char="F0FE"/>
      </w:r>
      <w:r>
        <w:rPr>
          <w:rFonts w:hint="eastAsia" w:asciiTheme="minorEastAsia" w:hAnsiTheme="minorEastAsia" w:eastAsiaTheme="minorEastAsia"/>
          <w:b/>
          <w:color w:val="auto"/>
          <w:sz w:val="24"/>
        </w:rPr>
        <w:t>是，</w:t>
      </w:r>
      <w:r>
        <w:rPr>
          <w:rFonts w:hAnsi="MS Gothic" w:cs="Arial" w:asciiTheme="minorEastAsia" w:eastAsiaTheme="minorEastAsia"/>
          <w:kern w:val="0"/>
          <w:sz w:val="24"/>
        </w:rPr>
        <w:t>☐</w:t>
      </w:r>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 xml:space="preserve">    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无；</w:t>
      </w:r>
    </w:p>
    <w:p>
      <w:pPr>
        <w:spacing w:line="360" w:lineRule="auto"/>
        <w:ind w:firstLine="480" w:firstLineChars="200"/>
        <w:rPr>
          <w:rFonts w:asciiTheme="minorEastAsia" w:hAnsiTheme="minorEastAsia" w:eastAsiaTheme="minorEastAsia"/>
          <w:sz w:val="24"/>
        </w:rPr>
      </w:pPr>
      <w:r>
        <w:rPr>
          <w:rFonts w:cs="Arial" w:asciiTheme="minorEastAsia" w:hAnsiTheme="minorEastAsia" w:eastAsiaTheme="minorEastAsia"/>
          <w:kern w:val="0"/>
          <w:sz w:val="24"/>
        </w:rPr>
        <w:sym w:font="Wingdings" w:char="00FE"/>
      </w:r>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r>
        <w:rPr>
          <w:rFonts w:hAnsi="MS Gothic" w:cs="Arial" w:asciiTheme="minorEastAsia" w:eastAsiaTheme="minorEastAsia"/>
          <w:kern w:val="0"/>
          <w:sz w:val="24"/>
        </w:rPr>
        <w:t>☐</w:t>
      </w:r>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货物全部由符合政策要求的小微企业制造，提供中小企业声明函；</w:t>
      </w:r>
    </w:p>
    <w:p>
      <w:pPr>
        <w:spacing w:line="360" w:lineRule="auto"/>
        <w:ind w:firstLine="897" w:firstLineChars="374"/>
        <w:rPr>
          <w:rFonts w:asciiTheme="minorEastAsia" w:hAnsiTheme="minorEastAsia" w:eastAsiaTheme="minorEastAsia"/>
          <w:sz w:val="24"/>
        </w:rPr>
      </w:pPr>
      <w:r>
        <w:rPr>
          <w:rFonts w:cs="Arial" w:asciiTheme="minorEastAsia" w:hAnsiTheme="minorEastAsia" w:eastAsiaTheme="minorEastAsia"/>
          <w:kern w:val="0"/>
          <w:sz w:val="24"/>
        </w:rPr>
        <w:sym w:font="Wingdings" w:char="00FE"/>
      </w:r>
      <w:r>
        <w:rPr>
          <w:rFonts w:hint="eastAsia" w:asciiTheme="minorEastAsia" w:hAnsiTheme="minorEastAsia" w:eastAsiaTheme="minorEastAsia"/>
          <w:sz w:val="24"/>
        </w:rPr>
        <w:t>服务全部由符合政策要求的中小企业承接，提供中小企业声明函；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服务全部由符合政策要求的小微企业承接，提供中小企业声明函；</w:t>
      </w:r>
    </w:p>
    <w:p>
      <w:pPr>
        <w:rPr>
          <w:rFonts w:asciiTheme="minorEastAsia" w:hAnsiTheme="minorEastAsia" w:eastAsiaTheme="minorEastAsia"/>
        </w:rPr>
      </w:pP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要求合同分包，提供分包意向协议和中小企业声明函，分包意向协议中中小企业合同金额应当达到达到</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2</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asciiTheme="minorEastAsia" w:hAnsiTheme="minorEastAsia" w:eastAsiaTheme="minorEastAsia"/>
          <w:sz w:val="24"/>
          <w:u w:val="single"/>
        </w:rPr>
        <w:t>日</w:t>
      </w:r>
      <w:r>
        <w:rPr>
          <w:rFonts w:hint="eastAsia" w:asciiTheme="minorEastAsia" w:hAnsiTheme="minorEastAsia" w:eastAsiaTheme="minorEastAsia"/>
          <w:sz w:val="24"/>
        </w:rPr>
        <w:t>，每天上午</w:t>
      </w:r>
      <w:r>
        <w:rPr>
          <w:rFonts w:asciiTheme="minorEastAsia" w:hAnsiTheme="minorEastAsia" w:eastAsiaTheme="minorEastAsia"/>
          <w:sz w:val="24"/>
        </w:rPr>
        <w:t>00:00至12:00</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获取网址：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0</w:t>
      </w:r>
      <w:r>
        <w:rPr>
          <w:rFonts w:asciiTheme="minorEastAsia" w:hAnsiTheme="minorEastAsia" w:eastAsiaTheme="minorEastAsia"/>
          <w:sz w:val="24"/>
        </w:rPr>
        <w:tab/>
      </w:r>
    </w:p>
    <w:p>
      <w:pPr>
        <w:spacing w:line="360" w:lineRule="auto"/>
        <w:rPr>
          <w:rFonts w:asciiTheme="minorEastAsia" w:hAnsiTheme="minorEastAsia" w:eastAsiaTheme="minorEastAsia"/>
          <w:b/>
          <w:sz w:val="24"/>
          <w:highlight w:val="cyan"/>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u w:val="single"/>
        </w:rPr>
        <w:t>20</w:t>
      </w:r>
      <w:r>
        <w:rPr>
          <w:rFonts w:hint="eastAsia" w:asciiTheme="minorEastAsia" w:hAnsiTheme="minorEastAsia" w:eastAsiaTheme="minorEastAsia"/>
          <w:sz w:val="24"/>
          <w:u w:val="single"/>
          <w:lang w:val="en-US" w:eastAsia="zh-CN"/>
        </w:rPr>
        <w:t>23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2</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点00分</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投标地点：</w:t>
      </w:r>
      <w:r>
        <w:rPr>
          <w:rFonts w:hint="eastAsia" w:asciiTheme="minorEastAsia" w:hAnsiTheme="minorEastAsia" w:eastAsiaTheme="minorEastAsia"/>
          <w:sz w:val="24"/>
        </w:rPr>
        <w:t>政采云平台（</w:t>
      </w:r>
      <w:r>
        <w:rPr>
          <w:rFonts w:asciiTheme="minorEastAsia" w:hAnsiTheme="minorEastAsia" w:eastAsiaTheme="minorEastAsia"/>
          <w:sz w:val="24"/>
        </w:rPr>
        <w:t>https://www.zcygov.cn/）</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投标网址：政采云平台（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2</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点00分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开标网址（地点）：</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2.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称：杭州市临平区人民政府乔司街道办事处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址：浙江省杭州市临平区乔井路268号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val="en-US" w:eastAsia="zh-CN"/>
        </w:rPr>
        <w:t>庞鹏飞</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val="en-US" w:eastAsia="zh-CN"/>
        </w:rPr>
        <w:t>19906810311</w:t>
      </w:r>
      <w:bookmarkStart w:id="401" w:name="_GoBack"/>
      <w:bookmarkEnd w:id="401"/>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质疑联系人：翁振泉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asciiTheme="minorEastAsia" w:hAnsiTheme="minorEastAsia" w:eastAsiaTheme="minorEastAsia"/>
          <w:sz w:val="24"/>
        </w:rPr>
        <w:t>0571-86296891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2.采购代理机构信息</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    称：浙江华夏工程管理有限公司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址：杭州市临平区星桥街道星源路368号元星大厦12楼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项目联系人（询问）：戚建中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项目联系方式（询问）：15888896973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质疑联系人：王恬</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 xml:space="preserve">    质疑联系方式：0571-86158803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3.同级政府采购监督管理部门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称：杭州市临平区财政局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址：杭州市临平区东湖街道东湖中路236号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  传    真：</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联系人：</w:t>
      </w:r>
      <w:r>
        <w:rPr>
          <w:rFonts w:hint="eastAsia" w:asciiTheme="minorEastAsia" w:hAnsiTheme="minorEastAsia" w:eastAsiaTheme="minorEastAsia"/>
          <w:sz w:val="24"/>
        </w:rPr>
        <w:t>俞征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监督投诉电话：</w:t>
      </w:r>
      <w:r>
        <w:rPr>
          <w:rFonts w:hint="eastAsia" w:asciiTheme="minorEastAsia" w:hAnsiTheme="minorEastAsia" w:eastAsiaTheme="minorEastAsia"/>
          <w:sz w:val="24"/>
        </w:rPr>
        <w:t>0571-89185312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widowControl/>
        <w:jc w:val="left"/>
        <w:rPr>
          <w:rFonts w:cs="仿宋" w:asciiTheme="minorEastAsia" w:hAnsiTheme="minorEastAsia" w:eastAsiaTheme="minorEastAsia"/>
        </w:rPr>
      </w:pPr>
    </w:p>
    <w:p>
      <w:pPr>
        <w:pStyle w:val="2"/>
      </w:pPr>
    </w:p>
    <w:p/>
    <w:p>
      <w:pPr>
        <w:pStyle w:val="2"/>
      </w:pPr>
    </w:p>
    <w:p/>
    <w:p>
      <w:pPr>
        <w:pStyle w:val="2"/>
      </w:pPr>
    </w:p>
    <w:p/>
    <w:p>
      <w:pPr>
        <w:pStyle w:val="2"/>
      </w:pPr>
    </w:p>
    <w:p/>
    <w:p>
      <w:pPr>
        <w:pStyle w:val="2"/>
      </w:pPr>
    </w:p>
    <w:p/>
    <w:p>
      <w:pPr>
        <w:pStyle w:val="2"/>
      </w:pPr>
    </w:p>
    <w:p/>
    <w:p/>
    <w:p>
      <w:pPr>
        <w:pStyle w:val="2"/>
      </w:pP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第二部分</w:t>
      </w:r>
      <w:bookmarkEnd w:id="7"/>
      <w:r>
        <w:rPr>
          <w:rFonts w:hint="eastAsia" w:cs="宋体" w:asciiTheme="minorEastAsia" w:hAnsiTheme="minorEastAsia" w:eastAsiaTheme="minorEastAsia"/>
          <w:b/>
          <w:sz w:val="36"/>
          <w:szCs w:val="20"/>
        </w:rPr>
        <w:t xml:space="preserve"> 投标人须知</w:t>
      </w:r>
      <w:bookmarkEnd w:id="8"/>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否；</w:t>
            </w: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方式二：交易中心现场讲解演示。现场讲解地点，讲解演示所用电脑等设备由投标人自备。现场讲解演示人员进场时提供讲解人员名单（加盖公章）及身份证明，否则不得讲解演示。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（1）标的：绿化养护服务，属于其他未列明行业；具体详见《中小企业划型标准规定》。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cs="宋体"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备份投标文件送达地点：杭州市临平区星桥街道星源路368号元星大厦12楼招标代理部；</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z w:val="24"/>
              </w:rPr>
              <w:t xml:space="preserve">供应商以联合体形式投标的：按采购文件要求提供联合协议，联合体投标的联合体各方承担连带责任，联合体成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员（含联合体牵头人）不得超过</w:t>
            </w:r>
            <w:r>
              <w:rPr>
                <w:rFonts w:hint="eastAsia" w:cs="宋体" w:asciiTheme="minorEastAsia" w:hAnsiTheme="minorEastAsia" w:eastAsiaTheme="minorEastAsia"/>
                <w:b/>
                <w:color w:val="FF0000"/>
                <w:sz w:val="24"/>
              </w:rPr>
              <w:t>3</w:t>
            </w:r>
            <w:r>
              <w:rPr>
                <w:rFonts w:hint="eastAsia" w:cs="宋体" w:asciiTheme="minorEastAsia" w:hAnsiTheme="minorEastAsia" w:eastAsiaTheme="minorEastAsia"/>
                <w:b/>
                <w:sz w:val="24"/>
              </w:rPr>
              <w:t>个</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联合体各方不再单独参加或者与其他供应商另外组成联合体参加同一标项的政府采购活动，否则相关投标均无效。</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ind w:left="240" w:hanging="240" w:hangingChars="100"/>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中标单位在领取成交通知书前需向招标代理机构支付招标代理服务费：</w:t>
            </w:r>
            <w:r>
              <w:rPr>
                <w:rFonts w:cs="宋体" w:asciiTheme="minorEastAsia" w:hAnsiTheme="minorEastAsia" w:eastAsiaTheme="minorEastAsia"/>
                <w:snapToGrid w:val="0"/>
                <w:kern w:val="28"/>
                <w:sz w:val="24"/>
              </w:rPr>
              <w:t>28585</w:t>
            </w:r>
            <w:r>
              <w:rPr>
                <w:rFonts w:hint="eastAsia" w:cs="宋体" w:asciiTheme="minorEastAsia" w:hAnsiTheme="minorEastAsia" w:eastAsiaTheme="minorEastAsia"/>
                <w:snapToGrid w:val="0"/>
                <w:kern w:val="28"/>
                <w:sz w:val="24"/>
              </w:rPr>
              <w:t>元。</w:t>
            </w:r>
          </w:p>
          <w:p>
            <w:pPr>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注：招标代理费按照国家计委印发的《招标代理服务收费管理暂行办法》计价格[2002]1980号规定收费。</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注：投标人在报价时应综合考虑该笔费用，但不单列进投标总价。</w:t>
            </w:r>
          </w:p>
        </w:tc>
      </w:tr>
      <w:bookmarkEnd w:id="9"/>
    </w:tbl>
    <w:p>
      <w:pPr>
        <w:adjustRightInd/>
        <w:spacing w:line="360" w:lineRule="auto"/>
        <w:jc w:val="center"/>
        <w:outlineLvl w:val="0"/>
        <w:rPr>
          <w:rFonts w:cs="宋体" w:asciiTheme="minorEastAsia" w:hAnsiTheme="minorEastAsia" w:eastAsiaTheme="minorEastAsia"/>
          <w:b/>
          <w:sz w:val="32"/>
          <w:szCs w:val="20"/>
        </w:rPr>
      </w:pPr>
      <w:bookmarkStart w:id="10" w:name="_Toc164416483"/>
      <w:bookmarkStart w:id="11" w:name="第三部分"/>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outlineLvl w:val="0"/>
        <w:rPr>
          <w:rFonts w:cs="宋体" w:asciiTheme="minorEastAsia" w:hAnsiTheme="minorEastAsia" w:eastAsiaTheme="minorEastAsia"/>
          <w:b/>
          <w:sz w:val="32"/>
          <w:szCs w:val="20"/>
        </w:rPr>
      </w:pPr>
    </w:p>
    <w:p>
      <w:pPr>
        <w:pStyle w:val="2"/>
      </w:pPr>
    </w:p>
    <w:p/>
    <w:p/>
    <w:p>
      <w:pPr>
        <w:pStyle w:val="2"/>
      </w:pPr>
    </w:p>
    <w:p/>
    <w:p>
      <w:pPr>
        <w:pStyle w:val="2"/>
      </w:pPr>
    </w:p>
    <w:p/>
    <w:p>
      <w:pPr>
        <w:pStyle w:val="2"/>
      </w:pPr>
    </w:p>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宋体" w:hAnsi="宋体" w:cs="宋体"/>
          <w:kern w:val="0"/>
          <w:sz w:val="24"/>
        </w:rPr>
        <w:t></w:t>
      </w:r>
      <w:r>
        <w:rPr>
          <w:rFonts w:hint="eastAsia" w:cs="宋体" w:asciiTheme="minorEastAsia" w:hAnsiTheme="minorEastAsia" w:eastAsiaTheme="minorEastAsia"/>
          <w:sz w:val="24"/>
        </w:rPr>
        <w:t>” 系指适用本项目的要求，“</w:t>
      </w: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cs="宋体" w:asciiTheme="minorEastAsia" w:hAnsiTheme="minorEastAsia" w:eastAsiaTheme="minorEastAsia"/>
          <w:color w:val="auto"/>
          <w:kern w:val="2"/>
          <w:sz w:val="24"/>
        </w:rPr>
      </w:pPr>
      <w:r>
        <w:rPr>
          <w:rFonts w:hint="eastAsia" w:cs="宋体" w:asciiTheme="minorEastAsia" w:hAnsiTheme="minorEastAsia" w:eastAsiaTheme="minorEastAsia"/>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4.2.2.3对采购结果提出质疑的，质疑期限自采购结果公告期限届满之日起计算。</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w:t>
      </w:r>
      <w:r>
        <w:rPr>
          <w:rFonts w:hint="eastAsia" w:cs="宋体" w:asciiTheme="minorEastAsia" w:hAnsiTheme="minorEastAsia" w:eastAsiaTheme="minorEastAsia"/>
          <w:sz w:val="24"/>
        </w:rPr>
        <w:t>供应商提出质疑应当提交质疑函和必要的证明材料。质疑函应当包括下列内容：</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4.2.3.1供应商的姓名或者名称、地址、邮编、联系人及联系电话；</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4.2.3.2质疑项目的名称、编号；</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4.2.3.3具体、明确的质疑事项和与质疑事项相关的请求；</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4.2.3.4事实依据；</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4.2.3.5必要的法律依据；</w:t>
      </w:r>
    </w:p>
    <w:p>
      <w:pPr>
        <w:pStyle w:val="35"/>
        <w:spacing w:line="360" w:lineRule="auto"/>
        <w:ind w:firstLine="960" w:firstLineChars="4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575"/>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pStyle w:val="89"/>
        <w:snapToGrid w:val="0"/>
        <w:spacing w:before="0"/>
        <w:ind w:firstLine="360"/>
        <w:rPr>
          <w:rFonts w:cs="宋体" w:asciiTheme="minorEastAsia" w:hAnsiTheme="minorEastAsia" w:eastAsiaTheme="minorEastAsia"/>
          <w:sz w:val="18"/>
          <w:szCs w:val="18"/>
        </w:rPr>
      </w:pP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cs="宋体" w:asciiTheme="minorEastAsia" w:hAnsiTheme="minorEastAsia" w:eastAsiaTheme="minorEastAsia"/>
          <w:sz w:val="18"/>
          <w:szCs w:val="18"/>
          <w:lang w:val="en-US"/>
        </w:rPr>
      </w:pP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7"/>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11.1.2落实政府采购政策需满足的资格要求；</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11.1.3本项目的特定资格要求。</w:t>
      </w:r>
    </w:p>
    <w:p>
      <w:pPr>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11.2.3联合协议；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11.2.4分包意向协议；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11.3.2报价明细清单；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11.3.3中小企业声明函。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89"/>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89"/>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89"/>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35"/>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35"/>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8"/>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cs="宋体" w:asciiTheme="minorEastAsia" w:hAnsiTheme="minorEastAsia" w:eastAsiaTheme="minorEastAsia"/>
          <w:b/>
          <w:sz w:val="32"/>
        </w:rPr>
      </w:pPr>
    </w:p>
    <w:p>
      <w:pPr>
        <w:pStyle w:val="89"/>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244"/>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244"/>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　19、资格审查</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pStyle w:val="89"/>
        <w:spacing w:before="0"/>
        <w:ind w:firstLine="0" w:firstLineChars="0"/>
        <w:rPr>
          <w:rFonts w:cs="宋体" w:asciiTheme="minorEastAsia" w:hAnsiTheme="minorEastAsia" w:eastAsiaTheme="minorEastAsia"/>
          <w:kern w:val="0"/>
          <w:szCs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12"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pacing w:line="360" w:lineRule="auto"/>
        <w:rPr>
          <w:rFonts w:cs="宋体" w:asciiTheme="minorEastAsia" w:hAnsiTheme="minorEastAsia" w:eastAsiaTheme="minorEastAsia"/>
          <w:b/>
          <w:sz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pPr>
        <w:pStyle w:val="89"/>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采购人将自收到评审报告之日起5个工作日内通过电子交易平台在评审报告推荐的中标候选人中按顺序确定中标供应商。</w:t>
      </w:r>
    </w:p>
    <w:p>
      <w:pPr>
        <w:pStyle w:val="89"/>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pPr>
        <w:snapToGrid w:val="0"/>
        <w:spacing w:line="360" w:lineRule="auto"/>
        <w:ind w:left="120" w:leftChars="57" w:firstLine="482" w:firstLineChars="150"/>
        <w:jc w:val="center"/>
        <w:rPr>
          <w:rFonts w:cs="宋体" w:asciiTheme="minorEastAsia" w:hAnsiTheme="minorEastAsia" w:eastAsiaTheme="minorEastAsia"/>
          <w:b/>
          <w:sz w:val="32"/>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9"/>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pPr>
        <w:tabs>
          <w:tab w:val="left" w:pos="0"/>
        </w:tabs>
        <w:spacing w:line="360" w:lineRule="auto"/>
        <w:ind w:firstLine="482"/>
        <w:rPr>
          <w:rFonts w:cs="宋体" w:asciiTheme="minorEastAsia" w:hAnsiTheme="minorEastAsia" w:eastAsiaTheme="minorEastAsia"/>
          <w:b/>
          <w:sz w:val="24"/>
        </w:rPr>
      </w:pPr>
      <w:r>
        <w:rPr>
          <w:rFonts w:hint="eastAsia" w:cs="宋体"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。履约保证金的数额不得超过政府采购合同金额的2.5%。鼓励和支持供应商以银行、保险公司出具的保函形式提供履约保证金。</w:t>
      </w:r>
      <w:r>
        <w:rPr>
          <w:rFonts w:hint="eastAsia" w:cs="宋体" w:asciiTheme="minorEastAsia" w:hAnsiTheme="minorEastAsia" w:eastAsiaTheme="minorEastAsia"/>
          <w:b/>
          <w:sz w:val="24"/>
        </w:rPr>
        <w:t>采购人不得拒收履约保函。</w:t>
      </w:r>
    </w:p>
    <w:p>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cs="宋体" w:asciiTheme="minorEastAsia" w:hAnsiTheme="minorEastAsia" w:eastAsiaTheme="minorEastAsia"/>
          <w:lang w:val="en-US"/>
        </w:rPr>
      </w:pPr>
      <w:r>
        <w:rPr>
          <w:rFonts w:hint="eastAsia" w:cs="宋体" w:asciiTheme="minorEastAsia" w:hAnsiTheme="minorEastAsia" w:eastAsiaTheme="minorEastAsia"/>
          <w:b w:val="0"/>
          <w:bCs w:val="0"/>
          <w:snapToGrid w:val="0"/>
          <w:kern w:val="28"/>
          <w:sz w:val="24"/>
        </w:rPr>
        <w:t>供应商</w:t>
      </w:r>
      <w:r>
        <w:rPr>
          <w:rFonts w:hint="eastAsia" w:cs="宋体" w:asciiTheme="minorEastAsia" w:hAnsiTheme="minorEastAsia" w:eastAsiaTheme="minorEastAsia"/>
          <w:b w:val="0"/>
          <w:bCs w:val="0"/>
          <w:snapToGrid w:val="0"/>
          <w:kern w:val="28"/>
          <w:sz w:val="24"/>
          <w:lang w:val="en-US"/>
        </w:rPr>
        <w:t>可</w:t>
      </w:r>
      <w:r>
        <w:rPr>
          <w:rFonts w:hint="eastAsia" w:cs="宋体" w:asciiTheme="minorEastAsia" w:hAnsiTheme="minorEastAsia"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cs="宋体" w:asciiTheme="minorEastAsia" w:hAnsiTheme="minorEastAsia" w:eastAsiaTheme="minorEastAsia"/>
          <w:b/>
          <w:sz w:val="32"/>
        </w:rPr>
      </w:pPr>
    </w:p>
    <w:p>
      <w:pPr>
        <w:snapToGrid w:val="0"/>
        <w:spacing w:line="360" w:lineRule="auto"/>
        <w:ind w:firstLine="3357" w:firstLineChars="1045"/>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pPr>
        <w:pStyle w:val="89"/>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b/>
          <w:szCs w:val="24"/>
        </w:rPr>
        <w:t>7.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27.1电子交易平台发生故障而无法登录访问的； </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27.2电子交易平台应用或数据库出现错误，不能进行正常操作的；</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27.3电子交易平台发现严重安全漏洞，有潜在泄密危险的；</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27.4病毒发作导致不能进行正常操作的； </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27.5其他无法保证电子交易的公平、公正和安全的情况。</w:t>
      </w:r>
    </w:p>
    <w:p>
      <w:pPr>
        <w:pStyle w:val="89"/>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pPr>
        <w:pStyle w:val="8"/>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29.验收</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宋体" w:asciiTheme="minorEastAsia" w:hAnsiTheme="minorEastAsia" w:eastAsiaTheme="minorEastAsia"/>
          <w:sz w:val="18"/>
          <w:szCs w:val="18"/>
        </w:rPr>
      </w:pPr>
      <w:r>
        <w:rPr>
          <w:rFonts w:hint="eastAsia" w:cs="宋体"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30295"/>
      <w:bookmarkEnd w:id="13"/>
      <w:bookmarkStart w:id="14" w:name="_Hlt74707468"/>
      <w:bookmarkEnd w:id="14"/>
      <w:bookmarkStart w:id="15" w:name="_Hlt68072998"/>
      <w:bookmarkEnd w:id="15"/>
      <w:bookmarkStart w:id="16" w:name="_Hlt68057669"/>
      <w:bookmarkEnd w:id="16"/>
      <w:bookmarkStart w:id="17" w:name="_Hlt75236101"/>
      <w:bookmarkEnd w:id="17"/>
      <w:bookmarkStart w:id="18" w:name="_Hlt74729768"/>
      <w:bookmarkEnd w:id="18"/>
      <w:bookmarkStart w:id="19" w:name="_Hlt74714665"/>
      <w:bookmarkEnd w:id="19"/>
      <w:bookmarkStart w:id="20" w:name="_Hlt68403820"/>
      <w:bookmarkEnd w:id="20"/>
      <w:bookmarkStart w:id="21" w:name="_Hlt75236011"/>
      <w:bookmarkEnd w:id="21"/>
      <w:bookmarkStart w:id="22" w:name="_Hlt68073093"/>
      <w:bookmarkEnd w:id="22"/>
      <w:bookmarkStart w:id="23" w:name="_Hlt75236290"/>
      <w:bookmarkEnd w:id="23"/>
      <w:bookmarkStart w:id="24" w:name="_Hlt68072990"/>
      <w:bookmarkEnd w:id="24"/>
    </w:p>
    <w:bookmarkEnd w:id="10"/>
    <w:bookmarkEnd w:id="11"/>
    <w:p>
      <w:pPr>
        <w:numPr>
          <w:ilvl w:val="0"/>
          <w:numId w:val="1"/>
        </w:numPr>
        <w:spacing w:line="360" w:lineRule="auto"/>
        <w:jc w:val="center"/>
        <w:outlineLvl w:val="0"/>
        <w:rPr>
          <w:rFonts w:cs="宋体" w:asciiTheme="minorEastAsia" w:hAnsiTheme="minorEastAsia" w:eastAsiaTheme="minorEastAsia"/>
          <w:b/>
          <w:sz w:val="36"/>
          <w:szCs w:val="36"/>
        </w:rPr>
      </w:pPr>
      <w:bookmarkStart w:id="25" w:name="第四部分"/>
      <w:r>
        <w:rPr>
          <w:rFonts w:hint="eastAsia" w:cs="宋体" w:asciiTheme="minorEastAsia" w:hAnsiTheme="minorEastAsia" w:eastAsiaTheme="minorEastAsia"/>
          <w:b/>
          <w:sz w:val="36"/>
          <w:szCs w:val="36"/>
        </w:rPr>
        <w:t xml:space="preserve">  采购需求</w:t>
      </w:r>
    </w:p>
    <w:p>
      <w:pPr>
        <w:snapToGrid w:val="0"/>
        <w:spacing w:line="360" w:lineRule="auto"/>
        <w:ind w:firstLine="354" w:firstLineChars="147"/>
        <w:rPr>
          <w:rFonts w:ascii="宋体" w:hAnsi="宋体"/>
          <w:b/>
          <w:bCs/>
          <w:sz w:val="24"/>
        </w:rPr>
      </w:pPr>
      <w:r>
        <w:rPr>
          <w:rFonts w:hint="eastAsia" w:ascii="宋体" w:hAnsi="宋体"/>
          <w:b/>
          <w:bCs/>
          <w:sz w:val="24"/>
        </w:rPr>
        <w:t>一、养护标准及说明</w:t>
      </w:r>
    </w:p>
    <w:p>
      <w:pPr>
        <w:snapToGrid w:val="0"/>
        <w:spacing w:line="360" w:lineRule="auto"/>
        <w:ind w:firstLine="354" w:firstLineChars="147"/>
        <w:rPr>
          <w:rFonts w:ascii="宋体" w:hAnsi="宋体"/>
          <w:b/>
          <w:bCs/>
          <w:sz w:val="24"/>
        </w:rPr>
      </w:pPr>
      <w:r>
        <w:rPr>
          <w:rFonts w:hint="eastAsia" w:ascii="宋体" w:hAnsi="宋体"/>
          <w:b/>
          <w:bCs/>
          <w:sz w:val="24"/>
        </w:rPr>
        <w:t>（一）投标报价的组成</w:t>
      </w:r>
    </w:p>
    <w:p>
      <w:pPr>
        <w:snapToGrid w:val="0"/>
        <w:spacing w:line="360" w:lineRule="auto"/>
        <w:ind w:firstLine="352" w:firstLineChars="147"/>
        <w:rPr>
          <w:rFonts w:ascii="宋体" w:hAnsi="宋体"/>
          <w:bCs/>
          <w:sz w:val="24"/>
          <w:szCs w:val="20"/>
        </w:rPr>
      </w:pPr>
      <w:r>
        <w:rPr>
          <w:rFonts w:hint="eastAsia" w:ascii="宋体" w:hAnsi="宋体"/>
          <w:sz w:val="24"/>
        </w:rPr>
        <w:t>投标报价为北沙港</w:t>
      </w:r>
      <w:r>
        <w:rPr>
          <w:rFonts w:hint="eastAsia" w:ascii="宋体" w:hAnsi="宋体"/>
          <w:b/>
          <w:bCs/>
          <w:sz w:val="24"/>
          <w:u w:val="single"/>
        </w:rPr>
        <w:t>两年的绿化养护费</w:t>
      </w:r>
      <w:r>
        <w:rPr>
          <w:rFonts w:hint="eastAsia" w:ascii="宋体" w:hAnsi="宋体"/>
          <w:b/>
          <w:sz w:val="24"/>
        </w:rPr>
        <w:t>，</w:t>
      </w:r>
      <w:r>
        <w:rPr>
          <w:rFonts w:hint="eastAsia" w:ascii="宋体" w:hAnsi="宋体"/>
          <w:bCs/>
          <w:sz w:val="24"/>
        </w:rPr>
        <w:t>及项目实施过程中须由投标单位支付的其他所有费用，如养护期限内招标人直接委托投标人养护管理的本项目3%以下工程量的公共绿地（含新接收公共绿地）费用，</w:t>
      </w:r>
      <w:r>
        <w:rPr>
          <w:rFonts w:hint="eastAsia" w:ascii="宋体" w:hAnsi="宋体"/>
          <w:bCs/>
          <w:sz w:val="24"/>
          <w:szCs w:val="20"/>
        </w:rPr>
        <w:t>管理费用及税金，合同实施过程中不可预见的费用等。</w:t>
      </w:r>
    </w:p>
    <w:p>
      <w:pPr>
        <w:spacing w:line="360" w:lineRule="auto"/>
        <w:rPr>
          <w:rFonts w:ascii="宋体" w:hAnsi="宋体"/>
          <w:b/>
          <w:sz w:val="24"/>
        </w:rPr>
      </w:pPr>
      <w:r>
        <w:rPr>
          <w:rFonts w:hint="eastAsia" w:ascii="宋体" w:hAnsi="宋体"/>
          <w:b/>
          <w:sz w:val="24"/>
        </w:rPr>
        <w:t xml:space="preserve">     养护费包括日常养护费和绿地提升改造费</w:t>
      </w:r>
    </w:p>
    <w:p>
      <w:pPr>
        <w:numPr>
          <w:ilvl w:val="0"/>
          <w:numId w:val="2"/>
        </w:numPr>
        <w:spacing w:line="360" w:lineRule="auto"/>
        <w:ind w:firstLine="482" w:firstLineChars="200"/>
        <w:rPr>
          <w:rFonts w:ascii="宋体" w:hAnsi="宋体"/>
          <w:b/>
          <w:sz w:val="24"/>
        </w:rPr>
      </w:pPr>
      <w:r>
        <w:rPr>
          <w:rFonts w:hint="eastAsia" w:ascii="宋体" w:hAnsi="宋体"/>
          <w:b/>
          <w:bCs/>
          <w:color w:val="FF0000"/>
          <w:sz w:val="24"/>
        </w:rPr>
        <w:t>日常养护费（养护费的90%）</w:t>
      </w:r>
      <w:r>
        <w:rPr>
          <w:rFonts w:hint="eastAsia" w:ascii="宋体" w:hAnsi="宋体"/>
          <w:b/>
          <w:bCs/>
          <w:sz w:val="24"/>
        </w:rPr>
        <w:t>：公共绿地养护费、苗木补植费、草坪及老化苗木更新更换、绿地苗木调整、花境养护、岸边植物修剪及补植、绿地保洁及其他用于绿地养护所产生的费用</w:t>
      </w:r>
      <w:r>
        <w:rPr>
          <w:rFonts w:hint="eastAsia" w:ascii="宋体" w:hAnsi="宋体"/>
          <w:b/>
          <w:sz w:val="24"/>
        </w:rPr>
        <w:t>等。</w:t>
      </w:r>
    </w:p>
    <w:p>
      <w:pPr>
        <w:spacing w:line="360" w:lineRule="auto"/>
        <w:ind w:firstLine="482" w:firstLineChars="200"/>
        <w:rPr>
          <w:rFonts w:ascii="宋体" w:hAnsi="宋体"/>
          <w:sz w:val="24"/>
        </w:rPr>
      </w:pPr>
      <w:r>
        <w:rPr>
          <w:rFonts w:hint="eastAsia" w:ascii="宋体" w:hAnsi="宋体"/>
          <w:b/>
          <w:sz w:val="24"/>
        </w:rPr>
        <w:t>（2）</w:t>
      </w:r>
      <w:r>
        <w:rPr>
          <w:rFonts w:hint="eastAsia" w:ascii="宋体" w:hAnsi="宋体"/>
          <w:b/>
          <w:color w:val="FF0000"/>
          <w:sz w:val="24"/>
          <w:u w:val="single"/>
        </w:rPr>
        <w:t>绿地提升改造费</w:t>
      </w:r>
      <w:r>
        <w:rPr>
          <w:rFonts w:hint="eastAsia" w:ascii="宋体" w:hAnsi="宋体"/>
          <w:b/>
          <w:color w:val="FF0000"/>
          <w:sz w:val="24"/>
        </w:rPr>
        <w:t>（养护费的10%）</w:t>
      </w:r>
      <w:r>
        <w:rPr>
          <w:rFonts w:hint="eastAsia" w:ascii="宋体" w:hAnsi="宋体"/>
          <w:b/>
          <w:sz w:val="24"/>
        </w:rPr>
        <w:t>：用于</w:t>
      </w:r>
      <w:r>
        <w:rPr>
          <w:rFonts w:hint="eastAsia" w:ascii="宋体" w:hAnsi="宋体"/>
          <w:sz w:val="24"/>
        </w:rPr>
        <w:t>本项目招标人制定的绿地提升方案，以及用于长势不良乔木更换补种。</w:t>
      </w:r>
    </w:p>
    <w:p>
      <w:pPr>
        <w:spacing w:line="360" w:lineRule="auto"/>
        <w:ind w:firstLine="480" w:firstLineChars="200"/>
        <w:rPr>
          <w:rFonts w:ascii="宋体" w:hAnsi="宋体"/>
          <w:sz w:val="24"/>
        </w:rPr>
      </w:pPr>
      <w:r>
        <w:rPr>
          <w:rFonts w:hint="eastAsia" w:ascii="宋体" w:hAnsi="宋体"/>
          <w:sz w:val="24"/>
        </w:rPr>
        <w:t>在养护期限内，由招标人提出提升改造方案，由投标人编制工程预算。每一期改造竣工验收后，由投标人送审计部门进行审计，并按最终审计价支付。超出绿化养护中的改造费以及超出部分审计产生的审计费，由投标人承担。</w:t>
      </w:r>
    </w:p>
    <w:p>
      <w:pPr>
        <w:spacing w:line="360" w:lineRule="auto"/>
        <w:ind w:firstLine="480" w:firstLineChars="200"/>
        <w:rPr>
          <w:rFonts w:ascii="宋体" w:hAnsi="宋体"/>
          <w:sz w:val="24"/>
          <w:highlight w:val="none"/>
        </w:rPr>
      </w:pPr>
      <w:r>
        <w:rPr>
          <w:rFonts w:hint="eastAsia" w:ascii="宋体" w:hAnsi="宋体"/>
          <w:sz w:val="24"/>
          <w:highlight w:val="none"/>
        </w:rPr>
        <w:t xml:space="preserve">年度改造任务必须在招标人规定的时间内完成，审计净核减率控制在区财政规定的合理范围内，如净核减率过大，由投标人承担相关责任。若改造工程中涉及到设计费和基本审计费，经招标人审核同意后，列入更新改造费。若更新改造费尾款低于2万（含）以内，招标人可以通过双方签订零星改造协议、并经招标人验收合格后，按照决算价下浮15%后进行支付。养护期限内未完成改造任务的，招标人有权无条件收回余下改造费。投标人在合同期限内有意不实施且阻挠工程改造的，经3次通报批评，仍不整改的，招标人有权终止合同。 </w:t>
      </w:r>
    </w:p>
    <w:p>
      <w:pPr>
        <w:spacing w:line="360" w:lineRule="auto"/>
        <w:ind w:firstLine="480" w:firstLineChars="200"/>
        <w:rPr>
          <w:rFonts w:ascii="宋体" w:hAnsi="宋体"/>
          <w:color w:val="FF0000"/>
          <w:sz w:val="24"/>
          <w:highlight w:val="none"/>
        </w:rPr>
      </w:pPr>
      <w:r>
        <w:rPr>
          <w:rFonts w:hint="eastAsia" w:ascii="宋体" w:hAnsi="宋体"/>
          <w:color w:val="FF0000"/>
          <w:sz w:val="24"/>
          <w:highlight w:val="none"/>
        </w:rPr>
        <w:t>提升改造工程套用浙江省201</w:t>
      </w:r>
      <w:r>
        <w:rPr>
          <w:rFonts w:ascii="宋体" w:hAnsi="宋体"/>
          <w:color w:val="FF0000"/>
          <w:sz w:val="24"/>
          <w:highlight w:val="none"/>
        </w:rPr>
        <w:t>8</w:t>
      </w:r>
      <w:r>
        <w:rPr>
          <w:rFonts w:hint="eastAsia" w:ascii="宋体" w:hAnsi="宋体"/>
          <w:color w:val="FF0000"/>
          <w:sz w:val="24"/>
          <w:highlight w:val="none"/>
        </w:rPr>
        <w:t>版预算定额，材料价格按施工当期信息价，即参照杭州市信息价及浙江省造价信息，对部分无信息价材料按市场调查计入，组织措施项目按中值计取，管理费、利润、规费按单独绿化工程中值计取，税金按9%计取，并最终总价下浮</w:t>
      </w:r>
      <w:r>
        <w:rPr>
          <w:rFonts w:ascii="宋体" w:hAnsi="宋体"/>
          <w:color w:val="FF0000"/>
          <w:sz w:val="24"/>
          <w:highlight w:val="none"/>
        </w:rPr>
        <w:t>2</w:t>
      </w:r>
      <w:r>
        <w:rPr>
          <w:rFonts w:hint="eastAsia" w:ascii="宋体" w:hAnsi="宋体"/>
          <w:color w:val="FF0000"/>
          <w:sz w:val="24"/>
          <w:highlight w:val="none"/>
        </w:rPr>
        <w:t>0%。</w:t>
      </w:r>
    </w:p>
    <w:p>
      <w:pPr>
        <w:spacing w:line="400" w:lineRule="atLeast"/>
        <w:ind w:firstLine="480" w:firstLineChars="200"/>
        <w:rPr>
          <w:rFonts w:ascii="宋体" w:hAnsi="宋体"/>
          <w:bCs/>
          <w:sz w:val="24"/>
          <w:highlight w:val="none"/>
        </w:rPr>
      </w:pPr>
      <w:r>
        <w:rPr>
          <w:rFonts w:hint="eastAsia" w:ascii="宋体" w:hAnsi="宋体"/>
          <w:sz w:val="24"/>
          <w:highlight w:val="none"/>
        </w:rPr>
        <w:t>3、</w:t>
      </w:r>
      <w:r>
        <w:rPr>
          <w:rFonts w:hint="eastAsia" w:ascii="宋体" w:hAnsi="宋体"/>
          <w:color w:val="000000"/>
          <w:sz w:val="24"/>
          <w:highlight w:val="none"/>
        </w:rPr>
        <w:t>绿化养护人员不少于</w:t>
      </w:r>
      <w:r>
        <w:rPr>
          <w:rFonts w:ascii="宋体" w:hAnsi="宋体"/>
          <w:color w:val="000000"/>
          <w:sz w:val="24"/>
          <w:highlight w:val="none"/>
        </w:rPr>
        <w:t>22</w:t>
      </w:r>
      <w:r>
        <w:rPr>
          <w:rFonts w:hint="eastAsia" w:ascii="宋体" w:hAnsi="宋体"/>
          <w:color w:val="000000"/>
          <w:sz w:val="24"/>
          <w:highlight w:val="none"/>
        </w:rPr>
        <w:t>人</w:t>
      </w:r>
      <w:r>
        <w:rPr>
          <w:rFonts w:hint="eastAsia" w:ascii="宋体" w:hAnsi="宋体" w:cs="宋体"/>
          <w:color w:val="000000"/>
          <w:kern w:val="0"/>
          <w:sz w:val="24"/>
          <w:highlight w:val="none"/>
        </w:rPr>
        <w:t>，</w:t>
      </w:r>
      <w:r>
        <w:rPr>
          <w:b/>
          <w:color w:val="000000"/>
          <w:sz w:val="24"/>
          <w:highlight w:val="none"/>
        </w:rPr>
        <w:t>养护人员工资</w:t>
      </w:r>
      <w:r>
        <w:rPr>
          <w:rFonts w:hint="eastAsia"/>
          <w:b/>
          <w:color w:val="000000"/>
          <w:sz w:val="24"/>
          <w:highlight w:val="none"/>
        </w:rPr>
        <w:t>主要包括：</w:t>
      </w:r>
      <w:r>
        <w:rPr>
          <w:color w:val="000000"/>
          <w:sz w:val="24"/>
          <w:highlight w:val="none"/>
        </w:rPr>
        <w:t>人工工资主要包括基本工资、社会保障五险、高温补助、意外伤害险等，</w:t>
      </w:r>
      <w:r>
        <w:rPr>
          <w:rFonts w:hint="eastAsia"/>
          <w:color w:val="000000"/>
          <w:sz w:val="24"/>
          <w:highlight w:val="none"/>
        </w:rPr>
        <w:t>工资均不得低于杭州市最低工资标准，否则视为投标无效。</w:t>
      </w:r>
      <w:r>
        <w:rPr>
          <w:rFonts w:hint="eastAsia" w:ascii="宋体" w:hAnsi="宋体"/>
          <w:bCs/>
          <w:sz w:val="24"/>
          <w:highlight w:val="none"/>
        </w:rPr>
        <w:t>合同期内如遇最低工资调整等其他因素，所产生的费用由投标单位自行承担。</w:t>
      </w:r>
    </w:p>
    <w:p>
      <w:pPr>
        <w:pStyle w:val="2"/>
        <w:rPr>
          <w:highlight w:val="none"/>
        </w:rPr>
      </w:pPr>
    </w:p>
    <w:p>
      <w:pPr>
        <w:snapToGrid w:val="0"/>
        <w:spacing w:line="400" w:lineRule="atLeast"/>
        <w:ind w:firstLine="475" w:firstLineChars="197"/>
        <w:rPr>
          <w:rFonts w:ascii="宋体" w:hAnsi="宋体"/>
          <w:b/>
          <w:bCs/>
          <w:color w:val="FF0000"/>
          <w:sz w:val="24"/>
          <w:highlight w:val="none"/>
        </w:rPr>
      </w:pPr>
      <w:r>
        <w:rPr>
          <w:rFonts w:hint="eastAsia" w:ascii="宋体" w:hAnsi="宋体"/>
          <w:b/>
          <w:bCs/>
          <w:color w:val="FF0000"/>
          <w:sz w:val="24"/>
          <w:highlight w:val="none"/>
        </w:rPr>
        <w:t>（二）单项报价最高限价  （一级绿地养护费最高限价10.77元/平方.年）</w:t>
      </w:r>
    </w:p>
    <w:p>
      <w:pPr>
        <w:autoSpaceDE w:val="0"/>
        <w:autoSpaceDN w:val="0"/>
        <w:outlineLvl w:val="0"/>
        <w:rPr>
          <w:rFonts w:ascii="宋体" w:hAnsi="宋体" w:cs="宋体"/>
          <w:b/>
          <w:bCs/>
          <w:color w:val="FF0000"/>
          <w:sz w:val="24"/>
          <w:highlight w:val="none"/>
        </w:rPr>
      </w:pPr>
      <w:r>
        <w:rPr>
          <w:rFonts w:hint="eastAsia" w:ascii="宋体" w:hAnsi="宋体" w:cs="宋体"/>
          <w:b/>
          <w:bCs/>
          <w:color w:val="FF0000"/>
          <w:sz w:val="24"/>
          <w:highlight w:val="none"/>
        </w:rPr>
        <w:t xml:space="preserve">          北沙港绿地养护面积107270平方米。</w:t>
      </w:r>
    </w:p>
    <w:p>
      <w:pPr>
        <w:autoSpaceDE w:val="0"/>
        <w:autoSpaceDN w:val="0"/>
        <w:outlineLvl w:val="0"/>
        <w:rPr>
          <w:rFonts w:ascii="宋体" w:hAnsi="宋体" w:cs="宋体"/>
          <w:b/>
          <w:bCs/>
          <w:sz w:val="24"/>
          <w:highlight w:val="none"/>
        </w:rPr>
      </w:pPr>
    </w:p>
    <w:p>
      <w:pPr>
        <w:widowControl/>
        <w:snapToGrid w:val="0"/>
        <w:spacing w:line="500" w:lineRule="exact"/>
        <w:jc w:val="left"/>
        <w:rPr>
          <w:rFonts w:ascii="宋体" w:hAnsi="宋体" w:cs="宋体"/>
          <w:b/>
          <w:kern w:val="0"/>
          <w:sz w:val="24"/>
          <w:highlight w:val="none"/>
        </w:rPr>
      </w:pPr>
      <w:r>
        <w:rPr>
          <w:rFonts w:hint="eastAsia" w:ascii="宋体" w:hAnsi="宋体" w:cs="宋体"/>
          <w:b/>
          <w:kern w:val="0"/>
          <w:sz w:val="24"/>
          <w:highlight w:val="none"/>
        </w:rPr>
        <w:t>附件1、                  绿化养护标准（一级）</w:t>
      </w:r>
    </w:p>
    <w:p>
      <w:pPr>
        <w:widowControl/>
        <w:snapToGrid w:val="0"/>
        <w:spacing w:line="500" w:lineRule="exact"/>
        <w:rPr>
          <w:rFonts w:ascii="宋体" w:hAnsi="宋体" w:cs="宋体"/>
          <w:kern w:val="0"/>
          <w:sz w:val="24"/>
        </w:rPr>
      </w:pPr>
      <w:r>
        <w:rPr>
          <w:rFonts w:hint="eastAsia" w:ascii="宋体" w:hAnsi="宋体" w:cs="宋体"/>
          <w:b/>
          <w:kern w:val="0"/>
          <w:sz w:val="24"/>
          <w:highlight w:val="none"/>
        </w:rPr>
        <w:t xml:space="preserve">    总体标准：</w:t>
      </w:r>
      <w:r>
        <w:rPr>
          <w:rFonts w:hint="eastAsia" w:ascii="宋体" w:hAnsi="宋体" w:cs="宋体"/>
          <w:kern w:val="0"/>
          <w:sz w:val="24"/>
          <w:highlight w:val="none"/>
        </w:rPr>
        <w:t>①体现植物造景，使植物季相分明，色彩丰富，生长茂盛，与植物生长的各阶段相适应，对植物群落进行合理养护，使植物群落完整，层次丰富。杜绝在绿地中出现黄土露天现象。②绿地乔木无缺株、死株，补植树品种、胸径、树高一致；树木支撑规范、统一、稳固，无断桩、坏桩，桩位扎缚规范化；树木修剪及时，</w:t>
      </w:r>
      <w:r>
        <w:rPr>
          <w:rFonts w:hint="eastAsia" w:ascii="宋体" w:hAnsi="宋体" w:cs="宋体"/>
          <w:kern w:val="0"/>
          <w:sz w:val="24"/>
        </w:rPr>
        <w:t>无徒长枝、病虫枝、过密枝、枯枝、伤损枝；宿根植物及时翻种、断根、间删，无死株；树穴土壤低于侧石，绿地乔木树穴无板结。③绿篱、色块小灌木，无缺株、小道、混种及黄土裸露，补植灌木品种、规格一致；道路色块灌木定期修剪，切边清晰。④草坪</w:t>
      </w:r>
      <w:r>
        <w:rPr>
          <w:rFonts w:ascii="宋体" w:hAnsi="宋体" w:cs="宋体"/>
          <w:kern w:val="0"/>
          <w:sz w:val="24"/>
        </w:rPr>
        <w:t>生长繁茂、平整</w:t>
      </w:r>
      <w:r>
        <w:rPr>
          <w:rFonts w:hint="eastAsia" w:ascii="宋体" w:hAnsi="宋体" w:cs="宋体"/>
          <w:kern w:val="0"/>
          <w:sz w:val="24"/>
        </w:rPr>
        <w:t>，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snapToGrid w:val="0"/>
        <w:spacing w:line="400" w:lineRule="atLeast"/>
        <w:ind w:firstLine="482" w:firstLineChars="200"/>
        <w:rPr>
          <w:rFonts w:ascii="宋体" w:hAnsi="宋体"/>
          <w:b/>
          <w:bCs/>
          <w:kern w:val="0"/>
          <w:sz w:val="24"/>
        </w:rPr>
      </w:pPr>
      <w:r>
        <w:rPr>
          <w:rFonts w:ascii="宋体" w:hAnsi="宋体"/>
          <w:b/>
          <w:bCs/>
          <w:kern w:val="0"/>
          <w:sz w:val="24"/>
        </w:rPr>
        <w:t>绿</w:t>
      </w:r>
      <w:r>
        <w:rPr>
          <w:rFonts w:hint="eastAsia" w:ascii="宋体" w:hAnsi="宋体"/>
          <w:b/>
          <w:bCs/>
          <w:kern w:val="0"/>
          <w:sz w:val="24"/>
        </w:rPr>
        <w:t>化</w:t>
      </w:r>
      <w:r>
        <w:rPr>
          <w:rFonts w:ascii="宋体" w:hAnsi="宋体"/>
          <w:b/>
          <w:bCs/>
          <w:kern w:val="0"/>
          <w:sz w:val="24"/>
        </w:rPr>
        <w:t>养护标准</w:t>
      </w:r>
      <w:r>
        <w:rPr>
          <w:rFonts w:hint="eastAsia" w:ascii="宋体" w:hAnsi="宋体"/>
          <w:b/>
          <w:bCs/>
          <w:kern w:val="0"/>
          <w:sz w:val="24"/>
        </w:rPr>
        <w:t>：</w:t>
      </w:r>
    </w:p>
    <w:p>
      <w:pPr>
        <w:spacing w:line="400" w:lineRule="atLeast"/>
        <w:ind w:firstLine="480" w:firstLineChars="200"/>
        <w:rPr>
          <w:rFonts w:ascii="宋体" w:hAnsi="宋体"/>
          <w:kern w:val="0"/>
          <w:sz w:val="24"/>
        </w:rPr>
      </w:pPr>
      <w:r>
        <w:rPr>
          <w:rFonts w:ascii="宋体" w:hAnsi="宋体"/>
          <w:kern w:val="0"/>
          <w:sz w:val="24"/>
        </w:rPr>
        <w:t>1.1植物养护标准：</w:t>
      </w:r>
    </w:p>
    <w:p>
      <w:pPr>
        <w:spacing w:line="400" w:lineRule="atLeast"/>
        <w:ind w:firstLine="360" w:firstLineChars="150"/>
        <w:rPr>
          <w:rFonts w:ascii="宋体" w:hAnsi="宋体"/>
          <w:sz w:val="24"/>
        </w:rPr>
      </w:pPr>
      <w:r>
        <w:rPr>
          <w:rFonts w:ascii="宋体" w:hAnsi="宋体"/>
          <w:sz w:val="24"/>
        </w:rPr>
        <w:t>（1）根据设计意图，养护要重视和体现植物造景，对植物群落进行合理养护，使植物季相分明，色彩丰富，生长茂盛，营造优美植物景观。</w:t>
      </w:r>
    </w:p>
    <w:p>
      <w:pPr>
        <w:spacing w:line="400" w:lineRule="atLeast"/>
        <w:ind w:firstLine="360" w:firstLineChars="150"/>
        <w:rPr>
          <w:rFonts w:ascii="宋体" w:hAnsi="宋体"/>
          <w:sz w:val="24"/>
        </w:rPr>
      </w:pPr>
      <w:r>
        <w:rPr>
          <w:rFonts w:ascii="宋体" w:hAnsi="宋体"/>
          <w:sz w:val="24"/>
        </w:rPr>
        <w:t>（2）随着植物生长的各个阶段，应不断进行调整与充实，使植物群落完整，层次丰富，四季有花，黄土不裸露，保持叶面清洁，有整体观赏效果。</w:t>
      </w:r>
    </w:p>
    <w:p>
      <w:pPr>
        <w:spacing w:line="400" w:lineRule="atLeast"/>
        <w:ind w:firstLine="360" w:firstLineChars="150"/>
        <w:rPr>
          <w:rFonts w:ascii="宋体" w:hAnsi="宋体"/>
          <w:sz w:val="24"/>
        </w:rPr>
      </w:pPr>
      <w:r>
        <w:rPr>
          <w:rFonts w:ascii="宋体" w:hAnsi="宋体"/>
          <w:sz w:val="24"/>
        </w:rPr>
        <w:t>（3）花卉面积（含宿根花卉）不低于规定标准。</w:t>
      </w:r>
    </w:p>
    <w:p>
      <w:pPr>
        <w:spacing w:line="400" w:lineRule="atLeast"/>
        <w:ind w:firstLine="360" w:firstLineChars="150"/>
        <w:rPr>
          <w:rFonts w:ascii="宋体" w:hAnsi="宋体"/>
          <w:sz w:val="24"/>
        </w:rPr>
      </w:pPr>
      <w:r>
        <w:rPr>
          <w:rFonts w:ascii="宋体" w:hAnsi="宋体"/>
          <w:sz w:val="24"/>
        </w:rPr>
        <w:t>（4）树木及时修剪，无徒长枝、病虫枝、过密枝、枯枝、伤损枝；宿根植物及时翻种、断根、间删；植物无死株。</w:t>
      </w:r>
    </w:p>
    <w:p>
      <w:pPr>
        <w:spacing w:line="400" w:lineRule="atLeast"/>
        <w:ind w:firstLine="360" w:firstLineChars="150"/>
        <w:rPr>
          <w:rFonts w:ascii="宋体" w:hAnsi="宋体"/>
          <w:sz w:val="24"/>
        </w:rPr>
      </w:pPr>
      <w:r>
        <w:rPr>
          <w:rFonts w:ascii="宋体" w:hAnsi="宋体"/>
          <w:sz w:val="24"/>
        </w:rPr>
        <w:t>（5）草坪生长茂盛，无空秃，无明显杂草，草坪边缘线清晰（及时切边），草高不超过8厘米，草坪土壤低于园路或侧石。</w:t>
      </w:r>
    </w:p>
    <w:p>
      <w:pPr>
        <w:spacing w:line="400" w:lineRule="atLeast"/>
        <w:ind w:firstLine="360" w:firstLineChars="150"/>
        <w:rPr>
          <w:rFonts w:ascii="宋体" w:hAnsi="宋体"/>
          <w:sz w:val="24"/>
        </w:rPr>
      </w:pPr>
      <w:r>
        <w:rPr>
          <w:rFonts w:ascii="宋体" w:hAnsi="宋体"/>
          <w:sz w:val="24"/>
        </w:rPr>
        <w:t>（6） 棚架、假山及垂直绿化管护合理，达到正常生长量。</w:t>
      </w:r>
    </w:p>
    <w:p>
      <w:pPr>
        <w:spacing w:line="400" w:lineRule="atLeast"/>
        <w:ind w:firstLine="360" w:firstLineChars="150"/>
        <w:rPr>
          <w:rFonts w:ascii="宋体" w:hAnsi="宋体"/>
          <w:sz w:val="24"/>
        </w:rPr>
      </w:pPr>
      <w:r>
        <w:rPr>
          <w:rFonts w:ascii="宋体" w:hAnsi="宋体"/>
          <w:sz w:val="24"/>
        </w:rPr>
        <w:t xml:space="preserve"> 1.2. 树木成活率标准：树木成活率98%以上；树木保存率100%。</w:t>
      </w:r>
    </w:p>
    <w:p>
      <w:pPr>
        <w:spacing w:line="400" w:lineRule="atLeast"/>
        <w:ind w:firstLine="360" w:firstLineChars="150"/>
        <w:rPr>
          <w:rFonts w:ascii="宋体" w:hAnsi="宋体"/>
          <w:sz w:val="24"/>
        </w:rPr>
      </w:pPr>
      <w:r>
        <w:rPr>
          <w:rFonts w:ascii="宋体" w:hAnsi="宋体"/>
          <w:sz w:val="24"/>
        </w:rPr>
        <w:t xml:space="preserve"> 1.3.设施维护标准：</w:t>
      </w:r>
    </w:p>
    <w:p>
      <w:pPr>
        <w:spacing w:line="400" w:lineRule="atLeast"/>
        <w:ind w:firstLine="360" w:firstLineChars="150"/>
        <w:rPr>
          <w:rFonts w:ascii="宋体" w:hAnsi="宋体"/>
          <w:sz w:val="24"/>
        </w:rPr>
      </w:pPr>
      <w:r>
        <w:rPr>
          <w:rFonts w:ascii="宋体" w:hAnsi="宋体"/>
          <w:sz w:val="24"/>
        </w:rPr>
        <w:t>（1） 绿地附属设施完好、分布合理、放置整齐、保持清洁。</w:t>
      </w:r>
    </w:p>
    <w:p>
      <w:pPr>
        <w:spacing w:line="400" w:lineRule="atLeast"/>
        <w:ind w:firstLine="360" w:firstLineChars="150"/>
        <w:rPr>
          <w:rFonts w:ascii="宋体" w:hAnsi="宋体"/>
          <w:sz w:val="24"/>
        </w:rPr>
      </w:pPr>
      <w:r>
        <w:rPr>
          <w:rFonts w:ascii="宋体" w:hAnsi="宋体"/>
          <w:sz w:val="24"/>
        </w:rPr>
        <w:t>（2） 园路、铺装地坪平整，无大面积破损、无积水、无淤泥。</w:t>
      </w:r>
    </w:p>
    <w:p>
      <w:pPr>
        <w:spacing w:line="400" w:lineRule="atLeast"/>
        <w:ind w:firstLine="360" w:firstLineChars="150"/>
        <w:rPr>
          <w:rFonts w:ascii="宋体" w:hAnsi="宋体"/>
          <w:sz w:val="24"/>
        </w:rPr>
      </w:pPr>
      <w:r>
        <w:rPr>
          <w:rFonts w:ascii="宋体" w:hAnsi="宋体"/>
          <w:sz w:val="24"/>
        </w:rPr>
        <w:t>（3）亭、廊及其它园林建筑保持安全，及时修缮，每年油漆不少于一次，维护良好，无瓦草。</w:t>
      </w:r>
    </w:p>
    <w:p>
      <w:pPr>
        <w:spacing w:line="400" w:lineRule="atLeast"/>
        <w:ind w:firstLine="360" w:firstLineChars="150"/>
        <w:rPr>
          <w:rFonts w:ascii="宋体" w:hAnsi="宋体"/>
          <w:sz w:val="24"/>
        </w:rPr>
      </w:pPr>
      <w:r>
        <w:rPr>
          <w:rFonts w:ascii="宋体" w:hAnsi="宋体"/>
          <w:sz w:val="24"/>
        </w:rPr>
        <w:t>（4）金属构件设施无明显锈斑、油漆剥落现象。</w:t>
      </w:r>
    </w:p>
    <w:p>
      <w:pPr>
        <w:spacing w:line="400" w:lineRule="atLeast"/>
        <w:ind w:firstLine="240" w:firstLineChars="100"/>
        <w:rPr>
          <w:rFonts w:ascii="宋体" w:hAnsi="宋体"/>
          <w:sz w:val="24"/>
        </w:rPr>
      </w:pPr>
      <w:r>
        <w:rPr>
          <w:rFonts w:ascii="宋体" w:hAnsi="宋体"/>
          <w:sz w:val="24"/>
        </w:rPr>
        <w:t xml:space="preserve"> （5）供水、供电、排水、喷灌等管网设施维护良好。</w:t>
      </w:r>
    </w:p>
    <w:p>
      <w:pPr>
        <w:spacing w:line="400" w:lineRule="atLeast"/>
        <w:ind w:firstLine="360" w:firstLineChars="150"/>
        <w:rPr>
          <w:rFonts w:ascii="宋体" w:hAnsi="宋体"/>
          <w:sz w:val="24"/>
        </w:rPr>
      </w:pPr>
      <w:r>
        <w:rPr>
          <w:rFonts w:ascii="宋体" w:hAnsi="宋体"/>
          <w:sz w:val="24"/>
        </w:rPr>
        <w:t xml:space="preserve"> （6）指示牌、禁令牌、宣传牌放置合理，醒目、完善、规范。</w:t>
      </w:r>
    </w:p>
    <w:p>
      <w:pPr>
        <w:spacing w:line="400" w:lineRule="atLeast"/>
        <w:ind w:firstLine="360" w:firstLineChars="150"/>
        <w:rPr>
          <w:rFonts w:ascii="宋体" w:hAnsi="宋体"/>
          <w:sz w:val="24"/>
        </w:rPr>
      </w:pPr>
      <w:r>
        <w:rPr>
          <w:rFonts w:ascii="宋体" w:hAnsi="宋体"/>
          <w:sz w:val="24"/>
        </w:rPr>
        <w:t xml:space="preserve">  1.4.土肥标准：土壤疏松，无积水，根据植物生长特性及时施肥，充分利用有机肥，也可施复合肥，增强土壤肥力（要求一年施肥二次，每次用腐熟豆饼或复合肥0.5kg／㎡），改善土壤理化性状。</w:t>
      </w:r>
    </w:p>
    <w:p>
      <w:pPr>
        <w:spacing w:line="400" w:lineRule="atLeast"/>
        <w:ind w:firstLine="360" w:firstLineChars="150"/>
        <w:rPr>
          <w:rFonts w:ascii="宋体" w:hAnsi="宋体"/>
          <w:sz w:val="24"/>
        </w:rPr>
      </w:pPr>
      <w:r>
        <w:rPr>
          <w:rFonts w:ascii="宋体" w:hAnsi="宋体"/>
          <w:sz w:val="24"/>
        </w:rPr>
        <w:t xml:space="preserve">  1.5. 病虫害防治标准：提倡综合防治，以防为主。病虫害危害应控制在以不影响观赏效果的范围之内。其中食叶性害虫危害的叶片，每株不超过5%；刺吸性害虫危害的叶片，每株不超过10%；无蛀干性害虫的活虫、活卵。</w:t>
      </w:r>
    </w:p>
    <w:p>
      <w:pPr>
        <w:spacing w:line="400" w:lineRule="atLeast"/>
        <w:ind w:firstLine="360" w:firstLineChars="150"/>
        <w:rPr>
          <w:rFonts w:ascii="宋体" w:hAnsi="宋体"/>
          <w:sz w:val="24"/>
        </w:rPr>
      </w:pPr>
      <w:r>
        <w:rPr>
          <w:rFonts w:ascii="宋体" w:hAnsi="宋体"/>
          <w:sz w:val="24"/>
        </w:rPr>
        <w:t xml:space="preserve">  1.6.卫生标准：</w:t>
      </w:r>
    </w:p>
    <w:p>
      <w:pPr>
        <w:spacing w:line="400" w:lineRule="atLeast"/>
        <w:ind w:firstLine="360" w:firstLineChars="150"/>
        <w:rPr>
          <w:rFonts w:ascii="宋体" w:hAnsi="宋体"/>
          <w:sz w:val="24"/>
        </w:rPr>
      </w:pPr>
      <w:r>
        <w:rPr>
          <w:rFonts w:ascii="宋体" w:hAnsi="宋体"/>
          <w:sz w:val="24"/>
        </w:rPr>
        <w:t xml:space="preserve"> （1）绿地整洁，地面卫生，无垃圾杂物，墙面无涂刻、无招贴，建筑物上无蛛网。</w:t>
      </w:r>
    </w:p>
    <w:p>
      <w:pPr>
        <w:spacing w:line="400" w:lineRule="atLeast"/>
        <w:ind w:firstLine="360" w:firstLineChars="150"/>
        <w:rPr>
          <w:rFonts w:ascii="宋体" w:hAnsi="宋体"/>
          <w:sz w:val="24"/>
        </w:rPr>
      </w:pPr>
      <w:r>
        <w:rPr>
          <w:rFonts w:ascii="宋体" w:hAnsi="宋体"/>
          <w:sz w:val="24"/>
        </w:rPr>
        <w:t xml:space="preserve"> （2）绿地内水体透明度大于50㎝、无漂浮杂物、无杂生水生植物。</w:t>
      </w:r>
    </w:p>
    <w:p>
      <w:pPr>
        <w:spacing w:line="400" w:lineRule="atLeast"/>
        <w:ind w:firstLine="360" w:firstLineChars="150"/>
        <w:rPr>
          <w:rFonts w:ascii="宋体" w:hAnsi="宋体"/>
          <w:sz w:val="24"/>
        </w:rPr>
      </w:pPr>
      <w:r>
        <w:rPr>
          <w:rFonts w:ascii="宋体" w:hAnsi="宋体"/>
          <w:sz w:val="24"/>
        </w:rPr>
        <w:t xml:space="preserve"> （3）垃圾日产日清，无卫生死角，厕所冲洗设施完整，无积垢，无明显异味。</w:t>
      </w:r>
    </w:p>
    <w:p>
      <w:pPr>
        <w:spacing w:line="400" w:lineRule="atLeast"/>
        <w:ind w:firstLine="360" w:firstLineChars="150"/>
        <w:rPr>
          <w:rFonts w:ascii="宋体" w:hAnsi="宋体"/>
          <w:sz w:val="24"/>
        </w:rPr>
      </w:pPr>
      <w:r>
        <w:rPr>
          <w:rFonts w:ascii="宋体" w:hAnsi="宋体"/>
          <w:sz w:val="24"/>
        </w:rPr>
        <w:t xml:space="preserve">  1.7.管理标准：</w:t>
      </w:r>
    </w:p>
    <w:p>
      <w:pPr>
        <w:spacing w:line="400" w:lineRule="atLeast"/>
        <w:ind w:firstLine="360" w:firstLineChars="150"/>
        <w:rPr>
          <w:rFonts w:ascii="宋体" w:hAnsi="宋体"/>
          <w:sz w:val="24"/>
        </w:rPr>
      </w:pPr>
      <w:r>
        <w:rPr>
          <w:rFonts w:ascii="宋体" w:hAnsi="宋体"/>
          <w:sz w:val="24"/>
        </w:rPr>
        <w:t xml:space="preserve"> （1）绿地管理制度全面落实，档案资料完整、详尽，工作人员统一着装，挂牌上岗。</w:t>
      </w:r>
    </w:p>
    <w:p>
      <w:pPr>
        <w:spacing w:line="400" w:lineRule="atLeast"/>
        <w:ind w:firstLine="360" w:firstLineChars="150"/>
        <w:rPr>
          <w:rFonts w:ascii="宋体" w:hAnsi="宋体"/>
          <w:sz w:val="24"/>
        </w:rPr>
      </w:pPr>
      <w:r>
        <w:rPr>
          <w:rFonts w:ascii="宋体" w:hAnsi="宋体"/>
          <w:sz w:val="24"/>
        </w:rPr>
        <w:t xml:space="preserve"> （2）无违章占绿、无违法建设。</w:t>
      </w:r>
    </w:p>
    <w:p>
      <w:pPr>
        <w:spacing w:line="400" w:lineRule="atLeast"/>
        <w:ind w:firstLine="360" w:firstLineChars="150"/>
        <w:rPr>
          <w:rFonts w:ascii="宋体" w:hAnsi="宋体"/>
          <w:sz w:val="24"/>
        </w:rPr>
      </w:pPr>
      <w:r>
        <w:rPr>
          <w:rFonts w:ascii="宋体" w:hAnsi="宋体"/>
          <w:sz w:val="24"/>
        </w:rPr>
        <w:t xml:space="preserve"> （3）秩序良好，无乱堆乱放、晾晒衣物现象。</w:t>
      </w:r>
    </w:p>
    <w:p>
      <w:pPr>
        <w:spacing w:line="400" w:lineRule="atLeast"/>
        <w:ind w:firstLine="360" w:firstLineChars="150"/>
        <w:rPr>
          <w:rFonts w:ascii="宋体" w:hAnsi="宋体"/>
          <w:sz w:val="24"/>
        </w:rPr>
      </w:pPr>
      <w:r>
        <w:rPr>
          <w:rFonts w:ascii="宋体" w:hAnsi="宋体"/>
          <w:sz w:val="24"/>
        </w:rPr>
        <w:t xml:space="preserve">  1.8.时花花坛的养护标准：</w:t>
      </w:r>
    </w:p>
    <w:p>
      <w:pPr>
        <w:spacing w:line="400" w:lineRule="atLeast"/>
        <w:ind w:firstLine="360" w:firstLineChars="150"/>
        <w:rPr>
          <w:rFonts w:ascii="宋体" w:hAnsi="宋体"/>
          <w:sz w:val="24"/>
        </w:rPr>
      </w:pPr>
      <w:r>
        <w:rPr>
          <w:rFonts w:ascii="宋体" w:hAnsi="宋体"/>
          <w:sz w:val="24"/>
        </w:rPr>
        <w:t xml:space="preserve"> （1）布置效果：按设计精心养护，有全年用花计划，做到四季有花，花期整齐，图案美观，布置效果良好。</w:t>
      </w:r>
    </w:p>
    <w:p>
      <w:pPr>
        <w:spacing w:line="400" w:lineRule="atLeast"/>
        <w:ind w:firstLine="360" w:firstLineChars="150"/>
        <w:rPr>
          <w:rFonts w:ascii="宋体" w:hAnsi="宋体"/>
          <w:sz w:val="24"/>
        </w:rPr>
      </w:pPr>
      <w:r>
        <w:rPr>
          <w:rFonts w:ascii="宋体" w:hAnsi="宋体"/>
          <w:sz w:val="24"/>
        </w:rPr>
        <w:t xml:space="preserve"> （2）花卉生长：花卉植株生长健壮，花色艳丽，始花期方可上花坛种植，株行距适宜，不露底土。无缺株倒伏，无枯枝残花，无杂草垃圾。</w:t>
      </w:r>
    </w:p>
    <w:p>
      <w:pPr>
        <w:spacing w:line="400" w:lineRule="atLeast"/>
        <w:ind w:firstLine="360" w:firstLineChars="150"/>
        <w:rPr>
          <w:rFonts w:ascii="宋体" w:hAnsi="宋体"/>
          <w:sz w:val="24"/>
        </w:rPr>
      </w:pPr>
      <w:r>
        <w:rPr>
          <w:rFonts w:ascii="宋体" w:hAnsi="宋体"/>
          <w:sz w:val="24"/>
        </w:rPr>
        <w:t xml:space="preserve">  1.9常绿草草坪的养护标准：</w:t>
      </w:r>
    </w:p>
    <w:p>
      <w:pPr>
        <w:spacing w:line="400" w:lineRule="atLeast"/>
        <w:ind w:firstLine="360" w:firstLineChars="150"/>
        <w:rPr>
          <w:rFonts w:ascii="宋体" w:hAnsi="宋体"/>
          <w:sz w:val="24"/>
        </w:rPr>
      </w:pPr>
      <w:r>
        <w:rPr>
          <w:rFonts w:ascii="宋体" w:hAnsi="宋体"/>
          <w:sz w:val="24"/>
        </w:rPr>
        <w:t xml:space="preserve"> （1）整体效果：草种基本纯正，生长茂盛，有一定厚度，草根不裸露；草坪无明显枯黄现象，草高不超过6cm；草坪边缘线清晰。</w:t>
      </w:r>
    </w:p>
    <w:p>
      <w:pPr>
        <w:spacing w:line="400" w:lineRule="atLeast"/>
        <w:ind w:firstLine="360" w:firstLineChars="150"/>
        <w:rPr>
          <w:rFonts w:ascii="宋体" w:hAnsi="宋体"/>
          <w:sz w:val="24"/>
        </w:rPr>
      </w:pPr>
      <w:r>
        <w:rPr>
          <w:rFonts w:ascii="宋体" w:hAnsi="宋体"/>
          <w:sz w:val="24"/>
        </w:rPr>
        <w:t xml:space="preserve"> （2）养护要求：草坪基本无杂草、无空秃，护栏等防护设施完好美观；草坪保持整洁，不得有石块、果壳纸屑及其它垃圾。</w:t>
      </w:r>
    </w:p>
    <w:p>
      <w:pPr>
        <w:snapToGrid w:val="0"/>
        <w:spacing w:line="400" w:lineRule="atLeast"/>
        <w:ind w:firstLine="472" w:firstLineChars="196"/>
        <w:rPr>
          <w:rFonts w:ascii="宋体" w:hAnsi="宋体"/>
          <w:b/>
          <w:sz w:val="24"/>
        </w:rPr>
      </w:pPr>
      <w:r>
        <w:rPr>
          <w:rFonts w:hint="eastAsia" w:ascii="宋体" w:hAnsi="宋体"/>
          <w:b/>
          <w:sz w:val="24"/>
        </w:rPr>
        <w:t>2、</w:t>
      </w:r>
      <w:r>
        <w:rPr>
          <w:rFonts w:ascii="宋体" w:hAnsi="宋体"/>
          <w:b/>
          <w:sz w:val="24"/>
        </w:rPr>
        <w:t>养护管理其他要求：</w:t>
      </w:r>
    </w:p>
    <w:p>
      <w:pPr>
        <w:snapToGrid w:val="0"/>
        <w:spacing w:line="400" w:lineRule="atLeast"/>
        <w:ind w:firstLine="360" w:firstLineChars="150"/>
        <w:rPr>
          <w:rFonts w:ascii="宋体" w:hAnsi="宋体"/>
          <w:sz w:val="24"/>
        </w:rPr>
      </w:pPr>
      <w:r>
        <w:rPr>
          <w:rFonts w:ascii="宋体" w:hAnsi="宋体"/>
          <w:sz w:val="24"/>
        </w:rPr>
        <w:t>（1）投标方在养护作业中投入的机械设备、人员配置等必须与投标文件中所承诺的数量规格相符合。加强日常作业质量管理，做好作业质量自查日记，按时报送工作报表，一般每月25日前将下月工作计划上报</w:t>
      </w:r>
      <w:r>
        <w:rPr>
          <w:rFonts w:hint="eastAsia" w:ascii="宋体" w:hAnsi="宋体"/>
          <w:sz w:val="24"/>
        </w:rPr>
        <w:t>招标人</w:t>
      </w:r>
      <w:r>
        <w:rPr>
          <w:rFonts w:ascii="宋体" w:hAnsi="宋体"/>
          <w:sz w:val="24"/>
        </w:rPr>
        <w:t>。</w:t>
      </w:r>
    </w:p>
    <w:p>
      <w:pPr>
        <w:snapToGrid w:val="0"/>
        <w:spacing w:line="400" w:lineRule="atLeast"/>
        <w:ind w:firstLine="360" w:firstLineChars="150"/>
        <w:rPr>
          <w:rFonts w:ascii="宋体" w:hAnsi="宋体"/>
          <w:sz w:val="24"/>
        </w:rPr>
      </w:pPr>
      <w:r>
        <w:rPr>
          <w:rFonts w:ascii="宋体" w:hAnsi="宋体"/>
          <w:sz w:val="24"/>
        </w:rPr>
        <w:t>（2）规范管理、文明作业、自觉接受</w:t>
      </w:r>
      <w:r>
        <w:rPr>
          <w:rFonts w:hint="eastAsia" w:ascii="宋体" w:hAnsi="宋体"/>
          <w:sz w:val="24"/>
        </w:rPr>
        <w:t>招标人</w:t>
      </w:r>
      <w:r>
        <w:rPr>
          <w:rFonts w:ascii="宋体" w:hAnsi="宋体"/>
          <w:sz w:val="24"/>
        </w:rPr>
        <w:t>及其上级各部门领导的检查和社会监督，对出现的问题要及时整改。</w:t>
      </w:r>
    </w:p>
    <w:p>
      <w:pPr>
        <w:snapToGrid w:val="0"/>
        <w:spacing w:line="400" w:lineRule="atLeast"/>
        <w:ind w:firstLine="360" w:firstLineChars="150"/>
        <w:rPr>
          <w:rFonts w:ascii="宋体" w:hAnsi="宋体"/>
          <w:sz w:val="24"/>
        </w:rPr>
      </w:pPr>
      <w:r>
        <w:rPr>
          <w:rFonts w:ascii="宋体" w:hAnsi="宋体"/>
          <w:sz w:val="24"/>
        </w:rPr>
        <w:t>（3）作业时应严格遵守交通规则、遵守安全操作规程，作业人员作业时须统一穿戴安全反光背心。加强日常安全生产管理，确保职工人身安全。如遇各种意外事故发生由中标单位自行负责，并依照法律法规妥善处理（事故情况应及时书面告知</w:t>
      </w:r>
      <w:r>
        <w:rPr>
          <w:rFonts w:hint="eastAsia" w:ascii="宋体" w:hAnsi="宋体"/>
          <w:sz w:val="24"/>
        </w:rPr>
        <w:t>招标人</w:t>
      </w:r>
      <w:r>
        <w:rPr>
          <w:rFonts w:ascii="宋体" w:hAnsi="宋体"/>
          <w:sz w:val="24"/>
        </w:rPr>
        <w:t>）。</w:t>
      </w:r>
    </w:p>
    <w:p>
      <w:pPr>
        <w:spacing w:line="400" w:lineRule="atLeast"/>
        <w:ind w:firstLine="360" w:firstLineChars="150"/>
        <w:rPr>
          <w:rFonts w:ascii="宋体" w:hAnsi="宋体"/>
          <w:sz w:val="24"/>
        </w:rPr>
      </w:pPr>
      <w:r>
        <w:rPr>
          <w:rFonts w:ascii="宋体" w:hAnsi="宋体"/>
          <w:sz w:val="24"/>
        </w:rPr>
        <w:t>（4）</w:t>
      </w:r>
      <w:r>
        <w:rPr>
          <w:rFonts w:hint="eastAsia" w:ascii="宋体" w:hAnsi="宋体" w:cs="宋体"/>
          <w:sz w:val="24"/>
        </w:rPr>
        <w:t>①</w:t>
      </w:r>
      <w:r>
        <w:rPr>
          <w:rFonts w:ascii="宋体" w:hAnsi="宋体"/>
          <w:sz w:val="24"/>
        </w:rPr>
        <w:t>对枯死的树木应连同根部在规定时间内挖除，并在挖除后7天内补种完毕，补种苗木的规格、品种和原苗木基本相同，特殊情况无法补种原规格苗木的，需经</w:t>
      </w:r>
      <w:r>
        <w:rPr>
          <w:rFonts w:hint="eastAsia" w:ascii="宋体" w:hAnsi="宋体"/>
          <w:sz w:val="24"/>
        </w:rPr>
        <w:t>招标人</w:t>
      </w:r>
      <w:r>
        <w:rPr>
          <w:rFonts w:ascii="宋体" w:hAnsi="宋体"/>
          <w:sz w:val="24"/>
        </w:rPr>
        <w:t>同意。</w:t>
      </w:r>
      <w:r>
        <w:rPr>
          <w:rFonts w:hint="eastAsia" w:ascii="宋体" w:hAnsi="宋体" w:cs="宋体"/>
          <w:sz w:val="24"/>
        </w:rPr>
        <w:t>②</w:t>
      </w:r>
      <w:r>
        <w:rPr>
          <w:rFonts w:ascii="宋体" w:hAnsi="宋体"/>
          <w:sz w:val="24"/>
        </w:rPr>
        <w:t>建筑废弃物在接到通知后24小时内清理完毕并及时外运。</w:t>
      </w:r>
      <w:r>
        <w:rPr>
          <w:rFonts w:hint="eastAsia" w:ascii="宋体" w:hAnsi="宋体" w:cs="宋体"/>
          <w:sz w:val="24"/>
        </w:rPr>
        <w:t>③</w:t>
      </w:r>
      <w:r>
        <w:rPr>
          <w:rFonts w:ascii="宋体" w:hAnsi="宋体"/>
          <w:sz w:val="24"/>
        </w:rPr>
        <w:t>因养护企业巡查不力，遇到因人为或其它因素造成的苗木损坏，包括因重大活动造成的损坏，养护企业必须无条件在15天内补种完毕。</w:t>
      </w:r>
      <w:r>
        <w:rPr>
          <w:rFonts w:hint="eastAsia" w:ascii="宋体" w:hAnsi="宋体" w:cs="宋体"/>
          <w:sz w:val="24"/>
        </w:rPr>
        <w:t>④</w:t>
      </w:r>
      <w:r>
        <w:rPr>
          <w:rFonts w:ascii="宋体" w:hAnsi="宋体"/>
          <w:sz w:val="24"/>
        </w:rPr>
        <w:t>未经</w:t>
      </w:r>
      <w:r>
        <w:rPr>
          <w:rFonts w:hint="eastAsia" w:ascii="宋体" w:hAnsi="宋体"/>
          <w:sz w:val="24"/>
        </w:rPr>
        <w:t>招标人</w:t>
      </w:r>
      <w:r>
        <w:rPr>
          <w:rFonts w:ascii="宋体" w:hAnsi="宋体"/>
          <w:sz w:val="24"/>
        </w:rPr>
        <w:t>同意，中标单位不得擅自挖掘毁坏苗木，一经发现，责令整改，通报批评，情节严重的，终止合同。</w:t>
      </w:r>
    </w:p>
    <w:p>
      <w:pPr>
        <w:spacing w:line="400" w:lineRule="atLeast"/>
        <w:ind w:firstLine="360" w:firstLineChars="150"/>
        <w:rPr>
          <w:rFonts w:ascii="宋体" w:hAnsi="宋体"/>
          <w:sz w:val="24"/>
        </w:rPr>
      </w:pPr>
      <w:r>
        <w:rPr>
          <w:rFonts w:ascii="宋体" w:hAnsi="宋体"/>
          <w:sz w:val="24"/>
        </w:rPr>
        <w:t>（5）制定全年及每月绿地养护工作计划，主要包括绿地的各类养护措施（如施肥、修剪、病虫害防治、植物浇水等）、养护质量及安全保证、养护应急管理预案（抗旱、抗涝、抗台、抗寒、抗雪等）、重点技术措施等，并于中标后及时上报</w:t>
      </w:r>
      <w:r>
        <w:rPr>
          <w:rFonts w:hint="eastAsia" w:ascii="宋体" w:hAnsi="宋体"/>
          <w:sz w:val="24"/>
        </w:rPr>
        <w:t>招标人</w:t>
      </w:r>
      <w:r>
        <w:rPr>
          <w:rFonts w:ascii="宋体" w:hAnsi="宋体"/>
          <w:sz w:val="24"/>
        </w:rPr>
        <w:t>。安排养护管理力量，制定劳动力计划表，做好突击性工作的应急安排等，落实专职养护人员名单，养护管理责任人名单。制定时花调换全年计划，包括图案设计方案、花卉品种、调换时间、养护管理等。</w:t>
      </w:r>
    </w:p>
    <w:p>
      <w:pPr>
        <w:spacing w:line="400" w:lineRule="atLeast"/>
        <w:ind w:firstLine="360" w:firstLineChars="150"/>
        <w:rPr>
          <w:rFonts w:ascii="宋体" w:hAnsi="宋体"/>
          <w:sz w:val="24"/>
        </w:rPr>
      </w:pPr>
      <w:r>
        <w:rPr>
          <w:rFonts w:ascii="宋体" w:hAnsi="宋体"/>
          <w:sz w:val="24"/>
        </w:rPr>
        <w:t>（</w:t>
      </w:r>
      <w:r>
        <w:rPr>
          <w:rFonts w:hint="eastAsia" w:ascii="宋体" w:hAnsi="宋体"/>
          <w:sz w:val="24"/>
        </w:rPr>
        <w:t>6</w:t>
      </w:r>
      <w:r>
        <w:rPr>
          <w:rFonts w:ascii="宋体" w:hAnsi="宋体"/>
          <w:sz w:val="24"/>
        </w:rPr>
        <w:t>）加强绿化养护应急响应管理工作，具体要求参照《杭州市城区绿化防台树木支撑工作方案》。</w:t>
      </w:r>
    </w:p>
    <w:p>
      <w:pPr>
        <w:spacing w:line="400" w:lineRule="atLeast"/>
        <w:ind w:firstLine="480"/>
        <w:rPr>
          <w:rFonts w:ascii="宋体" w:hAnsi="宋体"/>
          <w:sz w:val="24"/>
        </w:rPr>
      </w:pPr>
      <w:r>
        <w:rPr>
          <w:rFonts w:hint="eastAsia" w:ascii="宋体" w:hAnsi="宋体" w:cs="宋体"/>
          <w:sz w:val="24"/>
        </w:rPr>
        <w:t>①</w:t>
      </w:r>
      <w:r>
        <w:rPr>
          <w:rFonts w:ascii="宋体" w:hAnsi="宋体"/>
          <w:sz w:val="24"/>
        </w:rPr>
        <w:t>制定灾害性天气应急预案，建立应急救灾队伍，将应急预案和人员名单上报</w:t>
      </w:r>
      <w:r>
        <w:rPr>
          <w:rFonts w:hint="eastAsia" w:ascii="宋体" w:hAnsi="宋体"/>
          <w:sz w:val="24"/>
        </w:rPr>
        <w:t>招标人</w:t>
      </w:r>
      <w:r>
        <w:rPr>
          <w:rFonts w:ascii="宋体" w:hAnsi="宋体"/>
          <w:sz w:val="24"/>
        </w:rPr>
        <w:t>备案。</w:t>
      </w:r>
    </w:p>
    <w:p>
      <w:pPr>
        <w:spacing w:line="400" w:lineRule="atLeast"/>
        <w:ind w:firstLine="480"/>
        <w:rPr>
          <w:rFonts w:ascii="宋体" w:hAnsi="宋体"/>
          <w:sz w:val="24"/>
        </w:rPr>
      </w:pPr>
      <w:r>
        <w:rPr>
          <w:rFonts w:hint="eastAsia" w:ascii="宋体" w:hAnsi="宋体" w:cs="宋体"/>
          <w:sz w:val="24"/>
        </w:rPr>
        <w:t>②</w:t>
      </w:r>
      <w:r>
        <w:rPr>
          <w:rFonts w:ascii="宋体" w:hAnsi="宋体"/>
          <w:sz w:val="24"/>
        </w:rPr>
        <w:t>建立应急备货制，备货的内容有：抗旱、抗涝、抗台、抗寒、抗雪等物资（快速支撑、钢管、毛竹、水泵、遮阴网、草包等），快速支撑钢管只能做为一部分应急物资储备，不是唯一的抗台应急物资。中标单位必须采购</w:t>
      </w:r>
      <w:r>
        <w:rPr>
          <w:rFonts w:hint="eastAsia" w:ascii="宋体" w:hAnsi="宋体"/>
          <w:sz w:val="24"/>
        </w:rPr>
        <w:t>1</w:t>
      </w:r>
      <w:r>
        <w:rPr>
          <w:rFonts w:ascii="宋体" w:hAnsi="宋体"/>
          <w:sz w:val="24"/>
        </w:rPr>
        <w:t>00套大型乔木快速支撑和</w:t>
      </w:r>
      <w:r>
        <w:rPr>
          <w:rFonts w:hint="eastAsia" w:ascii="宋体" w:hAnsi="宋体"/>
          <w:sz w:val="24"/>
        </w:rPr>
        <w:t>1</w:t>
      </w:r>
      <w:r>
        <w:rPr>
          <w:rFonts w:ascii="宋体" w:hAnsi="宋体"/>
          <w:sz w:val="24"/>
        </w:rPr>
        <w:t>00件带扣紧束带（具体规格见采购需求附表）。大型乔木快速支撑所有权归</w:t>
      </w:r>
      <w:r>
        <w:rPr>
          <w:rFonts w:hint="eastAsia" w:ascii="宋体" w:hAnsi="宋体"/>
          <w:sz w:val="24"/>
        </w:rPr>
        <w:t>招标人</w:t>
      </w:r>
      <w:r>
        <w:rPr>
          <w:rFonts w:ascii="宋体" w:hAnsi="宋体"/>
          <w:sz w:val="24"/>
        </w:rPr>
        <w:t>，并交由</w:t>
      </w:r>
      <w:r>
        <w:rPr>
          <w:rFonts w:hint="eastAsia" w:ascii="宋体" w:hAnsi="宋体"/>
          <w:sz w:val="24"/>
        </w:rPr>
        <w:t>招标人</w:t>
      </w:r>
      <w:r>
        <w:rPr>
          <w:rFonts w:ascii="宋体" w:hAnsi="宋体"/>
          <w:sz w:val="24"/>
        </w:rPr>
        <w:t>仓库集中存放与管理。</w:t>
      </w:r>
    </w:p>
    <w:p>
      <w:pPr>
        <w:spacing w:line="400" w:lineRule="atLeast"/>
        <w:ind w:firstLine="480" w:firstLineChars="200"/>
        <w:rPr>
          <w:rFonts w:ascii="宋体" w:hAnsi="宋体"/>
          <w:sz w:val="24"/>
        </w:rPr>
      </w:pPr>
      <w:r>
        <w:rPr>
          <w:rFonts w:hint="eastAsia" w:ascii="宋体" w:hAnsi="宋体" w:cs="宋体"/>
          <w:sz w:val="24"/>
        </w:rPr>
        <w:t>③</w:t>
      </w:r>
      <w:r>
        <w:rPr>
          <w:rFonts w:ascii="宋体" w:hAnsi="宋体"/>
          <w:sz w:val="24"/>
        </w:rPr>
        <w:t>遇灾害性天气，听从</w:t>
      </w:r>
      <w:r>
        <w:rPr>
          <w:rFonts w:hint="eastAsia" w:ascii="宋体" w:hAnsi="宋体"/>
          <w:sz w:val="24"/>
        </w:rPr>
        <w:t>招标人</w:t>
      </w:r>
      <w:r>
        <w:rPr>
          <w:rFonts w:ascii="宋体" w:hAnsi="宋体"/>
          <w:sz w:val="24"/>
        </w:rPr>
        <w:t>统一指挥，及时组织人员夏季抗旱、抗台，冬季遇积雪必须及时组织人员进行抗雪。遇到树木斜倒时，根据</w:t>
      </w:r>
      <w:r>
        <w:rPr>
          <w:rFonts w:hint="eastAsia" w:ascii="宋体" w:hAnsi="宋体"/>
          <w:sz w:val="24"/>
        </w:rPr>
        <w:t>招标人</w:t>
      </w:r>
      <w:r>
        <w:rPr>
          <w:rFonts w:ascii="宋体" w:hAnsi="宋体"/>
          <w:sz w:val="24"/>
        </w:rPr>
        <w:t xml:space="preserve">要求，做好清障扶正工作。 </w:t>
      </w:r>
    </w:p>
    <w:p>
      <w:pPr>
        <w:spacing w:line="400" w:lineRule="atLeast"/>
        <w:ind w:firstLine="480" w:firstLineChars="200"/>
        <w:rPr>
          <w:rFonts w:ascii="宋体" w:hAnsi="宋体"/>
          <w:sz w:val="24"/>
        </w:rPr>
      </w:pPr>
      <w:r>
        <w:rPr>
          <w:rFonts w:hint="eastAsia" w:ascii="宋体" w:hAnsi="宋体" w:cs="宋体"/>
          <w:sz w:val="24"/>
        </w:rPr>
        <w:t>④</w:t>
      </w:r>
      <w:r>
        <w:rPr>
          <w:rFonts w:ascii="宋体" w:hAnsi="宋体"/>
          <w:sz w:val="24"/>
        </w:rPr>
        <w:t>做好防台树木支撑工作，在市气象台发出台风预警信号以后，立即做好树木支撑工作。</w:t>
      </w:r>
    </w:p>
    <w:p>
      <w:pPr>
        <w:snapToGrid w:val="0"/>
        <w:spacing w:line="400" w:lineRule="atLeast"/>
        <w:ind w:firstLine="360" w:firstLineChars="150"/>
        <w:rPr>
          <w:rFonts w:ascii="宋体" w:hAnsi="宋体"/>
          <w:sz w:val="24"/>
        </w:rPr>
      </w:pPr>
      <w:r>
        <w:rPr>
          <w:rFonts w:ascii="宋体" w:hAnsi="宋体"/>
          <w:sz w:val="24"/>
        </w:rPr>
        <w:t>（</w:t>
      </w:r>
      <w:r>
        <w:rPr>
          <w:rFonts w:hint="eastAsia" w:ascii="宋体" w:hAnsi="宋体"/>
          <w:sz w:val="24"/>
        </w:rPr>
        <w:t>7</w:t>
      </w:r>
      <w:r>
        <w:rPr>
          <w:rFonts w:ascii="宋体" w:hAnsi="宋体"/>
          <w:sz w:val="24"/>
        </w:rPr>
        <w:t>）中标单位根据</w:t>
      </w:r>
      <w:r>
        <w:rPr>
          <w:rFonts w:hint="eastAsia" w:ascii="宋体" w:hAnsi="宋体"/>
          <w:sz w:val="24"/>
        </w:rPr>
        <w:t>招标人</w:t>
      </w:r>
      <w:r>
        <w:rPr>
          <w:rFonts w:ascii="宋体" w:hAnsi="宋体"/>
          <w:sz w:val="24"/>
        </w:rPr>
        <w:t>通知要求，做好各类“迎检”和“创建”准备工作。</w:t>
      </w:r>
    </w:p>
    <w:p>
      <w:pPr>
        <w:spacing w:line="400" w:lineRule="atLeast"/>
        <w:ind w:firstLine="360" w:firstLineChars="150"/>
        <w:rPr>
          <w:rFonts w:ascii="宋体" w:hAnsi="宋体"/>
          <w:sz w:val="24"/>
        </w:rPr>
      </w:pPr>
      <w:r>
        <w:rPr>
          <w:rFonts w:ascii="宋体" w:hAnsi="宋体"/>
          <w:sz w:val="24"/>
        </w:rPr>
        <w:t>（</w:t>
      </w:r>
      <w:r>
        <w:rPr>
          <w:rFonts w:hint="eastAsia" w:ascii="宋体" w:hAnsi="宋体"/>
          <w:sz w:val="24"/>
        </w:rPr>
        <w:t>8</w:t>
      </w:r>
      <w:r>
        <w:rPr>
          <w:rFonts w:ascii="宋体" w:hAnsi="宋体"/>
          <w:sz w:val="24"/>
        </w:rPr>
        <w:t>）经过园林绿化管理部门批准的绿地内挖掘及占用绿地时，中标单位应予以积极配合，复种后的绿地应由中标单位负责正常养护。</w:t>
      </w:r>
    </w:p>
    <w:p>
      <w:pPr>
        <w:spacing w:line="400" w:lineRule="atLeast"/>
        <w:ind w:firstLine="360" w:firstLineChars="150"/>
        <w:rPr>
          <w:rFonts w:ascii="宋体" w:hAnsi="宋体"/>
          <w:sz w:val="24"/>
        </w:rPr>
      </w:pPr>
      <w:r>
        <w:rPr>
          <w:rFonts w:ascii="宋体" w:hAnsi="宋体"/>
          <w:sz w:val="24"/>
        </w:rPr>
        <w:t>（</w:t>
      </w:r>
      <w:r>
        <w:rPr>
          <w:rFonts w:hint="eastAsia" w:ascii="宋体" w:hAnsi="宋体"/>
          <w:sz w:val="24"/>
        </w:rPr>
        <w:t>9</w:t>
      </w:r>
      <w:r>
        <w:rPr>
          <w:rFonts w:ascii="宋体" w:hAnsi="宋体"/>
          <w:sz w:val="24"/>
        </w:rPr>
        <w:t>）绿化养护期内产生的各种的垃圾必须进入</w:t>
      </w:r>
      <w:r>
        <w:rPr>
          <w:rFonts w:hint="eastAsia" w:ascii="宋体" w:hAnsi="宋体"/>
          <w:sz w:val="24"/>
        </w:rPr>
        <w:t>符合要求的垃圾处理场所</w:t>
      </w:r>
      <w:r>
        <w:rPr>
          <w:rFonts w:ascii="宋体" w:hAnsi="宋体"/>
          <w:sz w:val="24"/>
        </w:rPr>
        <w:t>，处理产生</w:t>
      </w:r>
      <w:r>
        <w:rPr>
          <w:rFonts w:hint="eastAsia" w:ascii="宋体" w:hAnsi="宋体"/>
          <w:sz w:val="24"/>
        </w:rPr>
        <w:t>的</w:t>
      </w:r>
      <w:r>
        <w:rPr>
          <w:rFonts w:ascii="宋体" w:hAnsi="宋体"/>
          <w:sz w:val="24"/>
        </w:rPr>
        <w:t>费用由中标单位负责。</w:t>
      </w:r>
    </w:p>
    <w:p>
      <w:pPr>
        <w:pStyle w:val="8"/>
        <w:spacing w:line="400" w:lineRule="atLeast"/>
        <w:ind w:firstLine="352" w:firstLineChars="147"/>
      </w:pPr>
      <w:r>
        <w:t>（1</w:t>
      </w:r>
      <w:r>
        <w:rPr>
          <w:rFonts w:hint="eastAsia"/>
        </w:rPr>
        <w:t>0</w:t>
      </w:r>
      <w:r>
        <w:t>）中标单位在养护管理期间，由于养管不力，</w:t>
      </w:r>
      <w:r>
        <w:rPr>
          <w:rFonts w:hint="eastAsia"/>
        </w:rPr>
        <w:t>招标人</w:t>
      </w:r>
      <w:r>
        <w:t>有权终止合同，并由中标单位承担一切责任。</w:t>
      </w:r>
    </w:p>
    <w:p>
      <w:pPr>
        <w:spacing w:line="400" w:lineRule="atLeast"/>
        <w:ind w:firstLine="360" w:firstLineChars="150"/>
        <w:rPr>
          <w:rFonts w:ascii="宋体" w:hAnsi="宋体"/>
          <w:sz w:val="24"/>
        </w:rPr>
      </w:pPr>
      <w:r>
        <w:rPr>
          <w:rFonts w:ascii="宋体" w:hAnsi="宋体"/>
          <w:sz w:val="24"/>
        </w:rPr>
        <w:t>（1</w:t>
      </w:r>
      <w:r>
        <w:rPr>
          <w:rFonts w:hint="eastAsia" w:ascii="宋体" w:hAnsi="宋体"/>
          <w:sz w:val="24"/>
        </w:rPr>
        <w:t>1</w:t>
      </w:r>
      <w:r>
        <w:rPr>
          <w:rFonts w:ascii="宋体" w:hAnsi="宋体"/>
          <w:sz w:val="24"/>
        </w:rPr>
        <w:t>）养护期限内，</w:t>
      </w:r>
      <w:r>
        <w:rPr>
          <w:rFonts w:hint="eastAsia" w:ascii="宋体" w:hAnsi="宋体"/>
          <w:sz w:val="24"/>
        </w:rPr>
        <w:t>招标人</w:t>
      </w:r>
      <w:r>
        <w:rPr>
          <w:rFonts w:ascii="宋体" w:hAnsi="宋体"/>
          <w:sz w:val="24"/>
        </w:rPr>
        <w:t>有权直接委托中标单位养护管理本标段3%以下工程量的公共绿地（含新接收公共绿地），</w:t>
      </w:r>
      <w:r>
        <w:rPr>
          <w:rFonts w:hint="eastAsia" w:ascii="宋体" w:hAnsi="宋体"/>
          <w:sz w:val="24"/>
        </w:rPr>
        <w:t>招标人</w:t>
      </w:r>
      <w:r>
        <w:rPr>
          <w:rFonts w:ascii="宋体" w:hAnsi="宋体"/>
          <w:sz w:val="24"/>
        </w:rPr>
        <w:t>不额外增加养护费。</w:t>
      </w:r>
    </w:p>
    <w:p>
      <w:pPr>
        <w:pStyle w:val="2"/>
        <w:ind w:firstLine="0" w:firstLineChars="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firstLine="0" w:firstLineChars="0"/>
      </w:pPr>
    </w:p>
    <w:p/>
    <w:p>
      <w:pPr>
        <w:pStyle w:val="2"/>
      </w:pPr>
    </w:p>
    <w:p/>
    <w:p>
      <w:pPr>
        <w:pStyle w:val="2"/>
      </w:pPr>
    </w:p>
    <w:p>
      <w:pPr>
        <w:spacing w:line="59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乔司街道公共绿地管理考核评分细则</w:t>
      </w:r>
    </w:p>
    <w:p>
      <w:pPr>
        <w:spacing w:line="590" w:lineRule="exact"/>
        <w:jc w:val="center"/>
        <w:rPr>
          <w:rFonts w:asciiTheme="minorEastAsia" w:hAnsiTheme="minorEastAsia" w:eastAsiaTheme="minorEastAsia"/>
          <w:sz w:val="44"/>
          <w:szCs w:val="44"/>
        </w:rPr>
      </w:pPr>
    </w:p>
    <w:p>
      <w:pPr>
        <w:rPr>
          <w:rFonts w:asciiTheme="minorEastAsia" w:hAnsiTheme="minorEastAsia" w:eastAsiaTheme="minorEastAsia"/>
          <w:b/>
          <w:sz w:val="24"/>
        </w:rPr>
      </w:pPr>
      <w:r>
        <w:rPr>
          <w:rFonts w:hint="eastAsia" w:asciiTheme="minorEastAsia" w:hAnsiTheme="minorEastAsia" w:eastAsiaTheme="minorEastAsia"/>
          <w:b/>
          <w:sz w:val="24"/>
        </w:rPr>
        <w:t>考核对象：               考核时间：            考评得分:</w:t>
      </w:r>
    </w:p>
    <w:tbl>
      <w:tblPr>
        <w:tblStyle w:val="66"/>
        <w:tblpPr w:leftFromText="180" w:rightFromText="180" w:vertAnchor="text" w:horzAnchor="page" w:tblpX="1521" w:tblpY="241"/>
        <w:tblOverlap w:val="never"/>
        <w:tblW w:w="0" w:type="auto"/>
        <w:tblInd w:w="0" w:type="dxa"/>
        <w:tblLayout w:type="fixed"/>
        <w:tblCellMar>
          <w:top w:w="0" w:type="dxa"/>
          <w:left w:w="108" w:type="dxa"/>
          <w:bottom w:w="0" w:type="dxa"/>
          <w:right w:w="108" w:type="dxa"/>
        </w:tblCellMar>
      </w:tblPr>
      <w:tblGrid>
        <w:gridCol w:w="900"/>
        <w:gridCol w:w="7435"/>
        <w:gridCol w:w="772"/>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b/>
                <w:kern w:val="0"/>
                <w:szCs w:val="21"/>
              </w:rPr>
            </w:pPr>
            <w:r>
              <w:rPr>
                <w:rFonts w:hint="eastAsia" w:ascii="仿宋_GB2312" w:eastAsia="仿宋_GB2312" w:cs="宋体"/>
                <w:b/>
                <w:kern w:val="0"/>
                <w:szCs w:val="21"/>
              </w:rPr>
              <w:t>考核</w:t>
            </w:r>
          </w:p>
          <w:p>
            <w:pPr>
              <w:spacing w:line="320" w:lineRule="exact"/>
              <w:jc w:val="center"/>
              <w:rPr>
                <w:rFonts w:ascii="仿宋_GB2312" w:eastAsia="仿宋_GB2312" w:cs="宋体"/>
                <w:b/>
                <w:kern w:val="0"/>
                <w:szCs w:val="21"/>
              </w:rPr>
            </w:pPr>
            <w:r>
              <w:rPr>
                <w:rFonts w:hint="eastAsia" w:ascii="仿宋_GB2312" w:eastAsia="仿宋_GB2312" w:cs="宋体"/>
                <w:b/>
                <w:kern w:val="0"/>
                <w:szCs w:val="21"/>
              </w:rPr>
              <w:t>项目</w:t>
            </w:r>
          </w:p>
        </w:tc>
        <w:tc>
          <w:tcPr>
            <w:tcW w:w="743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kern w:val="0"/>
                <w:szCs w:val="21"/>
              </w:rPr>
            </w:pPr>
            <w:r>
              <w:rPr>
                <w:rFonts w:hint="eastAsia" w:ascii="仿宋_GB2312" w:eastAsia="仿宋_GB2312" w:cs="宋体"/>
                <w:b/>
                <w:kern w:val="0"/>
                <w:szCs w:val="21"/>
              </w:rPr>
              <w:t>评分细则</w:t>
            </w:r>
          </w:p>
        </w:tc>
        <w:tc>
          <w:tcPr>
            <w:tcW w:w="772"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b/>
                <w:kern w:val="0"/>
                <w:szCs w:val="21"/>
              </w:rPr>
            </w:pPr>
            <w:r>
              <w:rPr>
                <w:rFonts w:hint="eastAsia" w:ascii="仿宋_GB2312" w:eastAsia="仿宋_GB2312" w:cs="宋体"/>
                <w:b/>
                <w:kern w:val="0"/>
                <w:szCs w:val="21"/>
              </w:rPr>
              <w:t>考核</w:t>
            </w:r>
          </w:p>
          <w:p>
            <w:pPr>
              <w:spacing w:line="320" w:lineRule="exact"/>
              <w:jc w:val="center"/>
              <w:rPr>
                <w:rFonts w:ascii="仿宋_GB2312" w:eastAsia="仿宋_GB2312" w:cs="宋体"/>
                <w:b/>
                <w:kern w:val="0"/>
                <w:szCs w:val="21"/>
              </w:rPr>
            </w:pPr>
            <w:r>
              <w:rPr>
                <w:rFonts w:hint="eastAsia" w:ascii="仿宋_GB2312" w:eastAsia="仿宋_GB2312" w:cs="宋体"/>
                <w:b/>
                <w:kern w:val="0"/>
                <w:szCs w:val="21"/>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vAlign w:val="center"/>
          </w:tcPr>
          <w:p>
            <w:pPr>
              <w:spacing w:line="320" w:lineRule="exact"/>
              <w:jc w:val="center"/>
              <w:rPr>
                <w:rFonts w:ascii="仿宋_GB2312" w:eastAsia="仿宋_GB2312" w:cs="宋体"/>
                <w:kern w:val="0"/>
                <w:szCs w:val="21"/>
              </w:rPr>
            </w:pPr>
            <w:r>
              <w:rPr>
                <w:rFonts w:hint="eastAsia" w:ascii="仿宋_GB2312" w:eastAsia="仿宋_GB2312" w:cs="宋体"/>
                <w:kern w:val="0"/>
                <w:szCs w:val="21"/>
              </w:rPr>
              <w:t>植</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物</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基</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本</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养</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护</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60分</w:t>
            </w: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行道树和乔木死株、缺株，每处扣3分。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行道树和乔木支撑不规范、支撑架倒塌、断桩、坏桩、树木倾斜严重，每处扣2分。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行道树和乔木病虫枝、枯枝、伤损枝、徒长枝超过养护标准的，未疏枝、树皮开裂、孔洞未及时填补，每处扣2分；修剪不规范造成树木严重受损的，每处扣3分，沿线出现严重修剪问题每次扣5-10分。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行道树和乔木长势不佳、偏冠严重、无冠幅，每处扣2分；树木长势较弱，黄叶、焦叶、落叶株数较多，每处扣2分。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树穴土壤高于侧石、板结、填充物缺失，每处扣2分；0.5平方米以内树穴裸露扣2分，超出0.5平方米每处扣3分。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绿篱和灌木出现死株、缺株、混种、小道、杂株返祖的、绿植倒伏，每处2分；0.5平方米以内黄土裸露每处扣2分，超出0.5平方米每处扣3分。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绿篱和灌木修剪不规范、不平整、窜条、高度影响交通视线的，每处扣2-3分。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草坪高度超出养护标准、草坪边缘不清淅、草坪空秃、草坪覆盖率低的，每处扣1分，0.5平方米以内黄土裸露的，每处扣2分，超出0.5平方米每处扣3分。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绿地内杂草丛生、黄土裸露，养护标准不达标的，每处扣2分。</w:t>
            </w:r>
            <w:r>
              <w:rPr>
                <w:rFonts w:ascii="仿宋_GB2312" w:eastAsia="仿宋_GB2312" w:cs="宋体"/>
                <w:kern w:val="0"/>
                <w:szCs w:val="21"/>
              </w:rPr>
              <w:t xml:space="preserve"> </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花坛花箱内时花缺株、倒伏、枯枝残花、杂草垃圾等每处扣2分。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90" w:hRule="atLeast"/>
        </w:trPr>
        <w:tc>
          <w:tcPr>
            <w:tcW w:w="900" w:type="dxa"/>
            <w:vMerge w:val="continue"/>
            <w:tcBorders>
              <w:left w:val="single" w:color="auto" w:sz="4" w:space="0"/>
              <w:bottom w:val="single" w:color="000000"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绿化补种不规范、以及绿地养护出现其他问题的每处扣2分;管养区域内绿地失管每处扣</w:t>
            </w:r>
            <w:r>
              <w:rPr>
                <w:rFonts w:ascii="仿宋_GB2312" w:eastAsia="仿宋_GB2312" w:cs="宋体"/>
                <w:kern w:val="0"/>
                <w:szCs w:val="21"/>
              </w:rPr>
              <w:t>5-10</w:t>
            </w:r>
            <w:r>
              <w:rPr>
                <w:rFonts w:hint="eastAsia" w:ascii="仿宋_GB2312" w:eastAsia="仿宋_GB2312" w:cs="宋体"/>
                <w:kern w:val="0"/>
                <w:szCs w:val="21"/>
              </w:rPr>
              <w:t>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rFonts w:ascii="仿宋_GB2312" w:eastAsia="仿宋_GB2312" w:cs="宋体"/>
                <w:kern w:val="0"/>
                <w:szCs w:val="21"/>
              </w:rPr>
            </w:pPr>
            <w:r>
              <w:rPr>
                <w:rFonts w:hint="eastAsia" w:ascii="仿宋_GB2312" w:eastAsia="仿宋_GB2312" w:cs="宋体"/>
                <w:kern w:val="0"/>
                <w:szCs w:val="21"/>
              </w:rPr>
              <w:t>病</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虫</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害</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防</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治</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10分</w:t>
            </w: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b/>
                <w:bCs/>
                <w:kern w:val="0"/>
                <w:szCs w:val="21"/>
              </w:rPr>
            </w:pPr>
            <w:r>
              <w:rPr>
                <w:rFonts w:hint="eastAsia" w:ascii="仿宋_GB2312" w:eastAsia="仿宋_GB2312" w:cs="宋体"/>
                <w:kern w:val="0"/>
                <w:szCs w:val="21"/>
              </w:rPr>
              <w:t>发生病虫害每处扣2分</w:t>
            </w:r>
            <w:r>
              <w:rPr>
                <w:rFonts w:hint="eastAsia" w:ascii="仿宋_GB2312" w:eastAsia="仿宋_GB2312" w:cs="宋体"/>
                <w:b/>
                <w:bCs/>
                <w:kern w:val="0"/>
                <w:szCs w:val="21"/>
              </w:rPr>
              <w:t>，</w:t>
            </w:r>
            <w:r>
              <w:rPr>
                <w:rFonts w:hint="eastAsia" w:ascii="仿宋_GB2312" w:eastAsia="仿宋_GB2312" w:cs="宋体"/>
                <w:kern w:val="0"/>
                <w:szCs w:val="21"/>
              </w:rPr>
              <w:t>大面积爆发扣5分</w:t>
            </w:r>
            <w:r>
              <w:rPr>
                <w:rFonts w:hint="eastAsia" w:ascii="仿宋_GB2312" w:eastAsia="仿宋_GB2312" w:cs="宋体"/>
                <w:b/>
                <w:bCs/>
                <w:kern w:val="0"/>
                <w:szCs w:val="21"/>
              </w:rPr>
              <w:t>。</w:t>
            </w:r>
          </w:p>
          <w:p>
            <w:pPr>
              <w:widowControl/>
              <w:jc w:val="left"/>
              <w:rPr>
                <w:rFonts w:ascii="仿宋_GB2312" w:eastAsia="仿宋_GB2312" w:cs="宋体"/>
                <w:b/>
                <w:bCs/>
                <w:kern w:val="0"/>
                <w:szCs w:val="21"/>
              </w:rPr>
            </w:pP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发现病虫害未及时进行防治措施的每处扣3分。病虫害防治措施不到位的每处扣3分。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食叶性害虫危害树木，每处扣2分。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发现活蛀虫和活卵，每处扣2分。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r>
              <w:rPr>
                <w:rFonts w:hint="eastAsia" w:ascii="仿宋_GB2312" w:eastAsia="仿宋_GB2312" w:cs="宋体"/>
                <w:kern w:val="0"/>
                <w:szCs w:val="21"/>
              </w:rPr>
              <w:t>绿化</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设施</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10分</w:t>
            </w: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花箱、花坛、树穴破损、缺失扣</w:t>
            </w:r>
            <w:r>
              <w:rPr>
                <w:rFonts w:ascii="仿宋_GB2312" w:eastAsia="仿宋_GB2312" w:cs="宋体"/>
                <w:kern w:val="0"/>
                <w:szCs w:val="21"/>
              </w:rPr>
              <w:t>2</w:t>
            </w:r>
            <w:r>
              <w:rPr>
                <w:rFonts w:hint="eastAsia" w:ascii="仿宋_GB2312" w:eastAsia="仿宋_GB2312" w:cs="宋体"/>
                <w:kern w:val="0"/>
                <w:szCs w:val="21"/>
              </w:rPr>
              <w:t>分，其他设施缺失扣2分。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公园及绿地内果壳箱有污迹、破损，箱内垃圾未日产日清的，每处扣2分。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设施有污迹、破损，金属构件设施有锈斑，油漆剥落等现象的每处扣2分，公园设施存在明显安全隐患，未采取安全措施的，每处扣5分。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p>
          <w:p>
            <w:pPr>
              <w:spacing w:line="320" w:lineRule="exact"/>
              <w:jc w:val="center"/>
              <w:rPr>
                <w:rFonts w:ascii="仿宋_GB2312" w:eastAsia="仿宋_GB2312" w:cs="宋体"/>
                <w:kern w:val="0"/>
                <w:szCs w:val="21"/>
              </w:rPr>
            </w:pPr>
          </w:p>
          <w:p>
            <w:pPr>
              <w:spacing w:line="320" w:lineRule="exact"/>
              <w:jc w:val="center"/>
              <w:rPr>
                <w:rFonts w:ascii="仿宋_GB2312" w:eastAsia="仿宋_GB2312" w:cs="宋体"/>
                <w:kern w:val="0"/>
                <w:szCs w:val="21"/>
              </w:rPr>
            </w:pPr>
            <w:r>
              <w:rPr>
                <w:rFonts w:hint="eastAsia" w:ascii="仿宋_GB2312" w:eastAsia="仿宋_GB2312" w:cs="宋体"/>
                <w:kern w:val="0"/>
                <w:szCs w:val="21"/>
              </w:rPr>
              <w:t>卫生及</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管理</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10分</w:t>
            </w:r>
          </w:p>
          <w:p>
            <w:pPr>
              <w:spacing w:line="320" w:lineRule="exact"/>
              <w:jc w:val="center"/>
              <w:rPr>
                <w:rFonts w:ascii="仿宋_GB2312" w:eastAsia="仿宋_GB2312" w:cs="宋体"/>
                <w:kern w:val="0"/>
                <w:szCs w:val="21"/>
              </w:rPr>
            </w:pPr>
          </w:p>
        </w:tc>
        <w:tc>
          <w:tcPr>
            <w:tcW w:w="74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树上及绿带内有垃圾袋、零乱草绳、钉子、扎缚铁丝、电线、堆物、</w:t>
            </w:r>
            <w:r>
              <w:rPr>
                <w:rFonts w:hint="eastAsia" w:ascii="仿宋_GB2312" w:cs="宋体"/>
                <w:kern w:val="0"/>
                <w:szCs w:val="21"/>
              </w:rPr>
              <w:t>渣土积泥</w:t>
            </w:r>
            <w:r>
              <w:rPr>
                <w:rFonts w:hint="eastAsia" w:ascii="仿宋_GB2312" w:eastAsia="仿宋_GB2312" w:cs="宋体"/>
                <w:kern w:val="0"/>
                <w:szCs w:val="21"/>
              </w:rPr>
              <w:t>等，每处扣2分。</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绿地内有明显枯叶堆积、白色垃圾、石块、果壳等杂物的每处扣2分。</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乔木及绿带积尘明显每处扣2分，沿线绿带色块叶面积灰严重的每处扣3-5分。</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管养人员不到位，养护人员上路作业不穿工作服，不文明作业的，每发现</w:t>
            </w:r>
            <w:r>
              <w:rPr>
                <w:rFonts w:ascii="仿宋_GB2312" w:eastAsia="仿宋_GB2312" w:cs="宋体"/>
                <w:kern w:val="0"/>
                <w:szCs w:val="21"/>
              </w:rPr>
              <w:t>1</w:t>
            </w:r>
            <w:r>
              <w:rPr>
                <w:rFonts w:hint="eastAsia" w:ascii="仿宋_GB2312" w:eastAsia="仿宋_GB2312" w:cs="宋体"/>
                <w:kern w:val="0"/>
                <w:szCs w:val="21"/>
              </w:rPr>
              <w:t>次扣3分；应急结束，因应急设施、设备未拆除影响道路通行安全的，每处扣2分，</w:t>
            </w:r>
            <w:r>
              <w:rPr>
                <w:rFonts w:hint="eastAsia" w:ascii="仿宋_GB2312" w:eastAsia="仿宋_GB2312"/>
                <w:szCs w:val="21"/>
              </w:rPr>
              <w:t>不文明施工，无围护扣5分、围护不到位扣3分</w:t>
            </w:r>
            <w:r>
              <w:rPr>
                <w:rFonts w:hint="eastAsia" w:ascii="仿宋_GB2312" w:eastAsia="仿宋_GB2312" w:cs="宋体"/>
                <w:kern w:val="0"/>
                <w:szCs w:val="21"/>
              </w:rPr>
              <w:t>。</w:t>
            </w:r>
          </w:p>
        </w:tc>
        <w:tc>
          <w:tcPr>
            <w:tcW w:w="772"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抗雪防冻、防寒保暖、抗旱保绿、防高温等应急工作不到位的每处扣5-10分。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szCs w:val="21"/>
              </w:rPr>
              <w:t>未经审批私自开挖绿地或未按绿化养护规范要求恢复等每处扣3分。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540" w:hRule="atLeast"/>
        </w:trPr>
        <w:tc>
          <w:tcPr>
            <w:tcW w:w="900" w:type="dxa"/>
            <w:tcBorders>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r>
              <w:rPr>
                <w:rFonts w:hint="eastAsia" w:ascii="仿宋_GB2312" w:eastAsia="仿宋_GB2312" w:cs="宋体"/>
                <w:kern w:val="0"/>
                <w:szCs w:val="21"/>
              </w:rPr>
              <w:t>整体</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景观</w:t>
            </w:r>
          </w:p>
          <w:p>
            <w:pPr>
              <w:spacing w:line="320" w:lineRule="exact"/>
              <w:jc w:val="center"/>
              <w:rPr>
                <w:rFonts w:ascii="仿宋_GB2312" w:eastAsia="仿宋_GB2312" w:cs="宋体"/>
                <w:kern w:val="0"/>
                <w:szCs w:val="21"/>
              </w:rPr>
            </w:pPr>
            <w:r>
              <w:rPr>
                <w:rFonts w:hint="eastAsia" w:ascii="仿宋_GB2312" w:eastAsia="仿宋_GB2312" w:cs="宋体"/>
                <w:kern w:val="0"/>
                <w:szCs w:val="21"/>
              </w:rPr>
              <w:t>5分</w:t>
            </w:r>
          </w:p>
        </w:tc>
        <w:tc>
          <w:tcPr>
            <w:tcW w:w="7435" w:type="dxa"/>
            <w:tcBorders>
              <w:top w:val="nil"/>
              <w:left w:val="nil"/>
              <w:bottom w:val="single" w:color="auto" w:sz="4" w:space="0"/>
              <w:right w:val="single" w:color="auto" w:sz="4" w:space="0"/>
            </w:tcBorders>
            <w:vAlign w:val="center"/>
          </w:tcPr>
          <w:p>
            <w:pPr>
              <w:widowControl/>
              <w:jc w:val="left"/>
              <w:rPr>
                <w:rFonts w:ascii="仿宋_GB2312" w:eastAsia="仿宋_GB2312" w:cs="宋体"/>
                <w:kern w:val="0"/>
                <w:szCs w:val="21"/>
              </w:rPr>
            </w:pPr>
            <w:r>
              <w:rPr>
                <w:rFonts w:hint="eastAsia" w:ascii="仿宋_GB2312" w:eastAsia="仿宋_GB2312" w:cs="宋体"/>
                <w:kern w:val="0"/>
                <w:szCs w:val="21"/>
              </w:rPr>
              <w:t>养护不当造成植物季相不分明，色彩不丰富，生长不茂盛，植物群落不完整、无绿带布置等影响整体景观效果的扣5分。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1350" w:hRule="atLeast"/>
        </w:trPr>
        <w:tc>
          <w:tcPr>
            <w:tcW w:w="900"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r>
              <w:rPr>
                <w:rFonts w:hint="eastAsia" w:ascii="仿宋_GB2312" w:eastAsia="仿宋_GB2312" w:cs="宋体"/>
                <w:kern w:val="0"/>
                <w:szCs w:val="21"/>
              </w:rPr>
              <w:t>抄告</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单处理情况及专项台帐检查</w:t>
            </w:r>
          </w:p>
          <w:p>
            <w:pPr>
              <w:spacing w:line="320" w:lineRule="exact"/>
              <w:jc w:val="center"/>
              <w:rPr>
                <w:rFonts w:ascii="仿宋_GB2312" w:eastAsia="仿宋_GB2312" w:cs="宋体"/>
                <w:strike/>
                <w:kern w:val="0"/>
                <w:szCs w:val="21"/>
              </w:rPr>
            </w:pPr>
            <w:r>
              <w:rPr>
                <w:rFonts w:hint="eastAsia" w:ascii="仿宋_GB2312" w:eastAsia="仿宋_GB2312" w:cs="宋体"/>
                <w:kern w:val="0"/>
                <w:szCs w:val="21"/>
              </w:rPr>
              <w:t>5分</w:t>
            </w:r>
          </w:p>
        </w:tc>
        <w:tc>
          <w:tcPr>
            <w:tcW w:w="7435" w:type="dxa"/>
            <w:tcBorders>
              <w:top w:val="nil"/>
              <w:left w:val="nil"/>
              <w:bottom w:val="single" w:color="auto" w:sz="4" w:space="0"/>
              <w:right w:val="single" w:color="auto" w:sz="4" w:space="0"/>
            </w:tcBorders>
            <w:vAlign w:val="center"/>
          </w:tcPr>
          <w:p>
            <w:pPr>
              <w:widowControl/>
              <w:numPr>
                <w:ilvl w:val="0"/>
                <w:numId w:val="3"/>
              </w:numPr>
              <w:adjustRightInd/>
              <w:jc w:val="left"/>
              <w:rPr>
                <w:rFonts w:ascii="仿宋_GB2312" w:eastAsia="仿宋_GB2312" w:cs="宋体"/>
                <w:kern w:val="0"/>
                <w:szCs w:val="21"/>
              </w:rPr>
            </w:pPr>
            <w:r>
              <w:rPr>
                <w:rFonts w:hint="eastAsia" w:ascii="仿宋_GB2312" w:eastAsia="仿宋_GB2312" w:cs="宋体"/>
                <w:kern w:val="0"/>
                <w:szCs w:val="21"/>
              </w:rPr>
              <w:t>市查、区查的</w:t>
            </w:r>
            <w:r>
              <w:rPr>
                <w:rFonts w:hint="eastAsia" w:ascii="仿宋_GB2312" w:eastAsia="仿宋_GB2312"/>
                <w:spacing w:val="-8"/>
                <w:szCs w:val="21"/>
              </w:rPr>
              <w:t>涉及属地管辖内（包括区直部门管养护面积）的</w:t>
            </w:r>
            <w:r>
              <w:rPr>
                <w:rFonts w:hint="eastAsia" w:ascii="仿宋_GB2312" w:eastAsia="仿宋_GB2312" w:cs="宋体"/>
                <w:kern w:val="0"/>
                <w:szCs w:val="21"/>
              </w:rPr>
              <w:t>有责抄告及信访问题二</w:t>
            </w:r>
            <w:r>
              <w:rPr>
                <w:rFonts w:hint="eastAsia" w:ascii="仿宋_GB2312" w:eastAsia="仿宋_GB2312"/>
                <w:spacing w:val="-8"/>
                <w:szCs w:val="21"/>
              </w:rPr>
              <w:t>次抄告每件扣</w:t>
            </w:r>
            <w:r>
              <w:rPr>
                <w:rFonts w:hint="eastAsia" w:ascii="仿宋_GB2312" w:eastAsia="仿宋_GB2312"/>
                <w:szCs w:val="21"/>
              </w:rPr>
              <w:t xml:space="preserve">3分 </w:t>
            </w:r>
            <w:r>
              <w:rPr>
                <w:rFonts w:hint="eastAsia" w:ascii="仿宋_GB2312" w:eastAsia="仿宋_GB2312"/>
                <w:spacing w:val="-8"/>
                <w:szCs w:val="21"/>
              </w:rPr>
              <w:t>，三次及以上抄告扣</w:t>
            </w:r>
            <w:r>
              <w:rPr>
                <w:rFonts w:hint="eastAsia" w:ascii="仿宋_GB2312" w:eastAsia="仿宋_GB2312"/>
                <w:szCs w:val="21"/>
              </w:rPr>
              <w:t>5分</w:t>
            </w:r>
            <w:r>
              <w:rPr>
                <w:rFonts w:hint="eastAsia" w:ascii="仿宋_GB2312" w:eastAsia="仿宋_GB2312"/>
                <w:spacing w:val="-8"/>
                <w:szCs w:val="21"/>
              </w:rPr>
              <w:t>；</w:t>
            </w:r>
            <w:r>
              <w:rPr>
                <w:rFonts w:hint="eastAsia" w:ascii="仿宋_GB2312" w:eastAsia="仿宋_GB2312" w:cs="宋体"/>
                <w:kern w:val="0"/>
                <w:szCs w:val="21"/>
              </w:rPr>
              <w:t>发生区级媒体曝光每件扣</w:t>
            </w:r>
            <w:r>
              <w:rPr>
                <w:rFonts w:hint="eastAsia" w:ascii="仿宋_GB2312" w:eastAsia="仿宋_GB2312"/>
                <w:szCs w:val="21"/>
              </w:rPr>
              <w:t>2分</w:t>
            </w:r>
            <w:r>
              <w:rPr>
                <w:rFonts w:hint="eastAsia" w:ascii="仿宋_GB2312" w:eastAsia="仿宋_GB2312" w:cs="宋体"/>
                <w:kern w:val="0"/>
                <w:szCs w:val="21"/>
              </w:rPr>
              <w:t>，被区级以上领导批示批评的每件</w:t>
            </w:r>
            <w:r>
              <w:rPr>
                <w:rFonts w:hint="eastAsia" w:ascii="仿宋_GB2312" w:eastAsia="仿宋_GB2312"/>
                <w:szCs w:val="21"/>
              </w:rPr>
              <w:t>5分；联系函、抄告单等超时回复或不回复的每次扣3-5分</w:t>
            </w:r>
            <w:r>
              <w:rPr>
                <w:rFonts w:hint="eastAsia" w:ascii="仿宋_GB2312" w:eastAsia="仿宋_GB2312" w:cs="宋体"/>
                <w:kern w:val="0"/>
                <w:szCs w:val="21"/>
              </w:rPr>
              <w:t>。</w:t>
            </w:r>
          </w:p>
          <w:p>
            <w:pPr>
              <w:widowControl/>
              <w:numPr>
                <w:ilvl w:val="0"/>
                <w:numId w:val="4"/>
              </w:numPr>
              <w:adjustRightInd/>
              <w:jc w:val="left"/>
              <w:rPr>
                <w:rFonts w:ascii="仿宋_GB2312" w:eastAsia="仿宋_GB2312" w:cs="宋体"/>
                <w:kern w:val="0"/>
                <w:szCs w:val="21"/>
              </w:rPr>
            </w:pPr>
            <w:r>
              <w:rPr>
                <w:rFonts w:hint="eastAsia" w:ascii="仿宋_GB2312" w:eastAsia="仿宋_GB2312" w:cs="宋体"/>
                <w:kern w:val="0"/>
                <w:szCs w:val="21"/>
              </w:rPr>
              <w:t>绿化巡查台帐及绿化施肥、病虫害防治、植物修剪等专项养护台帐检查</w:t>
            </w:r>
            <w:r>
              <w:rPr>
                <w:rFonts w:hint="eastAsia" w:ascii="仿宋_GB2312" w:eastAsia="仿宋_GB2312"/>
                <w:spacing w:val="-8"/>
                <w:szCs w:val="21"/>
              </w:rPr>
              <w:t>未完成、弄虚作假扣5分。</w:t>
            </w:r>
          </w:p>
        </w:tc>
        <w:tc>
          <w:tcPr>
            <w:tcW w:w="772" w:type="dxa"/>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spacing w:val="-8"/>
                <w:szCs w:val="21"/>
              </w:rPr>
            </w:pPr>
          </w:p>
        </w:tc>
      </w:tr>
      <w:tr>
        <w:tblPrEx>
          <w:tblCellMar>
            <w:top w:w="0" w:type="dxa"/>
            <w:left w:w="108" w:type="dxa"/>
            <w:bottom w:w="0" w:type="dxa"/>
            <w:right w:w="108" w:type="dxa"/>
          </w:tblCellMar>
        </w:tblPrEx>
        <w:trPr>
          <w:trHeight w:val="495" w:hRule="atLeast"/>
        </w:trPr>
        <w:tc>
          <w:tcPr>
            <w:tcW w:w="8335"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Cs w:val="21"/>
              </w:rPr>
            </w:pPr>
            <w:r>
              <w:rPr>
                <w:rFonts w:hint="eastAsia" w:ascii="仿宋_GB2312" w:eastAsia="仿宋_GB2312"/>
                <w:szCs w:val="21"/>
              </w:rPr>
              <w:t>评分合计100分</w:t>
            </w:r>
          </w:p>
        </w:tc>
        <w:tc>
          <w:tcPr>
            <w:tcW w:w="772" w:type="dxa"/>
            <w:tcBorders>
              <w:top w:val="nil"/>
              <w:left w:val="nil"/>
              <w:bottom w:val="single" w:color="auto" w:sz="4" w:space="0"/>
              <w:right w:val="single" w:color="auto" w:sz="4" w:space="0"/>
            </w:tcBorders>
            <w:vAlign w:val="center"/>
          </w:tcPr>
          <w:p>
            <w:pPr>
              <w:widowControl/>
              <w:jc w:val="left"/>
              <w:rPr>
                <w:rFonts w:ascii="仿宋_GB2312" w:eastAsia="仿宋_GB2312"/>
                <w:spacing w:val="-8"/>
                <w:szCs w:val="21"/>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kern w:val="0"/>
                <w:szCs w:val="21"/>
              </w:rPr>
            </w:pPr>
            <w:r>
              <w:rPr>
                <w:rFonts w:hint="eastAsia" w:ascii="仿宋_GB2312" w:eastAsia="仿宋_GB2312" w:cs="宋体"/>
                <w:kern w:val="0"/>
                <w:szCs w:val="21"/>
              </w:rPr>
              <w:t>备注</w:t>
            </w:r>
          </w:p>
        </w:tc>
        <w:tc>
          <w:tcPr>
            <w:tcW w:w="8207" w:type="dxa"/>
            <w:gridSpan w:val="2"/>
            <w:tcBorders>
              <w:top w:val="single" w:color="auto" w:sz="4" w:space="0"/>
              <w:left w:val="nil"/>
              <w:bottom w:val="single" w:color="auto" w:sz="4" w:space="0"/>
              <w:right w:val="single" w:color="000000" w:sz="4" w:space="0"/>
            </w:tcBorders>
            <w:vAlign w:val="center"/>
          </w:tcPr>
          <w:p>
            <w:pPr>
              <w:spacing w:line="320" w:lineRule="exact"/>
              <w:rPr>
                <w:rFonts w:ascii="仿宋_GB2312" w:eastAsia="仿宋_GB2312"/>
                <w:spacing w:val="-8"/>
                <w:szCs w:val="21"/>
              </w:rPr>
            </w:pPr>
            <w:r>
              <w:rPr>
                <w:rFonts w:hint="eastAsia" w:ascii="仿宋_GB2312" w:eastAsia="仿宋_GB2312"/>
                <w:spacing w:val="-8"/>
                <w:szCs w:val="21"/>
              </w:rPr>
              <w:t>1、未尽事宜（如市“绿化双最”评比等市、区相关绿化工作），考核视情况加或扣1-5分。</w:t>
            </w:r>
          </w:p>
        </w:tc>
      </w:tr>
    </w:tbl>
    <w:p>
      <w:pPr>
        <w:widowControl/>
        <w:jc w:val="left"/>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注：乔司街道考核办法如有新标准以新标准为准。</w:t>
      </w:r>
    </w:p>
    <w:p>
      <w:pPr>
        <w:rPr>
          <w:rFonts w:ascii="仿宋_GB2312" w:hAnsi="仿宋_GB2312" w:eastAsia="仿宋_GB2312" w:cs="仿宋_GB2312"/>
          <w:b/>
          <w:bCs/>
          <w:sz w:val="32"/>
          <w:szCs w:val="32"/>
          <w:highlight w:val="none"/>
        </w:rPr>
      </w:pPr>
    </w:p>
    <w:p>
      <w:pPr>
        <w:rPr>
          <w:rFonts w:ascii="仿宋_GB2312" w:hAnsi="仿宋_GB2312" w:eastAsia="仿宋_GB2312" w:cs="仿宋_GB2312"/>
          <w:b/>
          <w:bCs/>
          <w:sz w:val="32"/>
          <w:szCs w:val="32"/>
          <w:highlight w:val="none"/>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1.保洁、绿化管养单位考核成绩计算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洁、绿化管养单位城市化区域内月度成绩=街道巡查队伍自查行业线成绩（占50%）+社区评价成绩（10%）+区级综合普查件成绩（占40%）；城市化区域外月度成绩=街道巡查队伍自查行业线成绩（占60%）+区级综合普查件成绩（占40%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①街道巡查队伍自查行业线成绩考核方式：由街道巡查队伍加上中队共三人在每月的不固定时间日进行检查，无需管养单位上报检查路段，所有保洁、绿化养护单位的养护范围路段定为一个月检查两轮或两轮以上（具体看当时情况决定），每个标段每一次检查不少于2条道路（包括背街），检查到的问题依照《保洁、市政、绿化、牛皮癣单位现场检查评分细则》（详见附件1）进行扣分。智慧城管小程序上日常拍到的问题如在整改期限内整改则不扣分，如超过整改时间未整改或整改不到位则依照《保洁、市政、绿化、牛皮癣单位现场检查评分细则》（详见附件1）进行扣分。②社区评价成绩由社区每月对属地涉及到的管养单位进行评分，并向街道提供纸质考核依据。③区级综合普查件交办街道后直接依照《保洁、市政、绿化、牛皮癣单位现场检查评分细则》（详见附件1）对保洁、绿化单位进行扣分。</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（2）保洁、绿化单位成绩扣款机制：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街道部门会议决定，将管养单位（保洁、绿化单位）合同金额的100%作为考核费用,每一年分为四个考核周期，每个考核周期为三个月。第一个考核周期支付合同金额（单年）的10%，第二个考核周期支付合同金额（单年）的20%，第三个考核周期支付合同金额（单年）的30%，第四个考核周期支付合同金额（单年）的40%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备注：该考核办法2022年2月28日开始生效，2022年2月28号之后招标进场的管养单位（保洁、绿化单位）按照该考核办法执行。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月区级考核成绩出来后，对各单项考核成绩进行排名，在扣分扣款机制上，针对保洁、绿化管养单位城市化区域内、城市化区域外月度考核成绩，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考核奖=管养单位考核成绩*0.01*当前周期的考核费用</w:t>
      </w:r>
    </w:p>
    <w:p>
      <w:pPr>
        <w:rPr>
          <w:rFonts w:cs="宋体" w:asciiTheme="minorEastAsia" w:hAnsiTheme="minorEastAsia" w:eastAsiaTheme="minorEastAsia"/>
          <w:snapToGrid w:val="0"/>
          <w:kern w:val="0"/>
          <w:sz w:val="24"/>
        </w:rPr>
      </w:pPr>
    </w:p>
    <w:p>
      <w:pPr>
        <w:snapToGrid w:val="0"/>
        <w:spacing w:line="36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24"/>
        </w:rPr>
        <w:br w:type="page"/>
      </w:r>
      <w:r>
        <w:rPr>
          <w:rFonts w:hint="eastAsia" w:cs="宋体" w:asciiTheme="minorEastAsia" w:hAnsiTheme="minorEastAsia" w:eastAsiaTheme="minorEastAsia"/>
          <w:b/>
          <w:sz w:val="36"/>
          <w:szCs w:val="36"/>
        </w:rPr>
        <w:t xml:space="preserve">第四部分   </w:t>
      </w:r>
      <w:bookmarkStart w:id="26" w:name="_Toc184308049"/>
      <w:bookmarkEnd w:id="26"/>
      <w:bookmarkStart w:id="27" w:name="_Toc184308067"/>
      <w:bookmarkEnd w:id="27"/>
      <w:bookmarkStart w:id="28" w:name="_Toc184312123"/>
      <w:bookmarkEnd w:id="28"/>
      <w:bookmarkStart w:id="29" w:name="_Toc184310272"/>
      <w:bookmarkEnd w:id="29"/>
      <w:bookmarkStart w:id="30" w:name="_Toc184314415"/>
      <w:bookmarkEnd w:id="30"/>
      <w:bookmarkStart w:id="31" w:name="_Toc184312109"/>
      <w:bookmarkEnd w:id="31"/>
      <w:bookmarkStart w:id="32" w:name="_Toc184312072"/>
      <w:bookmarkEnd w:id="32"/>
      <w:bookmarkStart w:id="33" w:name="_Toc184310292"/>
      <w:bookmarkEnd w:id="33"/>
      <w:bookmarkStart w:id="34" w:name="_Toc184308072"/>
      <w:bookmarkEnd w:id="34"/>
      <w:bookmarkStart w:id="35" w:name="_Toc184313298"/>
      <w:bookmarkEnd w:id="35"/>
      <w:bookmarkStart w:id="36" w:name="_Toc184312116"/>
      <w:bookmarkEnd w:id="36"/>
      <w:bookmarkStart w:id="37" w:name="_Toc184308074"/>
      <w:bookmarkEnd w:id="37"/>
      <w:bookmarkStart w:id="38" w:name="_Toc184313293"/>
      <w:bookmarkEnd w:id="38"/>
      <w:bookmarkStart w:id="39" w:name="_Toc184313258"/>
      <w:bookmarkEnd w:id="39"/>
      <w:bookmarkStart w:id="40" w:name="_Toc184308071"/>
      <w:bookmarkEnd w:id="40"/>
      <w:bookmarkStart w:id="41" w:name="_Toc184310297"/>
      <w:bookmarkEnd w:id="41"/>
      <w:bookmarkStart w:id="42" w:name="_Toc184313255"/>
      <w:bookmarkEnd w:id="42"/>
      <w:bookmarkStart w:id="43" w:name="_Toc184312133"/>
      <w:bookmarkEnd w:id="43"/>
      <w:bookmarkStart w:id="44" w:name="_Toc184313283"/>
      <w:bookmarkEnd w:id="44"/>
      <w:bookmarkStart w:id="45" w:name="_Toc184314448"/>
      <w:bookmarkEnd w:id="45"/>
      <w:bookmarkStart w:id="46" w:name="_Toc184310277"/>
      <w:bookmarkEnd w:id="46"/>
      <w:bookmarkStart w:id="47" w:name="_Toc184308039"/>
      <w:bookmarkEnd w:id="47"/>
      <w:bookmarkStart w:id="48" w:name="_Toc184314454"/>
      <w:bookmarkEnd w:id="48"/>
      <w:bookmarkStart w:id="49" w:name="_Toc184312089"/>
      <w:bookmarkEnd w:id="49"/>
      <w:bookmarkStart w:id="50" w:name="_Toc184312070"/>
      <w:bookmarkEnd w:id="50"/>
      <w:bookmarkStart w:id="51" w:name="_Toc184313241"/>
      <w:bookmarkEnd w:id="51"/>
      <w:bookmarkStart w:id="52" w:name="_Toc184313277"/>
      <w:bookmarkEnd w:id="52"/>
      <w:bookmarkStart w:id="53" w:name="_Toc184308081"/>
      <w:bookmarkEnd w:id="53"/>
      <w:bookmarkStart w:id="54" w:name="_Toc184314422"/>
      <w:bookmarkEnd w:id="54"/>
      <w:bookmarkStart w:id="55" w:name="_Toc184308070"/>
      <w:bookmarkEnd w:id="55"/>
      <w:bookmarkStart w:id="56" w:name="_Toc184310342"/>
      <w:bookmarkEnd w:id="56"/>
      <w:bookmarkStart w:id="57" w:name="_Toc184314447"/>
      <w:bookmarkEnd w:id="57"/>
      <w:bookmarkStart w:id="58" w:name="_Toc184308048"/>
      <w:bookmarkEnd w:id="58"/>
      <w:bookmarkStart w:id="59" w:name="_Toc184308042"/>
      <w:bookmarkEnd w:id="59"/>
      <w:bookmarkStart w:id="60" w:name="_Toc184313245"/>
      <w:bookmarkEnd w:id="60"/>
      <w:bookmarkStart w:id="61" w:name="_Toc184313239"/>
      <w:bookmarkEnd w:id="61"/>
      <w:bookmarkStart w:id="62" w:name="_Toc184308095"/>
      <w:bookmarkEnd w:id="62"/>
      <w:bookmarkStart w:id="63" w:name="_Toc184313271"/>
      <w:bookmarkEnd w:id="63"/>
      <w:bookmarkStart w:id="64" w:name="_Toc184308065"/>
      <w:bookmarkEnd w:id="64"/>
      <w:bookmarkStart w:id="65" w:name="_Toc184310325"/>
      <w:bookmarkEnd w:id="65"/>
      <w:bookmarkStart w:id="66" w:name="_Toc184313303"/>
      <w:bookmarkEnd w:id="66"/>
      <w:bookmarkStart w:id="67" w:name="_Toc184310339"/>
      <w:bookmarkEnd w:id="67"/>
      <w:bookmarkStart w:id="68" w:name="_Toc184314463"/>
      <w:bookmarkEnd w:id="68"/>
      <w:bookmarkStart w:id="69" w:name="_Toc184310331"/>
      <w:bookmarkEnd w:id="69"/>
      <w:bookmarkStart w:id="70" w:name="_Toc184310283"/>
      <w:bookmarkEnd w:id="70"/>
      <w:bookmarkStart w:id="71" w:name="_Toc184310344"/>
      <w:bookmarkEnd w:id="71"/>
      <w:bookmarkStart w:id="72" w:name="_Toc184313256"/>
      <w:bookmarkEnd w:id="72"/>
      <w:bookmarkStart w:id="73" w:name="_Toc184313267"/>
      <w:bookmarkEnd w:id="73"/>
      <w:bookmarkStart w:id="74" w:name="_Toc184310314"/>
      <w:bookmarkEnd w:id="74"/>
      <w:bookmarkStart w:id="75" w:name="_Toc184314420"/>
      <w:bookmarkEnd w:id="75"/>
      <w:bookmarkStart w:id="76" w:name="_Toc184314471"/>
      <w:bookmarkEnd w:id="76"/>
      <w:bookmarkStart w:id="77" w:name="_Toc184308108"/>
      <w:bookmarkEnd w:id="77"/>
      <w:bookmarkStart w:id="78" w:name="_Toc184310284"/>
      <w:bookmarkEnd w:id="78"/>
      <w:bookmarkStart w:id="79" w:name="_Toc184314416"/>
      <w:bookmarkEnd w:id="79"/>
      <w:bookmarkStart w:id="80" w:name="_Toc184313260"/>
      <w:bookmarkEnd w:id="80"/>
      <w:bookmarkStart w:id="81" w:name="_Toc184308094"/>
      <w:bookmarkEnd w:id="81"/>
      <w:bookmarkStart w:id="82" w:name="_Toc184310302"/>
      <w:bookmarkEnd w:id="82"/>
      <w:bookmarkStart w:id="83" w:name="_Toc184310296"/>
      <w:bookmarkEnd w:id="83"/>
      <w:bookmarkStart w:id="84" w:name="_Toc184310285"/>
      <w:bookmarkEnd w:id="84"/>
      <w:bookmarkStart w:id="85" w:name="_Toc184308086"/>
      <w:bookmarkEnd w:id="85"/>
      <w:bookmarkStart w:id="86" w:name="_Toc184312084"/>
      <w:bookmarkEnd w:id="86"/>
      <w:bookmarkStart w:id="87" w:name="_Toc184313295"/>
      <w:bookmarkEnd w:id="87"/>
      <w:bookmarkStart w:id="88" w:name="_Toc184314449"/>
      <w:bookmarkEnd w:id="88"/>
      <w:bookmarkStart w:id="89" w:name="_Toc184312087"/>
      <w:bookmarkEnd w:id="89"/>
      <w:bookmarkStart w:id="90" w:name="_Toc184308068"/>
      <w:bookmarkEnd w:id="90"/>
      <w:bookmarkStart w:id="91" w:name="_Toc184312086"/>
      <w:bookmarkEnd w:id="91"/>
      <w:bookmarkStart w:id="92" w:name="_Toc184312075"/>
      <w:bookmarkEnd w:id="92"/>
      <w:bookmarkStart w:id="93" w:name="_Toc184312135"/>
      <w:bookmarkEnd w:id="93"/>
      <w:bookmarkStart w:id="94" w:name="_Toc184308064"/>
      <w:bookmarkEnd w:id="94"/>
      <w:bookmarkStart w:id="95" w:name="_Toc184313251"/>
      <w:bookmarkEnd w:id="95"/>
      <w:bookmarkStart w:id="96" w:name="_Toc184308084"/>
      <w:bookmarkEnd w:id="96"/>
      <w:bookmarkStart w:id="97" w:name="_Toc184310335"/>
      <w:bookmarkEnd w:id="97"/>
      <w:bookmarkStart w:id="98" w:name="_Toc184312098"/>
      <w:bookmarkEnd w:id="98"/>
      <w:bookmarkStart w:id="99" w:name="_Toc184310280"/>
      <w:bookmarkEnd w:id="99"/>
      <w:bookmarkStart w:id="100" w:name="_Toc184313264"/>
      <w:bookmarkEnd w:id="100"/>
      <w:bookmarkStart w:id="101" w:name="_Toc184313273"/>
      <w:bookmarkEnd w:id="101"/>
      <w:bookmarkStart w:id="102" w:name="_Toc184312103"/>
      <w:bookmarkEnd w:id="102"/>
      <w:bookmarkStart w:id="103" w:name="_Toc184310327"/>
      <w:bookmarkEnd w:id="103"/>
      <w:bookmarkStart w:id="104" w:name="_Toc184312132"/>
      <w:bookmarkEnd w:id="104"/>
      <w:bookmarkStart w:id="105" w:name="_Toc184310287"/>
      <w:bookmarkEnd w:id="105"/>
      <w:bookmarkStart w:id="106" w:name="_Toc184313257"/>
      <w:bookmarkEnd w:id="106"/>
      <w:bookmarkStart w:id="107" w:name="_Toc184312137"/>
      <w:bookmarkEnd w:id="107"/>
      <w:bookmarkStart w:id="108" w:name="_Toc184308040"/>
      <w:bookmarkEnd w:id="108"/>
      <w:bookmarkStart w:id="109" w:name="_Toc184314438"/>
      <w:bookmarkEnd w:id="109"/>
      <w:bookmarkStart w:id="110" w:name="_Toc184308056"/>
      <w:bookmarkEnd w:id="110"/>
      <w:bookmarkStart w:id="111" w:name="_Toc184308053"/>
      <w:bookmarkEnd w:id="111"/>
      <w:bookmarkStart w:id="112" w:name="_Toc184310293"/>
      <w:bookmarkEnd w:id="112"/>
      <w:bookmarkStart w:id="113" w:name="_Toc184310329"/>
      <w:bookmarkEnd w:id="113"/>
      <w:bookmarkStart w:id="114" w:name="_Toc184313244"/>
      <w:bookmarkEnd w:id="114"/>
      <w:bookmarkStart w:id="115" w:name="_Toc184312112"/>
      <w:bookmarkEnd w:id="115"/>
      <w:bookmarkStart w:id="116" w:name="_Toc184314445"/>
      <w:bookmarkEnd w:id="116"/>
      <w:bookmarkStart w:id="117" w:name="_Toc184308088"/>
      <w:bookmarkEnd w:id="117"/>
      <w:bookmarkStart w:id="118" w:name="_Toc184308052"/>
      <w:bookmarkEnd w:id="118"/>
      <w:bookmarkStart w:id="119" w:name="_Toc184313278"/>
      <w:bookmarkEnd w:id="119"/>
      <w:bookmarkStart w:id="120" w:name="_Toc184308087"/>
      <w:bookmarkEnd w:id="120"/>
      <w:bookmarkStart w:id="121" w:name="_Toc184314440"/>
      <w:bookmarkEnd w:id="121"/>
      <w:bookmarkStart w:id="122" w:name="_Toc184308041"/>
      <w:bookmarkEnd w:id="122"/>
      <w:bookmarkStart w:id="123" w:name="_Toc184310288"/>
      <w:bookmarkEnd w:id="123"/>
      <w:bookmarkStart w:id="124" w:name="_Toc184313270"/>
      <w:bookmarkEnd w:id="124"/>
      <w:bookmarkStart w:id="125" w:name="_Toc184308069"/>
      <w:bookmarkEnd w:id="125"/>
      <w:bookmarkStart w:id="126" w:name="_Toc184308062"/>
      <w:bookmarkEnd w:id="126"/>
      <w:bookmarkStart w:id="127" w:name="_Toc184313246"/>
      <w:bookmarkEnd w:id="127"/>
      <w:bookmarkStart w:id="128" w:name="_Toc184313253"/>
      <w:bookmarkEnd w:id="128"/>
      <w:bookmarkStart w:id="129" w:name="_Toc184308083"/>
      <w:bookmarkEnd w:id="129"/>
      <w:bookmarkStart w:id="130" w:name="_Toc184313296"/>
      <w:bookmarkEnd w:id="130"/>
      <w:bookmarkStart w:id="131" w:name="_Toc184310275"/>
      <w:bookmarkEnd w:id="131"/>
      <w:bookmarkStart w:id="132" w:name="_Toc184313279"/>
      <w:bookmarkEnd w:id="132"/>
      <w:bookmarkStart w:id="133" w:name="_Toc184308082"/>
      <w:bookmarkEnd w:id="133"/>
      <w:bookmarkStart w:id="134" w:name="_Toc184308054"/>
      <w:bookmarkEnd w:id="134"/>
      <w:bookmarkStart w:id="135" w:name="_Toc184312127"/>
      <w:bookmarkEnd w:id="135"/>
      <w:bookmarkStart w:id="136" w:name="_Toc184314424"/>
      <w:bookmarkEnd w:id="136"/>
      <w:bookmarkStart w:id="137" w:name="_Toc184314478"/>
      <w:bookmarkEnd w:id="137"/>
      <w:bookmarkStart w:id="138" w:name="_Toc184314475"/>
      <w:bookmarkEnd w:id="138"/>
      <w:bookmarkStart w:id="139" w:name="_Toc184312107"/>
      <w:bookmarkEnd w:id="139"/>
      <w:bookmarkStart w:id="140" w:name="_Toc184308043"/>
      <w:bookmarkEnd w:id="140"/>
      <w:bookmarkStart w:id="141" w:name="_Toc184312120"/>
      <w:bookmarkEnd w:id="141"/>
      <w:bookmarkStart w:id="142" w:name="_Toc184314452"/>
      <w:bookmarkEnd w:id="142"/>
      <w:bookmarkStart w:id="143" w:name="_Toc184313287"/>
      <w:bookmarkEnd w:id="143"/>
      <w:bookmarkStart w:id="144" w:name="_Toc184313268"/>
      <w:bookmarkEnd w:id="144"/>
      <w:bookmarkStart w:id="145" w:name="_Toc184314450"/>
      <w:bookmarkEnd w:id="145"/>
      <w:bookmarkStart w:id="146" w:name="_Toc184314431"/>
      <w:bookmarkEnd w:id="146"/>
      <w:bookmarkStart w:id="147" w:name="_Toc184308085"/>
      <w:bookmarkEnd w:id="147"/>
      <w:bookmarkStart w:id="148" w:name="_Toc184314413"/>
      <w:bookmarkEnd w:id="148"/>
      <w:bookmarkStart w:id="149" w:name="_Toc184313286"/>
      <w:bookmarkEnd w:id="149"/>
      <w:bookmarkStart w:id="150" w:name="_Toc184308078"/>
      <w:bookmarkEnd w:id="150"/>
      <w:bookmarkStart w:id="151" w:name="_Toc184310308"/>
      <w:bookmarkEnd w:id="151"/>
      <w:bookmarkStart w:id="152" w:name="_Toc184312110"/>
      <w:bookmarkEnd w:id="152"/>
      <w:bookmarkStart w:id="153" w:name="_Toc184308105"/>
      <w:bookmarkEnd w:id="153"/>
      <w:bookmarkStart w:id="154" w:name="_Toc184313306"/>
      <w:bookmarkEnd w:id="154"/>
      <w:bookmarkStart w:id="155" w:name="_Toc184313254"/>
      <w:bookmarkEnd w:id="155"/>
      <w:bookmarkStart w:id="156" w:name="_Toc184310320"/>
      <w:bookmarkEnd w:id="156"/>
      <w:bookmarkStart w:id="157" w:name="_Toc184313240"/>
      <w:bookmarkEnd w:id="157"/>
      <w:bookmarkStart w:id="158" w:name="_Toc184313284"/>
      <w:bookmarkEnd w:id="158"/>
      <w:bookmarkStart w:id="159" w:name="_Toc184312125"/>
      <w:bookmarkEnd w:id="159"/>
      <w:bookmarkStart w:id="160" w:name="_Toc184313289"/>
      <w:bookmarkEnd w:id="160"/>
      <w:bookmarkStart w:id="161" w:name="_Toc184314464"/>
      <w:bookmarkEnd w:id="161"/>
      <w:bookmarkStart w:id="162" w:name="_Toc184313274"/>
      <w:bookmarkEnd w:id="162"/>
      <w:bookmarkStart w:id="163" w:name="_Toc184310278"/>
      <w:bookmarkEnd w:id="163"/>
      <w:bookmarkStart w:id="164" w:name="_Toc184310338"/>
      <w:bookmarkEnd w:id="164"/>
      <w:bookmarkStart w:id="165" w:name="_Toc184308055"/>
      <w:bookmarkEnd w:id="165"/>
      <w:bookmarkStart w:id="166" w:name="_Toc184314428"/>
      <w:bookmarkEnd w:id="166"/>
      <w:bookmarkStart w:id="167" w:name="_Toc184313276"/>
      <w:bookmarkEnd w:id="167"/>
      <w:bookmarkStart w:id="168" w:name="_Toc184314466"/>
      <w:bookmarkEnd w:id="168"/>
      <w:bookmarkStart w:id="169" w:name="_Toc184312091"/>
      <w:bookmarkEnd w:id="169"/>
      <w:bookmarkStart w:id="170" w:name="_Toc184314451"/>
      <w:bookmarkEnd w:id="170"/>
      <w:bookmarkStart w:id="171" w:name="_Toc184314459"/>
      <w:bookmarkEnd w:id="171"/>
      <w:bookmarkStart w:id="172" w:name="_Toc184313297"/>
      <w:bookmarkEnd w:id="172"/>
      <w:bookmarkStart w:id="173" w:name="_Toc184312104"/>
      <w:bookmarkEnd w:id="173"/>
      <w:bookmarkStart w:id="174" w:name="_Toc184314477"/>
      <w:bookmarkEnd w:id="174"/>
      <w:bookmarkStart w:id="175" w:name="_Toc184308076"/>
      <w:bookmarkEnd w:id="175"/>
      <w:bookmarkStart w:id="176" w:name="_Toc184310315"/>
      <w:bookmarkEnd w:id="176"/>
      <w:bookmarkStart w:id="177" w:name="_Toc184313304"/>
      <w:bookmarkEnd w:id="177"/>
      <w:bookmarkStart w:id="178" w:name="_Toc184310323"/>
      <w:bookmarkEnd w:id="178"/>
      <w:bookmarkStart w:id="179" w:name="_Toc184312130"/>
      <w:bookmarkEnd w:id="179"/>
      <w:bookmarkStart w:id="180" w:name="_Toc184312134"/>
      <w:bookmarkEnd w:id="180"/>
      <w:bookmarkStart w:id="181" w:name="_Toc184312083"/>
      <w:bookmarkEnd w:id="181"/>
      <w:bookmarkStart w:id="182" w:name="_Toc184312138"/>
      <w:bookmarkEnd w:id="182"/>
      <w:bookmarkStart w:id="183" w:name="_Toc184308090"/>
      <w:bookmarkEnd w:id="183"/>
      <w:bookmarkStart w:id="184" w:name="_Toc184314435"/>
      <w:bookmarkEnd w:id="184"/>
      <w:bookmarkStart w:id="185" w:name="_Toc184312128"/>
      <w:bookmarkEnd w:id="185"/>
      <w:bookmarkStart w:id="186" w:name="_Toc184312111"/>
      <w:bookmarkEnd w:id="186"/>
      <w:bookmarkStart w:id="187" w:name="_Toc184310319"/>
      <w:bookmarkEnd w:id="187"/>
      <w:bookmarkStart w:id="188" w:name="_Toc184314417"/>
      <w:bookmarkEnd w:id="188"/>
      <w:bookmarkStart w:id="189" w:name="_Toc184313266"/>
      <w:bookmarkEnd w:id="189"/>
      <w:bookmarkStart w:id="190" w:name="_Toc184312117"/>
      <w:bookmarkEnd w:id="190"/>
      <w:bookmarkStart w:id="191" w:name="_Toc184314443"/>
      <w:bookmarkEnd w:id="191"/>
      <w:bookmarkStart w:id="192" w:name="_Toc184313262"/>
      <w:bookmarkEnd w:id="192"/>
      <w:bookmarkStart w:id="193" w:name="_Toc184310276"/>
      <w:bookmarkEnd w:id="193"/>
      <w:bookmarkStart w:id="194" w:name="_Toc184312122"/>
      <w:bookmarkEnd w:id="194"/>
      <w:bookmarkStart w:id="195" w:name="_Toc184314460"/>
      <w:bookmarkEnd w:id="195"/>
      <w:bookmarkStart w:id="196" w:name="_Toc184310299"/>
      <w:bookmarkEnd w:id="196"/>
      <w:bookmarkStart w:id="197" w:name="_Toc184308045"/>
      <w:bookmarkEnd w:id="197"/>
      <w:bookmarkStart w:id="198" w:name="_Toc184312067"/>
      <w:bookmarkEnd w:id="198"/>
      <w:bookmarkStart w:id="199" w:name="_Toc184312082"/>
      <w:bookmarkEnd w:id="199"/>
      <w:bookmarkStart w:id="200" w:name="_Toc184312129"/>
      <w:bookmarkEnd w:id="200"/>
      <w:bookmarkStart w:id="201" w:name="_Toc184310316"/>
      <w:bookmarkEnd w:id="201"/>
      <w:bookmarkStart w:id="202" w:name="_Toc184310294"/>
      <w:bookmarkEnd w:id="202"/>
      <w:bookmarkStart w:id="203" w:name="_Toc184308093"/>
      <w:bookmarkEnd w:id="203"/>
      <w:bookmarkStart w:id="204" w:name="_Toc184308036"/>
      <w:bookmarkEnd w:id="204"/>
      <w:bookmarkStart w:id="205" w:name="_Toc184308038"/>
      <w:bookmarkEnd w:id="205"/>
      <w:bookmarkStart w:id="206" w:name="_Toc184308100"/>
      <w:bookmarkEnd w:id="206"/>
      <w:bookmarkStart w:id="207" w:name="_Toc184314437"/>
      <w:bookmarkEnd w:id="207"/>
      <w:bookmarkStart w:id="208" w:name="_Toc184313265"/>
      <w:bookmarkEnd w:id="208"/>
      <w:bookmarkStart w:id="209" w:name="_Toc184313301"/>
      <w:bookmarkEnd w:id="209"/>
      <w:bookmarkStart w:id="210" w:name="_Toc184312088"/>
      <w:bookmarkEnd w:id="210"/>
      <w:bookmarkStart w:id="211" w:name="_Toc184314476"/>
      <w:bookmarkEnd w:id="211"/>
      <w:bookmarkStart w:id="212" w:name="_Toc184313242"/>
      <w:bookmarkEnd w:id="212"/>
      <w:bookmarkStart w:id="213" w:name="_Toc184312126"/>
      <w:bookmarkEnd w:id="213"/>
      <w:bookmarkStart w:id="214" w:name="_Toc184313243"/>
      <w:bookmarkEnd w:id="214"/>
      <w:bookmarkStart w:id="215" w:name="_Toc184313288"/>
      <w:bookmarkEnd w:id="215"/>
      <w:bookmarkStart w:id="216" w:name="_Toc184308060"/>
      <w:bookmarkEnd w:id="216"/>
      <w:bookmarkStart w:id="217" w:name="_Toc184308059"/>
      <w:bookmarkEnd w:id="217"/>
      <w:bookmarkStart w:id="218" w:name="_Toc184310290"/>
      <w:bookmarkEnd w:id="218"/>
      <w:bookmarkStart w:id="219" w:name="_Toc184310301"/>
      <w:bookmarkEnd w:id="219"/>
      <w:bookmarkStart w:id="220" w:name="_Toc184314468"/>
      <w:bookmarkEnd w:id="220"/>
      <w:bookmarkStart w:id="221" w:name="_Toc184313299"/>
      <w:bookmarkEnd w:id="221"/>
      <w:bookmarkStart w:id="222" w:name="_Toc184312113"/>
      <w:bookmarkEnd w:id="222"/>
      <w:bookmarkStart w:id="223" w:name="_Toc184314481"/>
      <w:bookmarkEnd w:id="223"/>
      <w:bookmarkStart w:id="224" w:name="_Toc184310307"/>
      <w:bookmarkEnd w:id="224"/>
      <w:bookmarkStart w:id="225" w:name="_Toc184310326"/>
      <w:bookmarkEnd w:id="225"/>
      <w:bookmarkStart w:id="226" w:name="_Toc184314473"/>
      <w:bookmarkEnd w:id="226"/>
      <w:bookmarkStart w:id="227" w:name="_Toc184313305"/>
      <w:bookmarkEnd w:id="227"/>
      <w:bookmarkStart w:id="228" w:name="_Toc184314430"/>
      <w:bookmarkEnd w:id="228"/>
      <w:bookmarkStart w:id="229" w:name="_Toc184310289"/>
      <w:bookmarkEnd w:id="229"/>
      <w:bookmarkStart w:id="230" w:name="_Toc184312096"/>
      <w:bookmarkEnd w:id="230"/>
      <w:bookmarkStart w:id="231" w:name="_Toc184312093"/>
      <w:bookmarkEnd w:id="231"/>
      <w:bookmarkStart w:id="232" w:name="_Toc184312085"/>
      <w:bookmarkEnd w:id="232"/>
      <w:bookmarkStart w:id="233" w:name="_Toc184308107"/>
      <w:bookmarkEnd w:id="233"/>
      <w:bookmarkStart w:id="234" w:name="_Toc184313263"/>
      <w:bookmarkEnd w:id="234"/>
      <w:bookmarkStart w:id="235" w:name="_Toc184310298"/>
      <w:bookmarkEnd w:id="235"/>
      <w:bookmarkStart w:id="236" w:name="_Toc184313281"/>
      <w:bookmarkEnd w:id="236"/>
      <w:bookmarkStart w:id="237" w:name="_Toc184314469"/>
      <w:bookmarkEnd w:id="237"/>
      <w:bookmarkStart w:id="238" w:name="_Toc184313309"/>
      <w:bookmarkEnd w:id="238"/>
      <w:bookmarkStart w:id="239" w:name="_Toc184314441"/>
      <w:bookmarkEnd w:id="239"/>
      <w:bookmarkStart w:id="240" w:name="_Toc184308057"/>
      <w:bookmarkEnd w:id="240"/>
      <w:bookmarkStart w:id="241" w:name="_Toc184310317"/>
      <w:bookmarkEnd w:id="241"/>
      <w:bookmarkStart w:id="242" w:name="_Toc184312099"/>
      <w:bookmarkEnd w:id="242"/>
      <w:bookmarkStart w:id="243" w:name="_Toc184313294"/>
      <w:bookmarkEnd w:id="243"/>
      <w:bookmarkStart w:id="244" w:name="_Toc184314429"/>
      <w:bookmarkEnd w:id="244"/>
      <w:bookmarkStart w:id="245" w:name="_Toc184313307"/>
      <w:bookmarkEnd w:id="245"/>
      <w:bookmarkStart w:id="246" w:name="_Toc184308050"/>
      <w:bookmarkEnd w:id="246"/>
      <w:bookmarkStart w:id="247" w:name="_Toc184312136"/>
      <w:bookmarkEnd w:id="247"/>
      <w:bookmarkStart w:id="248" w:name="_Toc184310306"/>
      <w:bookmarkEnd w:id="248"/>
      <w:bookmarkStart w:id="249" w:name="_Toc184314410"/>
      <w:bookmarkEnd w:id="249"/>
      <w:bookmarkStart w:id="250" w:name="_Toc184314472"/>
      <w:bookmarkEnd w:id="250"/>
      <w:bookmarkStart w:id="251" w:name="_Toc184310286"/>
      <w:bookmarkEnd w:id="251"/>
      <w:bookmarkStart w:id="252" w:name="_Toc184310340"/>
      <w:bookmarkEnd w:id="252"/>
      <w:bookmarkStart w:id="253" w:name="_Toc184313261"/>
      <w:bookmarkEnd w:id="253"/>
      <w:bookmarkStart w:id="254" w:name="_Toc184314432"/>
      <w:bookmarkEnd w:id="254"/>
      <w:bookmarkStart w:id="255" w:name="_Toc184313259"/>
      <w:bookmarkEnd w:id="255"/>
      <w:bookmarkStart w:id="256" w:name="_Toc184310279"/>
      <w:bookmarkEnd w:id="256"/>
      <w:bookmarkStart w:id="257" w:name="_Toc184310273"/>
      <w:bookmarkEnd w:id="257"/>
      <w:bookmarkStart w:id="258" w:name="_Toc184308058"/>
      <w:bookmarkEnd w:id="258"/>
      <w:bookmarkStart w:id="259" w:name="_Toc184312090"/>
      <w:bookmarkEnd w:id="259"/>
      <w:bookmarkStart w:id="260" w:name="_Toc184308037"/>
      <w:bookmarkEnd w:id="260"/>
      <w:bookmarkStart w:id="261" w:name="_Toc184313275"/>
      <w:bookmarkEnd w:id="261"/>
      <w:bookmarkStart w:id="262" w:name="_Toc184313308"/>
      <w:bookmarkEnd w:id="262"/>
      <w:bookmarkStart w:id="263" w:name="_Toc184310343"/>
      <w:bookmarkEnd w:id="263"/>
      <w:bookmarkStart w:id="264" w:name="_Toc184314462"/>
      <w:bookmarkEnd w:id="264"/>
      <w:bookmarkStart w:id="265" w:name="_Toc184314426"/>
      <w:bookmarkEnd w:id="265"/>
      <w:bookmarkStart w:id="266" w:name="_Toc184310282"/>
      <w:bookmarkEnd w:id="266"/>
      <w:bookmarkStart w:id="267" w:name="_Toc184312102"/>
      <w:bookmarkEnd w:id="267"/>
      <w:bookmarkStart w:id="268" w:name="_Toc184310332"/>
      <w:bookmarkEnd w:id="268"/>
      <w:bookmarkStart w:id="269" w:name="_Toc184308104"/>
      <w:bookmarkEnd w:id="269"/>
      <w:bookmarkStart w:id="270" w:name="_Toc184312100"/>
      <w:bookmarkEnd w:id="270"/>
      <w:bookmarkStart w:id="271" w:name="_Toc184312108"/>
      <w:bookmarkEnd w:id="271"/>
      <w:bookmarkStart w:id="272" w:name="_Toc184314434"/>
      <w:bookmarkEnd w:id="272"/>
      <w:bookmarkStart w:id="273" w:name="_Toc184314439"/>
      <w:bookmarkEnd w:id="273"/>
      <w:bookmarkStart w:id="274" w:name="_Toc184308101"/>
      <w:bookmarkEnd w:id="274"/>
      <w:bookmarkStart w:id="275" w:name="_Toc184313290"/>
      <w:bookmarkEnd w:id="275"/>
      <w:bookmarkStart w:id="276" w:name="_Toc184310311"/>
      <w:bookmarkEnd w:id="276"/>
      <w:bookmarkStart w:id="277" w:name="_Toc184314419"/>
      <w:bookmarkEnd w:id="277"/>
      <w:bookmarkStart w:id="278" w:name="_Toc184314414"/>
      <w:bookmarkEnd w:id="278"/>
      <w:bookmarkStart w:id="279" w:name="_Toc184310304"/>
      <w:bookmarkEnd w:id="279"/>
      <w:bookmarkStart w:id="280" w:name="_Toc184310274"/>
      <w:bookmarkEnd w:id="280"/>
      <w:bookmarkStart w:id="281" w:name="_Toc184308098"/>
      <w:bookmarkEnd w:id="281"/>
      <w:bookmarkStart w:id="282" w:name="_Toc184314465"/>
      <w:bookmarkEnd w:id="282"/>
      <w:bookmarkStart w:id="283" w:name="_Toc184308099"/>
      <w:bookmarkEnd w:id="283"/>
      <w:bookmarkStart w:id="284" w:name="_Toc184308096"/>
      <w:bookmarkEnd w:id="284"/>
      <w:bookmarkStart w:id="285" w:name="_Toc184313300"/>
      <w:bookmarkEnd w:id="285"/>
      <w:bookmarkStart w:id="286" w:name="_Toc184312105"/>
      <w:bookmarkEnd w:id="286"/>
      <w:bookmarkStart w:id="287" w:name="_Toc184310330"/>
      <w:bookmarkEnd w:id="287"/>
      <w:bookmarkStart w:id="288" w:name="_Toc184310341"/>
      <w:bookmarkEnd w:id="288"/>
      <w:bookmarkStart w:id="289" w:name="_Toc184308091"/>
      <w:bookmarkEnd w:id="289"/>
      <w:bookmarkStart w:id="290" w:name="_Toc184308047"/>
      <w:bookmarkEnd w:id="290"/>
      <w:bookmarkStart w:id="291" w:name="_Toc184310305"/>
      <w:bookmarkEnd w:id="291"/>
      <w:bookmarkStart w:id="292" w:name="_Toc184314436"/>
      <w:bookmarkEnd w:id="292"/>
      <w:bookmarkStart w:id="293" w:name="_Toc184308066"/>
      <w:bookmarkEnd w:id="293"/>
      <w:bookmarkStart w:id="294" w:name="_Toc184314461"/>
      <w:bookmarkEnd w:id="294"/>
      <w:bookmarkStart w:id="295" w:name="_Toc184308102"/>
      <w:bookmarkEnd w:id="295"/>
      <w:bookmarkStart w:id="296" w:name="_Toc184312095"/>
      <w:bookmarkEnd w:id="296"/>
      <w:bookmarkStart w:id="297" w:name="_Toc184313238"/>
      <w:bookmarkEnd w:id="297"/>
      <w:bookmarkStart w:id="298" w:name="_Toc184310303"/>
      <w:bookmarkEnd w:id="298"/>
      <w:bookmarkStart w:id="299" w:name="_Toc184313250"/>
      <w:bookmarkEnd w:id="299"/>
      <w:bookmarkStart w:id="300" w:name="_Toc184313269"/>
      <w:bookmarkEnd w:id="300"/>
      <w:bookmarkStart w:id="301" w:name="_Toc184310295"/>
      <w:bookmarkEnd w:id="301"/>
      <w:bookmarkStart w:id="302" w:name="_Toc184312114"/>
      <w:bookmarkEnd w:id="302"/>
      <w:bookmarkStart w:id="303" w:name="_Toc184310300"/>
      <w:bookmarkEnd w:id="303"/>
      <w:bookmarkStart w:id="304" w:name="_Toc184312115"/>
      <w:bookmarkEnd w:id="304"/>
      <w:bookmarkStart w:id="305" w:name="_Toc184312076"/>
      <w:bookmarkEnd w:id="305"/>
      <w:bookmarkStart w:id="306" w:name="_Toc184312074"/>
      <w:bookmarkEnd w:id="306"/>
      <w:bookmarkStart w:id="307" w:name="_Toc184310324"/>
      <w:bookmarkEnd w:id="307"/>
      <w:bookmarkStart w:id="308" w:name="_Toc184312106"/>
      <w:bookmarkEnd w:id="308"/>
      <w:bookmarkStart w:id="309" w:name="_Toc184314411"/>
      <w:bookmarkEnd w:id="309"/>
      <w:bookmarkStart w:id="310" w:name="_Toc184310328"/>
      <w:bookmarkEnd w:id="310"/>
      <w:bookmarkStart w:id="311" w:name="_Toc184312139"/>
      <w:bookmarkEnd w:id="311"/>
      <w:bookmarkStart w:id="312" w:name="_Toc184312071"/>
      <w:bookmarkEnd w:id="312"/>
      <w:bookmarkStart w:id="313" w:name="_Toc184308103"/>
      <w:bookmarkEnd w:id="313"/>
      <w:bookmarkStart w:id="314" w:name="_Toc184310337"/>
      <w:bookmarkEnd w:id="314"/>
      <w:bookmarkStart w:id="315" w:name="_Toc184312078"/>
      <w:bookmarkEnd w:id="315"/>
      <w:bookmarkStart w:id="316" w:name="_Toc184312094"/>
      <w:bookmarkEnd w:id="316"/>
      <w:bookmarkStart w:id="317" w:name="_Toc184314467"/>
      <w:bookmarkEnd w:id="317"/>
      <w:bookmarkStart w:id="318" w:name="_Toc184314458"/>
      <w:bookmarkEnd w:id="318"/>
      <w:bookmarkStart w:id="319" w:name="_Toc184308044"/>
      <w:bookmarkEnd w:id="319"/>
      <w:bookmarkStart w:id="320" w:name="_Toc184312081"/>
      <w:bookmarkEnd w:id="320"/>
      <w:bookmarkStart w:id="321" w:name="_Toc184314423"/>
      <w:bookmarkEnd w:id="321"/>
      <w:bookmarkStart w:id="322" w:name="_Toc184308106"/>
      <w:bookmarkEnd w:id="322"/>
      <w:bookmarkStart w:id="323" w:name="_Toc184313248"/>
      <w:bookmarkEnd w:id="323"/>
      <w:bookmarkStart w:id="324" w:name="_Toc184312119"/>
      <w:bookmarkEnd w:id="324"/>
      <w:bookmarkStart w:id="325" w:name="_Toc184313291"/>
      <w:bookmarkEnd w:id="325"/>
      <w:bookmarkStart w:id="326" w:name="_Toc184312079"/>
      <w:bookmarkEnd w:id="326"/>
      <w:bookmarkStart w:id="327" w:name="_Toc184310318"/>
      <w:bookmarkEnd w:id="327"/>
      <w:bookmarkStart w:id="328" w:name="_Toc184308073"/>
      <w:bookmarkEnd w:id="328"/>
      <w:bookmarkStart w:id="329" w:name="_Toc184313285"/>
      <w:bookmarkEnd w:id="329"/>
      <w:bookmarkStart w:id="330" w:name="_Toc184308080"/>
      <w:bookmarkEnd w:id="330"/>
      <w:bookmarkStart w:id="331" w:name="_Toc184314453"/>
      <w:bookmarkEnd w:id="331"/>
      <w:bookmarkStart w:id="332" w:name="_Toc184313310"/>
      <w:bookmarkEnd w:id="332"/>
      <w:bookmarkStart w:id="333" w:name="_Toc184313247"/>
      <w:bookmarkEnd w:id="333"/>
      <w:bookmarkStart w:id="334" w:name="_Toc184308092"/>
      <w:bookmarkEnd w:id="334"/>
      <w:bookmarkStart w:id="335" w:name="_Toc184312092"/>
      <w:bookmarkEnd w:id="335"/>
      <w:bookmarkStart w:id="336" w:name="_Toc184312101"/>
      <w:bookmarkEnd w:id="336"/>
      <w:bookmarkStart w:id="337" w:name="_Toc184312073"/>
      <w:bookmarkEnd w:id="337"/>
      <w:bookmarkStart w:id="338" w:name="_Toc184308089"/>
      <w:bookmarkEnd w:id="338"/>
      <w:bookmarkStart w:id="339" w:name="_Toc184308075"/>
      <w:bookmarkEnd w:id="339"/>
      <w:bookmarkStart w:id="340" w:name="_Toc184308097"/>
      <w:bookmarkEnd w:id="340"/>
      <w:bookmarkStart w:id="341" w:name="_Toc184308046"/>
      <w:bookmarkEnd w:id="341"/>
      <w:bookmarkStart w:id="342" w:name="_Toc184310334"/>
      <w:bookmarkEnd w:id="342"/>
      <w:bookmarkStart w:id="343" w:name="_Toc184314456"/>
      <w:bookmarkEnd w:id="343"/>
      <w:bookmarkStart w:id="344" w:name="_Toc184310281"/>
      <w:bookmarkEnd w:id="344"/>
      <w:bookmarkStart w:id="345" w:name="_Toc184314444"/>
      <w:bookmarkEnd w:id="345"/>
      <w:bookmarkStart w:id="346" w:name="_Toc184314479"/>
      <w:bookmarkEnd w:id="346"/>
      <w:bookmarkStart w:id="347" w:name="_Toc184314427"/>
      <w:bookmarkEnd w:id="347"/>
      <w:bookmarkStart w:id="348" w:name="_Toc184314457"/>
      <w:bookmarkEnd w:id="348"/>
      <w:bookmarkStart w:id="349" w:name="_Toc184312118"/>
      <w:bookmarkEnd w:id="349"/>
      <w:bookmarkStart w:id="350" w:name="_Toc184310333"/>
      <w:bookmarkEnd w:id="350"/>
      <w:bookmarkStart w:id="351" w:name="_Toc184310312"/>
      <w:bookmarkEnd w:id="351"/>
      <w:bookmarkStart w:id="352" w:name="_Toc184313252"/>
      <w:bookmarkEnd w:id="352"/>
      <w:bookmarkStart w:id="353" w:name="_Toc184314470"/>
      <w:bookmarkEnd w:id="353"/>
      <w:bookmarkStart w:id="354" w:name="_Toc184314442"/>
      <w:bookmarkEnd w:id="354"/>
      <w:bookmarkStart w:id="355" w:name="_Toc184312124"/>
      <w:bookmarkEnd w:id="355"/>
      <w:bookmarkStart w:id="356" w:name="_Toc184314482"/>
      <w:bookmarkEnd w:id="356"/>
      <w:bookmarkStart w:id="357" w:name="_Toc184314421"/>
      <w:bookmarkEnd w:id="357"/>
      <w:bookmarkStart w:id="358" w:name="_Toc184310321"/>
      <w:bookmarkEnd w:id="358"/>
      <w:bookmarkStart w:id="359" w:name="_Toc184310309"/>
      <w:bookmarkEnd w:id="359"/>
      <w:bookmarkStart w:id="360" w:name="_Toc184312077"/>
      <w:bookmarkEnd w:id="360"/>
      <w:bookmarkStart w:id="361" w:name="_Toc184308079"/>
      <w:bookmarkEnd w:id="361"/>
      <w:bookmarkStart w:id="362" w:name="_Toc184314433"/>
      <w:bookmarkEnd w:id="362"/>
      <w:bookmarkStart w:id="363" w:name="_Toc184314474"/>
      <w:bookmarkEnd w:id="363"/>
      <w:bookmarkStart w:id="364" w:name="_Toc184313302"/>
      <w:bookmarkEnd w:id="364"/>
      <w:bookmarkStart w:id="365" w:name="_Toc184308051"/>
      <w:bookmarkEnd w:id="365"/>
      <w:bookmarkStart w:id="366" w:name="_Toc184314446"/>
      <w:bookmarkEnd w:id="366"/>
      <w:bookmarkStart w:id="367" w:name="_Toc184308061"/>
      <w:bookmarkEnd w:id="367"/>
      <w:bookmarkStart w:id="368" w:name="_Toc184310291"/>
      <w:bookmarkEnd w:id="368"/>
      <w:bookmarkStart w:id="369" w:name="_Toc184314412"/>
      <w:bookmarkEnd w:id="369"/>
      <w:bookmarkStart w:id="370" w:name="_Toc184310336"/>
      <w:bookmarkEnd w:id="370"/>
      <w:bookmarkStart w:id="371" w:name="_Toc184312097"/>
      <w:bookmarkEnd w:id="371"/>
      <w:bookmarkStart w:id="372" w:name="_Toc184314480"/>
      <w:bookmarkEnd w:id="372"/>
      <w:bookmarkStart w:id="373" w:name="_Toc184313292"/>
      <w:bookmarkEnd w:id="373"/>
      <w:bookmarkStart w:id="374" w:name="_Toc184310322"/>
      <w:bookmarkEnd w:id="374"/>
      <w:bookmarkStart w:id="375" w:name="_Toc184312131"/>
      <w:bookmarkEnd w:id="375"/>
      <w:bookmarkStart w:id="376" w:name="_Toc184313272"/>
      <w:bookmarkEnd w:id="376"/>
      <w:bookmarkStart w:id="377" w:name="_Toc184308063"/>
      <w:bookmarkEnd w:id="377"/>
      <w:bookmarkStart w:id="378" w:name="_Toc184314418"/>
      <w:bookmarkEnd w:id="378"/>
      <w:bookmarkStart w:id="379" w:name="_Toc184310310"/>
      <w:bookmarkEnd w:id="379"/>
      <w:bookmarkStart w:id="380" w:name="_Toc184313249"/>
      <w:bookmarkEnd w:id="380"/>
      <w:bookmarkStart w:id="381" w:name="_Toc184314425"/>
      <w:bookmarkEnd w:id="381"/>
      <w:bookmarkStart w:id="382" w:name="_Toc184312069"/>
      <w:bookmarkEnd w:id="382"/>
      <w:bookmarkStart w:id="383" w:name="_Toc184312068"/>
      <w:bookmarkEnd w:id="383"/>
      <w:bookmarkStart w:id="384" w:name="_Toc184312121"/>
      <w:bookmarkEnd w:id="384"/>
      <w:bookmarkStart w:id="385" w:name="_Toc184313280"/>
      <w:bookmarkEnd w:id="385"/>
      <w:bookmarkStart w:id="386" w:name="_Toc184314455"/>
      <w:bookmarkEnd w:id="386"/>
      <w:bookmarkStart w:id="387" w:name="_Toc184312080"/>
      <w:bookmarkEnd w:id="387"/>
      <w:bookmarkStart w:id="388" w:name="_Toc184310313"/>
      <w:bookmarkEnd w:id="388"/>
      <w:bookmarkStart w:id="389" w:name="_Toc184308077"/>
      <w:bookmarkEnd w:id="389"/>
      <w:bookmarkStart w:id="390" w:name="_Toc184313282"/>
      <w:bookmarkEnd w:id="390"/>
      <w:r>
        <w:rPr>
          <w:rFonts w:hint="eastAsia" w:cs="宋体" w:asciiTheme="minorEastAsia" w:hAnsiTheme="minorEastAsia" w:eastAsiaTheme="minorEastAsia"/>
          <w:b/>
          <w:sz w:val="36"/>
          <w:szCs w:val="36"/>
        </w:rPr>
        <w:t>评标办法</w:t>
      </w:r>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p>
      <w:pPr>
        <w:pStyle w:val="89"/>
        <w:spacing w:before="0"/>
        <w:ind w:firstLine="602" w:firstLineChars="250"/>
        <w:rPr>
          <w:rFonts w:cs="宋体" w:asciiTheme="minorEastAsia" w:hAnsiTheme="minorEastAsia" w:eastAsiaTheme="minorEastAsia"/>
          <w:szCs w:val="24"/>
        </w:rPr>
      </w:pPr>
      <w:r>
        <w:rPr>
          <w:rFonts w:hint="eastAsia" w:cs="宋体" w:asciiTheme="minorEastAsia" w:hAnsiTheme="minorEastAsia" w:eastAsiaTheme="minorEastAsia"/>
          <w:b/>
          <w:szCs w:val="24"/>
        </w:rPr>
        <w:t>1、本次评标采用综合评分法，总分为100分。</w:t>
      </w:r>
      <w:r>
        <w:rPr>
          <w:rFonts w:hint="eastAsia" w:cs="宋体" w:asciiTheme="minorEastAsia" w:hAnsiTheme="minorEastAsia" w:eastAsiaTheme="minorEastAsia"/>
          <w:szCs w:val="24"/>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pacing w:before="0"/>
        <w:ind w:firstLine="600" w:firstLineChars="250"/>
        <w:rPr>
          <w:rFonts w:cs="宋体" w:asciiTheme="minorEastAsia" w:hAnsiTheme="minorEastAsia" w:eastAsiaTheme="minorEastAsia"/>
          <w:bCs/>
          <w:szCs w:val="24"/>
        </w:rPr>
      </w:pPr>
      <w:r>
        <w:rPr>
          <w:rFonts w:hint="eastAsia" w:cs="宋体" w:asciiTheme="minorEastAsia" w:hAnsiTheme="minorEastAsia" w:eastAsiaTheme="minorEastAsia"/>
          <w:bCs/>
          <w:szCs w:val="24"/>
        </w:rPr>
        <w:t>各投标人的综合得分为：投标价格得分+技术商务得分之和，总和为100分，其中：投标价格得分10分，商务技术得分90分。</w:t>
      </w:r>
    </w:p>
    <w:p>
      <w:pPr>
        <w:numPr>
          <w:ilvl w:val="0"/>
          <w:numId w:val="5"/>
        </w:num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商务、技术评标细则（90分）</w:t>
      </w:r>
    </w:p>
    <w:p>
      <w:pPr>
        <w:spacing w:line="360" w:lineRule="auto"/>
        <w:ind w:firstLine="465" w:firstLineChars="193"/>
        <w:rPr>
          <w:rFonts w:cs="宋体" w:asciiTheme="minorEastAsia" w:hAnsiTheme="minorEastAsia" w:eastAsiaTheme="minorEastAsia"/>
          <w:b/>
          <w:bCs/>
          <w:sz w:val="24"/>
        </w:rPr>
      </w:pPr>
      <w:r>
        <w:rPr>
          <w:rFonts w:hint="eastAsia" w:cs="宋体" w:asciiTheme="minorEastAsia" w:hAnsiTheme="minorEastAsia" w:eastAsiaTheme="minorEastAsia"/>
          <w:b/>
          <w:bCs/>
          <w:sz w:val="24"/>
        </w:rPr>
        <w:t>（1）</w:t>
      </w:r>
      <w:r>
        <w:rPr>
          <w:rFonts w:cs="宋体" w:asciiTheme="minorEastAsia" w:hAnsiTheme="minorEastAsia" w:eastAsiaTheme="minorEastAsia"/>
          <w:b/>
          <w:bCs/>
          <w:sz w:val="24"/>
        </w:rPr>
        <w:t>商务技术分</w:t>
      </w:r>
      <w:r>
        <w:rPr>
          <w:rFonts w:hint="eastAsia" w:cs="宋体" w:asciiTheme="minorEastAsia" w:hAnsiTheme="minorEastAsia" w:eastAsiaTheme="minorEastAsia"/>
          <w:b/>
          <w:bCs/>
          <w:sz w:val="24"/>
        </w:rPr>
        <w:t>（90分）</w:t>
      </w:r>
    </w:p>
    <w:p>
      <w:pPr>
        <w:spacing w:line="360" w:lineRule="auto"/>
        <w:ind w:firstLine="463" w:firstLineChars="193"/>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 xml:space="preserve">商务技术分的计算： 按照评标委员会成员的独立评分结果汇总数的算术平均分计算，计算公式为： </w:t>
      </w:r>
    </w:p>
    <w:p>
      <w:pPr>
        <w:spacing w:line="360" w:lineRule="auto"/>
        <w:ind w:firstLine="465" w:firstLineChars="193"/>
        <w:rPr>
          <w:rFonts w:cs="宋体" w:asciiTheme="minorEastAsia" w:hAnsiTheme="minorEastAsia" w:eastAsiaTheme="minorEastAsia"/>
          <w:b/>
        </w:rPr>
      </w:pPr>
      <w:r>
        <w:rPr>
          <w:rFonts w:cs="宋体" w:asciiTheme="minorEastAsia" w:hAnsiTheme="minorEastAsia" w:eastAsiaTheme="minorEastAsia"/>
          <w:b/>
          <w:bCs/>
          <w:sz w:val="24"/>
        </w:rPr>
        <w:t>商务技术分=评标委员会所有成员评分合计数/评标委员会组成人员数</w:t>
      </w:r>
    </w:p>
    <w:p>
      <w:pPr>
        <w:pStyle w:val="89"/>
        <w:adjustRightInd/>
        <w:spacing w:before="0"/>
        <w:ind w:firstLine="482"/>
        <w:rPr>
          <w:rFonts w:cs="宋体" w:asciiTheme="minorEastAsia" w:hAnsiTheme="minorEastAsia" w:eastAsiaTheme="minorEastAsia"/>
          <w:b/>
          <w:szCs w:val="24"/>
        </w:rPr>
      </w:pPr>
      <w:r>
        <w:rPr>
          <w:rFonts w:hint="eastAsia" w:cs="宋体" w:asciiTheme="minorEastAsia" w:hAnsiTheme="minorEastAsia" w:eastAsiaTheme="minorEastAsia"/>
          <w:b/>
          <w:szCs w:val="24"/>
        </w:rPr>
        <w:t>商务</w:t>
      </w:r>
      <w:r>
        <w:rPr>
          <w:rFonts w:cs="宋体" w:asciiTheme="minorEastAsia" w:hAnsiTheme="minorEastAsia" w:eastAsiaTheme="minorEastAsia"/>
          <w:b/>
          <w:szCs w:val="24"/>
        </w:rPr>
        <w:t>分</w:t>
      </w:r>
      <w:r>
        <w:rPr>
          <w:rFonts w:hint="eastAsia" w:cs="宋体" w:asciiTheme="minorEastAsia" w:hAnsiTheme="minorEastAsia" w:eastAsiaTheme="minorEastAsia"/>
          <w:b/>
          <w:szCs w:val="24"/>
        </w:rPr>
        <w:t>评分细则如下：</w:t>
      </w:r>
    </w:p>
    <w:tbl>
      <w:tblPr>
        <w:tblStyle w:val="6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07"/>
        <w:gridCol w:w="5858"/>
        <w:gridCol w:w="11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2307" w:type="dxa"/>
            <w:vAlign w:val="center"/>
          </w:tcPr>
          <w:p>
            <w:pPr>
              <w:jc w:val="center"/>
            </w:pPr>
            <w:r>
              <w:rPr>
                <w:rFonts w:hint="eastAsia"/>
              </w:rPr>
              <w:t>评分细则</w:t>
            </w:r>
          </w:p>
        </w:tc>
        <w:tc>
          <w:tcPr>
            <w:tcW w:w="5858" w:type="dxa"/>
            <w:vAlign w:val="center"/>
          </w:tcPr>
          <w:p>
            <w:pPr>
              <w:jc w:val="center"/>
            </w:pPr>
            <w:r>
              <w:rPr>
                <w:rFonts w:hint="eastAsia"/>
              </w:rPr>
              <w:t>评分细则内容</w:t>
            </w:r>
          </w:p>
        </w:tc>
        <w:tc>
          <w:tcPr>
            <w:tcW w:w="1121" w:type="dxa"/>
            <w:vAlign w:val="center"/>
          </w:tcPr>
          <w:p>
            <w:pPr>
              <w:jc w:val="center"/>
            </w:pPr>
            <w:r>
              <w:rPr>
                <w:rFonts w:hint="eastAsia"/>
              </w:rPr>
              <w:t>分值（分）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restart"/>
            <w:vAlign w:val="center"/>
          </w:tcPr>
          <w:p>
            <w:pPr>
              <w:spacing w:before="100" w:after="100"/>
            </w:pPr>
            <w:r>
              <w:rPr>
                <w:rFonts w:hint="eastAsia"/>
              </w:rPr>
              <w:t>1、绿化养护方案</w:t>
            </w:r>
          </w:p>
        </w:tc>
        <w:tc>
          <w:tcPr>
            <w:tcW w:w="5858" w:type="dxa"/>
            <w:vAlign w:val="center"/>
          </w:tcPr>
          <w:p>
            <w:r>
              <w:rPr>
                <w:rFonts w:hint="eastAsia"/>
              </w:rPr>
              <w:t>根据养护方案的针对性、操作性，计划安排科学合理性进行打分（0-</w:t>
            </w:r>
            <w:r>
              <w:t>6</w:t>
            </w:r>
            <w:r>
              <w:rPr>
                <w:rFonts w:hint="eastAsia"/>
              </w:rPr>
              <w:t>分）。</w:t>
            </w:r>
          </w:p>
        </w:tc>
        <w:tc>
          <w:tcPr>
            <w:tcW w:w="1121"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根据病虫害防治、施肥、修剪等关键养护技术措施的阐述进行打的（0-</w:t>
            </w:r>
            <w:r>
              <w:t>6</w:t>
            </w:r>
            <w:r>
              <w:rPr>
                <w:rFonts w:hint="eastAsia"/>
              </w:rPr>
              <w:t>分）。</w:t>
            </w:r>
          </w:p>
        </w:tc>
        <w:tc>
          <w:tcPr>
            <w:tcW w:w="1121"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根据绿地养护安全文明作业和环境保护管理措施的阐述进行打分（0-</w:t>
            </w:r>
            <w:r>
              <w:t>6</w:t>
            </w:r>
            <w:r>
              <w:rPr>
                <w:rFonts w:hint="eastAsia"/>
              </w:rPr>
              <w:t>分）。</w:t>
            </w:r>
          </w:p>
        </w:tc>
        <w:tc>
          <w:tcPr>
            <w:tcW w:w="1121"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根据园林设施更换维护方案的阐述进行打分（0-</w:t>
            </w:r>
            <w:r>
              <w:t>6</w:t>
            </w:r>
            <w:r>
              <w:rPr>
                <w:rFonts w:hint="eastAsia"/>
              </w:rPr>
              <w:t>分）。</w:t>
            </w:r>
          </w:p>
        </w:tc>
        <w:tc>
          <w:tcPr>
            <w:tcW w:w="1121"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restart"/>
            <w:vAlign w:val="center"/>
          </w:tcPr>
          <w:p>
            <w:r>
              <w:rPr>
                <w:rFonts w:hint="eastAsia"/>
              </w:rPr>
              <w:t>2、应急处理机制方案</w:t>
            </w:r>
          </w:p>
        </w:tc>
        <w:tc>
          <w:tcPr>
            <w:tcW w:w="5858" w:type="dxa"/>
            <w:vAlign w:val="center"/>
          </w:tcPr>
          <w:p>
            <w:r>
              <w:rPr>
                <w:rFonts w:hint="eastAsia"/>
              </w:rPr>
              <w:t>应对养护自然灾害等应急处理机制方案，操作性强，计划安排合理（0-</w:t>
            </w:r>
            <w:r>
              <w:t>6</w:t>
            </w:r>
            <w:r>
              <w:rPr>
                <w:rFonts w:hint="eastAsia"/>
              </w:rPr>
              <w:t>分）。</w:t>
            </w:r>
          </w:p>
        </w:tc>
        <w:tc>
          <w:tcPr>
            <w:tcW w:w="1121"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节假日及各类城市评比、检查时的应对措施（0-</w:t>
            </w:r>
            <w:r>
              <w:t>5</w:t>
            </w:r>
            <w:r>
              <w:rPr>
                <w:rFonts w:hint="eastAsia"/>
              </w:rPr>
              <w:t>分）。</w:t>
            </w:r>
          </w:p>
        </w:tc>
        <w:tc>
          <w:tcPr>
            <w:tcW w:w="1121"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restart"/>
            <w:vAlign w:val="center"/>
          </w:tcPr>
          <w:p>
            <w:r>
              <w:rPr>
                <w:rFonts w:hint="eastAsia"/>
              </w:rPr>
              <w:t>3、绿化养护技术人员力量情况；需提供相关证书和相关人员在本单位近1个月社保缴纳证明，否则不得分。</w:t>
            </w:r>
          </w:p>
        </w:tc>
        <w:tc>
          <w:tcPr>
            <w:tcW w:w="5858" w:type="dxa"/>
            <w:vAlign w:val="center"/>
          </w:tcPr>
          <w:p>
            <w:r>
              <w:rPr>
                <w:rFonts w:hint="eastAsia"/>
              </w:rPr>
              <w:t>1、项目负责人：具有园林绿化中级职称的得</w:t>
            </w:r>
            <w:r>
              <w:t>3</w:t>
            </w:r>
            <w:r>
              <w:rPr>
                <w:rFonts w:hint="eastAsia"/>
              </w:rPr>
              <w:t>分，具有园林绿化高级职称及以上资格证书的得</w:t>
            </w:r>
            <w:r>
              <w:t>5</w:t>
            </w:r>
            <w:r>
              <w:rPr>
                <w:rFonts w:hint="eastAsia"/>
              </w:rPr>
              <w:t>分，没有不得分；</w:t>
            </w:r>
          </w:p>
        </w:tc>
        <w:tc>
          <w:tcPr>
            <w:tcW w:w="1121"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2、管理人员：具有园林绿化初级职称及以上资格证书的养护管理人员每人得1分，最高得</w:t>
            </w:r>
            <w:r>
              <w:t>3</w:t>
            </w:r>
            <w:r>
              <w:rPr>
                <w:rFonts w:hint="eastAsia"/>
              </w:rPr>
              <w:t>分，没有不得分；</w:t>
            </w:r>
          </w:p>
        </w:tc>
        <w:tc>
          <w:tcPr>
            <w:tcW w:w="1121" w:type="dxa"/>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3、园林绿化工：具有市级（含）以上部门颁发的绿化工证书的每人得1分，最高得3分，没有不得分；</w:t>
            </w:r>
          </w:p>
        </w:tc>
        <w:tc>
          <w:tcPr>
            <w:tcW w:w="1121" w:type="dxa"/>
            <w:vAlign w:val="center"/>
          </w:tcPr>
          <w:p>
            <w:pPr>
              <w:jc w:val="center"/>
            </w:pPr>
            <w:r>
              <w:rPr>
                <w:rFonts w:hint="eastAsia"/>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4、电工：电工上岗证人员1名得3分，没有不得分；</w:t>
            </w:r>
          </w:p>
        </w:tc>
        <w:tc>
          <w:tcPr>
            <w:tcW w:w="1121" w:type="dxa"/>
            <w:vAlign w:val="center"/>
          </w:tcPr>
          <w:p>
            <w:pPr>
              <w:jc w:val="center"/>
            </w:pPr>
            <w:r>
              <w:rPr>
                <w:rFonts w:hint="eastAsia"/>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t>5</w:t>
            </w:r>
            <w:r>
              <w:rPr>
                <w:rFonts w:hint="eastAsia"/>
              </w:rPr>
              <w:t>、安全员：具有安全员上岗证人员1名得3分，没有不得分；</w:t>
            </w:r>
          </w:p>
        </w:tc>
        <w:tc>
          <w:tcPr>
            <w:tcW w:w="1121" w:type="dxa"/>
            <w:vAlign w:val="center"/>
          </w:tcPr>
          <w:p>
            <w:pPr>
              <w:jc w:val="center"/>
            </w:pPr>
            <w:r>
              <w:rPr>
                <w:rFonts w:hint="eastAsia"/>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restart"/>
            <w:vAlign w:val="center"/>
          </w:tcPr>
          <w:p>
            <w:pPr>
              <w:rPr>
                <w:highlight w:val="none"/>
              </w:rPr>
            </w:pPr>
            <w:r>
              <w:rPr>
                <w:rFonts w:hint="eastAsia"/>
                <w:highlight w:val="none"/>
              </w:rPr>
              <w:t>4、作业设备拥有情况：设备产权归投标单位，需提供相关机械设备的购置发票扫描件，否则不得分（①、②、⑤、⑥需提供行驶证、机动车登记证扫描件、购买发票复印件）；以上车辆仅用于本项目的书面承诺书（格式自拟）不提供的</w:t>
            </w:r>
          </w:p>
        </w:tc>
        <w:tc>
          <w:tcPr>
            <w:tcW w:w="5858" w:type="dxa"/>
            <w:vAlign w:val="center"/>
          </w:tcPr>
          <w:p>
            <w:pPr>
              <w:rPr>
                <w:highlight w:val="none"/>
              </w:rPr>
            </w:pPr>
            <w:r>
              <w:rPr>
                <w:rFonts w:hint="eastAsia"/>
                <w:highlight w:val="none"/>
              </w:rPr>
              <w:t>①有轻型货车（总质量3吨级以上）2辆得4分，1辆得2分；</w:t>
            </w:r>
          </w:p>
        </w:tc>
        <w:tc>
          <w:tcPr>
            <w:tcW w:w="1121" w:type="dxa"/>
            <w:vAlign w:val="center"/>
          </w:tcPr>
          <w:p>
            <w:pPr>
              <w:jc w:val="center"/>
            </w:pPr>
            <w:r>
              <w:rPr>
                <w:rFonts w:hint="eastAsia"/>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②有总质量18吨及以上洒水车2辆的得</w:t>
            </w:r>
            <w:r>
              <w:t>6</w:t>
            </w:r>
            <w:r>
              <w:rPr>
                <w:rFonts w:hint="eastAsia"/>
              </w:rPr>
              <w:t>分，1辆得</w:t>
            </w:r>
            <w:r>
              <w:t>3</w:t>
            </w:r>
            <w:r>
              <w:rPr>
                <w:rFonts w:hint="eastAsia"/>
              </w:rPr>
              <w:t>分，没有不得分；</w:t>
            </w:r>
          </w:p>
        </w:tc>
        <w:tc>
          <w:tcPr>
            <w:tcW w:w="1121" w:type="dxa"/>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③有绿篱机2台得</w:t>
            </w:r>
            <w:r>
              <w:t>2</w:t>
            </w:r>
            <w:r>
              <w:rPr>
                <w:rFonts w:hint="eastAsia"/>
              </w:rPr>
              <w:t>分，草坪机2台的1分，没有不得分；</w:t>
            </w:r>
          </w:p>
        </w:tc>
        <w:tc>
          <w:tcPr>
            <w:tcW w:w="1121" w:type="dxa"/>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④有园林高压喷药机2台得</w:t>
            </w:r>
            <w:r>
              <w:t>2</w:t>
            </w:r>
            <w:r>
              <w:rPr>
                <w:rFonts w:hint="eastAsia"/>
              </w:rPr>
              <w:t>分，每增加1台得1分，最高得3分，没有不得分；</w:t>
            </w:r>
          </w:p>
        </w:tc>
        <w:tc>
          <w:tcPr>
            <w:tcW w:w="1121" w:type="dxa"/>
            <w:vAlign w:val="center"/>
          </w:tcPr>
          <w:p>
            <w:pPr>
              <w:jc w:val="center"/>
            </w:pPr>
            <w: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⑤投标人自有中高乔木专用除雪车辆（抑尘车）1辆得</w:t>
            </w:r>
            <w:r>
              <w:t>5</w:t>
            </w:r>
            <w:r>
              <w:rPr>
                <w:rFonts w:hint="eastAsia"/>
              </w:rPr>
              <w:t>分，没有不得分。</w:t>
            </w:r>
          </w:p>
        </w:tc>
        <w:tc>
          <w:tcPr>
            <w:tcW w:w="1121" w:type="dxa"/>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Merge w:val="continue"/>
            <w:vAlign w:val="center"/>
          </w:tcPr>
          <w:p/>
        </w:tc>
        <w:tc>
          <w:tcPr>
            <w:tcW w:w="5858" w:type="dxa"/>
            <w:vAlign w:val="center"/>
          </w:tcPr>
          <w:p>
            <w:r>
              <w:rPr>
                <w:rFonts w:hint="eastAsia"/>
              </w:rPr>
              <w:t>⑥上述洒水车其中由一辆为新能源（纯电）的另外加</w:t>
            </w:r>
            <w:r>
              <w:t>4</w:t>
            </w:r>
            <w:r>
              <w:rPr>
                <w:rFonts w:hint="eastAsia"/>
              </w:rPr>
              <w:t>分</w:t>
            </w:r>
          </w:p>
        </w:tc>
        <w:tc>
          <w:tcPr>
            <w:tcW w:w="1121" w:type="dxa"/>
            <w:vAlign w:val="center"/>
          </w:tcPr>
          <w:p>
            <w:pPr>
              <w:jc w:val="center"/>
            </w:pPr>
            <w: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Align w:val="center"/>
          </w:tcPr>
          <w:p>
            <w:r>
              <w:rPr>
                <w:rFonts w:hint="eastAsia"/>
              </w:rPr>
              <w:t>5、类似项目实施业绩：投标文件中需同时提供中标通知书和合同扫描件，否则不得分</w:t>
            </w:r>
          </w:p>
        </w:tc>
        <w:tc>
          <w:tcPr>
            <w:tcW w:w="5858" w:type="dxa"/>
            <w:vAlign w:val="center"/>
          </w:tcPr>
          <w:p>
            <w:r>
              <w:rPr>
                <w:rFonts w:hint="eastAsia"/>
              </w:rPr>
              <w:t>2019年1月1日（以合同签订时间为准）以来，投标单位所承担的类似实施业绩，每个得</w:t>
            </w:r>
            <w:r>
              <w:t>0.5</w:t>
            </w:r>
            <w:r>
              <w:rPr>
                <w:rFonts w:hint="eastAsia"/>
              </w:rPr>
              <w:t>分，本项目最高的</w:t>
            </w:r>
            <w:r>
              <w:t>1</w:t>
            </w:r>
            <w:r>
              <w:rPr>
                <w:rFonts w:hint="eastAsia"/>
              </w:rPr>
              <w:t>分。</w:t>
            </w:r>
          </w:p>
        </w:tc>
        <w:tc>
          <w:tcPr>
            <w:tcW w:w="1121" w:type="dxa"/>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07" w:type="dxa"/>
            <w:vAlign w:val="center"/>
          </w:tcPr>
          <w:p>
            <w:r>
              <w:rPr>
                <w:rFonts w:hint="eastAsia"/>
              </w:rPr>
              <w:t>6、园林垃圾处置方案</w:t>
            </w:r>
          </w:p>
        </w:tc>
        <w:tc>
          <w:tcPr>
            <w:tcW w:w="5858" w:type="dxa"/>
            <w:vAlign w:val="center"/>
          </w:tcPr>
          <w:p>
            <w:r>
              <w:rPr>
                <w:rFonts w:hint="eastAsia"/>
              </w:rPr>
              <w:t>1、具有园林绿化垃圾处置设备（树枝粉碎机）的得3分（租赁不得分）；2、园林绿化处置方案是否全面、合理进行打分（0-3分）需提供设备购置发票扫描件，否则不得分。</w:t>
            </w:r>
          </w:p>
        </w:tc>
        <w:tc>
          <w:tcPr>
            <w:tcW w:w="1121" w:type="dxa"/>
            <w:vAlign w:val="center"/>
          </w:tcPr>
          <w:p>
            <w:pPr>
              <w:jc w:val="center"/>
            </w:pPr>
            <w:r>
              <w:rPr>
                <w:rFonts w:hint="eastAsi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07" w:type="dxa"/>
            <w:vAlign w:val="center"/>
          </w:tcPr>
          <w:p>
            <w:r>
              <w:rPr>
                <w:rFonts w:hint="eastAsia"/>
              </w:rPr>
              <w:t>7、企业资信</w:t>
            </w:r>
          </w:p>
        </w:tc>
        <w:tc>
          <w:tcPr>
            <w:tcW w:w="5858" w:type="dxa"/>
            <w:vAlign w:val="center"/>
          </w:tcPr>
          <w:p>
            <w:r>
              <w:rPr>
                <w:rFonts w:hint="eastAsia"/>
              </w:rPr>
              <w:t>投标人具有质量管理体系认证、环境管理体系认证、职业健康安全管理体系认证的得每个得2分，最高的6分（投标文件中需在有效期内的提供相关证书复印件或扫描件，否则不得分）</w:t>
            </w:r>
          </w:p>
        </w:tc>
        <w:tc>
          <w:tcPr>
            <w:tcW w:w="1121" w:type="dxa"/>
            <w:vAlign w:val="center"/>
          </w:tcPr>
          <w:p>
            <w:pPr>
              <w:jc w:val="center"/>
            </w:pPr>
            <w:r>
              <w:rPr>
                <w:rFonts w:hint="eastAsia"/>
              </w:rPr>
              <w:t>6</w:t>
            </w:r>
          </w:p>
        </w:tc>
      </w:tr>
    </w:tbl>
    <w:p>
      <w:pPr>
        <w:pStyle w:val="89"/>
        <w:adjustRightInd/>
        <w:spacing w:before="0"/>
        <w:ind w:firstLine="0" w:firstLineChars="0"/>
        <w:rPr>
          <w:rFonts w:cs="宋体" w:asciiTheme="minorEastAsia" w:hAnsiTheme="minorEastAsia" w:eastAsiaTheme="minorEastAsia"/>
          <w:b/>
          <w:szCs w:val="24"/>
        </w:rPr>
      </w:pPr>
    </w:p>
    <w:tbl>
      <w:tblPr>
        <w:tblStyle w:val="66"/>
        <w:tblW w:w="9300" w:type="dxa"/>
        <w:tblInd w:w="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7"/>
        <w:gridCol w:w="7633"/>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517" w:type="dxa"/>
            <w:vAlign w:val="center"/>
          </w:tcPr>
          <w:p>
            <w:pPr>
              <w:spacing w:line="360" w:lineRule="auto"/>
              <w:outlineLvl w:val="0"/>
              <w:rPr>
                <w:rFonts w:ascii="宋体" w:hAnsi="宋体" w:cs="仿宋_GB2312"/>
                <w:b/>
                <w:sz w:val="24"/>
              </w:rPr>
            </w:pPr>
          </w:p>
        </w:tc>
        <w:tc>
          <w:tcPr>
            <w:tcW w:w="7633" w:type="dxa"/>
            <w:vAlign w:val="center"/>
          </w:tcPr>
          <w:p>
            <w:pPr>
              <w:spacing w:line="360" w:lineRule="auto"/>
              <w:jc w:val="center"/>
              <w:outlineLvl w:val="0"/>
              <w:rPr>
                <w:rFonts w:ascii="宋体" w:hAnsi="宋体" w:cs="仿宋_GB2312"/>
                <w:b/>
                <w:sz w:val="24"/>
              </w:rPr>
            </w:pPr>
            <w:r>
              <w:rPr>
                <w:rFonts w:hint="eastAsia" w:ascii="宋体" w:hAnsi="宋体" w:cs="仿宋_GB2312"/>
                <w:b/>
                <w:sz w:val="24"/>
              </w:rPr>
              <w:t>商务报价分</w:t>
            </w:r>
          </w:p>
        </w:tc>
        <w:tc>
          <w:tcPr>
            <w:tcW w:w="1150" w:type="dxa"/>
            <w:vAlign w:val="center"/>
          </w:tcPr>
          <w:p>
            <w:pPr>
              <w:jc w:val="center"/>
              <w:textAlignment w:val="baseline"/>
              <w:rPr>
                <w:rStyle w:val="969"/>
                <w:rFonts w:ascii="宋体" w:hAnsi="宋体"/>
                <w:b/>
                <w:sz w:val="24"/>
              </w:rPr>
            </w:pPr>
            <w:r>
              <w:rPr>
                <w:rStyle w:val="969"/>
                <w:rFonts w:hint="eastAsia" w:ascii="宋体" w:hAnsi="宋体"/>
                <w:b/>
                <w:sz w:val="24"/>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517" w:type="dxa"/>
            <w:vAlign w:val="center"/>
          </w:tcPr>
          <w:p>
            <w:pPr>
              <w:spacing w:line="360" w:lineRule="auto"/>
              <w:outlineLvl w:val="0"/>
              <w:rPr>
                <w:rFonts w:ascii="宋体" w:hAnsi="宋体" w:cs="仿宋_GB2312"/>
                <w:sz w:val="24"/>
              </w:rPr>
            </w:pPr>
            <w:r>
              <w:rPr>
                <w:rFonts w:hint="eastAsia" w:ascii="宋体" w:hAnsi="宋体" w:cs="仿宋_GB2312"/>
                <w:sz w:val="24"/>
              </w:rPr>
              <w:t>1</w:t>
            </w:r>
          </w:p>
        </w:tc>
        <w:tc>
          <w:tcPr>
            <w:tcW w:w="7633" w:type="dxa"/>
            <w:vAlign w:val="center"/>
          </w:tcPr>
          <w:p>
            <w:pPr>
              <w:spacing w:line="360" w:lineRule="auto"/>
              <w:outlineLvl w:val="0"/>
              <w:rPr>
                <w:rFonts w:ascii="宋体" w:hAnsi="宋体" w:cs="仿宋_GB2312"/>
                <w:sz w:val="24"/>
              </w:rPr>
            </w:pPr>
            <w:r>
              <w:rPr>
                <w:rFonts w:hint="eastAsia" w:ascii="宋体" w:hAnsi="宋体" w:cs="仿宋_GB2312"/>
                <w:sz w:val="24"/>
              </w:rPr>
              <w:t>有效投标报价的最低价作为评标基准价，其最低报价为满分；按［投标报价得分</w:t>
            </w:r>
            <w:r>
              <w:rPr>
                <w:rFonts w:ascii="宋体" w:hAnsi="宋体" w:cs="仿宋_GB2312"/>
                <w:sz w:val="24"/>
              </w:rPr>
              <w:t>=（评标基准价/投标报价）*</w:t>
            </w:r>
            <w:r>
              <w:rPr>
                <w:rFonts w:hint="eastAsia" w:ascii="宋体" w:hAnsi="宋体" w:cs="仿宋_GB2312"/>
                <w:sz w:val="24"/>
              </w:rPr>
              <w:t>1</w:t>
            </w:r>
            <w:r>
              <w:rPr>
                <w:rFonts w:ascii="宋体" w:hAnsi="宋体" w:cs="仿宋_GB2312"/>
                <w:sz w:val="24"/>
              </w:rPr>
              <w:t>0］的计算公式计算。</w:t>
            </w:r>
          </w:p>
          <w:p>
            <w:pPr>
              <w:widowControl/>
              <w:shd w:val="clear" w:color="auto" w:fill="FFFFFF"/>
              <w:adjustRightInd/>
              <w:spacing w:after="225" w:line="315" w:lineRule="atLeast"/>
              <w:rPr>
                <w:rFonts w:ascii="宋体" w:hAnsi="宋体" w:cs="仿宋_GB2312"/>
                <w:sz w:val="24"/>
              </w:rPr>
            </w:pPr>
            <w:r>
              <w:rPr>
                <w:rFonts w:ascii="宋体" w:hAnsi="宋体" w:cs="仿宋_GB2312"/>
                <w:sz w:val="24"/>
              </w:rPr>
              <w:t>评标过程中，不得去掉报价中的最高报价和最低报价。</w:t>
            </w:r>
          </w:p>
          <w:p>
            <w:pPr>
              <w:textAlignment w:val="baseline"/>
              <w:rPr>
                <w:rFonts w:ascii="宋体" w:hAnsi="宋体" w:cs="宋体"/>
                <w:bCs/>
                <w:sz w:val="24"/>
              </w:rPr>
            </w:pPr>
            <w:r>
              <w:rPr>
                <w:rFonts w:ascii="宋体" w:hAnsi="宋体" w:cs="仿宋_GB2312"/>
                <w:sz w:val="24"/>
              </w:rPr>
              <w:t>因落实政府采购政策</w:t>
            </w:r>
            <w:r>
              <w:rPr>
                <w:rFonts w:hint="eastAsia" w:ascii="宋体" w:hAnsi="宋体" w:cs="仿宋_GB2312"/>
                <w:sz w:val="24"/>
              </w:rPr>
              <w:t>需要</w:t>
            </w:r>
            <w:r>
              <w:rPr>
                <w:rFonts w:ascii="宋体" w:hAnsi="宋体" w:cs="仿宋_GB2312"/>
                <w:sz w:val="24"/>
              </w:rPr>
              <w:t>进行价格调整的，以调整后的价格计算评标基准价和投标报价。</w:t>
            </w:r>
          </w:p>
        </w:tc>
        <w:tc>
          <w:tcPr>
            <w:tcW w:w="1150" w:type="dxa"/>
            <w:vAlign w:val="center"/>
          </w:tcPr>
          <w:p>
            <w:pPr>
              <w:jc w:val="center"/>
              <w:textAlignment w:val="baseline"/>
              <w:rPr>
                <w:rFonts w:ascii="宋体" w:hAnsi="宋体"/>
                <w:sz w:val="24"/>
              </w:rPr>
            </w:pPr>
            <w:r>
              <w:rPr>
                <w:rStyle w:val="969"/>
                <w:rFonts w:hint="eastAsia" w:ascii="宋体" w:hAnsi="宋体"/>
                <w:sz w:val="24"/>
              </w:rPr>
              <w:t>10</w:t>
            </w:r>
          </w:p>
        </w:tc>
      </w:tr>
    </w:tbl>
    <w:p>
      <w:pPr>
        <w:pStyle w:val="966"/>
        <w:ind w:firstLine="344"/>
        <w:rPr>
          <w:rFonts w:cs="宋体" w:asciiTheme="minorEastAsia" w:hAnsiTheme="minorEastAsia" w:eastAsiaTheme="minorEastAsia"/>
        </w:rPr>
      </w:pPr>
    </w:p>
    <w:p>
      <w:pPr>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3、商务分+技术分=评标委员会所有成员评分合计数/评标委员会组成人员数</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b/>
          <w:bCs/>
          <w:sz w:val="24"/>
        </w:rPr>
        <w:t>价格分（10分）</w:t>
      </w:r>
      <w:r>
        <w:rPr>
          <w:rFonts w:hint="eastAsia" w:cs="宋体" w:asciiTheme="minorEastAsia" w:hAnsiTheme="minorEastAsia" w:eastAsiaTheme="minorEastAsia"/>
          <w:sz w:val="24"/>
        </w:rPr>
        <w:t>采用低价优先法计算，即满足招标文件要求且投标价格最低的投标报价为评标基准价，其他投标人的价格分按照下列公式计算：</w:t>
      </w:r>
    </w:p>
    <w:p>
      <w:pPr>
        <w:widowControl/>
        <w:adjustRightInd/>
        <w:spacing w:after="225" w:line="315" w:lineRule="atLeast"/>
        <w:ind w:firstLine="1205" w:firstLineChars="500"/>
        <w:jc w:val="left"/>
        <w:rPr>
          <w:rFonts w:asciiTheme="minorEastAsia" w:hAnsiTheme="minorEastAsia" w:eastAsiaTheme="minorEastAsia"/>
          <w:b/>
          <w:bCs/>
          <w:sz w:val="24"/>
        </w:rPr>
      </w:pPr>
      <w:r>
        <w:rPr>
          <w:rFonts w:hint="eastAsia" w:asciiTheme="minorEastAsia" w:hAnsiTheme="minorEastAsia" w:eastAsiaTheme="minorEastAsia"/>
          <w:b/>
          <w:bCs/>
          <w:sz w:val="24"/>
        </w:rPr>
        <w:t>价格分=（评标基准价/投标报价）×10%×100</w:t>
      </w:r>
    </w:p>
    <w:p>
      <w:pPr>
        <w:widowControl/>
        <w:adjustRightInd/>
        <w:spacing w:after="225" w:line="315" w:lineRule="atLeast"/>
        <w:ind w:firstLine="1200" w:firstLineChars="500"/>
        <w:jc w:val="left"/>
        <w:rPr>
          <w:rFonts w:asciiTheme="minorEastAsia" w:hAnsiTheme="minorEastAsia" w:eastAsiaTheme="minorEastAsia"/>
        </w:rPr>
      </w:pPr>
      <w:r>
        <w:rPr>
          <w:rFonts w:hint="eastAsia" w:asciiTheme="minorEastAsia" w:hAnsiTheme="minorEastAsia" w:eastAsiaTheme="minorEastAsia" w:cstheme="majorEastAsia"/>
          <w:sz w:val="24"/>
        </w:rPr>
        <w:t>评标过程中，不得去掉报价中的最高报价和最低报价。</w:t>
      </w:r>
    </w:p>
    <w:p>
      <w:pPr>
        <w:widowControl/>
        <w:adjustRightInd/>
        <w:spacing w:after="225" w:line="315" w:lineRule="atLeast"/>
        <w:ind w:firstLine="482" w:firstLineChars="20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5、投标人评标综合得分=价格分+商务分+技术分</w:t>
      </w:r>
    </w:p>
    <w:p>
      <w:pPr>
        <w:pStyle w:val="967"/>
        <w:snapToGrid w:val="0"/>
        <w:ind w:left="480" w:firstLine="0" w:firstLineChars="0"/>
        <w:rPr>
          <w:rFonts w:asciiTheme="minorEastAsia" w:hAnsiTheme="minorEastAsia" w:eastAsiaTheme="minorEastAsia"/>
          <w:b/>
        </w:rPr>
      </w:pPr>
      <w:r>
        <w:rPr>
          <w:rFonts w:hint="eastAsia" w:asciiTheme="minorEastAsia" w:hAnsiTheme="minorEastAsia" w:eastAsiaTheme="minorEastAsia"/>
          <w:b/>
        </w:rPr>
        <w:t>注：以上所涉及的证明材料，需提供扫描件制作进投标响应文件内，未提供的不得分。</w:t>
      </w:r>
    </w:p>
    <w:p>
      <w:pPr>
        <w:snapToGrid w:val="0"/>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报价是中标的一个重要因素，但最低报价不是中标的唯一依据。</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32"/>
        </w:rPr>
      </w:pP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见评标办法前附表。</w:t>
      </w:r>
    </w:p>
    <w:p>
      <w:pPr>
        <w:spacing w:line="360" w:lineRule="auto"/>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89"/>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89"/>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5"/>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8"/>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5"/>
      <w:bookmarkStart w:id="391" w:name="第五部分"/>
      <w:bookmarkStart w:id="392" w:name="_Toc86217003"/>
    </w:p>
    <w:p>
      <w:pPr>
        <w:pStyle w:val="2"/>
        <w:rPr>
          <w:rFonts w:cs="宋体" w:asciiTheme="minorEastAsia" w:hAnsiTheme="minorEastAsia" w:eastAsiaTheme="minorEastAsia"/>
        </w:rPr>
      </w:pPr>
    </w:p>
    <w:p>
      <w:pPr>
        <w:rPr>
          <w:rFonts w:cs="宋体" w:asciiTheme="minorEastAsia" w:hAnsiTheme="minorEastAsia" w:eastAsiaTheme="minorEastAsia"/>
        </w:rPr>
      </w:pPr>
    </w:p>
    <w:p>
      <w:pPr>
        <w:pStyle w:val="2"/>
      </w:pPr>
    </w:p>
    <w:p/>
    <w:p>
      <w:pPr>
        <w:pStyle w:val="2"/>
      </w:pPr>
    </w:p>
    <w:p/>
    <w:p>
      <w:pPr>
        <w:pStyle w:val="2"/>
      </w:pPr>
    </w:p>
    <w:p/>
    <w:p>
      <w:pPr>
        <w:pStyle w:val="2"/>
      </w:pPr>
    </w:p>
    <w:p/>
    <w:p>
      <w:pPr>
        <w:pStyle w:val="2"/>
      </w:pPr>
    </w:p>
    <w:p/>
    <w:p>
      <w:pPr>
        <w:pStyle w:val="2"/>
      </w:pPr>
    </w:p>
    <w:p>
      <w:pPr>
        <w:pStyle w:val="2"/>
      </w:pPr>
    </w:p>
    <w:p/>
    <w:p>
      <w:pPr>
        <w:rPr>
          <w:rFonts w:ascii="仿宋_GB2312" w:hAnsi="Courier New" w:eastAsia="仿宋_GB2312"/>
          <w:kern w:val="28"/>
          <w:sz w:val="24"/>
        </w:rPr>
      </w:pPr>
    </w:p>
    <w:p>
      <w:pPr>
        <w:pStyle w:val="2"/>
      </w:pPr>
    </w:p>
    <w:p>
      <w:pPr>
        <w:spacing w:line="360" w:lineRule="auto"/>
        <w:ind w:left="720" w:leftChars="343" w:firstLine="1084" w:firstLineChars="300"/>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rPr>
          <w:rFonts w:cs="宋体" w:asciiTheme="minorEastAsia" w:hAnsiTheme="minorEastAsia" w:eastAsiaTheme="minorEastAsia"/>
          <w:sz w:val="24"/>
        </w:rPr>
      </w:pPr>
    </w:p>
    <w:p>
      <w:pPr>
        <w:rPr>
          <w:rFonts w:cs="宋体" w:asciiTheme="minorEastAsia" w:hAnsiTheme="minorEastAsia" w:eastAsiaTheme="minorEastAsia"/>
          <w:sz w:val="24"/>
          <w:u w:val="single"/>
        </w:rPr>
      </w:pPr>
      <w:r>
        <w:rPr>
          <w:rFonts w:hint="eastAsia" w:cs="宋体" w:asciiTheme="minorEastAsia" w:hAnsiTheme="minorEastAsia" w:eastAsiaTheme="minorEastAsia"/>
          <w:sz w:val="24"/>
        </w:rPr>
        <w:t>合同编号：</w:t>
      </w:r>
    </w:p>
    <w:p>
      <w:pPr>
        <w:spacing w:line="480" w:lineRule="auto"/>
        <w:jc w:val="center"/>
        <w:rPr>
          <w:rFonts w:cs="宋体" w:asciiTheme="minorEastAsia" w:hAnsiTheme="minorEastAsia" w:eastAsiaTheme="minorEastAsia"/>
          <w:b/>
          <w:sz w:val="28"/>
          <w:szCs w:val="28"/>
        </w:rPr>
      </w:pPr>
    </w:p>
    <w:p>
      <w:pPr>
        <w:pStyle w:val="2"/>
        <w:ind w:firstLine="562"/>
        <w:rPr>
          <w:rFonts w:cs="宋体" w:asciiTheme="minorEastAsia" w:hAnsiTheme="minorEastAsia" w:eastAsiaTheme="minorEastAsia"/>
          <w:b/>
          <w:sz w:val="28"/>
          <w:szCs w:val="28"/>
        </w:rPr>
      </w:pPr>
    </w:p>
    <w:p>
      <w:pPr>
        <w:rPr>
          <w:rFonts w:cs="宋体" w:asciiTheme="minorEastAsia" w:hAnsiTheme="minorEastAsia" w:eastAsiaTheme="minorEastAsia"/>
          <w:b/>
          <w:sz w:val="28"/>
          <w:szCs w:val="28"/>
        </w:rPr>
      </w:pPr>
    </w:p>
    <w:p>
      <w:pPr>
        <w:pStyle w:val="2"/>
        <w:rPr>
          <w:rFonts w:cs="宋体" w:asciiTheme="minorEastAsia" w:hAnsiTheme="minorEastAsia" w:eastAsiaTheme="minorEastAsia"/>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政府采购合同参考范本（以实际签订为准）</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spacing w:line="480" w:lineRule="auto"/>
        <w:jc w:val="center"/>
        <w:rPr>
          <w:rFonts w:cs="宋体" w:asciiTheme="minorEastAsia" w:hAnsiTheme="minorEastAsia" w:eastAsiaTheme="minorEastAsia"/>
          <w:b/>
        </w:rPr>
      </w:pPr>
    </w:p>
    <w:p>
      <w:pPr>
        <w:pStyle w:val="35"/>
        <w:snapToGrid w:val="0"/>
        <w:spacing w:line="360" w:lineRule="auto"/>
        <w:jc w:val="center"/>
        <w:rPr>
          <w:rFonts w:cs="宋体" w:asciiTheme="minorEastAsia" w:hAnsiTheme="minorEastAsia" w:eastAsiaTheme="minorEastAsia"/>
          <w:b/>
          <w:bCs/>
          <w:sz w:val="24"/>
          <w:szCs w:val="24"/>
        </w:rPr>
      </w:pPr>
      <w:bookmarkStart w:id="393" w:name="_Toc295465365"/>
      <w:bookmarkEnd w:id="393"/>
    </w:p>
    <w:p>
      <w:pPr>
        <w:pStyle w:val="35"/>
        <w:snapToGrid w:val="0"/>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（本合同为合同样稿，最终稿由双方协商后确定）</w:t>
      </w:r>
    </w:p>
    <w:p>
      <w:pPr>
        <w:pStyle w:val="35"/>
        <w:snapToGrid w:val="0"/>
        <w:spacing w:line="360" w:lineRule="auto"/>
        <w:jc w:val="center"/>
        <w:rPr>
          <w:rFonts w:cs="宋体"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合同编号：</w:t>
      </w:r>
    </w:p>
    <w:p>
      <w:pPr>
        <w:autoSpaceDE w:val="0"/>
        <w:autoSpaceDN w:val="0"/>
        <w:snapToGrid w:val="0"/>
        <w:spacing w:line="360" w:lineRule="auto"/>
        <w:ind w:firstLine="436" w:firstLineChars="182"/>
        <w:rPr>
          <w:rFonts w:asciiTheme="minorEastAsia" w:hAnsiTheme="minorEastAsia" w:eastAsiaTheme="minorEastAsia"/>
          <w:sz w:val="24"/>
        </w:rPr>
      </w:pPr>
      <w:r>
        <w:rPr>
          <w:rFonts w:asciiTheme="minorEastAsia" w:hAnsiTheme="minorEastAsia" w:eastAsiaTheme="minorEastAsia"/>
          <w:sz w:val="24"/>
        </w:rPr>
        <w:t>项目名称：</w:t>
      </w:r>
    </w:p>
    <w:p>
      <w:pPr>
        <w:pStyle w:val="35"/>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招标编号：</w:t>
      </w:r>
    </w:p>
    <w:p>
      <w:pPr>
        <w:pStyle w:val="35"/>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甲方：</w:t>
      </w:r>
    </w:p>
    <w:p>
      <w:pPr>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乙方：</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甲、乙双方根据</w:t>
      </w:r>
      <w:r>
        <w:rPr>
          <w:rFonts w:hint="eastAsia" w:asciiTheme="minorEastAsia" w:hAnsiTheme="minorEastAsia" w:eastAsiaTheme="minorEastAsia"/>
          <w:sz w:val="24"/>
          <w:szCs w:val="24"/>
        </w:rPr>
        <w:t>政府采购</w:t>
      </w:r>
      <w:r>
        <w:rPr>
          <w:rFonts w:asciiTheme="minorEastAsia" w:hAnsiTheme="minorEastAsia" w:eastAsiaTheme="minorEastAsia"/>
          <w:sz w:val="24"/>
          <w:szCs w:val="24"/>
        </w:rPr>
        <w:t>公开招标的结果，</w:t>
      </w:r>
      <w:r>
        <w:rPr>
          <w:rFonts w:hint="eastAsia" w:asciiTheme="minorEastAsia" w:hAnsiTheme="minorEastAsia" w:eastAsiaTheme="minorEastAsia"/>
          <w:sz w:val="24"/>
          <w:szCs w:val="24"/>
        </w:rPr>
        <w:t>依照《中华人民共和国民法典》及其他有关法律、法规，遵循平等、自愿、公平和诚实信用的原则，双方就本项目事项协商一致，订立本合同。</w:t>
      </w:r>
    </w:p>
    <w:p>
      <w:pPr>
        <w:pStyle w:val="9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一、服务内容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详见采购需求。</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二、项目技术规范和服务要求</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    按采购文件要求。</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三、合同金额</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标项合同金额为（大写） 元，（￥ 元）人民币。</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四、技术资料</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1、乙方应按招标文件规定的时间向甲方提供有关技术资料。</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3、乙方应履行保密义务，对于所有与甲方有关的资料和信息，乙方均应作为秘密信息对待。除非甲方事先通知许可，双方均承诺不将对方取得的信息披露或透露给无关人员。</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4、乙方应按规定与队员订立书面劳动合同，并为队员统一缴纳社保。</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五、知识产权</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乙方应保证提供服务过程中不会侵犯任何第三方的知识产权。</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六、履约保证金</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合同签订前乙方需向甲方提交中标总额</w:t>
      </w:r>
      <w:r>
        <w:rPr>
          <w:rFonts w:asciiTheme="minorEastAsia" w:hAnsiTheme="minorEastAsia" w:eastAsiaTheme="minorEastAsia"/>
          <w:sz w:val="24"/>
          <w:szCs w:val="24"/>
        </w:rPr>
        <w:t>1%</w:t>
      </w:r>
      <w:r>
        <w:rPr>
          <w:rFonts w:hint="eastAsia" w:asciiTheme="minorEastAsia" w:hAnsiTheme="minorEastAsia" w:eastAsiaTheme="minorEastAsia"/>
          <w:sz w:val="24"/>
          <w:szCs w:val="24"/>
        </w:rPr>
        <w:t>的履约保证金或银行、担保机构保函，在服务期满后三十天内退还（不计息）。</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七、转包或分包</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1、本合同范围的服务，应由乙方直接供应，不得转让他人供应；</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2、除非得到甲方的书面同意，乙方不得将本合同范围的服务全部或部分分包给他人供应；</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3、如有转让和未经甲方同意的分包行为，甲方有权解除合同，没收履约保证金并追究乙方的违约责任。</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八、合同履行时间、履行方式及履行地点</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、履行时间：（2022年月日-</w:t>
      </w:r>
      <w:r>
        <w:rPr>
          <w:rFonts w:asciiTheme="minorEastAsia" w:hAnsiTheme="minorEastAsia" w:eastAsiaTheme="minorEastAsia"/>
          <w:sz w:val="24"/>
          <w:szCs w:val="24"/>
        </w:rPr>
        <w:t>202</w:t>
      </w:r>
      <w:r>
        <w:rPr>
          <w:rFonts w:hint="eastAsia" w:asciiTheme="minorEastAsia" w:hAnsiTheme="minorEastAsia" w:eastAsiaTheme="minorEastAsia"/>
          <w:sz w:val="24"/>
          <w:szCs w:val="24"/>
        </w:rPr>
        <w:t>4年月日）；</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2、履行</w:t>
      </w:r>
      <w:r>
        <w:rPr>
          <w:rFonts w:asciiTheme="minorEastAsia" w:hAnsiTheme="minorEastAsia" w:eastAsiaTheme="minorEastAsia"/>
          <w:sz w:val="24"/>
          <w:szCs w:val="24"/>
        </w:rPr>
        <w:t>地点：</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九、款项支付：</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w:t>
      </w:r>
      <w:r>
        <w:rPr>
          <w:rFonts w:cs="宋体" w:asciiTheme="minorEastAsia" w:hAnsiTheme="minorEastAsia" w:eastAsiaTheme="minorEastAsia"/>
          <w:sz w:val="24"/>
        </w:rPr>
        <w:t>进度款支付：一般每三个月（季度）支付一次养护费用</w:t>
      </w:r>
      <w:r>
        <w:rPr>
          <w:rFonts w:hint="eastAsia" w:cs="宋体" w:asciiTheme="minorEastAsia" w:hAnsiTheme="minorEastAsia" w:eastAsiaTheme="minorEastAsia"/>
          <w:sz w:val="24"/>
        </w:rPr>
        <w:t>，首季支付合同养护款的20%，余下每个季度支付合同养护款的10%，直至付至合同养护款的90%，余下10%待合同期满经验收合格后付清；更新改造费经第三方审计后根据审定金额支付，总额不超投标价部分。</w:t>
      </w:r>
      <w:r>
        <w:rPr>
          <w:rFonts w:cs="宋体" w:asciiTheme="minorEastAsia" w:hAnsiTheme="minorEastAsia" w:eastAsiaTheme="minorEastAsia"/>
          <w:sz w:val="24"/>
        </w:rPr>
        <w:t>招标人根据</w:t>
      </w:r>
      <w:r>
        <w:rPr>
          <w:rFonts w:hint="eastAsia" w:cs="宋体" w:asciiTheme="minorEastAsia" w:hAnsiTheme="minorEastAsia" w:eastAsiaTheme="minorEastAsia"/>
          <w:sz w:val="24"/>
        </w:rPr>
        <w:t>考核评分细则</w:t>
      </w:r>
      <w:r>
        <w:rPr>
          <w:rFonts w:cs="宋体" w:asciiTheme="minorEastAsia" w:hAnsiTheme="minorEastAsia" w:eastAsiaTheme="minorEastAsia"/>
          <w:sz w:val="24"/>
        </w:rPr>
        <w:t>等考核文件对承包人的养护管理项目进行考核，并根据每季度考核结果支付相应养护费用。</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w:t>
      </w:r>
      <w:r>
        <w:rPr>
          <w:rFonts w:cs="宋体" w:asciiTheme="minorEastAsia" w:hAnsiTheme="minorEastAsia" w:eastAsiaTheme="minorEastAsia"/>
          <w:sz w:val="24"/>
        </w:rPr>
        <w:t>合同期内，因道路施工、绿化移交、项目施工等客观原因导致绿化养护工程量发生变化的，费用按实际工程量和养护时间结算；处于缺陷责任期道路的养护以甲方正式通知为准，并以乙方实际养护之日起算。</w:t>
      </w:r>
    </w:p>
    <w:p>
      <w:pPr>
        <w:snapToGrid w:val="0"/>
        <w:spacing w:line="360" w:lineRule="auto"/>
        <w:ind w:firstLine="480" w:firstLineChars="200"/>
        <w:rPr>
          <w:rFonts w:asciiTheme="minorEastAsia" w:hAnsiTheme="minorEastAsia" w:eastAsiaTheme="minorEastAsia"/>
          <w:b/>
          <w:bCs/>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w:t>
      </w:r>
      <w:r>
        <w:rPr>
          <w:rFonts w:cs="宋体" w:asciiTheme="minorEastAsia" w:hAnsiTheme="minorEastAsia" w:eastAsiaTheme="minorEastAsia"/>
          <w:sz w:val="24"/>
        </w:rPr>
        <w:t>合同期内，如有道路等级标准提高的，按新等级标准要求进行相应养护等级规定的作业并签订补充协议，不另行招标。</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十、税费</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本合同执行中相关的一切税费均由乙方负担。</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十一、保险</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（1）第三者责任保险</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乙方应对乙方人员以及第三方全权责任（如乙方应投保第三责任险），在乙方的责任区内由于乙方原因导致自己员工或者第三方的事故由乙方负责，甲方不承担任何责任。</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（2）员工人身意外</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在承包期内，乙方所有人员的事故由乙方自行全权负责（如乙方应对其员工投保人身意外险），以保证甲方在乙方工作人员索赔时不受任何责任的约束。</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（3）其他保险及费用</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乙方须按劳动合同法和政府有关各部门规定为全体服务人员交纳所有相关的社会保险及其他相关费用，乙方对此全权负责。</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十二、质量保证及后续服务</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1、乙方应按招标文件规定向甲方提供服务。</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2、乙方提供的服务成果在服务质量保证期内发生故障，乙方应负责免费提供后续服务。对达不到要求者，根据实际情况，经双方协商，可按以下办法处理：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（1）重做：由乙方承担所发生的全部费用。</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（2）解除合同。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3、在服务质量保证期内，乙方应对出现的质量及安全问题负责处理解决并承担一切费用。</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十三、违约责任</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1、甲方无正当理由拒收接受服务的，甲方向乙方偿付合同款项百分之五作为违约金。</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十四、不可抗力事件处理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1、在合同有效期内，任何一方因不可抗力事件导致不能履行合同，则合同履行期可延长，其延长期与不可抗力影响期相同。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2、不可抗力事件发生后，应立即通知对方，并寄送有关权威机构出具的证明。</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3、不可抗力事件延续120天以上，双方应通过友好协商，确定是否继续履行合同。</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十五、诉讼</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双方在执行合同中所发生的一切争议，应通过协商解决。如协商不成，可向甲方所在地法院起诉。</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十六、合同生效及其它</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、合同经双方法定代表人或授权代表签字并加盖单位公章后生效。</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合同执行中涉及采购资金和采购内容修改或补充的，须经财政部门审批，并签书面补充协议报政府采购监督管理部门备案，方可作为主合同不可分割的一部分。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3、招标文件、投标文件及评标过程中形成的文字资料、询标纪要均作为本合同的组成部分，具有同等效力。本合同未尽事宜，遵照《合同法》有关条文执行。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4、本合同一式肆份，具有同等法律效力，甲乙双方各执两份。</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                             乙方（盖章）：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                              法定代表人：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或受委托人（签字）：                       或受委托人（签字）：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                                  联系人：</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地址：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                                    电话：</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                                    传真：</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帐号：                                    帐号：</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签订时间：                                签订时间：</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rPr>
          <w:rFonts w:cs="宋体" w:asciiTheme="minorEastAsia" w:hAnsiTheme="minorEastAsia" w:eastAsiaTheme="minorEastAsia"/>
        </w:rPr>
      </w:pPr>
    </w:p>
    <w:p>
      <w:pPr>
        <w:pStyle w:val="968"/>
        <w:rPr>
          <w:rFonts w:cs="宋体" w:asciiTheme="minorEastAsia" w:hAnsiTheme="minorEastAsia" w:eastAsiaTheme="minorEastAsia"/>
        </w:rPr>
      </w:pPr>
    </w:p>
    <w:p>
      <w:pPr>
        <w:spacing w:line="360" w:lineRule="auto"/>
        <w:ind w:left="720" w:firstLine="723" w:firstLineChars="200"/>
        <w:outlineLvl w:val="0"/>
        <w:rPr>
          <w:rFonts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1"/>
      <w:bookmarkEnd w:id="392"/>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（1）符合参加政府采购活动应当具备的一般条件的承诺函……………（页码）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（2）落实政府采购政策需满足的资格要求………………………………（页码）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（3）本项目的特定资格要求………………………………………………（页码）</w:t>
      </w:r>
    </w:p>
    <w:p>
      <w:pPr>
        <w:snapToGrid w:val="0"/>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联合协议</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w:t>
      </w: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firstLine="480" w:firstLineChars="200"/>
        <w:rPr>
          <w:rFonts w:cs="宋体"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5"/>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spacing w:line="360" w:lineRule="auto"/>
        <w:ind w:left="150"/>
        <w:jc w:val="cente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
      <w:pPr>
        <w:spacing w:line="360" w:lineRule="auto"/>
        <w:jc w:val="center"/>
        <w:outlineLvl w:val="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24"/>
        </w:rPr>
      </w:pPr>
    </w:p>
    <w:p>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…………………………………………………………………………………（页码）</w:t>
      </w:r>
      <w:r>
        <w:rPr>
          <w:rFonts w:hint="eastAsia"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（3）联合协议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（5）符合性审查资料</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（7）商务技术偏离表</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…………………………………………………（页码）</w:t>
      </w: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2.2.3联合协议（如果有）；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2.2.4分包意向协议（如果有）；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u w:val="single"/>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pStyle w:val="2"/>
        <w:ind w:firstLine="643"/>
        <w:rPr>
          <w:rFonts w:cs="宋体" w:asciiTheme="minorEastAsia" w:hAnsiTheme="minorEastAsia" w:eastAsiaTheme="minorEastAsia"/>
          <w:b/>
          <w:kern w:val="0"/>
          <w:sz w:val="32"/>
          <w:szCs w:val="32"/>
          <w:lang w:val="zh-CN"/>
        </w:rPr>
      </w:pPr>
    </w:p>
    <w:p>
      <w:pPr>
        <w:rPr>
          <w:rFonts w:cs="宋体" w:asciiTheme="minorEastAsia" w:hAnsiTheme="minorEastAsia" w:eastAsiaTheme="minorEastAsia"/>
          <w:b/>
          <w:kern w:val="0"/>
          <w:sz w:val="32"/>
          <w:szCs w:val="32"/>
          <w:lang w:val="zh-CN"/>
        </w:rPr>
      </w:pPr>
    </w:p>
    <w:p>
      <w:pPr>
        <w:pStyle w:val="2"/>
        <w:rPr>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授权委托书（适用于联合体投标）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91"/>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91"/>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pStyle w:val="2"/>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5"/>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u w:val="single"/>
        </w:rPr>
        <w:t>（分包供应商名称）提供的货物全部由小微企业制造，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五、符合性审查资料</w:t>
      </w:r>
    </w:p>
    <w:p>
      <w:pPr>
        <w:jc w:val="center"/>
        <w:rPr>
          <w:rFonts w:cs="宋体" w:asciiTheme="minorEastAsia" w:hAnsiTheme="minorEastAsia" w:eastAsiaTheme="minorEastAsia"/>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5"/>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六、评标标准相应的商务技术资料</w:t>
      </w:r>
    </w:p>
    <w:p>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
      <w:pPr>
        <w:ind w:firstLine="2891" w:firstLineChars="900"/>
        <w:rPr>
          <w:rFonts w:cs="宋体" w:asciiTheme="minorEastAsia" w:hAnsiTheme="minorEastAsia" w:eastAsiaTheme="minorEastAsia"/>
          <w:b/>
          <w:kern w:val="0"/>
          <w:sz w:val="32"/>
          <w:szCs w:val="32"/>
        </w:r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numPr>
          <w:ilvl w:val="0"/>
          <w:numId w:val="6"/>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（2）报价明细清单………………………………………………………………（页码）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（3）中小企业声明函………………………………………………………………（页码）</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pStyle w:val="38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pStyle w:val="974"/>
        <w:numPr>
          <w:ilvl w:val="0"/>
          <w:numId w:val="7"/>
        </w:numPr>
        <w:spacing w:line="360" w:lineRule="auto"/>
        <w:ind w:firstLineChars="0"/>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开标一览表(单位均为人民币元)</w:t>
      </w:r>
    </w:p>
    <w:tbl>
      <w:tblPr>
        <w:tblStyle w:val="66"/>
        <w:tblW w:w="1276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60"/>
        <w:gridCol w:w="4245"/>
        <w:gridCol w:w="1784"/>
        <w:gridCol w:w="1784"/>
        <w:gridCol w:w="1219"/>
        <w:gridCol w:w="1404"/>
        <w:gridCol w:w="147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80" w:hRule="atLeast"/>
          <w:tblHeader/>
          <w:jc w:val="center"/>
        </w:trPr>
        <w:tc>
          <w:tcPr>
            <w:tcW w:w="860" w:type="dxa"/>
            <w:tcBorders>
              <w:top w:val="single" w:color="000000" w:sz="4" w:space="0"/>
              <w:left w:val="single" w:color="000000" w:sz="4" w:space="0"/>
              <w:bottom w:val="single" w:color="000000" w:sz="6" w:space="0"/>
              <w:right w:val="single" w:color="000000" w:sz="4" w:space="0"/>
            </w:tcBorders>
          </w:tcPr>
          <w:p>
            <w:pPr>
              <w:jc w:val="center"/>
              <w:rPr>
                <w:rStyle w:val="969"/>
                <w:rFonts w:ascii="宋体" w:hAnsi="宋体" w:cs="宋体"/>
                <w:b/>
                <w:bCs/>
                <w:sz w:val="24"/>
                <w:lang w:val="en-GB"/>
              </w:rPr>
            </w:pPr>
          </w:p>
          <w:p>
            <w:pPr>
              <w:jc w:val="center"/>
              <w:rPr>
                <w:rStyle w:val="969"/>
                <w:rFonts w:ascii="宋体" w:hAnsi="宋体" w:cs="宋体"/>
                <w:b/>
                <w:bCs/>
                <w:sz w:val="24"/>
                <w:lang w:val="en-GB"/>
              </w:rPr>
            </w:pPr>
            <w:r>
              <w:rPr>
                <w:rStyle w:val="969"/>
                <w:rFonts w:hint="eastAsia" w:ascii="宋体" w:hAnsi="宋体" w:cs="宋体"/>
                <w:b/>
                <w:bCs/>
                <w:sz w:val="24"/>
                <w:lang w:val="en-GB"/>
              </w:rPr>
              <w:t>序号</w:t>
            </w:r>
          </w:p>
        </w:tc>
        <w:tc>
          <w:tcPr>
            <w:tcW w:w="4245" w:type="dxa"/>
            <w:tcBorders>
              <w:top w:val="single" w:color="000000" w:sz="4" w:space="0"/>
              <w:left w:val="single" w:color="000000" w:sz="4" w:space="0"/>
              <w:bottom w:val="single" w:color="000000" w:sz="6" w:space="0"/>
              <w:right w:val="single" w:color="000000" w:sz="4" w:space="0"/>
            </w:tcBorders>
            <w:vAlign w:val="center"/>
          </w:tcPr>
          <w:p>
            <w:pPr>
              <w:jc w:val="center"/>
              <w:rPr>
                <w:rStyle w:val="969"/>
                <w:rFonts w:ascii="宋体" w:hAnsi="宋体" w:cs="宋体"/>
                <w:b/>
                <w:bCs/>
                <w:sz w:val="24"/>
                <w:lang w:val="en-GB"/>
              </w:rPr>
            </w:pPr>
            <w:r>
              <w:rPr>
                <w:rStyle w:val="969"/>
                <w:rFonts w:hint="eastAsia" w:ascii="宋体" w:hAnsi="宋体" w:cs="宋体"/>
                <w:b/>
                <w:bCs/>
                <w:sz w:val="24"/>
                <w:lang w:val="en-GB"/>
              </w:rPr>
              <w:t>项目名称</w:t>
            </w:r>
          </w:p>
        </w:tc>
        <w:tc>
          <w:tcPr>
            <w:tcW w:w="1784" w:type="dxa"/>
            <w:tcBorders>
              <w:top w:val="single" w:color="000000" w:sz="4" w:space="0"/>
              <w:left w:val="single" w:color="000000" w:sz="4" w:space="0"/>
              <w:bottom w:val="single" w:color="000000" w:sz="6" w:space="0"/>
              <w:right w:val="single" w:color="000000" w:sz="4" w:space="0"/>
            </w:tcBorders>
            <w:vAlign w:val="center"/>
          </w:tcPr>
          <w:p>
            <w:pPr>
              <w:jc w:val="center"/>
              <w:rPr>
                <w:rStyle w:val="969"/>
                <w:rFonts w:ascii="宋体" w:hAnsi="宋体"/>
                <w:sz w:val="24"/>
              </w:rPr>
            </w:pPr>
            <w:r>
              <w:rPr>
                <w:rStyle w:val="969"/>
                <w:rFonts w:hint="eastAsia" w:ascii="宋体" w:hAnsi="宋体"/>
                <w:sz w:val="24"/>
              </w:rPr>
              <w:t>养护类别</w:t>
            </w:r>
          </w:p>
        </w:tc>
        <w:tc>
          <w:tcPr>
            <w:tcW w:w="1784" w:type="dxa"/>
            <w:tcBorders>
              <w:top w:val="single" w:color="000000" w:sz="4" w:space="0"/>
              <w:left w:val="single" w:color="000000" w:sz="4" w:space="0"/>
              <w:bottom w:val="single" w:color="000000" w:sz="6" w:space="0"/>
              <w:right w:val="single" w:color="000000" w:sz="4" w:space="0"/>
            </w:tcBorders>
            <w:vAlign w:val="center"/>
          </w:tcPr>
          <w:p>
            <w:pPr>
              <w:jc w:val="center"/>
              <w:rPr>
                <w:rStyle w:val="969"/>
                <w:rFonts w:ascii="宋体" w:hAnsi="宋体"/>
                <w:sz w:val="24"/>
              </w:rPr>
            </w:pPr>
            <w:r>
              <w:rPr>
                <w:rStyle w:val="969"/>
                <w:rFonts w:hint="eastAsia" w:ascii="宋体" w:hAnsi="宋体"/>
                <w:sz w:val="24"/>
              </w:rPr>
              <w:t>绿化养护面积（㎡）</w:t>
            </w:r>
          </w:p>
        </w:tc>
        <w:tc>
          <w:tcPr>
            <w:tcW w:w="1219" w:type="dxa"/>
            <w:tcBorders>
              <w:top w:val="single" w:color="000000" w:sz="4" w:space="0"/>
              <w:left w:val="single" w:color="000000" w:sz="4" w:space="0"/>
              <w:bottom w:val="single" w:color="000000" w:sz="6" w:space="0"/>
              <w:right w:val="single" w:color="000000" w:sz="4" w:space="0"/>
            </w:tcBorders>
            <w:vAlign w:val="center"/>
          </w:tcPr>
          <w:p>
            <w:pPr>
              <w:jc w:val="center"/>
              <w:rPr>
                <w:rStyle w:val="969"/>
                <w:rFonts w:ascii="宋体" w:hAnsi="宋体"/>
                <w:sz w:val="24"/>
              </w:rPr>
            </w:pPr>
            <w:r>
              <w:rPr>
                <w:rStyle w:val="969"/>
                <w:rFonts w:hint="eastAsia" w:ascii="宋体" w:hAnsi="宋体"/>
                <w:sz w:val="24"/>
              </w:rPr>
              <w:t>单价</w:t>
            </w:r>
          </w:p>
          <w:p>
            <w:pPr>
              <w:jc w:val="center"/>
              <w:rPr>
                <w:rStyle w:val="969"/>
                <w:rFonts w:ascii="宋体" w:hAnsi="宋体"/>
                <w:sz w:val="24"/>
              </w:rPr>
            </w:pPr>
            <w:r>
              <w:rPr>
                <w:rStyle w:val="969"/>
                <w:rFonts w:hint="eastAsia" w:ascii="宋体" w:hAnsi="宋体"/>
                <w:sz w:val="24"/>
              </w:rPr>
              <w:t>（元/年*㎡）</w:t>
            </w:r>
          </w:p>
        </w:tc>
        <w:tc>
          <w:tcPr>
            <w:tcW w:w="1404" w:type="dxa"/>
            <w:tcBorders>
              <w:top w:val="single" w:color="000000" w:sz="4" w:space="0"/>
              <w:left w:val="single" w:color="000000" w:sz="4" w:space="0"/>
              <w:bottom w:val="single" w:color="000000" w:sz="6" w:space="0"/>
              <w:right w:val="single" w:color="000000" w:sz="4" w:space="0"/>
            </w:tcBorders>
            <w:vAlign w:val="center"/>
          </w:tcPr>
          <w:p>
            <w:pPr>
              <w:jc w:val="center"/>
              <w:rPr>
                <w:rStyle w:val="969"/>
                <w:rFonts w:ascii="宋体" w:hAnsi="宋体"/>
                <w:sz w:val="24"/>
                <w:lang w:val="en-GB"/>
              </w:rPr>
            </w:pPr>
            <w:r>
              <w:rPr>
                <w:rStyle w:val="969"/>
                <w:rFonts w:hint="eastAsia" w:ascii="宋体" w:hAnsi="宋体"/>
                <w:sz w:val="24"/>
              </w:rPr>
              <w:t>服务期限（年）</w:t>
            </w:r>
          </w:p>
        </w:tc>
        <w:tc>
          <w:tcPr>
            <w:tcW w:w="1471" w:type="dxa"/>
            <w:tcBorders>
              <w:top w:val="single" w:color="000000" w:sz="4" w:space="0"/>
              <w:left w:val="single" w:color="000000" w:sz="4" w:space="0"/>
              <w:bottom w:val="single" w:color="000000" w:sz="6" w:space="0"/>
              <w:right w:val="single" w:color="000000" w:sz="4" w:space="0"/>
            </w:tcBorders>
            <w:vAlign w:val="center"/>
          </w:tcPr>
          <w:p>
            <w:pPr>
              <w:jc w:val="center"/>
              <w:rPr>
                <w:rStyle w:val="969"/>
                <w:rFonts w:ascii="宋体" w:hAnsi="宋体"/>
                <w:sz w:val="24"/>
              </w:rPr>
            </w:pPr>
            <w:r>
              <w:rPr>
                <w:rStyle w:val="969"/>
                <w:rFonts w:hint="eastAsia" w:ascii="宋体" w:hAnsi="宋体"/>
                <w:sz w:val="24"/>
              </w:rPr>
              <w:t>合价（元）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80" w:hRule="atLeast"/>
          <w:jc w:val="center"/>
        </w:trPr>
        <w:tc>
          <w:tcPr>
            <w:tcW w:w="860" w:type="dxa"/>
            <w:tcBorders>
              <w:top w:val="single" w:color="000000" w:sz="6" w:space="0"/>
              <w:left w:val="single" w:color="000000" w:sz="4" w:space="0"/>
              <w:bottom w:val="single" w:color="000000" w:sz="6" w:space="0"/>
              <w:right w:val="single" w:color="000000" w:sz="4" w:space="0"/>
            </w:tcBorders>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245" w:type="dxa"/>
            <w:tcBorders>
              <w:top w:val="single" w:color="000000" w:sz="6" w:space="0"/>
              <w:left w:val="single" w:color="000000" w:sz="4" w:space="0"/>
              <w:bottom w:val="single" w:color="000000" w:sz="6" w:space="0"/>
              <w:right w:val="single" w:color="000000" w:sz="4" w:space="0"/>
            </w:tcBorders>
            <w:vAlign w:val="center"/>
          </w:tcPr>
          <w:p>
            <w:pPr>
              <w:jc w:val="center"/>
              <w:rPr>
                <w:rStyle w:val="969"/>
                <w:rFonts w:ascii="宋体" w:hAnsi="宋体"/>
                <w:sz w:val="24"/>
                <w:lang w:val="en-GB"/>
              </w:rPr>
            </w:pPr>
            <w:r>
              <w:rPr>
                <w:rFonts w:hint="eastAsia" w:cs="宋体" w:asciiTheme="minorEastAsia" w:hAnsiTheme="minorEastAsia" w:eastAsiaTheme="minorEastAsia"/>
                <w:sz w:val="24"/>
              </w:rPr>
              <w:t>乔司街道北沙港绿道绿化养护项目</w:t>
            </w:r>
          </w:p>
        </w:tc>
        <w:tc>
          <w:tcPr>
            <w:tcW w:w="1784" w:type="dxa"/>
            <w:tcBorders>
              <w:top w:val="single" w:color="000000" w:sz="6" w:space="0"/>
              <w:left w:val="single" w:color="000000" w:sz="4" w:space="0"/>
              <w:bottom w:val="single" w:color="000000" w:sz="6" w:space="0"/>
              <w:right w:val="single" w:color="000000" w:sz="4" w:space="0"/>
            </w:tcBorders>
            <w:vAlign w:val="center"/>
          </w:tcPr>
          <w:p>
            <w:pPr>
              <w:jc w:val="center"/>
              <w:rPr>
                <w:rStyle w:val="969"/>
                <w:rFonts w:ascii="宋体" w:hAnsi="宋体"/>
                <w:sz w:val="24"/>
              </w:rPr>
            </w:pPr>
            <w:r>
              <w:rPr>
                <w:rStyle w:val="969"/>
                <w:rFonts w:hint="eastAsia" w:ascii="宋体" w:hAnsi="宋体"/>
                <w:sz w:val="24"/>
              </w:rPr>
              <w:t>绿化养护</w:t>
            </w:r>
          </w:p>
        </w:tc>
        <w:tc>
          <w:tcPr>
            <w:tcW w:w="1784" w:type="dxa"/>
            <w:tcBorders>
              <w:top w:val="single" w:color="000000" w:sz="6" w:space="0"/>
              <w:left w:val="single" w:color="000000" w:sz="4" w:space="0"/>
              <w:bottom w:val="single" w:color="000000" w:sz="6" w:space="0"/>
              <w:right w:val="single" w:color="000000" w:sz="4" w:space="0"/>
            </w:tcBorders>
            <w:vAlign w:val="center"/>
          </w:tcPr>
          <w:p>
            <w:pPr>
              <w:jc w:val="center"/>
              <w:rPr>
                <w:rStyle w:val="969"/>
                <w:rFonts w:ascii="宋体" w:hAnsi="宋体"/>
                <w:sz w:val="24"/>
              </w:rPr>
            </w:pPr>
            <w:r>
              <w:rPr>
                <w:rFonts w:asciiTheme="minorEastAsia" w:hAnsiTheme="minorEastAsia"/>
                <w:b/>
                <w:sz w:val="24"/>
              </w:rPr>
              <w:t>107270</w:t>
            </w:r>
          </w:p>
        </w:tc>
        <w:tc>
          <w:tcPr>
            <w:tcW w:w="1219" w:type="dxa"/>
            <w:tcBorders>
              <w:top w:val="single" w:color="000000" w:sz="6" w:space="0"/>
              <w:left w:val="single" w:color="000000" w:sz="4" w:space="0"/>
              <w:bottom w:val="single" w:color="000000" w:sz="6" w:space="0"/>
              <w:right w:val="single" w:color="000000" w:sz="4" w:space="0"/>
            </w:tcBorders>
            <w:vAlign w:val="center"/>
          </w:tcPr>
          <w:p>
            <w:pPr>
              <w:jc w:val="center"/>
              <w:rPr>
                <w:rStyle w:val="969"/>
                <w:rFonts w:ascii="宋体" w:hAnsi="宋体"/>
                <w:sz w:val="24"/>
              </w:rPr>
            </w:pPr>
          </w:p>
        </w:tc>
        <w:tc>
          <w:tcPr>
            <w:tcW w:w="1404" w:type="dxa"/>
            <w:tcBorders>
              <w:top w:val="single" w:color="000000" w:sz="6" w:space="0"/>
              <w:left w:val="single" w:color="000000" w:sz="4" w:space="0"/>
              <w:bottom w:val="single" w:color="000000" w:sz="6" w:space="0"/>
              <w:right w:val="single" w:color="000000" w:sz="4" w:space="0"/>
            </w:tcBorders>
            <w:vAlign w:val="center"/>
          </w:tcPr>
          <w:p>
            <w:pPr>
              <w:jc w:val="center"/>
              <w:rPr>
                <w:rStyle w:val="969"/>
                <w:rFonts w:ascii="宋体" w:hAnsi="宋体"/>
                <w:sz w:val="24"/>
              </w:rPr>
            </w:pPr>
            <w:r>
              <w:rPr>
                <w:rStyle w:val="969"/>
                <w:rFonts w:hint="eastAsia" w:ascii="宋体" w:hAnsi="宋体"/>
                <w:sz w:val="24"/>
              </w:rPr>
              <w:t>2</w:t>
            </w:r>
          </w:p>
        </w:tc>
        <w:tc>
          <w:tcPr>
            <w:tcW w:w="1471" w:type="dxa"/>
            <w:tcBorders>
              <w:top w:val="single" w:color="000000" w:sz="6" w:space="0"/>
              <w:left w:val="single" w:color="000000" w:sz="4" w:space="0"/>
              <w:bottom w:val="single" w:color="000000" w:sz="6" w:space="0"/>
              <w:right w:val="single" w:color="000000" w:sz="4" w:space="0"/>
            </w:tcBorders>
            <w:vAlign w:val="center"/>
          </w:tcPr>
          <w:p>
            <w:pPr>
              <w:jc w:val="center"/>
              <w:rPr>
                <w:rStyle w:val="969"/>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80" w:hRule="atLeast"/>
          <w:jc w:val="center"/>
        </w:trPr>
        <w:tc>
          <w:tcPr>
            <w:tcW w:w="860" w:type="dxa"/>
            <w:tcBorders>
              <w:top w:val="single" w:color="000000" w:sz="6" w:space="0"/>
              <w:left w:val="single" w:color="000000" w:sz="4" w:space="0"/>
              <w:bottom w:val="single" w:color="000000" w:sz="4" w:space="0"/>
              <w:right w:val="single" w:color="000000" w:sz="4" w:space="0"/>
            </w:tcBorders>
          </w:tcPr>
          <w:p>
            <w:pPr>
              <w:jc w:val="center"/>
              <w:rPr>
                <w:rStyle w:val="969"/>
                <w:rFonts w:ascii="宋体" w:hAnsi="宋体"/>
                <w:sz w:val="24"/>
                <w:lang w:val="en-GB"/>
              </w:rPr>
            </w:pPr>
            <w:r>
              <w:rPr>
                <w:rStyle w:val="969"/>
                <w:rFonts w:hint="eastAsia" w:ascii="宋体" w:hAnsi="宋体"/>
                <w:sz w:val="24"/>
                <w:lang w:val="en-GB"/>
              </w:rPr>
              <w:t>2</w:t>
            </w:r>
          </w:p>
        </w:tc>
        <w:tc>
          <w:tcPr>
            <w:tcW w:w="4245" w:type="dxa"/>
            <w:tcBorders>
              <w:top w:val="single" w:color="000000" w:sz="6" w:space="0"/>
              <w:left w:val="single" w:color="000000" w:sz="4" w:space="0"/>
              <w:bottom w:val="single" w:color="000000" w:sz="4" w:space="0"/>
              <w:right w:val="single" w:color="000000" w:sz="4" w:space="0"/>
            </w:tcBorders>
            <w:vAlign w:val="center"/>
          </w:tcPr>
          <w:p>
            <w:pPr>
              <w:jc w:val="center"/>
              <w:rPr>
                <w:rStyle w:val="969"/>
                <w:rFonts w:ascii="宋体" w:hAnsi="宋体"/>
                <w:sz w:val="24"/>
                <w:lang w:val="en-GB"/>
              </w:rPr>
            </w:pPr>
            <w:r>
              <w:rPr>
                <w:rStyle w:val="969"/>
                <w:rFonts w:hint="eastAsia" w:ascii="宋体" w:hAnsi="宋体"/>
                <w:sz w:val="24"/>
                <w:lang w:val="en-GB"/>
              </w:rPr>
              <w:t>投标报价</w:t>
            </w:r>
          </w:p>
        </w:tc>
        <w:tc>
          <w:tcPr>
            <w:tcW w:w="7662" w:type="dxa"/>
            <w:gridSpan w:val="5"/>
            <w:tcBorders>
              <w:top w:val="single" w:color="000000" w:sz="6" w:space="0"/>
              <w:left w:val="single" w:color="000000" w:sz="4" w:space="0"/>
              <w:bottom w:val="single" w:color="000000" w:sz="4" w:space="0"/>
              <w:right w:val="single" w:color="000000" w:sz="4" w:space="0"/>
            </w:tcBorders>
            <w:vAlign w:val="center"/>
          </w:tcPr>
          <w:p>
            <w:pPr>
              <w:jc w:val="center"/>
              <w:rPr>
                <w:rStyle w:val="969"/>
                <w:rFonts w:ascii="宋体" w:hAnsi="宋体"/>
                <w:sz w:val="24"/>
              </w:rPr>
            </w:pPr>
            <w:r>
              <w:rPr>
                <w:rStyle w:val="969"/>
                <w:rFonts w:hint="eastAsia" w:ascii="宋体" w:hAnsi="宋体"/>
                <w:sz w:val="24"/>
              </w:rPr>
              <w:t>（大写）</w:t>
            </w:r>
          </w:p>
        </w:tc>
      </w:tr>
    </w:tbl>
    <w:p>
      <w:pPr>
        <w:pStyle w:val="2"/>
        <w:rPr>
          <w:lang w:val="zh-CN"/>
        </w:rPr>
      </w:pPr>
    </w:p>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numPr>
          <w:ilvl w:val="0"/>
          <w:numId w:val="8"/>
        </w:numPr>
        <w:spacing w:line="360" w:lineRule="auto"/>
        <w:ind w:left="-2" w:firstLine="480" w:firstLineChars="200"/>
        <w:rPr>
          <w:rFonts w:asciiTheme="minorEastAsia" w:hAnsiTheme="minorEastAsia" w:eastAsiaTheme="minorEastAsia"/>
        </w:rPr>
      </w:pPr>
      <w:r>
        <w:rPr>
          <w:rFonts w:hint="eastAsia" w:cs="宋体" w:asciiTheme="minorEastAsia" w:hAnsiTheme="minorEastAsia" w:eastAsiaTheme="minorEastAsia"/>
          <w:kern w:val="0"/>
          <w:sz w:val="24"/>
          <w:lang w:val="zh-CN"/>
        </w:rPr>
        <w:t>投标人需按本表格式填写，不得自行更改。</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ind w:firstLine="482"/>
        <w:rPr>
          <w:rFonts w:asciiTheme="minorEastAsia" w:hAnsiTheme="minorEastAsia" w:eastAsiaTheme="minorEastAsia"/>
          <w:b/>
          <w:color w:val="FF0000"/>
        </w:rPr>
      </w:pPr>
      <w:r>
        <w:rPr>
          <w:rFonts w:hint="eastAsia" w:cs="宋体" w:asciiTheme="minorEastAsia" w:hAnsiTheme="minorEastAsia" w:eastAsiaTheme="minorEastAsia"/>
          <w:b/>
          <w:color w:val="FF0000"/>
          <w:kern w:val="0"/>
        </w:rPr>
        <w:t>6、绿化养护人工工资报价不得低于杭州市最低工资标准，根据《浙江省人民政府关于调整全省最低工资标准的通知》（浙政发〔2021〕22号）最低月工资标准为2280元。</w:t>
      </w:r>
    </w:p>
    <w:p>
      <w:pPr>
        <w:pStyle w:val="968"/>
        <w:jc w:val="center"/>
        <w:rPr>
          <w:rFonts w:cs="宋体" w:asciiTheme="minorEastAsia" w:hAnsiTheme="minorEastAsia" w:eastAsiaTheme="minorEastAsia"/>
          <w:lang w:val="en-US"/>
        </w:rPr>
      </w:pPr>
    </w:p>
    <w:p>
      <w:pPr>
        <w:pStyle w:val="382"/>
        <w:snapToGrid w:val="0"/>
        <w:spacing w:before="120" w:after="120"/>
        <w:ind w:firstLine="0"/>
        <w:rPr>
          <w:rFonts w:cs="宋体" w:asciiTheme="minorEastAsia" w:hAnsiTheme="minorEastAsia" w:eastAsiaTheme="minorEastAsia"/>
        </w:rPr>
      </w:pP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独立投标：投标人名称(电子签名)：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或</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采用联合体投标：联合体牵头人名称(电子签名/盖章)：</w:t>
      </w:r>
    </w:p>
    <w:p>
      <w:pPr>
        <w:pStyle w:val="382"/>
        <w:snapToGrid w:val="0"/>
        <w:spacing w:before="120" w:after="120"/>
        <w:ind w:firstLine="0"/>
        <w:jc w:val="right"/>
        <w:rPr>
          <w:rFonts w:cs="宋体" w:asciiTheme="minorEastAsia" w:hAnsiTheme="minorEastAsia" w:eastAsiaTheme="minorEastAsia"/>
        </w:rPr>
        <w:sectPr>
          <w:pgSz w:w="16838" w:h="11906" w:orient="landscape"/>
          <w:pgMar w:top="1418" w:right="1247" w:bottom="1418" w:left="1276" w:header="851" w:footer="992" w:gutter="0"/>
          <w:cols w:space="720" w:num="1"/>
          <w:titlePg/>
          <w:docGrid w:linePitch="312" w:charSpace="0"/>
        </w:sectPr>
      </w:pPr>
      <w:r>
        <w:rPr>
          <w:rFonts w:hint="eastAsia" w:cs="宋体" w:asciiTheme="minorEastAsia" w:hAnsiTheme="minorEastAsia" w:eastAsiaTheme="minorEastAsia"/>
        </w:rPr>
        <w:t xml:space="preserve">   日期：  年   月  </w:t>
      </w:r>
    </w:p>
    <w:p>
      <w:pPr>
        <w:pStyle w:val="968"/>
        <w:jc w:val="center"/>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b/>
          <w:szCs w:val="24"/>
          <w:lang w:val="en-US"/>
        </w:rPr>
        <w:t>（二）</w:t>
      </w:r>
      <w:r>
        <w:rPr>
          <w:rFonts w:hint="eastAsia" w:asciiTheme="minorEastAsia" w:hAnsiTheme="minorEastAsia" w:eastAsiaTheme="minorEastAsia"/>
          <w:lang w:val="en-US"/>
        </w:rPr>
        <w:t>养护</w:t>
      </w:r>
      <w:r>
        <w:rPr>
          <w:rFonts w:hint="eastAsia" w:asciiTheme="minorEastAsia" w:hAnsiTheme="minorEastAsia" w:eastAsiaTheme="minorEastAsia" w:cstheme="minorEastAsia"/>
          <w:szCs w:val="24"/>
          <w:lang w:val="en-US"/>
        </w:rPr>
        <w:t>报价明细清单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养护</w:t>
      </w:r>
      <w:r>
        <w:rPr>
          <w:rFonts w:hint="eastAsia" w:asciiTheme="minorEastAsia" w:hAnsiTheme="minorEastAsia" w:eastAsiaTheme="minorEastAsia"/>
          <w:sz w:val="24"/>
        </w:rPr>
        <w:t>面积及类别</w:t>
      </w:r>
    </w:p>
    <w:p>
      <w:pPr>
        <w:snapToGrid w:val="0"/>
        <w:spacing w:line="360" w:lineRule="auto"/>
        <w:jc w:val="right"/>
        <w:rPr>
          <w:rFonts w:cs="宋体" w:asciiTheme="minorEastAsia" w:hAnsiTheme="minorEastAsia" w:eastAsiaTheme="minorEastAsia"/>
          <w:kern w:val="0"/>
          <w:sz w:val="24"/>
          <w:lang w:val="zh-CN"/>
        </w:rPr>
      </w:pPr>
    </w:p>
    <w:tbl>
      <w:tblPr>
        <w:tblStyle w:val="66"/>
        <w:tblW w:w="12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9"/>
        <w:gridCol w:w="6887"/>
        <w:gridCol w:w="3119"/>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r>
              <w:rPr>
                <w:rStyle w:val="969"/>
                <w:rFonts w:hint="eastAsia" w:ascii="宋体" w:hAnsi="宋体"/>
                <w:color w:val="000000"/>
                <w:kern w:val="0"/>
                <w:sz w:val="24"/>
              </w:rPr>
              <w:t>序号</w:t>
            </w:r>
          </w:p>
        </w:tc>
        <w:tc>
          <w:tcPr>
            <w:tcW w:w="68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r>
              <w:rPr>
                <w:rStyle w:val="969"/>
                <w:rFonts w:hint="eastAsia" w:ascii="宋体" w:hAnsi="宋体"/>
                <w:color w:val="000000"/>
                <w:kern w:val="0"/>
                <w:sz w:val="24"/>
              </w:rPr>
              <w:t>项目</w:t>
            </w:r>
          </w:p>
        </w:tc>
        <w:tc>
          <w:tcPr>
            <w:tcW w:w="3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kern w:val="0"/>
                <w:sz w:val="24"/>
              </w:rPr>
            </w:pPr>
            <w:r>
              <w:rPr>
                <w:rStyle w:val="969"/>
                <w:rFonts w:hint="eastAsia" w:ascii="宋体" w:hAnsi="宋体"/>
                <w:sz w:val="24"/>
              </w:rPr>
              <w:t>小计</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r>
              <w:rPr>
                <w:rStyle w:val="969"/>
                <w:rFonts w:hint="eastAsia" w:ascii="宋体" w:hAnsi="宋体"/>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r>
              <w:rPr>
                <w:rStyle w:val="969"/>
                <w:rFonts w:hint="eastAsia" w:ascii="宋体" w:hAnsi="宋体"/>
                <w:color w:val="000000"/>
                <w:kern w:val="0"/>
                <w:sz w:val="24"/>
              </w:rPr>
              <w:t>1</w:t>
            </w:r>
          </w:p>
        </w:tc>
        <w:tc>
          <w:tcPr>
            <w:tcW w:w="68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r>
              <w:rPr>
                <w:rStyle w:val="969"/>
                <w:rFonts w:hint="eastAsia" w:ascii="宋体" w:hAnsi="宋体"/>
                <w:color w:val="000000"/>
                <w:sz w:val="24"/>
              </w:rPr>
              <w:t>日常绿化养护费（报价为绿化养护费的90%）</w:t>
            </w:r>
          </w:p>
        </w:tc>
        <w:tc>
          <w:tcPr>
            <w:tcW w:w="3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kern w:val="0"/>
                <w:sz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r>
              <w:rPr>
                <w:rStyle w:val="969"/>
                <w:rFonts w:hint="eastAsia" w:ascii="宋体" w:hAnsi="宋体"/>
                <w:color w:val="000000"/>
                <w:sz w:val="24"/>
              </w:rPr>
              <w:t>2</w:t>
            </w:r>
          </w:p>
        </w:tc>
        <w:tc>
          <w:tcPr>
            <w:tcW w:w="68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r>
              <w:rPr>
                <w:rStyle w:val="969"/>
                <w:rFonts w:hint="eastAsia" w:ascii="宋体" w:hAnsi="宋体"/>
                <w:color w:val="000000"/>
                <w:sz w:val="24"/>
              </w:rPr>
              <w:t>绿化养护中的更新改造费（报价为绿化养护费的10%）</w:t>
            </w:r>
          </w:p>
        </w:tc>
        <w:tc>
          <w:tcPr>
            <w:tcW w:w="3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kern w:val="0"/>
                <w:sz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96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779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969"/>
                <w:rFonts w:ascii="宋体" w:hAnsi="宋体"/>
                <w:color w:val="000000"/>
                <w:sz w:val="24"/>
              </w:rPr>
            </w:pPr>
            <w:r>
              <w:rPr>
                <w:rStyle w:val="969"/>
                <w:rFonts w:hint="eastAsia"/>
                <w:b/>
                <w:bCs/>
                <w:color w:val="000000"/>
                <w:spacing w:val="40"/>
                <w:sz w:val="24"/>
              </w:rPr>
              <w:t>合计总价（1+2）</w:t>
            </w:r>
          </w:p>
        </w:tc>
        <w:tc>
          <w:tcPr>
            <w:tcW w:w="3119" w:type="dxa"/>
            <w:tcBorders>
              <w:top w:val="single" w:color="000000" w:sz="4" w:space="0"/>
              <w:left w:val="single" w:color="000000" w:sz="4" w:space="0"/>
              <w:bottom w:val="single" w:color="000000" w:sz="4" w:space="0"/>
              <w:right w:val="single" w:color="000000" w:sz="4" w:space="0"/>
            </w:tcBorders>
            <w:vAlign w:val="center"/>
          </w:tcPr>
          <w:p>
            <w:pPr>
              <w:jc w:val="center"/>
              <w:rPr>
                <w:rStyle w:val="969"/>
                <w:rFonts w:ascii="宋体" w:hAnsi="宋体"/>
                <w:color w:val="000000"/>
                <w:kern w:val="0"/>
                <w:sz w:val="24"/>
              </w:rPr>
            </w:pPr>
            <w:r>
              <w:rPr>
                <w:rStyle w:val="969"/>
                <w:rFonts w:hint="eastAsia"/>
                <w:b/>
                <w:bCs/>
                <w:color w:val="000000"/>
                <w:spacing w:val="40"/>
                <w:sz w:val="24"/>
              </w:rPr>
              <w:t>小写</w:t>
            </w:r>
          </w:p>
        </w:tc>
        <w:tc>
          <w:tcPr>
            <w:tcW w:w="1815" w:type="dxa"/>
            <w:tcBorders>
              <w:top w:val="single" w:color="000000" w:sz="4" w:space="0"/>
              <w:left w:val="single" w:color="000000" w:sz="4" w:space="0"/>
              <w:bottom w:val="single" w:color="000000" w:sz="4" w:space="0"/>
              <w:right w:val="single" w:color="000000" w:sz="4" w:space="0"/>
            </w:tcBorders>
            <w:vAlign w:val="center"/>
          </w:tcPr>
          <w:p>
            <w:pPr>
              <w:rPr>
                <w:rStyle w:val="969"/>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77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969"/>
                <w:rFonts w:ascii="宋体" w:hAnsi="宋体"/>
                <w:color w:val="000000"/>
                <w:sz w:val="24"/>
              </w:rPr>
            </w:pPr>
          </w:p>
        </w:tc>
        <w:tc>
          <w:tcPr>
            <w:tcW w:w="3119" w:type="dxa"/>
            <w:tcBorders>
              <w:top w:val="single" w:color="000000" w:sz="4" w:space="0"/>
              <w:left w:val="single" w:color="000000" w:sz="4" w:space="0"/>
              <w:bottom w:val="single" w:color="000000" w:sz="4" w:space="0"/>
              <w:right w:val="single" w:color="000000" w:sz="4" w:space="0"/>
            </w:tcBorders>
            <w:vAlign w:val="center"/>
          </w:tcPr>
          <w:p>
            <w:pPr>
              <w:jc w:val="center"/>
              <w:rPr>
                <w:rStyle w:val="969"/>
                <w:rFonts w:ascii="等线" w:hAnsi="等线"/>
                <w:b/>
                <w:bCs/>
                <w:color w:val="000000"/>
                <w:spacing w:val="40"/>
                <w:sz w:val="24"/>
              </w:rPr>
            </w:pPr>
            <w:r>
              <w:rPr>
                <w:rStyle w:val="969"/>
                <w:rFonts w:hint="eastAsia"/>
                <w:b/>
                <w:bCs/>
                <w:color w:val="000000"/>
                <w:spacing w:val="40"/>
                <w:sz w:val="24"/>
              </w:rPr>
              <w:t>大写</w:t>
            </w:r>
          </w:p>
        </w:tc>
        <w:tc>
          <w:tcPr>
            <w:tcW w:w="1815" w:type="dxa"/>
            <w:tcBorders>
              <w:top w:val="single" w:color="000000" w:sz="4" w:space="0"/>
              <w:left w:val="single" w:color="000000" w:sz="4" w:space="0"/>
              <w:bottom w:val="single" w:color="000000" w:sz="4" w:space="0"/>
              <w:right w:val="single" w:color="000000" w:sz="4" w:space="0"/>
            </w:tcBorders>
            <w:vAlign w:val="center"/>
          </w:tcPr>
          <w:p>
            <w:pPr>
              <w:rPr>
                <w:rStyle w:val="969"/>
                <w:rFonts w:ascii="宋体" w:hAnsi="宋体"/>
                <w:color w:val="000000"/>
                <w:sz w:val="24"/>
              </w:rPr>
            </w:pPr>
          </w:p>
        </w:tc>
      </w:tr>
    </w:tbl>
    <w:p>
      <w:pPr>
        <w:pStyle w:val="2"/>
        <w:rPr>
          <w:lang w:val="zh-CN"/>
        </w:rPr>
      </w:pPr>
    </w:p>
    <w:p>
      <w:pPr>
        <w:rPr>
          <w:lang w:val="zh-CN"/>
        </w:rPr>
      </w:pPr>
    </w:p>
    <w:p>
      <w:pPr>
        <w:pStyle w:val="2"/>
        <w:rPr>
          <w:lang w:val="zh-CN"/>
        </w:rPr>
      </w:pPr>
    </w:p>
    <w:p>
      <w:pPr>
        <w:pStyle w:val="2"/>
        <w:rPr>
          <w:lang w:val="zh-CN"/>
        </w:rPr>
      </w:pP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独立投标：投标人名称(电子签名)：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或采用联合体投标：联合体牵头人名称(电子签名/盖章)：</w:t>
      </w:r>
    </w:p>
    <w:p>
      <w:pPr>
        <w:pStyle w:val="382"/>
        <w:wordWrap w:val="0"/>
        <w:snapToGrid w:val="0"/>
        <w:spacing w:before="120" w:after="120"/>
        <w:ind w:firstLine="0"/>
        <w:jc w:val="right"/>
        <w:rPr>
          <w:rFonts w:cs="宋体" w:asciiTheme="minorEastAsia" w:hAnsiTheme="minorEastAsia" w:eastAsiaTheme="minorEastAsia"/>
          <w:kern w:val="2"/>
          <w:szCs w:val="24"/>
        </w:rPr>
        <w:sectPr>
          <w:pgSz w:w="16838" w:h="11906" w:orient="landscape"/>
          <w:pgMar w:top="1417" w:right="1247" w:bottom="1077" w:left="1276" w:header="851" w:footer="992" w:gutter="0"/>
          <w:cols w:space="0" w:num="1"/>
          <w:titlePg/>
          <w:docGrid w:linePitch="312" w:charSpace="0"/>
        </w:sectPr>
      </w:pPr>
      <w:r>
        <w:rPr>
          <w:rFonts w:hint="eastAsia" w:cs="宋体" w:asciiTheme="minorEastAsia" w:hAnsiTheme="minorEastAsia" w:eastAsiaTheme="minorEastAsia"/>
          <w:szCs w:val="24"/>
        </w:rPr>
        <w:t xml:space="preserve"> 日期：  年   月   日</w:t>
      </w:r>
    </w:p>
    <w:p>
      <w:pPr>
        <w:pStyle w:val="380"/>
        <w:tabs>
          <w:tab w:val="clear" w:pos="720"/>
        </w:tabs>
        <w:snapToGrid w:val="0"/>
        <w:spacing w:before="120" w:after="120"/>
        <w:ind w:firstLine="3534" w:firstLineChars="1100"/>
        <w:jc w:val="both"/>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5"/>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5"/>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宋体" w:asciiTheme="minorEastAsia" w:hAnsiTheme="minorEastAsia" w:eastAsiaTheme="minorEastAsia"/>
          <w:b/>
          <w:bCs/>
          <w:kern w:val="0"/>
          <w:sz w:val="24"/>
        </w:rPr>
      </w:pPr>
    </w:p>
    <w:p>
      <w:pPr>
        <w:pStyle w:val="4"/>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94" w:name="_Toc465665161"/>
      <w:r>
        <w:rPr>
          <w:rFonts w:hint="eastAsia" w:cs="宋体" w:asciiTheme="minorEastAsia" w:hAnsiTheme="minorEastAsia" w:eastAsiaTheme="minorEastAsia"/>
        </w:rPr>
        <w:t>附件</w:t>
      </w:r>
      <w:bookmarkEnd w:id="394"/>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395" w:name="OLE_LINK13"/>
      <w:bookmarkStart w:id="396" w:name="OLE_LINK14"/>
      <w:r>
        <w:rPr>
          <w:rFonts w:hint="eastAsia" w:cs="宋体" w:asciiTheme="minorEastAsia" w:hAnsiTheme="minorEastAsia" w:eastAsiaTheme="minorEastAsia"/>
          <w:b/>
          <w:spacing w:val="6"/>
          <w:sz w:val="32"/>
          <w:szCs w:val="32"/>
        </w:rPr>
        <w:t>残疾人福利性单位声明函</w:t>
      </w:r>
    </w:p>
    <w:bookmarkEnd w:id="395"/>
    <w:bookmarkEnd w:id="396"/>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ind w:firstLine="480" w:firstLineChars="200"/>
        <w:rPr>
          <w:rFonts w:cs="宋体" w:asciiTheme="minorEastAsia" w:hAnsiTheme="minorEastAsia" w:eastAsiaTheme="minorEastAsia"/>
          <w:sz w:val="24"/>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240"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pStyle w:val="2"/>
        <w:ind w:firstLine="667"/>
        <w:rPr>
          <w:rFonts w:cs="宋体" w:asciiTheme="minorEastAsia" w:hAnsiTheme="minorEastAsia" w:eastAsiaTheme="minorEastAsia"/>
          <w:b/>
          <w:spacing w:val="6"/>
          <w:sz w:val="32"/>
          <w:szCs w:val="32"/>
        </w:rPr>
      </w:pPr>
    </w:p>
    <w:p/>
    <w:p>
      <w:pPr>
        <w:pStyle w:val="2"/>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7E4jX/AEAADwEAAAOAAAAAAAAAAEAIAAAACcBAABkcnMvZTJv&#10;RG9jLnhtbFBLBQYAAAAABgAGAFkBAACVBQAAAAA=&#10;">
                <v:fill on="t" focussize="0,0"/>
                <v:stroke color="#000000" joinstyle="miter"/>
                <v:imagedata o:title=""/>
                <o:lock v:ext="edit" aspectratio="f"/>
                <v:textbox>
                  <w:txbxContent>
                    <w:p>
                      <w:pPr>
                        <w:jc w:val="center"/>
                      </w:pPr>
                    </w:p>
                  </w:txbxContent>
                </v:textbox>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3viu5/AEAADwEAAAOAAAAAAAAAAEAIAAAACcBAABkcnMvZTJv&#10;RG9jLnhtbFBLBQYAAAAABgAGAFkBAACVBQAAAAA=&#10;">
                <v:fill on="t" focussize="0,0"/>
                <v:stroke color="#000000" joinstyle="miter"/>
                <v:imagedata o:title=""/>
                <o:lock v:ext="edit" aspectratio="f"/>
                <v:textbox>
                  <w:txbxContent>
                    <w:p>
                      <w:pPr>
                        <w:jc w:val="center"/>
                      </w:pPr>
                    </w:p>
                  </w:txbxContent>
                </v:textbox>
              </v:rect>
            </w:pict>
          </mc:Fallback>
        </mc:AlternateConten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附件5：</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pacing w:line="360" w:lineRule="auto"/>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从业人员、营业收入、资产总额填报上一年度数据，无上一年度数据的新成立企业可不填报。</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pStyle w:val="2"/>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中小企业声明函（工程、服务）</w:t>
      </w:r>
    </w:p>
    <w:p>
      <w:pPr>
        <w:spacing w:line="360" w:lineRule="auto"/>
        <w:rPr>
          <w:rFonts w:cs="宋体" w:asciiTheme="minorEastAsia" w:hAnsiTheme="minorEastAsia" w:eastAsiaTheme="minorEastAsia"/>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cs="宋体" w:asciiTheme="minorEastAsia" w:hAnsiTheme="minorEastAsia" w:eastAsiaTheme="minorEastAsia"/>
          <w:lang w:val="en-US"/>
        </w:rPr>
      </w:pPr>
    </w:p>
    <w:p>
      <w:pPr>
        <w:spacing w:line="360" w:lineRule="auto"/>
        <w:ind w:right="420"/>
        <w:rPr>
          <w:rFonts w:cs="宋体" w:asciiTheme="minorEastAsia" w:hAnsiTheme="minorEastAsia" w:eastAsiaTheme="minorEastAsia"/>
        </w:rPr>
      </w:pPr>
    </w:p>
    <w:p>
      <w:pPr>
        <w:spacing w:line="360" w:lineRule="auto"/>
        <w:rPr>
          <w:rFonts w:cs="宋体" w:asciiTheme="minorEastAsia" w:hAnsiTheme="minorEastAsia" w:eastAsiaTheme="minorEastAsia"/>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D58E8"/>
    <w:multiLevelType w:val="singleLevel"/>
    <w:tmpl w:val="F59D58E8"/>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15413F2"/>
    <w:multiLevelType w:val="singleLevel"/>
    <w:tmpl w:val="015413F2"/>
    <w:lvl w:ilvl="0" w:tentative="0">
      <w:start w:val="1"/>
      <w:numFmt w:val="decimal"/>
      <w:suff w:val="nothing"/>
      <w:lvlText w:val="（%1）"/>
      <w:lvlJc w:val="left"/>
    </w:lvl>
  </w:abstractNum>
  <w:abstractNum w:abstractNumId="3">
    <w:nsid w:val="0C0138C7"/>
    <w:multiLevelType w:val="multilevel"/>
    <w:tmpl w:val="0C0138C7"/>
    <w:lvl w:ilvl="0" w:tentative="0">
      <w:start w:val="1"/>
      <w:numFmt w:val="japaneseCounting"/>
      <w:lvlText w:val="（%1）"/>
      <w:lvlJc w:val="left"/>
      <w:pPr>
        <w:ind w:left="743" w:hanging="74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601490"/>
    <w:multiLevelType w:val="singleLevel"/>
    <w:tmpl w:val="28601490"/>
    <w:lvl w:ilvl="0" w:tentative="0">
      <w:start w:val="1"/>
      <w:numFmt w:val="decimal"/>
      <w:suff w:val="nothing"/>
      <w:lvlText w:val="%1、"/>
      <w:lvlJc w:val="left"/>
    </w:lvl>
  </w:abstractNum>
  <w:abstractNum w:abstractNumId="5">
    <w:nsid w:val="589AC06B"/>
    <w:multiLevelType w:val="singleLevel"/>
    <w:tmpl w:val="589AC06B"/>
    <w:lvl w:ilvl="0" w:tentative="0">
      <w:start w:val="1"/>
      <w:numFmt w:val="decimal"/>
      <w:suff w:val="nothing"/>
      <w:lvlText w:val="%1."/>
      <w:lvlJc w:val="left"/>
    </w:lvl>
  </w:abstractNum>
  <w:abstractNum w:abstractNumId="6">
    <w:nsid w:val="601AB719"/>
    <w:multiLevelType w:val="singleLevel"/>
    <w:tmpl w:val="601AB719"/>
    <w:lvl w:ilvl="0" w:tentative="0">
      <w:start w:val="2"/>
      <w:numFmt w:val="decimal"/>
      <w:suff w:val="nothing"/>
      <w:lvlText w:val="%1、"/>
      <w:lvlJc w:val="left"/>
    </w:lvl>
  </w:abstractNum>
  <w:abstractNum w:abstractNumId="7">
    <w:nsid w:val="63F824D2"/>
    <w:multiLevelType w:val="singleLevel"/>
    <w:tmpl w:val="63F824D2"/>
    <w:lvl w:ilvl="0" w:tentative="0">
      <w:start w:val="3"/>
      <w:numFmt w:val="chineseCounting"/>
      <w:suff w:val="space"/>
      <w:lvlText w:val="第%1部分"/>
      <w:lvlJc w:val="left"/>
      <w:rPr>
        <w:rFonts w:hint="eastAsia"/>
      </w:rPr>
    </w:lvl>
  </w:abstractNum>
  <w:num w:numId="1">
    <w:abstractNumId w:val="7"/>
  </w:num>
  <w:num w:numId="2">
    <w:abstractNumId w:val="2"/>
  </w:num>
  <w:num w:numId="3">
    <w:abstractNumId w:val="1"/>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YTFlNmUzMmJlOTEyNzBiMjQ3OTE0NThjMDgyN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CD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DF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F5B"/>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2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E9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0D6C"/>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E82"/>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A2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91"/>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0D"/>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208"/>
    <w:rsid w:val="002E469E"/>
    <w:rsid w:val="002E4C01"/>
    <w:rsid w:val="002E4D50"/>
    <w:rsid w:val="002E55FF"/>
    <w:rsid w:val="002E587E"/>
    <w:rsid w:val="002E672A"/>
    <w:rsid w:val="002E6853"/>
    <w:rsid w:val="002E7EC1"/>
    <w:rsid w:val="002E7EE5"/>
    <w:rsid w:val="002F0323"/>
    <w:rsid w:val="002F0DFB"/>
    <w:rsid w:val="002F134F"/>
    <w:rsid w:val="002F1990"/>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5EA"/>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EB"/>
    <w:rsid w:val="003703BB"/>
    <w:rsid w:val="003705EA"/>
    <w:rsid w:val="00370A56"/>
    <w:rsid w:val="00371213"/>
    <w:rsid w:val="00372842"/>
    <w:rsid w:val="003729A5"/>
    <w:rsid w:val="00372C89"/>
    <w:rsid w:val="00372E9A"/>
    <w:rsid w:val="003735B9"/>
    <w:rsid w:val="00373634"/>
    <w:rsid w:val="00374677"/>
    <w:rsid w:val="0037510C"/>
    <w:rsid w:val="00375850"/>
    <w:rsid w:val="00375C33"/>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2F9"/>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960"/>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B6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57"/>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0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B26"/>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15D"/>
    <w:rsid w:val="0049570D"/>
    <w:rsid w:val="00495C48"/>
    <w:rsid w:val="00495DC6"/>
    <w:rsid w:val="0049602A"/>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C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A9"/>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1D6"/>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ED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8F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00"/>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C0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6D8"/>
    <w:rsid w:val="00733772"/>
    <w:rsid w:val="00733A43"/>
    <w:rsid w:val="00733AE4"/>
    <w:rsid w:val="00733D5F"/>
    <w:rsid w:val="00734932"/>
    <w:rsid w:val="00735D53"/>
    <w:rsid w:val="0073618A"/>
    <w:rsid w:val="007364A3"/>
    <w:rsid w:val="00736740"/>
    <w:rsid w:val="007378FD"/>
    <w:rsid w:val="007403FE"/>
    <w:rsid w:val="007413EB"/>
    <w:rsid w:val="007413FB"/>
    <w:rsid w:val="00741764"/>
    <w:rsid w:val="00742106"/>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89C"/>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28B"/>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0B"/>
    <w:rsid w:val="008A4630"/>
    <w:rsid w:val="008A47CE"/>
    <w:rsid w:val="008A4DFA"/>
    <w:rsid w:val="008A5F2F"/>
    <w:rsid w:val="008A6BAE"/>
    <w:rsid w:val="008A7350"/>
    <w:rsid w:val="008A7A72"/>
    <w:rsid w:val="008A7DFE"/>
    <w:rsid w:val="008B09F3"/>
    <w:rsid w:val="008B111A"/>
    <w:rsid w:val="008B16E6"/>
    <w:rsid w:val="008B1AB2"/>
    <w:rsid w:val="008B1D9B"/>
    <w:rsid w:val="008B2042"/>
    <w:rsid w:val="008B25F1"/>
    <w:rsid w:val="008B3567"/>
    <w:rsid w:val="008B36D0"/>
    <w:rsid w:val="008B38AF"/>
    <w:rsid w:val="008B3D7F"/>
    <w:rsid w:val="008B3E1B"/>
    <w:rsid w:val="008B3F4B"/>
    <w:rsid w:val="008B43B7"/>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44"/>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F0F"/>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576"/>
    <w:rsid w:val="009D4207"/>
    <w:rsid w:val="009D4E4A"/>
    <w:rsid w:val="009D5130"/>
    <w:rsid w:val="009D53D1"/>
    <w:rsid w:val="009D53FB"/>
    <w:rsid w:val="009D56A4"/>
    <w:rsid w:val="009D6081"/>
    <w:rsid w:val="009D678C"/>
    <w:rsid w:val="009D6B9A"/>
    <w:rsid w:val="009D6D30"/>
    <w:rsid w:val="009D7523"/>
    <w:rsid w:val="009D76B5"/>
    <w:rsid w:val="009D773A"/>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7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C70"/>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C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FED"/>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3C7"/>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5F6E"/>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3E3"/>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891"/>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7F"/>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7E6"/>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C04"/>
    <w:rsid w:val="00D04F01"/>
    <w:rsid w:val="00D04F8B"/>
    <w:rsid w:val="00D054EF"/>
    <w:rsid w:val="00D05637"/>
    <w:rsid w:val="00D05A23"/>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44A"/>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D66"/>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CCC"/>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C1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5D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71"/>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CDA"/>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67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20"/>
    <w:rsid w:val="00FA775E"/>
    <w:rsid w:val="00FA7792"/>
    <w:rsid w:val="00FA7AA8"/>
    <w:rsid w:val="00FA7F1D"/>
    <w:rsid w:val="00FB011C"/>
    <w:rsid w:val="00FB0D60"/>
    <w:rsid w:val="00FB18FD"/>
    <w:rsid w:val="00FB2229"/>
    <w:rsid w:val="00FB2BF5"/>
    <w:rsid w:val="00FB2F8E"/>
    <w:rsid w:val="00FB30C3"/>
    <w:rsid w:val="00FB39B0"/>
    <w:rsid w:val="00FB5138"/>
    <w:rsid w:val="00FB547F"/>
    <w:rsid w:val="00FB5A71"/>
    <w:rsid w:val="00FB63F6"/>
    <w:rsid w:val="00FB7823"/>
    <w:rsid w:val="00FC00D5"/>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9451DA"/>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E50CCC"/>
    <w:rsid w:val="07245D42"/>
    <w:rsid w:val="07264C62"/>
    <w:rsid w:val="0768220B"/>
    <w:rsid w:val="0779354C"/>
    <w:rsid w:val="07AA2823"/>
    <w:rsid w:val="07D23B28"/>
    <w:rsid w:val="07D73528"/>
    <w:rsid w:val="08061376"/>
    <w:rsid w:val="081F7F59"/>
    <w:rsid w:val="08452D77"/>
    <w:rsid w:val="0849203C"/>
    <w:rsid w:val="086401F8"/>
    <w:rsid w:val="08650413"/>
    <w:rsid w:val="08751CAA"/>
    <w:rsid w:val="087E4C40"/>
    <w:rsid w:val="08D66AD6"/>
    <w:rsid w:val="08DA33A3"/>
    <w:rsid w:val="08E11701"/>
    <w:rsid w:val="08E80F13"/>
    <w:rsid w:val="08F47AEB"/>
    <w:rsid w:val="09012EFA"/>
    <w:rsid w:val="09335624"/>
    <w:rsid w:val="094445B2"/>
    <w:rsid w:val="0944690F"/>
    <w:rsid w:val="09535675"/>
    <w:rsid w:val="095F057D"/>
    <w:rsid w:val="09642282"/>
    <w:rsid w:val="09733572"/>
    <w:rsid w:val="09772C16"/>
    <w:rsid w:val="097A0F86"/>
    <w:rsid w:val="098353B5"/>
    <w:rsid w:val="09A92330"/>
    <w:rsid w:val="09B06B87"/>
    <w:rsid w:val="09C13146"/>
    <w:rsid w:val="09E04166"/>
    <w:rsid w:val="0A1C0718"/>
    <w:rsid w:val="0A3E7710"/>
    <w:rsid w:val="0A5B7E63"/>
    <w:rsid w:val="0A642BB8"/>
    <w:rsid w:val="0A8D3DCB"/>
    <w:rsid w:val="0AA374A5"/>
    <w:rsid w:val="0AAB7649"/>
    <w:rsid w:val="0ABC5606"/>
    <w:rsid w:val="0B30404E"/>
    <w:rsid w:val="0B4C6C14"/>
    <w:rsid w:val="0B631A88"/>
    <w:rsid w:val="0B683D45"/>
    <w:rsid w:val="0B7F3F11"/>
    <w:rsid w:val="0B884417"/>
    <w:rsid w:val="0BAC1CF5"/>
    <w:rsid w:val="0BB56FE4"/>
    <w:rsid w:val="0BF40511"/>
    <w:rsid w:val="0BF6188C"/>
    <w:rsid w:val="0BF73C91"/>
    <w:rsid w:val="0C062ACC"/>
    <w:rsid w:val="0C117D32"/>
    <w:rsid w:val="0C170175"/>
    <w:rsid w:val="0C4B5C57"/>
    <w:rsid w:val="0C571A41"/>
    <w:rsid w:val="0C5C1171"/>
    <w:rsid w:val="0C5E1CBC"/>
    <w:rsid w:val="0C615B50"/>
    <w:rsid w:val="0C8445DA"/>
    <w:rsid w:val="0C87121B"/>
    <w:rsid w:val="0CA065CC"/>
    <w:rsid w:val="0CC007F7"/>
    <w:rsid w:val="0CC62AA3"/>
    <w:rsid w:val="0CFE707A"/>
    <w:rsid w:val="0D063BDA"/>
    <w:rsid w:val="0D08375F"/>
    <w:rsid w:val="0D0923B0"/>
    <w:rsid w:val="0D184CFB"/>
    <w:rsid w:val="0D4A7419"/>
    <w:rsid w:val="0D827401"/>
    <w:rsid w:val="0D84094E"/>
    <w:rsid w:val="0D8A00E9"/>
    <w:rsid w:val="0D8D589E"/>
    <w:rsid w:val="0DA01C73"/>
    <w:rsid w:val="0DA6235F"/>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460ECD"/>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57D79BE"/>
    <w:rsid w:val="16A8729C"/>
    <w:rsid w:val="16B33777"/>
    <w:rsid w:val="16BC70A7"/>
    <w:rsid w:val="16C6339E"/>
    <w:rsid w:val="16C66908"/>
    <w:rsid w:val="16E95660"/>
    <w:rsid w:val="172F2D79"/>
    <w:rsid w:val="17557BEF"/>
    <w:rsid w:val="178C5650"/>
    <w:rsid w:val="17BF5F86"/>
    <w:rsid w:val="17D349C1"/>
    <w:rsid w:val="1830729E"/>
    <w:rsid w:val="1870062C"/>
    <w:rsid w:val="18817102"/>
    <w:rsid w:val="18830A15"/>
    <w:rsid w:val="18852B28"/>
    <w:rsid w:val="188B5321"/>
    <w:rsid w:val="197A6E2C"/>
    <w:rsid w:val="19932372"/>
    <w:rsid w:val="19A20DD5"/>
    <w:rsid w:val="19AE03F1"/>
    <w:rsid w:val="1A023DF9"/>
    <w:rsid w:val="1A071A03"/>
    <w:rsid w:val="1A1F16AE"/>
    <w:rsid w:val="1A3B5C77"/>
    <w:rsid w:val="1A984BAD"/>
    <w:rsid w:val="1AB8220E"/>
    <w:rsid w:val="1ABF0FF7"/>
    <w:rsid w:val="1AE4166C"/>
    <w:rsid w:val="1AE814E1"/>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822E5"/>
    <w:rsid w:val="1D6A673C"/>
    <w:rsid w:val="1D816151"/>
    <w:rsid w:val="1D9247AE"/>
    <w:rsid w:val="1DB567EC"/>
    <w:rsid w:val="1DB56892"/>
    <w:rsid w:val="1DBF6192"/>
    <w:rsid w:val="1DF51A98"/>
    <w:rsid w:val="1E3D060F"/>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1116EB"/>
    <w:rsid w:val="211641D5"/>
    <w:rsid w:val="216133FC"/>
    <w:rsid w:val="21CE589C"/>
    <w:rsid w:val="21D56769"/>
    <w:rsid w:val="21E52EF3"/>
    <w:rsid w:val="21E93F72"/>
    <w:rsid w:val="21FB5D7B"/>
    <w:rsid w:val="220B1C3D"/>
    <w:rsid w:val="221D1D20"/>
    <w:rsid w:val="22334A87"/>
    <w:rsid w:val="2245341D"/>
    <w:rsid w:val="2273680D"/>
    <w:rsid w:val="22BE6801"/>
    <w:rsid w:val="233500BF"/>
    <w:rsid w:val="23377FF7"/>
    <w:rsid w:val="23515DF1"/>
    <w:rsid w:val="236B425F"/>
    <w:rsid w:val="23836192"/>
    <w:rsid w:val="23901F29"/>
    <w:rsid w:val="239C0061"/>
    <w:rsid w:val="23B908A4"/>
    <w:rsid w:val="23E95BEF"/>
    <w:rsid w:val="23F5286D"/>
    <w:rsid w:val="23FD0064"/>
    <w:rsid w:val="245375B0"/>
    <w:rsid w:val="24642C0A"/>
    <w:rsid w:val="24B22173"/>
    <w:rsid w:val="24B95AD9"/>
    <w:rsid w:val="24BE24DA"/>
    <w:rsid w:val="24CF5825"/>
    <w:rsid w:val="24D663E6"/>
    <w:rsid w:val="24D77F2B"/>
    <w:rsid w:val="251A78C3"/>
    <w:rsid w:val="25224658"/>
    <w:rsid w:val="253D662D"/>
    <w:rsid w:val="256E2C8A"/>
    <w:rsid w:val="258B00E2"/>
    <w:rsid w:val="25A917A6"/>
    <w:rsid w:val="25BE27CC"/>
    <w:rsid w:val="25F74A5C"/>
    <w:rsid w:val="2628662C"/>
    <w:rsid w:val="262D45DE"/>
    <w:rsid w:val="26A53EF9"/>
    <w:rsid w:val="26A94201"/>
    <w:rsid w:val="26AC274F"/>
    <w:rsid w:val="27044A29"/>
    <w:rsid w:val="271D34C8"/>
    <w:rsid w:val="27256712"/>
    <w:rsid w:val="276142BF"/>
    <w:rsid w:val="27783712"/>
    <w:rsid w:val="27907362"/>
    <w:rsid w:val="28333E1D"/>
    <w:rsid w:val="28454BD6"/>
    <w:rsid w:val="28455253"/>
    <w:rsid w:val="28551971"/>
    <w:rsid w:val="285B1C53"/>
    <w:rsid w:val="289B4B81"/>
    <w:rsid w:val="289F7086"/>
    <w:rsid w:val="28C32028"/>
    <w:rsid w:val="28CC490F"/>
    <w:rsid w:val="28DE40AA"/>
    <w:rsid w:val="290A21EE"/>
    <w:rsid w:val="29345E77"/>
    <w:rsid w:val="294C65AD"/>
    <w:rsid w:val="296465C0"/>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BFF1D8B"/>
    <w:rsid w:val="2C09049E"/>
    <w:rsid w:val="2C0A653C"/>
    <w:rsid w:val="2C167BD8"/>
    <w:rsid w:val="2C191F85"/>
    <w:rsid w:val="2CBB4911"/>
    <w:rsid w:val="2CE82D6F"/>
    <w:rsid w:val="2D343236"/>
    <w:rsid w:val="2DD15014"/>
    <w:rsid w:val="2DF72DE4"/>
    <w:rsid w:val="2E0220AF"/>
    <w:rsid w:val="2E4B082A"/>
    <w:rsid w:val="2E4B710B"/>
    <w:rsid w:val="2E5D4E86"/>
    <w:rsid w:val="2E5D790B"/>
    <w:rsid w:val="2E9A3C18"/>
    <w:rsid w:val="2EBB0FEE"/>
    <w:rsid w:val="2EC63002"/>
    <w:rsid w:val="2ED463CF"/>
    <w:rsid w:val="2F0A6B38"/>
    <w:rsid w:val="2F946CCB"/>
    <w:rsid w:val="2FD25781"/>
    <w:rsid w:val="2FFD7934"/>
    <w:rsid w:val="301D0D4E"/>
    <w:rsid w:val="30733ACD"/>
    <w:rsid w:val="308C3862"/>
    <w:rsid w:val="309379D8"/>
    <w:rsid w:val="30A270F7"/>
    <w:rsid w:val="30D57F70"/>
    <w:rsid w:val="30D910F0"/>
    <w:rsid w:val="30DF1478"/>
    <w:rsid w:val="30EC586F"/>
    <w:rsid w:val="31824D42"/>
    <w:rsid w:val="319C6071"/>
    <w:rsid w:val="31AC537E"/>
    <w:rsid w:val="31E3679B"/>
    <w:rsid w:val="31E732FD"/>
    <w:rsid w:val="31FB3BEE"/>
    <w:rsid w:val="32517576"/>
    <w:rsid w:val="32900E04"/>
    <w:rsid w:val="32AB4D4D"/>
    <w:rsid w:val="32AD7029"/>
    <w:rsid w:val="32B93BE1"/>
    <w:rsid w:val="32BE5C2C"/>
    <w:rsid w:val="32FB6478"/>
    <w:rsid w:val="33263B3F"/>
    <w:rsid w:val="336963EB"/>
    <w:rsid w:val="33816EEB"/>
    <w:rsid w:val="338F55F3"/>
    <w:rsid w:val="33AB42D4"/>
    <w:rsid w:val="33AB6E04"/>
    <w:rsid w:val="33EB55CD"/>
    <w:rsid w:val="33EC4C02"/>
    <w:rsid w:val="340D2360"/>
    <w:rsid w:val="3410665D"/>
    <w:rsid w:val="34211214"/>
    <w:rsid w:val="342E63AB"/>
    <w:rsid w:val="34303663"/>
    <w:rsid w:val="343D057B"/>
    <w:rsid w:val="34950E68"/>
    <w:rsid w:val="34986E94"/>
    <w:rsid w:val="34AF62C9"/>
    <w:rsid w:val="34CB4388"/>
    <w:rsid w:val="34E32DF3"/>
    <w:rsid w:val="34FA6E12"/>
    <w:rsid w:val="35016021"/>
    <w:rsid w:val="358D5588"/>
    <w:rsid w:val="363A3B40"/>
    <w:rsid w:val="365302AE"/>
    <w:rsid w:val="36607A0A"/>
    <w:rsid w:val="366E227C"/>
    <w:rsid w:val="366F2E0D"/>
    <w:rsid w:val="367B6A5C"/>
    <w:rsid w:val="36A74ADA"/>
    <w:rsid w:val="36AD60D5"/>
    <w:rsid w:val="36B224F9"/>
    <w:rsid w:val="36EC0CC9"/>
    <w:rsid w:val="3724539E"/>
    <w:rsid w:val="3737440E"/>
    <w:rsid w:val="373F410B"/>
    <w:rsid w:val="37606C26"/>
    <w:rsid w:val="379320DC"/>
    <w:rsid w:val="37B815FD"/>
    <w:rsid w:val="37EE7094"/>
    <w:rsid w:val="38296C89"/>
    <w:rsid w:val="383002EB"/>
    <w:rsid w:val="38586797"/>
    <w:rsid w:val="38BC0149"/>
    <w:rsid w:val="38D87D1C"/>
    <w:rsid w:val="394F6A60"/>
    <w:rsid w:val="39636459"/>
    <w:rsid w:val="396B7F6C"/>
    <w:rsid w:val="39B417A9"/>
    <w:rsid w:val="39FC5695"/>
    <w:rsid w:val="3A006D8E"/>
    <w:rsid w:val="3A3651E5"/>
    <w:rsid w:val="3A744481"/>
    <w:rsid w:val="3A8C7BEF"/>
    <w:rsid w:val="3A906246"/>
    <w:rsid w:val="3B11572B"/>
    <w:rsid w:val="3B2349B7"/>
    <w:rsid w:val="3B616CFF"/>
    <w:rsid w:val="3B6259F6"/>
    <w:rsid w:val="3B976654"/>
    <w:rsid w:val="3BA55FC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FA2134"/>
    <w:rsid w:val="4019356B"/>
    <w:rsid w:val="40592157"/>
    <w:rsid w:val="406E1CAE"/>
    <w:rsid w:val="40A0133A"/>
    <w:rsid w:val="40C31A53"/>
    <w:rsid w:val="40FF545D"/>
    <w:rsid w:val="410067C8"/>
    <w:rsid w:val="418F0D2A"/>
    <w:rsid w:val="41D01505"/>
    <w:rsid w:val="41EF4B15"/>
    <w:rsid w:val="42352838"/>
    <w:rsid w:val="42474939"/>
    <w:rsid w:val="424C3C57"/>
    <w:rsid w:val="42613FF3"/>
    <w:rsid w:val="42660D96"/>
    <w:rsid w:val="428667D2"/>
    <w:rsid w:val="42CD1CE0"/>
    <w:rsid w:val="42E1381E"/>
    <w:rsid w:val="42ED6459"/>
    <w:rsid w:val="42FE58DD"/>
    <w:rsid w:val="43170510"/>
    <w:rsid w:val="43174B3D"/>
    <w:rsid w:val="434B790E"/>
    <w:rsid w:val="4360274F"/>
    <w:rsid w:val="43707776"/>
    <w:rsid w:val="43977AB6"/>
    <w:rsid w:val="43A3342B"/>
    <w:rsid w:val="43C77C27"/>
    <w:rsid w:val="43DB1093"/>
    <w:rsid w:val="43DE09EE"/>
    <w:rsid w:val="44002FAD"/>
    <w:rsid w:val="449101DD"/>
    <w:rsid w:val="44CA4FB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C288A"/>
    <w:rsid w:val="46893F2B"/>
    <w:rsid w:val="46C4686E"/>
    <w:rsid w:val="475064D9"/>
    <w:rsid w:val="477B778F"/>
    <w:rsid w:val="478203EC"/>
    <w:rsid w:val="47B025FA"/>
    <w:rsid w:val="47E013C4"/>
    <w:rsid w:val="4809698F"/>
    <w:rsid w:val="4811697D"/>
    <w:rsid w:val="487A3E25"/>
    <w:rsid w:val="488B5503"/>
    <w:rsid w:val="48937E21"/>
    <w:rsid w:val="489A0361"/>
    <w:rsid w:val="48B94FF3"/>
    <w:rsid w:val="48E37AAB"/>
    <w:rsid w:val="48FD4B4C"/>
    <w:rsid w:val="490A68E0"/>
    <w:rsid w:val="491055FE"/>
    <w:rsid w:val="49531510"/>
    <w:rsid w:val="495F5B3E"/>
    <w:rsid w:val="496124ED"/>
    <w:rsid w:val="496F77D7"/>
    <w:rsid w:val="497654FD"/>
    <w:rsid w:val="498429AA"/>
    <w:rsid w:val="49B64211"/>
    <w:rsid w:val="49F6167F"/>
    <w:rsid w:val="4A064FA0"/>
    <w:rsid w:val="4A16615C"/>
    <w:rsid w:val="4A1D0657"/>
    <w:rsid w:val="4A23396F"/>
    <w:rsid w:val="4A4424D7"/>
    <w:rsid w:val="4A6B7C50"/>
    <w:rsid w:val="4AB82D0F"/>
    <w:rsid w:val="4AEB7664"/>
    <w:rsid w:val="4AF6258E"/>
    <w:rsid w:val="4AFD7C19"/>
    <w:rsid w:val="4B0567D1"/>
    <w:rsid w:val="4B1B18ED"/>
    <w:rsid w:val="4B236AAE"/>
    <w:rsid w:val="4B707271"/>
    <w:rsid w:val="4B9739F7"/>
    <w:rsid w:val="4BEE2503"/>
    <w:rsid w:val="4C245A30"/>
    <w:rsid w:val="4CB6685F"/>
    <w:rsid w:val="4CC367FE"/>
    <w:rsid w:val="4D077F3C"/>
    <w:rsid w:val="4D123355"/>
    <w:rsid w:val="4D260D93"/>
    <w:rsid w:val="4D2A3B31"/>
    <w:rsid w:val="4D312C52"/>
    <w:rsid w:val="4D461C73"/>
    <w:rsid w:val="4D905305"/>
    <w:rsid w:val="4D964A72"/>
    <w:rsid w:val="4D9C1254"/>
    <w:rsid w:val="4E3E0B1E"/>
    <w:rsid w:val="4E6D66C7"/>
    <w:rsid w:val="4E76105A"/>
    <w:rsid w:val="4E793892"/>
    <w:rsid w:val="4E800872"/>
    <w:rsid w:val="4E8A3839"/>
    <w:rsid w:val="4EBE0CBF"/>
    <w:rsid w:val="4EC569ED"/>
    <w:rsid w:val="4ED50EA1"/>
    <w:rsid w:val="4EEC050C"/>
    <w:rsid w:val="4F104EC3"/>
    <w:rsid w:val="4F47354A"/>
    <w:rsid w:val="4F911C54"/>
    <w:rsid w:val="4FC87F99"/>
    <w:rsid w:val="4FE41CC0"/>
    <w:rsid w:val="4FE625E0"/>
    <w:rsid w:val="501D2551"/>
    <w:rsid w:val="5021480F"/>
    <w:rsid w:val="503724AD"/>
    <w:rsid w:val="50750E8F"/>
    <w:rsid w:val="50962ECB"/>
    <w:rsid w:val="50A42E38"/>
    <w:rsid w:val="50A4577F"/>
    <w:rsid w:val="50B73D1F"/>
    <w:rsid w:val="50BD5BC9"/>
    <w:rsid w:val="50C11EEE"/>
    <w:rsid w:val="50E97CFC"/>
    <w:rsid w:val="50F525C8"/>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5B726A"/>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70E8B"/>
    <w:rsid w:val="55983B1B"/>
    <w:rsid w:val="55A8376B"/>
    <w:rsid w:val="55C2414A"/>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F73C0"/>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964CAD"/>
    <w:rsid w:val="5D0C4701"/>
    <w:rsid w:val="5D0F0395"/>
    <w:rsid w:val="5D170F36"/>
    <w:rsid w:val="5D221076"/>
    <w:rsid w:val="5D26732D"/>
    <w:rsid w:val="5D2D5D20"/>
    <w:rsid w:val="5D397964"/>
    <w:rsid w:val="5D5A391C"/>
    <w:rsid w:val="5D5F10C0"/>
    <w:rsid w:val="5D5F17A5"/>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011A2A"/>
    <w:rsid w:val="60232584"/>
    <w:rsid w:val="607330CE"/>
    <w:rsid w:val="607D7B55"/>
    <w:rsid w:val="60825176"/>
    <w:rsid w:val="609F2AC4"/>
    <w:rsid w:val="60FA2EE8"/>
    <w:rsid w:val="610024DD"/>
    <w:rsid w:val="61054A27"/>
    <w:rsid w:val="610A52BC"/>
    <w:rsid w:val="611D2366"/>
    <w:rsid w:val="61421856"/>
    <w:rsid w:val="615227C4"/>
    <w:rsid w:val="61654E3F"/>
    <w:rsid w:val="6182292A"/>
    <w:rsid w:val="619F7F92"/>
    <w:rsid w:val="61B7248C"/>
    <w:rsid w:val="61D45648"/>
    <w:rsid w:val="61F30B1D"/>
    <w:rsid w:val="61F94C26"/>
    <w:rsid w:val="62000E56"/>
    <w:rsid w:val="620152D8"/>
    <w:rsid w:val="622301BA"/>
    <w:rsid w:val="624F3E49"/>
    <w:rsid w:val="62632286"/>
    <w:rsid w:val="62885958"/>
    <w:rsid w:val="629E17B2"/>
    <w:rsid w:val="62F40B65"/>
    <w:rsid w:val="62FC2CFE"/>
    <w:rsid w:val="62FC3643"/>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D3CE4"/>
    <w:rsid w:val="663E784C"/>
    <w:rsid w:val="668B6A45"/>
    <w:rsid w:val="672F3F24"/>
    <w:rsid w:val="673632F5"/>
    <w:rsid w:val="673E055F"/>
    <w:rsid w:val="67551CE3"/>
    <w:rsid w:val="67917D9F"/>
    <w:rsid w:val="67A22552"/>
    <w:rsid w:val="67B22DCC"/>
    <w:rsid w:val="67BE71AA"/>
    <w:rsid w:val="67D43295"/>
    <w:rsid w:val="67D90273"/>
    <w:rsid w:val="67DE5875"/>
    <w:rsid w:val="67E55852"/>
    <w:rsid w:val="67EB1AB4"/>
    <w:rsid w:val="67FA1285"/>
    <w:rsid w:val="68345480"/>
    <w:rsid w:val="68551F4F"/>
    <w:rsid w:val="687C10C9"/>
    <w:rsid w:val="68840C16"/>
    <w:rsid w:val="68876EFB"/>
    <w:rsid w:val="68884654"/>
    <w:rsid w:val="689F444F"/>
    <w:rsid w:val="68B96DBB"/>
    <w:rsid w:val="68CA2805"/>
    <w:rsid w:val="68DB3760"/>
    <w:rsid w:val="68E937A3"/>
    <w:rsid w:val="693E15D3"/>
    <w:rsid w:val="69627681"/>
    <w:rsid w:val="6977531D"/>
    <w:rsid w:val="69CC2BFF"/>
    <w:rsid w:val="69FD55B8"/>
    <w:rsid w:val="6A0905B5"/>
    <w:rsid w:val="6A0B1C62"/>
    <w:rsid w:val="6A22716C"/>
    <w:rsid w:val="6A2406C8"/>
    <w:rsid w:val="6ACE29D5"/>
    <w:rsid w:val="6ADE0BD1"/>
    <w:rsid w:val="6AE96859"/>
    <w:rsid w:val="6AEA1A38"/>
    <w:rsid w:val="6B147746"/>
    <w:rsid w:val="6B1B42E7"/>
    <w:rsid w:val="6B24787C"/>
    <w:rsid w:val="6B573233"/>
    <w:rsid w:val="6B5B6274"/>
    <w:rsid w:val="6B935D53"/>
    <w:rsid w:val="6C074500"/>
    <w:rsid w:val="6C196F71"/>
    <w:rsid w:val="6C1A63E9"/>
    <w:rsid w:val="6C226FCB"/>
    <w:rsid w:val="6C31226F"/>
    <w:rsid w:val="6C552F0B"/>
    <w:rsid w:val="6C8C67B7"/>
    <w:rsid w:val="6C9D744C"/>
    <w:rsid w:val="6D167928"/>
    <w:rsid w:val="6D26299B"/>
    <w:rsid w:val="6D4772EC"/>
    <w:rsid w:val="6D601F43"/>
    <w:rsid w:val="6D9078AF"/>
    <w:rsid w:val="6D9F5F45"/>
    <w:rsid w:val="6DAA3FEF"/>
    <w:rsid w:val="6DC0172B"/>
    <w:rsid w:val="6DCB690C"/>
    <w:rsid w:val="6DD41A5B"/>
    <w:rsid w:val="6DF43C2E"/>
    <w:rsid w:val="6DF51CA3"/>
    <w:rsid w:val="6E4E08F3"/>
    <w:rsid w:val="6E8335BD"/>
    <w:rsid w:val="6E8E12EF"/>
    <w:rsid w:val="6E972936"/>
    <w:rsid w:val="6EB91122"/>
    <w:rsid w:val="6ED446C5"/>
    <w:rsid w:val="6F2153A0"/>
    <w:rsid w:val="6F2A7D94"/>
    <w:rsid w:val="6F354CD2"/>
    <w:rsid w:val="6F8331F1"/>
    <w:rsid w:val="6FAE1A09"/>
    <w:rsid w:val="6FD75BF8"/>
    <w:rsid w:val="707723D0"/>
    <w:rsid w:val="708741CD"/>
    <w:rsid w:val="7099559A"/>
    <w:rsid w:val="70AB4566"/>
    <w:rsid w:val="70AE66B7"/>
    <w:rsid w:val="70F5661B"/>
    <w:rsid w:val="71260E18"/>
    <w:rsid w:val="71360107"/>
    <w:rsid w:val="713B688E"/>
    <w:rsid w:val="71687B5B"/>
    <w:rsid w:val="71A36DE5"/>
    <w:rsid w:val="71D43752"/>
    <w:rsid w:val="71E272BF"/>
    <w:rsid w:val="71F1796A"/>
    <w:rsid w:val="72154626"/>
    <w:rsid w:val="72262B5D"/>
    <w:rsid w:val="72283FF7"/>
    <w:rsid w:val="722E7212"/>
    <w:rsid w:val="723A0474"/>
    <w:rsid w:val="725923E4"/>
    <w:rsid w:val="72864BF7"/>
    <w:rsid w:val="729023FC"/>
    <w:rsid w:val="72A116D3"/>
    <w:rsid w:val="734A077D"/>
    <w:rsid w:val="73C0646E"/>
    <w:rsid w:val="73CA48B0"/>
    <w:rsid w:val="742222F5"/>
    <w:rsid w:val="74476126"/>
    <w:rsid w:val="74706664"/>
    <w:rsid w:val="747F3682"/>
    <w:rsid w:val="749C4185"/>
    <w:rsid w:val="75067759"/>
    <w:rsid w:val="752D31A7"/>
    <w:rsid w:val="752E6DCD"/>
    <w:rsid w:val="7551380D"/>
    <w:rsid w:val="75600BE5"/>
    <w:rsid w:val="7564475C"/>
    <w:rsid w:val="7583797F"/>
    <w:rsid w:val="75C849BF"/>
    <w:rsid w:val="75D20F1D"/>
    <w:rsid w:val="75DA2C18"/>
    <w:rsid w:val="75F54412"/>
    <w:rsid w:val="761D08E0"/>
    <w:rsid w:val="765D347C"/>
    <w:rsid w:val="76826699"/>
    <w:rsid w:val="76B13D52"/>
    <w:rsid w:val="76C87133"/>
    <w:rsid w:val="76CD08D5"/>
    <w:rsid w:val="76DB4B92"/>
    <w:rsid w:val="77052AA4"/>
    <w:rsid w:val="77136511"/>
    <w:rsid w:val="77340A39"/>
    <w:rsid w:val="77351FD0"/>
    <w:rsid w:val="77380D5E"/>
    <w:rsid w:val="77472422"/>
    <w:rsid w:val="774A3380"/>
    <w:rsid w:val="777F31F2"/>
    <w:rsid w:val="77D1700D"/>
    <w:rsid w:val="77D830C0"/>
    <w:rsid w:val="77EC04CC"/>
    <w:rsid w:val="77ED1FE6"/>
    <w:rsid w:val="78727511"/>
    <w:rsid w:val="78775729"/>
    <w:rsid w:val="78A42DB0"/>
    <w:rsid w:val="78A656AB"/>
    <w:rsid w:val="78B2245C"/>
    <w:rsid w:val="78E172CC"/>
    <w:rsid w:val="78EA1D1F"/>
    <w:rsid w:val="7904172F"/>
    <w:rsid w:val="790F7E27"/>
    <w:rsid w:val="792A231A"/>
    <w:rsid w:val="79316829"/>
    <w:rsid w:val="797E66A9"/>
    <w:rsid w:val="79960FDD"/>
    <w:rsid w:val="79A97383"/>
    <w:rsid w:val="79E27E8B"/>
    <w:rsid w:val="79E85CDC"/>
    <w:rsid w:val="79F850CE"/>
    <w:rsid w:val="79FD443C"/>
    <w:rsid w:val="7A1D1975"/>
    <w:rsid w:val="7A342CD0"/>
    <w:rsid w:val="7A3E5150"/>
    <w:rsid w:val="7A4670D6"/>
    <w:rsid w:val="7A534B63"/>
    <w:rsid w:val="7A54529A"/>
    <w:rsid w:val="7A615382"/>
    <w:rsid w:val="7A67303B"/>
    <w:rsid w:val="7AAB1D04"/>
    <w:rsid w:val="7ABA4368"/>
    <w:rsid w:val="7AD05746"/>
    <w:rsid w:val="7B257FFD"/>
    <w:rsid w:val="7B343476"/>
    <w:rsid w:val="7B3F5F83"/>
    <w:rsid w:val="7B5A2978"/>
    <w:rsid w:val="7B5A7E4C"/>
    <w:rsid w:val="7B667AF9"/>
    <w:rsid w:val="7B7468F8"/>
    <w:rsid w:val="7B986BE5"/>
    <w:rsid w:val="7BAD6ADF"/>
    <w:rsid w:val="7BEE0103"/>
    <w:rsid w:val="7C0A0FE4"/>
    <w:rsid w:val="7C254906"/>
    <w:rsid w:val="7C590818"/>
    <w:rsid w:val="7C7A122F"/>
    <w:rsid w:val="7C7C10F6"/>
    <w:rsid w:val="7C853BEA"/>
    <w:rsid w:val="7C881368"/>
    <w:rsid w:val="7CAD556F"/>
    <w:rsid w:val="7CBA4FE2"/>
    <w:rsid w:val="7CBC4742"/>
    <w:rsid w:val="7CE27788"/>
    <w:rsid w:val="7D0C32F1"/>
    <w:rsid w:val="7D0F408D"/>
    <w:rsid w:val="7D491C6C"/>
    <w:rsid w:val="7D5429C0"/>
    <w:rsid w:val="7D6E6D43"/>
    <w:rsid w:val="7DB57A34"/>
    <w:rsid w:val="7DE60973"/>
    <w:rsid w:val="7DEF0916"/>
    <w:rsid w:val="7E1E5218"/>
    <w:rsid w:val="7E7D1A26"/>
    <w:rsid w:val="7E9A4E1F"/>
    <w:rsid w:val="7EA7723A"/>
    <w:rsid w:val="7EF56FBB"/>
    <w:rsid w:val="7EF944E8"/>
    <w:rsid w:val="7F0768EB"/>
    <w:rsid w:val="7F143BEC"/>
    <w:rsid w:val="7F715AF2"/>
    <w:rsid w:val="7F886E69"/>
    <w:rsid w:val="7FE676AC"/>
    <w:rsid w:val="7FEC5DFB"/>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uiPriority w:val="1"/>
  </w:style>
  <w:style w:type="table" w:default="1" w:styleId="66">
    <w:name w:val="Normal Table"/>
    <w:semiHidden/>
    <w:unhideWhenUsed/>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next w:val="8"/>
    <w:link w:val="720"/>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783"/>
    <w:qFormat/>
    <w:uiPriority w:val="0"/>
    <w:pPr>
      <w:spacing w:line="480" w:lineRule="exact"/>
      <w:ind w:firstLine="480" w:firstLineChars="200"/>
    </w:pPr>
    <w:rPr>
      <w:rFonts w:ascii="宋体" w:hAnsi="宋体"/>
      <w:sz w:val="24"/>
    </w:rPr>
  </w:style>
  <w:style w:type="paragraph" w:customStyle="1" w:styleId="9">
    <w:name w:val="正文文本首行缩进 21"/>
    <w:basedOn w:val="8"/>
    <w:qFormat/>
    <w:uiPriority w:val="99"/>
    <w:pPr>
      <w:spacing w:line="200" w:lineRule="atLeast"/>
      <w:ind w:firstLine="420"/>
    </w:pPr>
    <w:rPr>
      <w:rFonts w:hAnsi="Courier New"/>
      <w:spacing w:val="-4"/>
      <w:sz w:val="18"/>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7"/>
    <w:qFormat/>
    <w:uiPriority w:val="0"/>
    <w:pPr>
      <w:shd w:val="clear" w:color="auto" w:fill="000080"/>
    </w:pPr>
  </w:style>
  <w:style w:type="paragraph" w:styleId="23">
    <w:name w:val="annotation text"/>
    <w:basedOn w:val="1"/>
    <w:link w:val="855"/>
    <w:qFormat/>
    <w:uiPriority w:val="99"/>
    <w:pPr>
      <w:jc w:val="left"/>
    </w:pPr>
  </w:style>
  <w:style w:type="paragraph" w:styleId="24">
    <w:name w:val="Salutation"/>
    <w:basedOn w:val="1"/>
    <w:next w:val="1"/>
    <w:link w:val="815"/>
    <w:qFormat/>
    <w:uiPriority w:val="0"/>
    <w:rPr>
      <w:rFonts w:ascii="仿宋_GB2312" w:eastAsia="仿宋_GB2312"/>
      <w:sz w:val="28"/>
      <w:szCs w:val="20"/>
    </w:rPr>
  </w:style>
  <w:style w:type="paragraph" w:styleId="25">
    <w:name w:val="Body Text 3"/>
    <w:basedOn w:val="1"/>
    <w:link w:val="84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932"/>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1"/>
    <w:link w:val="834"/>
    <w:qFormat/>
    <w:uiPriority w:val="0"/>
    <w:pPr>
      <w:ind w:firstLine="420"/>
    </w:pPr>
    <w:rPr>
      <w:rFonts w:hAnsi="Calibri" w:cs="Times New Roman"/>
      <w:szCs w:val="20"/>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3"/>
    <w:next w:val="23"/>
    <w:link w:val="632"/>
    <w:qFormat/>
    <w:uiPriority w:val="0"/>
    <w:rPr>
      <w:b/>
      <w:bCs/>
    </w:rPr>
  </w:style>
  <w:style w:type="paragraph" w:styleId="64">
    <w:name w:val="Body Text First Indent 2"/>
    <w:basedOn w:val="8"/>
    <w:next w:val="65"/>
    <w:link w:val="655"/>
    <w:qFormat/>
    <w:uiPriority w:val="0"/>
    <w:pPr>
      <w:adjustRightInd/>
      <w:spacing w:after="120" w:line="240" w:lineRule="auto"/>
      <w:ind w:left="420" w:leftChars="200" w:firstLine="210"/>
    </w:pPr>
    <w:rPr>
      <w:sz w:val="21"/>
    </w:rPr>
  </w:style>
  <w:style w:type="paragraph" w:customStyle="1" w:styleId="65">
    <w:name w:val="xl53"/>
    <w:basedOn w:val="1"/>
    <w:next w:val="1"/>
    <w:qFormat/>
    <w:uiPriority w:val="0"/>
    <w:pPr>
      <w:spacing w:before="280" w:after="280" w:line="100" w:lineRule="exact"/>
      <w:jc w:val="center"/>
    </w:pPr>
    <w:rPr>
      <w:b/>
      <w:sz w:val="20"/>
    </w:rPr>
  </w:style>
  <w:style w:type="table" w:styleId="67">
    <w:name w:val="Table Grid"/>
    <w:basedOn w:val="6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Sample"/>
    <w:basedOn w:val="73"/>
    <w:qFormat/>
    <w:uiPriority w:val="0"/>
    <w:rPr>
      <w:rFonts w:ascii="Courier New" w:hAnsi="Courier New"/>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10"/>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10"/>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10"/>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1"/>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8"/>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10"/>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10"/>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Lines="50"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7"/>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2"/>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1"/>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64"/>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12"/>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8"/>
    <w:qFormat/>
    <w:uiPriority w:val="0"/>
    <w:rPr>
      <w:rFonts w:ascii="宋体"/>
      <w:kern w:val="2"/>
      <w:sz w:val="24"/>
      <w:szCs w:val="21"/>
      <w:lang w:val="zh-CN"/>
    </w:rPr>
  </w:style>
  <w:style w:type="character" w:customStyle="1" w:styleId="710">
    <w:name w:val="标题 9 字符"/>
    <w:link w:val="15"/>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字符2"/>
    <w:link w:val="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2"/>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3"/>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20"/>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8"/>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4"/>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11"/>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4"/>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60"/>
    <w:qFormat/>
    <w:uiPriority w:val="0"/>
    <w:rPr>
      <w:rFonts w:ascii="黑体" w:hAnsi="Courier New" w:eastAsia="黑体"/>
    </w:rPr>
  </w:style>
  <w:style w:type="character" w:customStyle="1" w:styleId="819">
    <w:name w:val="正文文本 2 字符1"/>
    <w:link w:val="59"/>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13"/>
    <w:qFormat/>
    <w:uiPriority w:val="0"/>
    <w:rPr>
      <w:b/>
      <w:bCs/>
      <w:kern w:val="2"/>
      <w:sz w:val="24"/>
      <w:szCs w:val="24"/>
    </w:rPr>
  </w:style>
  <w:style w:type="character" w:customStyle="1" w:styleId="823">
    <w:name w:val="正文文本缩进 2 字符"/>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文本首行缩进 字符"/>
    <w:link w:val="28"/>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10"/>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5"/>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3"/>
    <w:qFormat/>
    <w:uiPriority w:val="0"/>
    <w:rPr>
      <w:kern w:val="2"/>
      <w:sz w:val="21"/>
      <w:szCs w:val="24"/>
    </w:rPr>
  </w:style>
  <w:style w:type="character" w:customStyle="1" w:styleId="856">
    <w:name w:val="签名 字符"/>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字符"/>
    <w:link w:val="14"/>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933">
    <w:name w:val="gray6"/>
    <w:basedOn w:val="73"/>
    <w:qFormat/>
    <w:uiPriority w:val="0"/>
    <w:rPr>
      <w:rFonts w:ascii="Arial" w:hAnsi="Arial" w:eastAsia="黑体" w:cs="Arial"/>
      <w:snapToGrid w:val="0"/>
      <w:kern w:val="0"/>
      <w:szCs w:val="21"/>
    </w:rPr>
  </w:style>
  <w:style w:type="character" w:customStyle="1" w:styleId="934">
    <w:name w:val="hui"/>
    <w:basedOn w:val="7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1"/>
    <w:basedOn w:val="8"/>
    <w:qFormat/>
    <w:uiPriority w:val="99"/>
    <w:pPr>
      <w:spacing w:line="200" w:lineRule="atLeast"/>
      <w:ind w:firstLine="420"/>
    </w:pPr>
    <w:rPr>
      <w:rFonts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8">
    <w:name w:val="[Normal]"/>
    <w:qFormat/>
    <w:uiPriority w:val="0"/>
    <w:rPr>
      <w:rFonts w:ascii="宋体" w:hAnsi="宋体" w:eastAsia="宋体" w:cs="Times New Roman"/>
      <w:sz w:val="24"/>
      <w:szCs w:val="22"/>
      <w:lang w:val="zh-CN" w:eastAsia="zh-CN" w:bidi="ar-SA"/>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0">
    <w:name w:val="BodyTextIndent"/>
    <w:basedOn w:val="1"/>
    <w:next w:val="971"/>
    <w:qFormat/>
    <w:uiPriority w:val="0"/>
    <w:pPr>
      <w:spacing w:line="480" w:lineRule="atLeast"/>
      <w:ind w:firstLine="570"/>
      <w:textAlignment w:val="baseline"/>
    </w:pPr>
    <w:rPr>
      <w:rFonts w:ascii="??" w:hAnsi="??" w:eastAsia="??"/>
      <w:sz w:val="28"/>
      <w:szCs w:val="28"/>
    </w:rPr>
  </w:style>
  <w:style w:type="paragraph" w:customStyle="1" w:styleId="971">
    <w:name w:val="UserStyle_460"/>
    <w:basedOn w:val="970"/>
    <w:qFormat/>
    <w:uiPriority w:val="0"/>
    <w:pPr>
      <w:spacing w:line="240" w:lineRule="atLeast"/>
      <w:ind w:firstLine="420"/>
    </w:pPr>
    <w:rPr>
      <w:rFonts w:ascii="宋体" w:hAnsi="Courier New"/>
      <w:spacing w:val="-4"/>
      <w:sz w:val="18"/>
    </w:rPr>
  </w:style>
  <w:style w:type="paragraph" w:customStyle="1" w:styleId="972">
    <w:name w:val="BodyText"/>
    <w:basedOn w:val="1"/>
    <w:qFormat/>
    <w:uiPriority w:val="0"/>
    <w:pPr>
      <w:textAlignment w:val="baseline"/>
    </w:pPr>
    <w:rPr>
      <w:rFonts w:ascii="等线" w:hAnsi="等线" w:eastAsia="??"/>
      <w:sz w:val="24"/>
      <w:szCs w:val="28"/>
    </w:rPr>
  </w:style>
  <w:style w:type="paragraph" w:customStyle="1" w:styleId="973">
    <w:name w:val="UserStyle_16"/>
    <w:basedOn w:val="1"/>
    <w:qFormat/>
    <w:uiPriority w:val="0"/>
    <w:pPr>
      <w:widowControl/>
      <w:spacing w:before="156" w:line="360" w:lineRule="auto"/>
      <w:ind w:firstLine="510" w:firstLineChars="200"/>
    </w:pPr>
    <w:rPr>
      <w:rFonts w:ascii="Calibri" w:hAnsi="Calibri"/>
      <w:kern w:val="0"/>
      <w:sz w:val="24"/>
      <w:szCs w:val="20"/>
    </w:rPr>
  </w:style>
  <w:style w:type="paragraph" w:styleId="974">
    <w:name w:val="List Paragraph"/>
    <w:basedOn w:val="1"/>
    <w:unhideWhenUsed/>
    <w:qFormat/>
    <w:uiPriority w:val="99"/>
    <w:pPr>
      <w:ind w:firstLine="420" w:firstLineChars="200"/>
    </w:pPr>
  </w:style>
  <w:style w:type="paragraph" w:customStyle="1" w:styleId="975">
    <w:name w:val="2"/>
    <w:basedOn w:val="1"/>
    <w:next w:val="1"/>
    <w:qFormat/>
    <w:uiPriority w:val="0"/>
    <w:pPr>
      <w:adjustRightInd/>
    </w:pPr>
    <w:rPr>
      <w:rFonts w:ascii="Calibri" w:hAnsi="Calibri" w:eastAsia="仿宋_GB2312"/>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35457</Words>
  <Characters>37027</Characters>
  <Lines>288</Lines>
  <Paragraphs>81</Paragraphs>
  <TotalTime>0</TotalTime>
  <ScaleCrop>false</ScaleCrop>
  <LinksUpToDate>false</LinksUpToDate>
  <CharactersWithSpaces>38847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2023-01-31T03:06:00Z</dcterms:created>
  <dc:creator>玥</dc:creator>
  <cp:lastModifiedBy>WPS_1546044933</cp:lastModifiedBy>
  <cp:lastPrinted>2022-08-19T05:40:00Z</cp:lastPrinted>
  <dcterms:modified xsi:type="dcterms:W3CDTF">2023-02-06T07:26:28Z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8841E66E0E0B4C4D979F4482DD9918C7</vt:lpwstr>
  </property>
  <property fmtid="{D5CDD505-2E9C-101B-9397-08002B2CF9AE}" pid="5" name="commondata">
    <vt:lpwstr>eyJoZGlkIjoiMmE3NTc1MTljMDA0ZWI0ZjljNTEwZjI5MzUwYjAxOTgifQ==</vt:lpwstr>
  </property>
</Properties>
</file>