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lang w:eastAsia="zh-CN"/>
        </w:rPr>
        <w:t>设计馆《纤维密码》展览画册出版</w:t>
      </w:r>
      <w:r>
        <w:rPr>
          <w:rFonts w:hint="eastAsia" w:ascii="楷体" w:hAnsi="楷体" w:eastAsia="楷体" w:cs="楷体"/>
          <w:b/>
          <w:bCs/>
          <w:sz w:val="48"/>
          <w:szCs w:val="48"/>
          <w:highlight w:val="none"/>
        </w:rPr>
        <w:t xml:space="preserve">  </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hint="default"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中国美术学院</w:t>
      </w:r>
      <w:r>
        <w:rPr>
          <w:rFonts w:hint="eastAsia" w:ascii="楷体" w:hAnsi="楷体" w:eastAsia="楷体" w:cs="楷体"/>
          <w:b/>
          <w:bCs/>
          <w:sz w:val="30"/>
          <w:szCs w:val="30"/>
          <w:highlight w:val="none"/>
          <w:lang w:val="en-US" w:eastAsia="zh-CN"/>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设计馆《纤维密码》展览画册出版</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QSZB-Z(F)-H21302(CS)     </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color w:val="auto"/>
          <w:sz w:val="30"/>
          <w:szCs w:val="30"/>
          <w:highlight w:val="none"/>
        </w:rPr>
        <w:t>：</w:t>
      </w:r>
      <w:r>
        <w:rPr>
          <w:rFonts w:hint="eastAsia" w:ascii="楷体" w:hAnsi="楷体" w:eastAsia="楷体" w:cs="楷体"/>
          <w:b/>
          <w:bCs/>
          <w:color w:val="auto"/>
          <w:sz w:val="30"/>
          <w:szCs w:val="30"/>
          <w:highlight w:val="none"/>
          <w:lang w:eastAsia="zh-CN"/>
        </w:rPr>
        <w:t>[2021]78425号</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设计馆《纤维密码》展览画册出版</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11月30日9:30:00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28359079"/>
      <w:bookmarkStart w:id="1" w:name="_Toc28359002"/>
      <w:bookmarkStart w:id="2" w:name="_Toc35393790"/>
      <w:bookmarkStart w:id="3" w:name="_Toc35393621"/>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QSZB-Z(F)-H21302(CS)     </w:t>
      </w:r>
      <w:r>
        <w:rPr>
          <w:rFonts w:hint="eastAsia"/>
          <w:bCs/>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w:t>
      </w:r>
      <w:r>
        <w:rPr>
          <w:rFonts w:hint="eastAsia"/>
          <w:sz w:val="21"/>
          <w:szCs w:val="21"/>
          <w:highlight w:val="none"/>
          <w:lang w:eastAsia="zh-CN"/>
        </w:rPr>
        <w:t>设计馆《纤维密码》展览画册出版</w:t>
      </w:r>
      <w:r>
        <w:rPr>
          <w:rFonts w:hint="eastAsia"/>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bookmarkEnd w:id="4"/>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预算金额（元）：</w:t>
      </w:r>
      <w:r>
        <w:rPr>
          <w:rFonts w:hint="eastAsia"/>
          <w:sz w:val="21"/>
          <w:szCs w:val="21"/>
          <w:highlight w:val="none"/>
          <w:lang w:val="en-US" w:eastAsia="zh-CN"/>
        </w:rPr>
        <w:t>200000</w:t>
      </w:r>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5.</w:t>
      </w:r>
      <w:r>
        <w:rPr>
          <w:rFonts w:hint="eastAsia"/>
          <w:sz w:val="21"/>
          <w:szCs w:val="21"/>
          <w:highlight w:val="none"/>
        </w:rPr>
        <w:t>最高限价（元）：</w:t>
      </w:r>
      <w:r>
        <w:rPr>
          <w:rFonts w:hint="eastAsia"/>
          <w:sz w:val="21"/>
          <w:szCs w:val="21"/>
          <w:highlight w:val="none"/>
          <w:lang w:val="en-US" w:eastAsia="zh-CN"/>
        </w:rPr>
        <w:t>200000</w:t>
      </w:r>
    </w:p>
    <w:p>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6.</w:t>
      </w:r>
      <w:r>
        <w:rPr>
          <w:rFonts w:hint="eastAsia"/>
          <w:sz w:val="21"/>
          <w:szCs w:val="21"/>
          <w:highlight w:val="none"/>
        </w:rPr>
        <w:t>合同履行期限：202</w:t>
      </w:r>
      <w:r>
        <w:rPr>
          <w:rFonts w:hint="eastAsia"/>
          <w:sz w:val="21"/>
          <w:szCs w:val="21"/>
          <w:highlight w:val="none"/>
          <w:lang w:val="en-US" w:eastAsia="zh-CN"/>
        </w:rPr>
        <w:t>2</w:t>
      </w:r>
      <w:r>
        <w:rPr>
          <w:rFonts w:hint="eastAsia"/>
          <w:sz w:val="21"/>
          <w:szCs w:val="21"/>
          <w:highlight w:val="none"/>
        </w:rPr>
        <w:t>年12月底</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6"/>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5" w:type="dxa"/>
            <w:tcBorders>
              <w:tl2br w:val="nil"/>
              <w:tr2bl w:val="nil"/>
            </w:tcBorders>
            <w:vAlign w:val="center"/>
          </w:tcPr>
          <w:p>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82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设计馆《纤维密码》展览画册出版</w:t>
            </w:r>
          </w:p>
        </w:tc>
        <w:tc>
          <w:tcPr>
            <w:tcW w:w="82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83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655"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r>
    </w:tbl>
    <w:p>
      <w:pPr>
        <w:adjustRightInd w:val="0"/>
        <w:snapToGrid w:val="0"/>
        <w:spacing w:line="288" w:lineRule="auto"/>
        <w:ind w:firstLine="200"/>
        <w:rPr>
          <w:b/>
          <w:sz w:val="21"/>
          <w:szCs w:val="21"/>
          <w:highlight w:val="none"/>
        </w:rPr>
      </w:pPr>
      <w:bookmarkStart w:id="5" w:name="_Toc35393791"/>
      <w:bookmarkStart w:id="6" w:name="_Toc28359003"/>
      <w:bookmarkStart w:id="7" w:name="_Toc28359080"/>
      <w:bookmarkStart w:id="8" w:name="_Toc35393622"/>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81"/>
      <w:bookmarkStart w:id="10" w:name="_Toc28359004"/>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w:t>
      </w:r>
      <w:r>
        <w:rPr>
          <w:rFonts w:hint="eastAsia"/>
          <w:color w:val="000000" w:themeColor="text1"/>
          <w:sz w:val="21"/>
          <w:szCs w:val="21"/>
          <w:highlight w:val="none"/>
          <w14:textFill>
            <w14:solidFill>
              <w14:schemeClr w14:val="tx1"/>
            </w14:solidFill>
          </w14:textFill>
        </w:rPr>
        <w:t>本项目面向中小企业采购（对应的中小企业划分标准所属行业：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35393793"/>
      <w:bookmarkStart w:id="15" w:name="_Toc28359082"/>
      <w:bookmarkStart w:id="16" w:name="_Toc28359005"/>
      <w:r>
        <w:rPr>
          <w:rFonts w:hint="eastAsia"/>
          <w:sz w:val="21"/>
          <w:szCs w:val="21"/>
          <w:highlight w:val="none"/>
        </w:rPr>
        <w:t>时间：2021年</w:t>
      </w:r>
      <w:r>
        <w:rPr>
          <w:rFonts w:hint="eastAsia"/>
          <w:sz w:val="21"/>
          <w:szCs w:val="21"/>
          <w:highlight w:val="none"/>
          <w:lang w:val="en-US" w:eastAsia="zh-CN"/>
        </w:rPr>
        <w:t>11</w:t>
      </w:r>
      <w:r>
        <w:rPr>
          <w:rFonts w:hint="eastAsia"/>
          <w:sz w:val="21"/>
          <w:szCs w:val="21"/>
          <w:highlight w:val="none"/>
          <w:lang w:eastAsia="zh-CN"/>
        </w:rPr>
        <w:t>月</w:t>
      </w:r>
      <w:r>
        <w:rPr>
          <w:rFonts w:hint="eastAsia"/>
          <w:sz w:val="21"/>
          <w:szCs w:val="21"/>
          <w:highlight w:val="none"/>
          <w:lang w:val="en-US" w:eastAsia="zh-CN"/>
        </w:rPr>
        <w:t>18</w:t>
      </w:r>
      <w:r>
        <w:rPr>
          <w:rFonts w:hint="eastAsia"/>
          <w:sz w:val="21"/>
          <w:szCs w:val="21"/>
          <w:highlight w:val="none"/>
          <w:lang w:eastAsia="zh-CN"/>
        </w:rPr>
        <w:t>日</w:t>
      </w:r>
      <w:r>
        <w:rPr>
          <w:rFonts w:hint="eastAsia"/>
          <w:sz w:val="21"/>
          <w:szCs w:val="21"/>
          <w:highlight w:val="none"/>
        </w:rPr>
        <w:t>至2021年</w:t>
      </w:r>
      <w:r>
        <w:rPr>
          <w:rFonts w:hint="eastAsia"/>
          <w:sz w:val="21"/>
          <w:szCs w:val="21"/>
          <w:highlight w:val="none"/>
          <w:lang w:val="en-US" w:eastAsia="zh-CN"/>
        </w:rPr>
        <w:t>11</w:t>
      </w:r>
      <w:r>
        <w:rPr>
          <w:rFonts w:hint="eastAsia"/>
          <w:sz w:val="21"/>
          <w:szCs w:val="21"/>
          <w:highlight w:val="none"/>
          <w:lang w:eastAsia="zh-CN"/>
        </w:rPr>
        <w:t>月</w:t>
      </w:r>
      <w:r>
        <w:rPr>
          <w:rFonts w:hint="eastAsia"/>
          <w:sz w:val="21"/>
          <w:szCs w:val="21"/>
          <w:highlight w:val="none"/>
          <w:lang w:val="en-US" w:eastAsia="zh-CN"/>
        </w:rPr>
        <w:t>30</w:t>
      </w:r>
      <w:r>
        <w:rPr>
          <w:rFonts w:hint="eastAsia"/>
          <w:sz w:val="21"/>
          <w:szCs w:val="21"/>
          <w:highlight w:val="none"/>
          <w:lang w:eastAsia="zh-CN"/>
        </w:rPr>
        <w:t>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11月30日9:30:00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35393625"/>
      <w:bookmarkStart w:id="18" w:name="_Toc28359084"/>
      <w:bookmarkStart w:id="19" w:name="_Toc28359007"/>
      <w:bookmarkStart w:id="20" w:name="_Toc3539379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11月30日9:30:00</w:t>
      </w:r>
      <w:r>
        <w:rPr>
          <w:rFonts w:hint="eastAsia"/>
          <w:bCs/>
          <w:sz w:val="21"/>
          <w:szCs w:val="21"/>
          <w:highlight w:val="none"/>
        </w:rPr>
        <w:t>（北京时间）</w:t>
      </w:r>
    </w:p>
    <w:p>
      <w:pPr>
        <w:adjustRightInd w:val="0"/>
        <w:snapToGrid w:val="0"/>
        <w:spacing w:line="288" w:lineRule="auto"/>
        <w:ind w:firstLine="420" w:firstLineChars="200"/>
        <w:rPr>
          <w:rFonts w:hint="default" w:eastAsia="宋体"/>
          <w:bCs/>
          <w:sz w:val="21"/>
          <w:szCs w:val="21"/>
          <w:highlight w:val="none"/>
          <w:lang w:val="en-US" w:eastAsia="zh-CN"/>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w:t>
      </w:r>
      <w:r>
        <w:rPr>
          <w:rFonts w:hint="eastAsia"/>
          <w:color w:val="000000" w:themeColor="text1"/>
          <w:sz w:val="21"/>
          <w:szCs w:val="21"/>
          <w:highlight w:val="none"/>
          <w14:textFill>
            <w14:solidFill>
              <w14:schemeClr w14:val="tx1"/>
            </w14:solidFill>
          </w14:textFill>
        </w:rPr>
        <w:t>杭州市西湖区玉古路</w:t>
      </w:r>
      <w:r>
        <w:rPr>
          <w:color w:val="000000" w:themeColor="text1"/>
          <w:sz w:val="21"/>
          <w:szCs w:val="21"/>
          <w:highlight w:val="none"/>
          <w14:textFill>
            <w14:solidFill>
              <w14:schemeClr w14:val="tx1"/>
            </w14:solidFill>
          </w14:textFill>
        </w:rPr>
        <w:t>173号中田大厦11楼</w:t>
      </w:r>
      <w:r>
        <w:rPr>
          <w:rFonts w:hint="eastAsia"/>
          <w:color w:val="000000" w:themeColor="text1"/>
          <w:sz w:val="21"/>
          <w:szCs w:val="21"/>
          <w:highlight w:val="none"/>
          <w:lang w:val="en-US" w:eastAsia="zh-CN"/>
          <w14:textFill>
            <w14:solidFill>
              <w14:schemeClr w14:val="tx1"/>
            </w14:solidFill>
          </w14:textFill>
        </w:rPr>
        <w:t>求是招标3号会议室</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35393796"/>
      <w:bookmarkStart w:id="24" w:name="_Toc28359008"/>
      <w:bookmarkStart w:id="25" w:name="_Toc35393627"/>
      <w:bookmarkStart w:id="26" w:name="_Toc28359085"/>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胡老师</w:t>
      </w:r>
    </w:p>
    <w:p>
      <w:pPr>
        <w:adjustRightInd w:val="0"/>
        <w:snapToGrid w:val="0"/>
        <w:spacing w:line="288" w:lineRule="auto"/>
        <w:ind w:firstLine="283" w:firstLineChars="135"/>
        <w:rPr>
          <w:rFonts w:hint="default" w:eastAsia="宋体"/>
          <w:sz w:val="21"/>
          <w:szCs w:val="21"/>
          <w:highlight w:val="none"/>
          <w:lang w:val="en-US" w:eastAsia="zh-CN"/>
        </w:rPr>
      </w:pPr>
      <w:r>
        <w:rPr>
          <w:rFonts w:hint="eastAsia"/>
          <w:sz w:val="21"/>
          <w:szCs w:val="21"/>
          <w:highlight w:val="none"/>
        </w:rPr>
        <w:t>项目联系方式（询问）：0571-87169703</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w:t>
      </w:r>
      <w:r>
        <w:rPr>
          <w:rFonts w:hint="eastAsia"/>
          <w:sz w:val="21"/>
          <w:szCs w:val="21"/>
          <w:highlight w:val="none"/>
          <w:lang w:val="en-US" w:eastAsia="zh-CN"/>
        </w:rPr>
        <w:t>黄</w:t>
      </w:r>
      <w:r>
        <w:rPr>
          <w:rFonts w:hint="eastAsia"/>
          <w:sz w:val="21"/>
          <w:szCs w:val="21"/>
          <w:highlight w:val="none"/>
        </w:rPr>
        <w:t>老师</w:t>
      </w:r>
      <w:bookmarkStart w:id="35" w:name="_GoBack"/>
      <w:bookmarkEnd w:id="35"/>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w:t>
      </w:r>
      <w:r>
        <w:rPr>
          <w:rFonts w:hint="eastAsia"/>
          <w:sz w:val="21"/>
          <w:szCs w:val="21"/>
          <w:highlight w:val="none"/>
          <w:lang w:eastAsia="zh-CN"/>
        </w:rPr>
        <w:t>陈培特</w:t>
      </w:r>
      <w:r>
        <w:rPr>
          <w:rFonts w:hint="eastAsia"/>
          <w:sz w:val="21"/>
          <w:szCs w:val="21"/>
          <w:highlight w:val="none"/>
        </w:rPr>
        <w:t>、王娜</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cs="宋体"/>
          <w:color w:val="000000" w:themeColor="text1"/>
          <w:sz w:val="21"/>
          <w:szCs w:val="21"/>
          <w:highlight w:val="none"/>
          <w:lang w:eastAsia="zh-CN"/>
          <w14:textFill>
            <w14:solidFill>
              <w14:schemeClr w14:val="tx1"/>
            </w14:solidFill>
          </w14:textFill>
        </w:rPr>
        <w:t>其他未列明行业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b w:val="0"/>
          <w:bCs w:val="0"/>
          <w:sz w:val="21"/>
          <w:szCs w:val="21"/>
          <w:highlight w:val="none"/>
        </w:rPr>
        <w:t>从业人员300人以下的为中小微型企业。其中，从业人员100人及以上的为中型企业；从业人员10人及以上的为小型企业；从业人员10人以下的为微型企业</w:t>
      </w:r>
      <w:r>
        <w:rPr>
          <w:rFonts w:hint="eastAsia"/>
          <w:b w:val="0"/>
          <w:bCs w:val="0"/>
          <w:color w:val="000000" w:themeColor="text1"/>
          <w:sz w:val="21"/>
          <w:szCs w:val="21"/>
          <w:highlight w:val="none"/>
          <w14:textFill>
            <w14:solidFill>
              <w14:schemeClr w14:val="tx1"/>
            </w14:solidFill>
          </w14:textFill>
        </w:rPr>
        <w:t>。</w:t>
      </w:r>
    </w:p>
    <w:p>
      <w:pPr>
        <w:adjustRightInd w:val="0"/>
        <w:snapToGrid w:val="0"/>
        <w:spacing w:line="288" w:lineRule="auto"/>
        <w:outlineLvl w:val="1"/>
        <w:rPr>
          <w:b/>
          <w:bCs/>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采购资金的支付方式、时间、条件：</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lang w:val="en-US" w:eastAsia="zh-CN"/>
              </w:rPr>
              <w:t>成交人</w:t>
            </w:r>
            <w:r>
              <w:rPr>
                <w:rFonts w:hint="eastAsia"/>
                <w:sz w:val="21"/>
                <w:szCs w:val="21"/>
                <w:highlight w:val="none"/>
              </w:rPr>
              <w:t>在合同签订生效后10个工作日内缴纳合同金额 5 %的履约保证金，履约保证金在</w:t>
            </w:r>
            <w:r>
              <w:rPr>
                <w:rFonts w:hint="eastAsia"/>
                <w:sz w:val="21"/>
                <w:szCs w:val="21"/>
                <w:highlight w:val="none"/>
                <w:lang w:val="en-US" w:eastAsia="zh-CN"/>
              </w:rPr>
              <w:t>履约结束</w:t>
            </w:r>
            <w:r>
              <w:rPr>
                <w:rFonts w:hint="eastAsia"/>
                <w:sz w:val="21"/>
                <w:szCs w:val="21"/>
                <w:highlight w:val="none"/>
              </w:rPr>
              <w:t>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采购合同生效且自采购人收到履约保证金</w:t>
            </w:r>
            <w:r>
              <w:rPr>
                <w:rFonts w:hint="eastAsia"/>
                <w:sz w:val="21"/>
                <w:szCs w:val="21"/>
                <w:highlight w:val="none"/>
                <w:lang w:eastAsia="zh-CN"/>
              </w:rPr>
              <w:t>十</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服务要求（技术要求里另有注明的以技术要求为准）：</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服务维护期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z w:val="21"/>
                <w:szCs w:val="21"/>
                <w:highlight w:val="none"/>
              </w:rPr>
              <w:t>服务标准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在使用期内，由于成交供应商设计、制造（包括材料、工艺及加工质量）、运输受损等原因导致的故障、损坏，由成交供应商无偿修理、更换，直至恢复（达到）合同规定的质量和性能参数要求。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效率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合同商品出现故障后，成交供应商接到采购人通知后，应在不超过4小时内做出响应，不超过2个工作日内解决问题。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交付时间（合同履行期限）和地点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交付时间：</w:t>
            </w:r>
            <w:r>
              <w:rPr>
                <w:rFonts w:hint="eastAsia"/>
                <w:sz w:val="21"/>
                <w:szCs w:val="21"/>
                <w:highlight w:val="none"/>
              </w:rPr>
              <w:t>2022年12月底</w:t>
            </w:r>
          </w:p>
          <w:p>
            <w:pPr>
              <w:spacing w:line="288" w:lineRule="auto"/>
              <w:rPr>
                <w:rFonts w:ascii="宋体" w:hAnsi="宋体"/>
                <w:spacing w:val="-6"/>
                <w:sz w:val="21"/>
                <w:szCs w:val="21"/>
                <w:highlight w:val="none"/>
              </w:rPr>
            </w:pPr>
            <w:r>
              <w:rPr>
                <w:rFonts w:hint="eastAsia" w:ascii="宋体" w:hAnsi="宋体"/>
                <w:spacing w:val="-6"/>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验收</w:t>
            </w:r>
            <w:r>
              <w:rPr>
                <w:rFonts w:ascii="宋体" w:hAnsi="宋体"/>
                <w:spacing w:val="-6"/>
                <w:sz w:val="21"/>
                <w:szCs w:val="21"/>
                <w:highlight w:val="none"/>
              </w:rPr>
              <w:t>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供应商应于磋商响应文件中提供合同货物的验收标准和检测办法，并在验收中提供采购人认可的相应检测手段，验收标准应符合中国有关的国家、地方、行业的标准，如若成交，经采购人确认后作为验收的依据。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验收费用由成交供应商承担。</w:t>
            </w:r>
          </w:p>
        </w:tc>
      </w:tr>
    </w:tbl>
    <w:p>
      <w:pPr>
        <w:pStyle w:val="2"/>
        <w:shd w:val="clear"/>
        <w:spacing w:line="300" w:lineRule="auto"/>
        <w:rPr>
          <w:rFonts w:hint="eastAsia" w:ascii="宋体" w:hAnsi="宋体"/>
          <w:b/>
          <w:sz w:val="24"/>
          <w:highlight w:val="none"/>
          <w:lang w:val="en-US" w:eastAsia="zh-CN"/>
        </w:rPr>
      </w:pPr>
    </w:p>
    <w:p>
      <w:pPr>
        <w:widowControl/>
        <w:shd w:val="clear" w:color="auto" w:fill="FFFFFF"/>
        <w:spacing w:beforeAutospacing="1" w:afterAutospacing="1"/>
        <w:rPr>
          <w:rFonts w:ascii="微软雅黑" w:hAnsi="微软雅黑" w:eastAsia="微软雅黑" w:cs="微软雅黑"/>
          <w:color w:val="000000"/>
          <w:sz w:val="27"/>
          <w:szCs w:val="27"/>
          <w:highlight w:val="none"/>
        </w:rPr>
      </w:pPr>
      <w:r>
        <w:rPr>
          <w:rFonts w:hint="eastAsia" w:ascii="宋体" w:hAnsi="宋体" w:eastAsia="宋体" w:cs="宋体"/>
          <w:b/>
          <w:bCs/>
          <w:color w:val="auto"/>
          <w:kern w:val="2"/>
          <w:sz w:val="21"/>
          <w:szCs w:val="21"/>
          <w:highlight w:val="none"/>
          <w:lang w:val="en-US" w:eastAsia="zh-CN" w:bidi="ar-SA"/>
        </w:rPr>
        <w:t>四、技术要求：</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书名：纤维密码（中国设计与世界设计研究大系，中国国际设计博物馆展览系列）</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书籍开本：210mm×250mm</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封面及内页纸张：特种纸</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封面工艺：压印（凸印）、烫印</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封套：透明无色PVC</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装帧形式：腔背软精装</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内页数量：250页</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印刷数量：1000册</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出版说明：书稿由编著单位直接提供给出版社，出版方负责上述所有作品集编辑审校、彩页制版、印刷装订、代办出版手续、设计费用、翻译稿费发放等，并在出版后送货到指定地点。</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val="0"/>
          <w:bCs/>
          <w:sz w:val="21"/>
          <w:szCs w:val="21"/>
          <w:highlight w:val="none"/>
        </w:rPr>
      </w:pPr>
      <w:r>
        <w:rPr>
          <w:rFonts w:hint="eastAsia" w:ascii="宋体" w:hAnsi="宋体"/>
          <w:b w:val="0"/>
          <w:bCs/>
          <w:sz w:val="21"/>
          <w:szCs w:val="21"/>
          <w:highlight w:val="none"/>
        </w:rPr>
        <w:t>要求：出版社具有专业美术图片、文献编辑、审核和出版的能力与资质优先，且出版过同类画册者优先。</w:t>
      </w:r>
    </w:p>
    <w:p>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b/>
          <w:sz w:val="21"/>
          <w:szCs w:val="21"/>
          <w:highlight w:val="none"/>
        </w:rPr>
      </w:pPr>
    </w:p>
    <w:p>
      <w:pPr>
        <w:pStyle w:val="2"/>
        <w:keepNext w:val="0"/>
        <w:keepLines w:val="0"/>
        <w:pageBreakBefore w:val="0"/>
        <w:widowControl w:val="0"/>
        <w:shd w:val="clear"/>
        <w:kinsoku/>
        <w:wordWrap/>
        <w:overflowPunct/>
        <w:topLinePunct w:val="0"/>
        <w:bidi w:val="0"/>
        <w:snapToGrid/>
        <w:spacing w:line="240" w:lineRule="auto"/>
        <w:ind w:firstLine="420" w:firstLineChars="200"/>
        <w:textAlignment w:val="auto"/>
        <w:rPr>
          <w:rFonts w:cs="Times New Roman"/>
          <w:sz w:val="21"/>
          <w:szCs w:val="21"/>
          <w:highlight w:val="none"/>
        </w:rPr>
      </w:pP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中国美术学院设计馆《纤维密码》展览画册出版</w:t>
            </w:r>
            <w:r>
              <w:rPr>
                <w:rFonts w:hint="eastAsia"/>
                <w:sz w:val="21"/>
                <w:szCs w:val="21"/>
                <w:highlight w:val="none"/>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27"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bookmarkEnd w:id="27"/>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28"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hint="eastAsia"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sz w:val="21"/>
                <w:szCs w:val="21"/>
                <w:highlight w:val="none"/>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中国美术学院设计馆《纤维密码》展览画册出版</w:t>
      </w:r>
      <w:r>
        <w:rPr>
          <w:rFonts w:hint="eastAsia"/>
          <w:sz w:val="21"/>
          <w:szCs w:val="21"/>
          <w:highlight w:val="none"/>
        </w:rPr>
        <w:t xml:space="preserve">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中国美术学院</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29"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7"/>
        <w:adjustRightInd w:val="0"/>
        <w:snapToGrid w:val="0"/>
        <w:spacing w:line="288" w:lineRule="auto"/>
        <w:ind w:firstLine="398" w:firstLineChars="200"/>
        <w:jc w:val="left"/>
        <w:rPr>
          <w:rFonts w:hAnsi="宋体"/>
          <w:spacing w:val="-6"/>
          <w:sz w:val="21"/>
          <w:szCs w:val="21"/>
          <w:highlight w:val="none"/>
          <w:u w:val="singl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29"/>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本磋商文件由以下部份组成：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30"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bookmarkEnd w:id="30"/>
    </w:p>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31" w:name="_Hlk71884127"/>
      <w:r>
        <w:rPr>
          <w:rFonts w:hint="eastAsia"/>
          <w:b/>
          <w:bCs/>
          <w:sz w:val="21"/>
          <w:szCs w:val="21"/>
          <w:highlight w:val="none"/>
        </w:rPr>
        <w:t>（</w:t>
      </w:r>
      <w:r>
        <w:rPr>
          <w:b/>
          <w:bCs/>
          <w:sz w:val="21"/>
          <w:szCs w:val="21"/>
          <w:highlight w:val="none"/>
        </w:rPr>
        <w:t>2）资格条件承诺函</w:t>
      </w:r>
      <w:bookmarkEnd w:id="31"/>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（4）监狱企业资格证明材料（若属于监狱企业）</w:t>
      </w:r>
    </w:p>
    <w:p>
      <w:pPr>
        <w:adjustRightInd w:val="0"/>
        <w:snapToGrid w:val="0"/>
        <w:spacing w:line="288" w:lineRule="auto"/>
        <w:ind w:firstLine="420" w:firstLineChars="200"/>
        <w:rPr>
          <w:b/>
          <w:bCs/>
          <w:sz w:val="21"/>
          <w:szCs w:val="21"/>
          <w:highlight w:val="none"/>
        </w:rPr>
      </w:pPr>
      <w:bookmarkStart w:id="32" w:name="OLE_LINK14"/>
      <w:bookmarkStart w:id="33" w:name="OLE_LINK13"/>
      <w:r>
        <w:rPr>
          <w:rFonts w:hint="eastAsia"/>
          <w:sz w:val="21"/>
          <w:szCs w:val="21"/>
          <w:highlight w:val="none"/>
        </w:rPr>
        <w:t>（5）残疾人福利性单位声明函</w:t>
      </w:r>
      <w:bookmarkEnd w:id="32"/>
      <w:bookmarkEnd w:id="33"/>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（6）供应商同类项目实施情况一览表</w:t>
      </w:r>
    </w:p>
    <w:p>
      <w:pPr>
        <w:adjustRightInd w:val="0"/>
        <w:snapToGrid w:val="0"/>
        <w:spacing w:line="288" w:lineRule="auto"/>
        <w:ind w:firstLine="420" w:firstLineChars="200"/>
        <w:rPr>
          <w:sz w:val="21"/>
          <w:szCs w:val="21"/>
          <w:highlight w:val="none"/>
        </w:rPr>
      </w:pPr>
      <w:r>
        <w:rPr>
          <w:rFonts w:hint="eastAsia"/>
          <w:sz w:val="21"/>
          <w:szCs w:val="21"/>
          <w:highlight w:val="none"/>
        </w:rPr>
        <w:t>（7）</w:t>
      </w:r>
      <w:r>
        <w:rPr>
          <w:sz w:val="21"/>
          <w:szCs w:val="21"/>
          <w:highlight w:val="none"/>
        </w:rPr>
        <w:t>采购需求偏离表</w:t>
      </w:r>
    </w:p>
    <w:p>
      <w:pPr>
        <w:adjustRightInd w:val="0"/>
        <w:snapToGrid w:val="0"/>
        <w:spacing w:line="288" w:lineRule="auto"/>
        <w:ind w:firstLine="420" w:firstLineChars="200"/>
        <w:rPr>
          <w:highlight w:val="none"/>
        </w:rPr>
      </w:pPr>
      <w:r>
        <w:rPr>
          <w:rFonts w:hint="eastAsia"/>
          <w:sz w:val="21"/>
          <w:szCs w:val="21"/>
          <w:highlight w:val="none"/>
          <w:lang w:val="en-US" w:eastAsia="zh-CN"/>
        </w:rPr>
        <w:t>（8）其余</w:t>
      </w:r>
      <w:r>
        <w:rPr>
          <w:sz w:val="21"/>
          <w:szCs w:val="21"/>
          <w:highlight w:val="none"/>
        </w:rPr>
        <w:t>内容格式自拟</w:t>
      </w:r>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numPr>
          <w:ilvl w:val="0"/>
          <w:numId w:val="2"/>
        </w:numPr>
        <w:adjustRightInd w:val="0"/>
        <w:snapToGrid w:val="0"/>
        <w:spacing w:line="288" w:lineRule="auto"/>
        <w:outlineLvl w:val="1"/>
        <w:rPr>
          <w:b/>
          <w:bCs/>
          <w:sz w:val="21"/>
          <w:szCs w:val="21"/>
          <w:highlight w:val="none"/>
        </w:rPr>
      </w:pPr>
      <w:r>
        <w:rPr>
          <w:rFonts w:hint="eastAsia"/>
          <w:b/>
          <w:bCs/>
          <w:sz w:val="21"/>
          <w:szCs w:val="21"/>
          <w:highlight w:val="none"/>
        </w:rPr>
        <w:t>评审内容及标准</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分值</w:t>
            </w:r>
          </w:p>
        </w:tc>
        <w:tc>
          <w:tcPr>
            <w:tcW w:w="720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ascii="宋体" w:hAnsi="宋体" w:eastAsia="宋体" w:cs="Times New Roman"/>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价格</w:t>
            </w:r>
            <w:r>
              <w:rPr>
                <w:rFonts w:hint="eastAsia" w:ascii="宋体" w:hAnsi="宋体" w:eastAsia="宋体" w:cs="Times New Roman"/>
                <w:b/>
                <w:bCs/>
                <w:sz w:val="21"/>
                <w:szCs w:val="21"/>
                <w:highlight w:val="none"/>
              </w:rPr>
              <w:t>分（</w:t>
            </w:r>
            <w:r>
              <w:rPr>
                <w:rFonts w:hint="eastAsia" w:cs="Times New Roman"/>
                <w:b/>
                <w:bCs/>
                <w:sz w:val="21"/>
                <w:szCs w:val="21"/>
                <w:highlight w:val="none"/>
                <w:lang w:val="en-US" w:eastAsia="zh-CN"/>
              </w:rPr>
              <w:t>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ascii="宋体" w:hAnsi="宋体" w:eastAsia="宋体" w:cs="宋体"/>
                <w:b/>
                <w:bCs/>
                <w:sz w:val="21"/>
                <w:szCs w:val="21"/>
                <w:highlight w:val="none"/>
              </w:rPr>
            </w:pPr>
            <w:r>
              <w:rPr>
                <w:rFonts w:hint="eastAsia" w:hAnsi="宋体"/>
                <w:b/>
                <w:bCs/>
                <w:spacing w:val="-6"/>
                <w:sz w:val="21"/>
                <w:szCs w:val="21"/>
                <w:highlight w:val="none"/>
              </w:rPr>
              <w:t>磋商响应报价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highlight w:val="none"/>
              </w:rPr>
            </w:pPr>
            <w:r>
              <w:rPr>
                <w:rFonts w:hint="eastAsia" w:ascii="宋体" w:hAnsi="宋体"/>
                <w:b/>
                <w:bCs/>
                <w:spacing w:val="-6"/>
                <w:sz w:val="21"/>
                <w:szCs w:val="21"/>
                <w:highlight w:val="none"/>
                <w:lang w:val="en-US" w:eastAsia="zh-CN"/>
              </w:rPr>
              <w:t>1</w:t>
            </w:r>
            <w:r>
              <w:rPr>
                <w:rFonts w:hint="eastAsia" w:ascii="宋体" w:hAnsi="宋体"/>
                <w:b/>
                <w:bCs/>
                <w:spacing w:val="-6"/>
                <w:sz w:val="21"/>
                <w:szCs w:val="21"/>
                <w:highlight w:val="none"/>
              </w:rPr>
              <w:t>0</w:t>
            </w:r>
          </w:p>
        </w:tc>
        <w:tc>
          <w:tcPr>
            <w:tcW w:w="7207" w:type="dxa"/>
            <w:tcBorders>
              <w:top w:val="single" w:color="auto" w:sz="4" w:space="0"/>
              <w:left w:val="single" w:color="auto" w:sz="4" w:space="0"/>
              <w:bottom w:val="single" w:color="auto" w:sz="4" w:space="0"/>
              <w:right w:val="single" w:color="auto" w:sz="4" w:space="0"/>
            </w:tcBorders>
            <w:vAlign w:val="center"/>
          </w:tcPr>
          <w:p>
            <w:pPr>
              <w:pStyle w:val="7"/>
              <w:ind w:firstLine="0"/>
              <w:rPr>
                <w:rFonts w:hint="eastAsia" w:hAnsi="宋体"/>
                <w:spacing w:val="-6"/>
                <w:sz w:val="21"/>
                <w:szCs w:val="21"/>
                <w:highlight w:val="none"/>
              </w:rPr>
            </w:pPr>
            <w:r>
              <w:rPr>
                <w:rFonts w:hint="eastAsia" w:hAnsi="宋体"/>
                <w:spacing w:val="-6"/>
                <w:sz w:val="21"/>
                <w:szCs w:val="21"/>
                <w:highlight w:val="none"/>
              </w:rPr>
              <w:t>价格分采用低价优先法计算，即满足磋商文件要求且磋商响应报价最低的报价为磋商基准价，其他磋商响应供应商的价格分按照下列公式计算：</w:t>
            </w:r>
          </w:p>
          <w:p>
            <w:pPr>
              <w:rPr>
                <w:rFonts w:ascii="宋体" w:hAnsi="宋体" w:eastAsia="宋体" w:cs="宋体"/>
                <w:sz w:val="21"/>
                <w:szCs w:val="21"/>
                <w:highlight w:val="none"/>
              </w:rPr>
            </w:pPr>
            <w:r>
              <w:rPr>
                <w:rFonts w:hint="eastAsia" w:hAnsi="宋体"/>
                <w:spacing w:val="-6"/>
                <w:sz w:val="21"/>
                <w:szCs w:val="21"/>
                <w:highlight w:val="none"/>
              </w:rPr>
              <w:t>价格分=（磋商基准价/磋商响应报</w:t>
            </w:r>
            <w:r>
              <w:rPr>
                <w:rFonts w:hint="eastAsia" w:ascii="宋体" w:hAnsi="宋体"/>
                <w:spacing w:val="-6"/>
                <w:sz w:val="21"/>
                <w:szCs w:val="21"/>
                <w:highlight w:val="none"/>
              </w:rPr>
              <w:t>价）×</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商务分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2</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2</w:t>
            </w:r>
          </w:p>
        </w:tc>
        <w:tc>
          <w:tcPr>
            <w:tcW w:w="7207" w:type="dxa"/>
            <w:vAlign w:val="center"/>
          </w:tcPr>
          <w:p>
            <w:pPr>
              <w:adjustRightInd w:val="0"/>
              <w:snapToGrid w:val="0"/>
              <w:spacing w:line="288" w:lineRule="auto"/>
              <w:rPr>
                <w:rFonts w:ascii="宋体" w:hAnsi="宋体" w:eastAsia="宋体" w:cs="宋体"/>
                <w:sz w:val="21"/>
                <w:szCs w:val="21"/>
                <w:highlight w:val="none"/>
              </w:rPr>
            </w:pPr>
            <w:r>
              <w:rPr>
                <w:rFonts w:hint="eastAsia" w:cs="宋体"/>
                <w:sz w:val="21"/>
                <w:szCs w:val="21"/>
                <w:highlight w:val="none"/>
                <w:lang w:val="en-US" w:eastAsia="zh-CN"/>
              </w:rPr>
              <w:t>供应商</w:t>
            </w:r>
            <w:r>
              <w:rPr>
                <w:rFonts w:hint="eastAsia" w:ascii="宋体" w:hAnsi="宋体" w:eastAsia="宋体" w:cs="宋体"/>
                <w:sz w:val="21"/>
                <w:szCs w:val="21"/>
                <w:highlight w:val="none"/>
              </w:rPr>
              <w:t>自201</w:t>
            </w:r>
            <w:r>
              <w:rPr>
                <w:rFonts w:ascii="宋体" w:hAnsi="宋体" w:eastAsia="宋体" w:cs="宋体"/>
                <w:sz w:val="21"/>
                <w:szCs w:val="21"/>
                <w:highlight w:val="none"/>
              </w:rPr>
              <w:t>8</w:t>
            </w:r>
            <w:r>
              <w:rPr>
                <w:rFonts w:hint="eastAsia" w:ascii="宋体" w:hAnsi="宋体" w:eastAsia="宋体" w:cs="宋体"/>
                <w:sz w:val="21"/>
                <w:szCs w:val="21"/>
                <w:highlight w:val="none"/>
              </w:rPr>
              <w:t>年1月1日以来（以合同签订时间为准）同类合同业绩（以提供的合同扫描件为准）：每提供1份合同业绩得</w:t>
            </w:r>
            <w:r>
              <w:rPr>
                <w:rFonts w:ascii="宋体" w:hAnsi="宋体" w:eastAsia="宋体" w:cs="宋体"/>
                <w:sz w:val="21"/>
                <w:szCs w:val="21"/>
                <w:highlight w:val="none"/>
              </w:rPr>
              <w:t>1</w:t>
            </w:r>
            <w:r>
              <w:rPr>
                <w:rFonts w:hint="eastAsia" w:ascii="宋体" w:hAnsi="宋体" w:eastAsia="宋体" w:cs="宋体"/>
                <w:sz w:val="21"/>
                <w:szCs w:val="21"/>
                <w:highlight w:val="none"/>
              </w:rPr>
              <w:t>分，最高得</w:t>
            </w:r>
            <w:r>
              <w:rPr>
                <w:rFonts w:ascii="宋体" w:hAnsi="宋体" w:eastAsia="宋体" w:cs="宋体"/>
                <w:sz w:val="21"/>
                <w:szCs w:val="21"/>
                <w:highlight w:val="none"/>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技术</w:t>
            </w:r>
            <w:r>
              <w:rPr>
                <w:rFonts w:ascii="宋体" w:hAnsi="宋体" w:eastAsia="宋体" w:cs="Times New Roman"/>
                <w:b/>
                <w:bCs/>
                <w:sz w:val="21"/>
                <w:szCs w:val="21"/>
                <w:highlight w:val="none"/>
              </w:rPr>
              <w:t>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88</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响应程度</w:t>
            </w:r>
          </w:p>
        </w:tc>
        <w:tc>
          <w:tcPr>
            <w:tcW w:w="654" w:type="dxa"/>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b/>
                <w:bCs/>
                <w:sz w:val="21"/>
                <w:szCs w:val="21"/>
                <w:highlight w:val="none"/>
                <w:lang w:val="en-US" w:eastAsia="zh-CN"/>
              </w:rPr>
              <w:t>20</w:t>
            </w:r>
          </w:p>
        </w:tc>
        <w:tc>
          <w:tcPr>
            <w:tcW w:w="7207" w:type="dxa"/>
            <w:vAlign w:val="center"/>
          </w:tcPr>
          <w:p>
            <w:pPr>
              <w:contextualSpacing/>
              <w:rPr>
                <w:rFonts w:ascii="宋体" w:hAnsi="宋体"/>
                <w:sz w:val="21"/>
                <w:szCs w:val="21"/>
                <w:highlight w:val="none"/>
              </w:rPr>
            </w:pPr>
            <w:r>
              <w:rPr>
                <w:rFonts w:hint="eastAsia" w:ascii="宋体" w:hAnsi="宋体"/>
                <w:sz w:val="21"/>
                <w:szCs w:val="21"/>
                <w:highlight w:val="none"/>
              </w:rPr>
              <w:t>不符合（负偏离）技术要求中标注“▲”条款（不可偏离）的响应无效；</w:t>
            </w:r>
          </w:p>
          <w:p>
            <w:pPr>
              <w:contextualSpacing/>
              <w:rPr>
                <w:rFonts w:ascii="宋体" w:hAnsi="宋体"/>
                <w:sz w:val="21"/>
                <w:szCs w:val="21"/>
                <w:highlight w:val="none"/>
              </w:rPr>
            </w:pPr>
            <w:r>
              <w:rPr>
                <w:rFonts w:hint="eastAsia" w:ascii="宋体" w:hAnsi="宋体"/>
                <w:sz w:val="21"/>
                <w:szCs w:val="21"/>
                <w:highlight w:val="none"/>
              </w:rPr>
              <w:t>全部满足磋商文件明确的技术条款要求，得</w:t>
            </w:r>
            <w:r>
              <w:rPr>
                <w:rFonts w:hint="eastAsia"/>
                <w:sz w:val="21"/>
                <w:szCs w:val="21"/>
                <w:highlight w:val="none"/>
                <w:lang w:val="en-US" w:eastAsia="zh-CN"/>
              </w:rPr>
              <w:t>20</w:t>
            </w:r>
            <w:r>
              <w:rPr>
                <w:rFonts w:hint="eastAsia" w:ascii="宋体" w:hAnsi="宋体"/>
                <w:sz w:val="21"/>
                <w:szCs w:val="21"/>
                <w:highlight w:val="none"/>
              </w:rPr>
              <w:t>分；</w:t>
            </w:r>
          </w:p>
          <w:p>
            <w:pPr>
              <w:contextualSpacing/>
              <w:rPr>
                <w:rFonts w:ascii="宋体" w:hAnsi="宋体" w:eastAsia="宋体" w:cs="宋体"/>
                <w:color w:val="auto"/>
                <w:sz w:val="21"/>
                <w:szCs w:val="21"/>
                <w:highlight w:val="none"/>
              </w:rPr>
            </w:pPr>
            <w:r>
              <w:rPr>
                <w:rFonts w:hint="eastAsia" w:ascii="宋体" w:hAnsi="宋体"/>
                <w:sz w:val="21"/>
                <w:szCs w:val="21"/>
                <w:highlight w:val="none"/>
              </w:rPr>
              <w:t>允许偏离的技术条款低于技术要求（负偏离）的，每条扣</w:t>
            </w:r>
            <w:r>
              <w:rPr>
                <w:rFonts w:hint="eastAsia"/>
                <w:sz w:val="21"/>
                <w:szCs w:val="21"/>
                <w:highlight w:val="none"/>
                <w:lang w:val="en-US" w:eastAsia="zh-CN"/>
              </w:rPr>
              <w:t>4</w:t>
            </w:r>
            <w:r>
              <w:rPr>
                <w:rFonts w:hint="eastAsia" w:ascii="宋体" w:hAnsi="宋体"/>
                <w:sz w:val="21"/>
                <w:szCs w:val="21"/>
                <w:highlight w:val="none"/>
              </w:rPr>
              <w:t>分（</w:t>
            </w:r>
            <w:r>
              <w:rPr>
                <w:rFonts w:hint="eastAsia"/>
                <w:sz w:val="21"/>
                <w:szCs w:val="21"/>
                <w:highlight w:val="none"/>
                <w:lang w:val="en-US" w:eastAsia="zh-CN"/>
              </w:rPr>
              <w:t>20</w:t>
            </w:r>
            <w:r>
              <w:rPr>
                <w:rFonts w:hint="eastAsia" w:ascii="宋体" w:hAnsi="宋体"/>
                <w:sz w:val="21"/>
                <w:szCs w:val="21"/>
                <w:highlight w:val="none"/>
              </w:rPr>
              <w:t>分扣完为止），允许偏离的技术条款低于技术要求（负偏离）达到5条及以上的响应无效。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contextualSpacing/>
              <w:jc w:val="center"/>
              <w:rPr>
                <w:rFonts w:ascii="宋体" w:hAnsi="宋体"/>
                <w:b/>
                <w:bCs/>
                <w:sz w:val="21"/>
                <w:szCs w:val="21"/>
                <w:highlight w:val="none"/>
              </w:rPr>
            </w:pPr>
            <w:r>
              <w:rPr>
                <w:rFonts w:hint="eastAsia" w:ascii="宋体" w:hAnsi="宋体"/>
                <w:b/>
                <w:bCs/>
                <w:sz w:val="21"/>
                <w:szCs w:val="21"/>
                <w:highlight w:val="none"/>
              </w:rPr>
              <w:t>实施人员及经验</w:t>
            </w:r>
          </w:p>
          <w:p>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（提供具体实施人员情况表）</w:t>
            </w:r>
          </w:p>
        </w:tc>
        <w:tc>
          <w:tcPr>
            <w:tcW w:w="654" w:type="dxa"/>
            <w:vAlign w:val="center"/>
          </w:tcPr>
          <w:p>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5</w:t>
            </w:r>
          </w:p>
        </w:tc>
        <w:tc>
          <w:tcPr>
            <w:tcW w:w="7207" w:type="dxa"/>
            <w:vAlign w:val="center"/>
          </w:tcPr>
          <w:p>
            <w:pPr>
              <w:contextualSpacing/>
              <w:rPr>
                <w:rFonts w:hint="default" w:ascii="宋体" w:hAnsi="宋体" w:eastAsia="宋体" w:cs="宋体"/>
                <w:color w:val="auto"/>
                <w:kern w:val="2"/>
                <w:sz w:val="21"/>
                <w:szCs w:val="21"/>
                <w:highlight w:val="none"/>
                <w:lang w:val="en-US" w:eastAsia="zh-CN" w:bidi="ar-SA"/>
              </w:rPr>
            </w:pPr>
            <w:r>
              <w:rPr>
                <w:rFonts w:hint="eastAsia" w:ascii="宋体" w:hAnsi="宋体"/>
                <w:sz w:val="21"/>
                <w:szCs w:val="21"/>
                <w:highlight w:val="none"/>
              </w:rPr>
              <w:t>拟派项目负责人：根据提供职称、获奖证书、学历学位、项目经验等的证明材料，</w:t>
            </w:r>
            <w:r>
              <w:rPr>
                <w:rFonts w:hint="eastAsia" w:ascii="宋体" w:hAnsi="宋体"/>
                <w:color w:val="000000"/>
                <w:sz w:val="21"/>
                <w:szCs w:val="21"/>
                <w:highlight w:val="none"/>
              </w:rPr>
              <w:t>提供项目负责人在响应截止时间前三个月的供应商本单位在职职工社会保险参保证明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拟派项目团队人员：根据提供职称、获奖证书、学历学位、项目经验等，</w:t>
            </w:r>
            <w:r>
              <w:rPr>
                <w:rFonts w:hint="eastAsia" w:ascii="宋体" w:hAnsi="宋体"/>
                <w:color w:val="000000"/>
                <w:sz w:val="21"/>
                <w:szCs w:val="21"/>
                <w:highlight w:val="none"/>
              </w:rPr>
              <w:t>提供项目团队人员在响应截止时间前三个月的供应商本单位在职职工社会保险参保证明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z w:val="21"/>
                <w:szCs w:val="21"/>
              </w:rPr>
              <w:t>供货措施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pacing w:val="-6"/>
                <w:sz w:val="21"/>
                <w:szCs w:val="21"/>
              </w:rPr>
              <w:t>是否具有完善质量监控措施和先进的质量检测设施等，保障货物供应实施措施等。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pacing w:val="-6"/>
                <w:sz w:val="21"/>
                <w:szCs w:val="21"/>
              </w:rPr>
              <w:t>拟投入本项目设备</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rPr>
              <w:t>根据拟投入本项目的基础设施、印刷品生产装备、生产设施等情况。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项目实施方案总体设计、排版设计、编辑、校对、审稿、印刷、装订、出版、成品运输的整个流程。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b/>
                <w:bCs/>
                <w:sz w:val="21"/>
                <w:szCs w:val="21"/>
                <w:highlight w:val="none"/>
                <w:lang w:val="en-US" w:eastAsia="zh-CN"/>
              </w:rPr>
            </w:pPr>
            <w:r>
              <w:rPr>
                <w:rFonts w:hint="eastAsia"/>
                <w:b/>
                <w:bCs/>
                <w:sz w:val="21"/>
                <w:szCs w:val="21"/>
                <w:highlight w:val="none"/>
                <w:lang w:val="en-US" w:eastAsia="zh-CN"/>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sz w:val="21"/>
                <w:szCs w:val="21"/>
                <w:highlight w:val="none"/>
              </w:rPr>
            </w:pPr>
            <w:r>
              <w:rPr>
                <w:rFonts w:hint="eastAsia" w:ascii="宋体" w:hAnsi="宋体"/>
                <w:sz w:val="21"/>
                <w:szCs w:val="21"/>
              </w:rPr>
              <w:t>根据</w:t>
            </w:r>
            <w:r>
              <w:rPr>
                <w:rFonts w:hint="eastAsia" w:ascii="宋体" w:hAnsi="宋体"/>
                <w:spacing w:val="-6"/>
                <w:sz w:val="21"/>
                <w:szCs w:val="21"/>
              </w:rPr>
              <w:t>磋商响应供应商</w:t>
            </w:r>
            <w:r>
              <w:rPr>
                <w:rFonts w:hint="eastAsia" w:ascii="宋体" w:hAnsi="宋体"/>
                <w:sz w:val="21"/>
                <w:szCs w:val="21"/>
              </w:rPr>
              <w:t>针对本项目提供的</w:t>
            </w:r>
            <w:r>
              <w:rPr>
                <w:rFonts w:hint="eastAsia" w:ascii="宋体" w:hAnsi="宋体"/>
                <w:spacing w:val="-6"/>
                <w:sz w:val="21"/>
                <w:szCs w:val="21"/>
              </w:rPr>
              <w:t>装帧设计方案的合理性，美观性等。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详细阐述实现思路和关键技术，以及对功能设计和实施计划的建议。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pacing w:val="-6"/>
                <w:sz w:val="21"/>
                <w:szCs w:val="21"/>
                <w:highlight w:val="none"/>
              </w:rPr>
              <w:t>拟投入本项目出版物材质、工艺</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提供的纸张、材料与采购需求的符合程度。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提供的制作工艺的</w:t>
            </w:r>
            <w:r>
              <w:rPr>
                <w:rFonts w:hint="eastAsia" w:hAnsi="宋体"/>
                <w:spacing w:val="-6"/>
                <w:sz w:val="21"/>
                <w:szCs w:val="21"/>
                <w:highlight w:val="none"/>
              </w:rPr>
              <w:t>精湛程度及先进性。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z w:val="21"/>
                <w:szCs w:val="21"/>
                <w:highlight w:val="none"/>
              </w:rPr>
              <w:t>供货措施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pacing w:val="-6"/>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pacing w:val="-6"/>
                <w:sz w:val="21"/>
                <w:szCs w:val="21"/>
                <w:highlight w:val="none"/>
              </w:rPr>
              <w:t>是否具有完善质量监控措施和先进的质量检测设施等，保障货物供应实施措施等。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highlight w:val="none"/>
              </w:rPr>
            </w:pPr>
            <w:r>
              <w:rPr>
                <w:rFonts w:hint="eastAsia" w:ascii="宋体" w:hAnsi="宋体"/>
                <w:color w:val="000000"/>
                <w:sz w:val="21"/>
                <w:szCs w:val="21"/>
                <w:highlight w:val="none"/>
              </w:rPr>
              <w:t>根据售后服务方案的有完整性、合理性、针对性，专业服务力量和服务保障方案的详细程度。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spacing w:val="-6"/>
                <w:sz w:val="21"/>
                <w:szCs w:val="21"/>
                <w:highlight w:val="none"/>
              </w:rPr>
              <w:t>服务维护期</w:t>
            </w:r>
            <w:r>
              <w:rPr>
                <w:rFonts w:hint="eastAsia" w:ascii="宋体" w:hAnsi="宋体"/>
                <w:color w:val="000000"/>
                <w:sz w:val="21"/>
                <w:szCs w:val="21"/>
                <w:highlight w:val="none"/>
              </w:rPr>
              <w:t>内外的后续支持和维护能力情况，备材备料的准备和保障措施。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ascii="宋体" w:hAnsi="宋体"/>
                <w:b/>
                <w:bCs/>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spacing w:val="-6"/>
                <w:sz w:val="21"/>
                <w:szCs w:val="21"/>
                <w:highlight w:val="none"/>
                <w:lang w:eastAsia="zh-CN"/>
              </w:rPr>
            </w:pPr>
            <w:r>
              <w:rPr>
                <w:rFonts w:hint="eastAsia"/>
                <w:b/>
                <w:bCs/>
                <w:spacing w:val="-6"/>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pacing w:val="-6"/>
                <w:sz w:val="21"/>
                <w:szCs w:val="21"/>
                <w:highlight w:val="none"/>
              </w:rPr>
            </w:pPr>
            <w:r>
              <w:rPr>
                <w:rFonts w:ascii="宋体" w:hAnsi="宋体"/>
                <w:sz w:val="21"/>
                <w:szCs w:val="21"/>
                <w:highlight w:val="none"/>
              </w:rPr>
              <w:t>根据</w:t>
            </w:r>
            <w:r>
              <w:rPr>
                <w:rFonts w:hint="eastAsia" w:ascii="宋体" w:hAnsi="宋体"/>
                <w:spacing w:val="-6"/>
                <w:sz w:val="21"/>
                <w:szCs w:val="21"/>
                <w:highlight w:val="none"/>
              </w:rPr>
              <w:t>磋商响应供应商</w:t>
            </w:r>
            <w:r>
              <w:rPr>
                <w:rFonts w:ascii="宋体" w:hAnsi="宋体"/>
                <w:sz w:val="21"/>
                <w:szCs w:val="21"/>
                <w:highlight w:val="none"/>
              </w:rPr>
              <w:t>对本项目的合理化建议和改进措施的</w:t>
            </w:r>
            <w:r>
              <w:rPr>
                <w:rFonts w:ascii="宋体" w:hAnsi="宋体"/>
                <w:bCs/>
                <w:sz w:val="21"/>
                <w:szCs w:val="21"/>
                <w:highlight w:val="none"/>
              </w:rPr>
              <w:t>合理</w:t>
            </w:r>
            <w:r>
              <w:rPr>
                <w:rFonts w:hint="eastAsia" w:ascii="宋体" w:hAnsi="宋体"/>
                <w:bCs/>
                <w:sz w:val="21"/>
                <w:szCs w:val="21"/>
                <w:highlight w:val="none"/>
              </w:rPr>
              <w:t>性，</w:t>
            </w:r>
            <w:r>
              <w:rPr>
                <w:rFonts w:ascii="宋体" w:hAnsi="宋体"/>
                <w:bCs/>
                <w:sz w:val="21"/>
                <w:szCs w:val="21"/>
                <w:highlight w:val="none"/>
              </w:rPr>
              <w:t>可行性</w:t>
            </w:r>
            <w:r>
              <w:rPr>
                <w:rFonts w:hint="eastAsia" w:ascii="宋体" w:hAnsi="宋体"/>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lang w:eastAsia="zh-CN"/>
        </w:rPr>
        <w:t>中国美术学院设计馆《纤维密码》展览画册出版</w:t>
      </w:r>
      <w:r>
        <w:rPr>
          <w:rFonts w:hint="eastAsia"/>
          <w:b/>
          <w:bCs/>
          <w:sz w:val="21"/>
          <w:szCs w:val="21"/>
          <w:highlight w:val="none"/>
        </w:rPr>
        <w:t xml:space="preserve"> 政府采购合同</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（本合同为合同样稿，最终稿由三方协商后确定，合同实质性内容不得更改；签订合同时删除此行）</w:t>
      </w:r>
    </w:p>
    <w:p>
      <w:pPr>
        <w:adjustRightInd w:val="0"/>
        <w:snapToGrid w:val="0"/>
        <w:spacing w:line="288" w:lineRule="auto"/>
        <w:rPr>
          <w:sz w:val="21"/>
          <w:szCs w:val="21"/>
          <w:highlight w:val="none"/>
        </w:rPr>
      </w:pP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采购编号：</w:t>
      </w:r>
      <w:r>
        <w:rPr>
          <w:rFonts w:hint="eastAsia" w:ascii="宋体" w:hAnsi="宋体" w:eastAsia="宋体" w:cs="宋体"/>
          <w:sz w:val="21"/>
          <w:szCs w:val="21"/>
          <w:highlight w:val="none"/>
          <w:lang w:val="en-US" w:eastAsia="zh-CN"/>
        </w:rPr>
        <w:t xml:space="preserve">             </w:t>
      </w: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确认书号：</w:t>
      </w:r>
      <w:r>
        <w:rPr>
          <w:rFonts w:hint="eastAsia" w:cs="宋体"/>
          <w:sz w:val="21"/>
          <w:szCs w:val="21"/>
          <w:highlight w:val="none"/>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甲方（采购人）：</w:t>
      </w:r>
      <w:r>
        <w:rPr>
          <w:rFonts w:hint="eastAsia" w:cs="宋体"/>
          <w:sz w:val="21"/>
          <w:szCs w:val="21"/>
          <w:highlight w:val="none"/>
          <w:u w:val="single"/>
          <w:lang w:eastAsia="zh-CN"/>
        </w:rPr>
        <w:t>中国美术学院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pacing w:val="-6"/>
          <w:sz w:val="21"/>
          <w:szCs w:val="21"/>
          <w:highlight w:val="none"/>
          <w:u w:val="single"/>
        </w:rPr>
      </w:pPr>
      <w:r>
        <w:rPr>
          <w:rFonts w:hint="eastAsia" w:ascii="宋体" w:hAnsi="宋体" w:eastAsia="宋体" w:cs="宋体"/>
          <w:b/>
          <w:bCs/>
          <w:sz w:val="21"/>
          <w:szCs w:val="21"/>
          <w:highlight w:val="none"/>
        </w:rPr>
        <w:t>乙方（供应商）：</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采购代理机构：</w:t>
      </w:r>
      <w:r>
        <w:rPr>
          <w:rFonts w:hint="eastAsia" w:ascii="宋体" w:hAnsi="宋体" w:eastAsia="宋体" w:cs="宋体"/>
          <w:sz w:val="21"/>
          <w:szCs w:val="21"/>
          <w:highlight w:val="none"/>
          <w:u w:val="single"/>
        </w:rPr>
        <w:t>浙江求是招标代理有限公司</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一、服务内容和要求</w:t>
      </w:r>
      <w:r>
        <w:rPr>
          <w:rFonts w:hint="eastAsia"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二、合同履行时间、履行地点和合同金额</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1</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履行时间</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 xml:space="preserve">； </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2</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履行地点</w:t>
      </w:r>
      <w:r>
        <w:rPr>
          <w:rFonts w:hAnsi="宋体"/>
          <w:bCs/>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u w:val="singl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本合同金额为（大写）：人民币</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履约保证金</w:t>
      </w:r>
    </w:p>
    <w:p>
      <w:pPr>
        <w:pStyle w:val="9"/>
        <w:spacing w:line="360" w:lineRule="exact"/>
        <w:ind w:firstLine="396"/>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付款</w:t>
      </w:r>
      <w:r>
        <w:rPr>
          <w:rFonts w:hAnsi="宋体"/>
          <w:b/>
          <w:color w:val="000000" w:themeColor="text1"/>
          <w:sz w:val="21"/>
          <w:szCs w:val="21"/>
          <w:highlight w:val="none"/>
          <w14:textFill>
            <w14:solidFill>
              <w14:schemeClr w14:val="tx1"/>
            </w14:solidFill>
          </w14:textFill>
        </w:rPr>
        <w:t>方式</w:t>
      </w:r>
    </w:p>
    <w:p>
      <w:pPr>
        <w:pStyle w:val="9"/>
        <w:spacing w:line="360" w:lineRule="exact"/>
        <w:ind w:firstLine="420"/>
        <w:rPr>
          <w:color w:val="000000" w:themeColor="text1"/>
          <w:sz w:val="21"/>
          <w:szCs w:val="21"/>
          <w:highlight w:val="none"/>
          <w14:textFill>
            <w14:solidFill>
              <w14:schemeClr w14:val="tx1"/>
            </w14:solidFill>
          </w14:textFill>
        </w:rPr>
      </w:pPr>
      <w:r>
        <w:rPr>
          <w:rFonts w:hint="eastAsia"/>
          <w:sz w:val="21"/>
          <w:szCs w:val="21"/>
          <w:highlight w:val="none"/>
        </w:rPr>
        <w:t>采购合同生效且自</w:t>
      </w:r>
      <w:r>
        <w:rPr>
          <w:rFonts w:hint="eastAsia"/>
          <w:sz w:val="21"/>
          <w:szCs w:val="21"/>
          <w:highlight w:val="none"/>
          <w:lang w:val="en-US" w:eastAsia="zh-CN"/>
        </w:rPr>
        <w:t>甲方</w:t>
      </w:r>
      <w:r>
        <w:rPr>
          <w:rFonts w:hint="eastAsia"/>
          <w:sz w:val="21"/>
          <w:szCs w:val="21"/>
          <w:highlight w:val="none"/>
        </w:rPr>
        <w:t>收到履约保证金</w:t>
      </w:r>
      <w:r>
        <w:rPr>
          <w:sz w:val="21"/>
          <w:szCs w:val="21"/>
          <w:highlight w:val="none"/>
        </w:rPr>
        <w:t>7</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w:t>
      </w:r>
      <w:r>
        <w:rPr>
          <w:rFonts w:hint="eastAsia"/>
          <w:sz w:val="21"/>
          <w:szCs w:val="21"/>
          <w:highlight w:val="none"/>
          <w:lang w:val="en-US" w:eastAsia="zh-CN"/>
        </w:rPr>
        <w:t>乙方</w:t>
      </w:r>
      <w:r>
        <w:rPr>
          <w:rFonts w:hint="eastAsia"/>
          <w:sz w:val="21"/>
          <w:szCs w:val="21"/>
          <w:highlight w:val="none"/>
        </w:rPr>
        <w:t>支付合同剩余款项，即_</w:t>
      </w:r>
      <w:r>
        <w:rPr>
          <w:sz w:val="21"/>
          <w:szCs w:val="21"/>
          <w:highlight w:val="none"/>
        </w:rPr>
        <w:t>____________</w:t>
      </w:r>
      <w:r>
        <w:rPr>
          <w:rFonts w:hint="eastAsia"/>
          <w:sz w:val="21"/>
          <w:szCs w:val="21"/>
          <w:highlight w:val="none"/>
        </w:rPr>
        <w:t>元。</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w:t>
      </w:r>
      <w:r>
        <w:rPr>
          <w:rFonts w:hAnsi="宋体"/>
          <w:b/>
          <w:color w:val="000000" w:themeColor="text1"/>
          <w:sz w:val="2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．合同履行期限内，</w:t>
      </w:r>
      <w:r>
        <w:rPr>
          <w:rFonts w:hAnsi="宋体"/>
          <w:color w:val="000000" w:themeColor="text1"/>
          <w:sz w:val="21"/>
          <w:szCs w:val="21"/>
          <w:highlight w:val="none"/>
          <w14:textFill>
            <w14:solidFill>
              <w14:schemeClr w14:val="tx1"/>
            </w14:solidFill>
          </w14:textFill>
        </w:rPr>
        <w:t>乙方</w:t>
      </w:r>
      <w:r>
        <w:rPr>
          <w:rFonts w:hint="eastAsia" w:hAnsi="宋体"/>
          <w:color w:val="000000" w:themeColor="text1"/>
          <w:sz w:val="21"/>
          <w:szCs w:val="21"/>
          <w:highlight w:val="none"/>
          <w14:textFill>
            <w14:solidFill>
              <w14:schemeClr w14:val="tx1"/>
            </w14:solidFill>
          </w14:textFill>
        </w:rPr>
        <w:t>接到</w:t>
      </w:r>
      <w:r>
        <w:rPr>
          <w:rFonts w:hAnsi="宋体"/>
          <w:color w:val="000000" w:themeColor="text1"/>
          <w:sz w:val="21"/>
          <w:szCs w:val="21"/>
          <w:highlight w:val="none"/>
          <w14:textFill>
            <w14:solidFill>
              <w14:schemeClr w14:val="tx1"/>
            </w14:solidFill>
          </w14:textFill>
        </w:rPr>
        <w:t>甲方通知后</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小时内到达甲方现场</w:t>
      </w:r>
      <w:r>
        <w:rPr>
          <w:rFonts w:hint="eastAsia" w:hAnsi="宋体"/>
          <w:color w:val="000000" w:themeColor="text1"/>
          <w:sz w:val="21"/>
          <w:szCs w:val="21"/>
          <w:highlight w:val="none"/>
          <w14:textFill>
            <w14:solidFill>
              <w14:schemeClr w14:val="tx1"/>
            </w14:solidFill>
          </w14:textFill>
        </w:rPr>
        <w:t>，并在</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w:t>
      </w:r>
      <w:r>
        <w:rPr>
          <w:rFonts w:hint="eastAsia" w:hAnsi="宋体"/>
          <w:color w:val="000000" w:themeColor="text1"/>
          <w:sz w:val="2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w:t>
      </w:r>
      <w:r>
        <w:rPr>
          <w:rFonts w:hAnsi="宋体"/>
          <w:b/>
          <w:color w:val="000000" w:themeColor="text1"/>
          <w:sz w:val="2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九</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snapToGrid w:val="0"/>
        <w:spacing w:line="560" w:lineRule="exact"/>
        <w:ind w:firstLine="420" w:firstLineChars="200"/>
        <w:rPr>
          <w:rFonts w:hint="eastAsia" w:ascii="宋体" w:hAnsi="宋体" w:eastAsia="宋体" w:cs="宋体"/>
          <w:sz w:val="21"/>
          <w:szCs w:val="21"/>
          <w:highlight w:val="none"/>
          <w:lang w:val="en-US" w:eastAsia="zh-CN"/>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设计馆《纤维密码》展览画册出版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QSZB-Z(F)-H21302(CS)     </w:t>
      </w:r>
      <w:r>
        <w:rPr>
          <w:rFonts w:hint="eastAsia"/>
          <w:highlight w:val="none"/>
        </w:rPr>
        <w:t xml:space="preserve">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w:t>
      </w:r>
      <w:r>
        <w:rPr>
          <w:rFonts w:hint="eastAsia" w:cs="Times New Roman"/>
          <w:b/>
          <w:bCs/>
          <w:spacing w:val="-6"/>
          <w:highlight w:val="none"/>
          <w:lang w:eastAsia="zh-CN"/>
        </w:rPr>
        <w:t>中国美术学院</w:t>
      </w:r>
      <w:r>
        <w:rPr>
          <w:rFonts w:hint="eastAsia" w:cs="Times New Roman"/>
          <w:b/>
          <w:bCs/>
          <w:spacing w:val="-6"/>
          <w:highlight w:val="none"/>
        </w:rPr>
        <w:t>、浙江求是招标代理有限公司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ind w:firstLine="566" w:firstLineChars="236"/>
        <w:jc w:val="center"/>
        <w:outlineLvl w:val="2"/>
        <w:rPr>
          <w:b/>
          <w:bCs/>
          <w:highlight w:val="none"/>
        </w:rPr>
      </w:pPr>
      <w:r>
        <w:rPr>
          <w:highlight w:val="none"/>
        </w:rPr>
        <w:br w:type="page"/>
      </w:r>
      <w:r>
        <w:rPr>
          <w:rFonts w:hint="eastAsia"/>
          <w:b/>
          <w:bCs/>
          <w:highlight w:val="none"/>
        </w:rPr>
        <w:t>（</w:t>
      </w:r>
      <w:r>
        <w:rPr>
          <w:b/>
          <w:bCs/>
          <w:highlight w:val="none"/>
        </w:rPr>
        <w:t>3</w:t>
      </w:r>
      <w:r>
        <w:rPr>
          <w:rFonts w:hint="eastAsia"/>
          <w:b/>
          <w:bCs/>
          <w:highlight w:val="none"/>
        </w:rPr>
        <w:t>）</w:t>
      </w:r>
      <w:r>
        <w:rPr>
          <w:b/>
          <w:bCs/>
          <w:highlight w:val="none"/>
        </w:rPr>
        <w:t>中小企业声明函（服务）</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rFonts w:hint="eastAsia"/>
          <w:i/>
          <w:highlight w:val="none"/>
          <w:u w:val="single"/>
          <w:lang w:eastAsia="zh-CN"/>
        </w:rPr>
        <w:t>中国美术学院</w:t>
      </w:r>
      <w:r>
        <w:rPr>
          <w:highlight w:val="none"/>
        </w:rPr>
        <w:t>的</w:t>
      </w:r>
      <w:r>
        <w:rPr>
          <w:rFonts w:hint="eastAsia"/>
          <w:i/>
          <w:iCs/>
          <w:highlight w:val="none"/>
          <w:u w:val="single"/>
          <w:lang w:eastAsia="zh-CN"/>
        </w:rPr>
        <w:t>设计馆《纤维密码》展览画册出版</w:t>
      </w:r>
      <w:r>
        <w:rPr>
          <w:rFonts w:hint="eastAsia"/>
          <w:i/>
          <w:iCs/>
          <w:highlight w:val="none"/>
          <w:u w:val="single"/>
        </w:rPr>
        <w:t xml:space="preserve"> </w:t>
      </w:r>
      <w:r>
        <w:rPr>
          <w:highlight w:val="none"/>
        </w:rPr>
        <w:t>采购活动，服务全部由符合政策要求的中小企业承接。相关企业的具体情况如下：</w:t>
      </w:r>
    </w:p>
    <w:p>
      <w:pPr>
        <w:adjustRightInd w:val="0"/>
        <w:snapToGrid w:val="0"/>
        <w:spacing w:line="360" w:lineRule="auto"/>
        <w:ind w:firstLine="566" w:firstLineChars="236"/>
        <w:rPr>
          <w:i/>
          <w:highlight w:val="none"/>
          <w:u w:val="single"/>
        </w:rPr>
      </w:pPr>
      <w:r>
        <w:rPr>
          <w:rFonts w:hint="eastAsia"/>
          <w:i/>
          <w:highlight w:val="none"/>
          <w:u w:val="single"/>
        </w:rPr>
        <w:t>1</w:t>
      </w:r>
      <w:r>
        <w:rPr>
          <w:i/>
          <w:highlight w:val="none"/>
          <w:u w:val="single"/>
        </w:rPr>
        <w:t>.（标的名称），属于（</w:t>
      </w:r>
      <w:r>
        <w:rPr>
          <w:rFonts w:hint="eastAsia"/>
          <w:i/>
          <w:highlight w:val="none"/>
          <w:u w:val="single"/>
          <w:lang w:eastAsia="zh-CN"/>
        </w:rPr>
        <w:t>其他未列明行业</w:t>
      </w:r>
      <w:r>
        <w:rPr>
          <w:i/>
          <w:highlight w:val="none"/>
          <w:u w:val="single"/>
        </w:rPr>
        <w:t>；</w:t>
      </w:r>
      <w:r>
        <w:rPr>
          <w:highlight w:val="none"/>
        </w:rPr>
        <w:t>承接企业为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w:t>
      </w:r>
    </w:p>
    <w:p>
      <w:pPr>
        <w:adjustRightInd w:val="0"/>
        <w:snapToGrid w:val="0"/>
        <w:spacing w:line="360"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adjustRightInd w:val="0"/>
        <w:snapToGrid w:val="0"/>
        <w:spacing w:line="360" w:lineRule="auto"/>
        <w:ind w:firstLine="495" w:firstLineChars="236"/>
        <w:rPr>
          <w:sz w:val="21"/>
          <w:szCs w:val="21"/>
          <w:highlight w:val="none"/>
        </w:rPr>
      </w:pPr>
      <w:r>
        <w:rPr>
          <w:rFonts w:hint="eastAsia"/>
          <w:sz w:val="21"/>
          <w:szCs w:val="21"/>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）监狱企业资格证明材料</w:t>
      </w:r>
    </w:p>
    <w:p>
      <w:pPr>
        <w:adjustRightInd w:val="0"/>
        <w:snapToGrid w:val="0"/>
        <w:spacing w:line="360" w:lineRule="auto"/>
        <w:jc w:val="center"/>
        <w:rPr>
          <w:b/>
          <w:bCs/>
          <w:sz w:val="21"/>
          <w:szCs w:val="21"/>
          <w:highlight w:val="none"/>
        </w:rPr>
      </w:pPr>
      <w:r>
        <w:rPr>
          <w:rFonts w:hint="eastAsia"/>
          <w:b/>
          <w:bCs/>
          <w:sz w:val="21"/>
          <w:szCs w:val="21"/>
          <w:highlight w:val="none"/>
        </w:rPr>
        <w:t>省级以上监狱管理局、戒毒管理局（含新疆生产建设兵团）出具的属于监狱企业的证明文件</w:t>
      </w:r>
    </w:p>
    <w:p>
      <w:pPr>
        <w:rPr>
          <w:highlight w:val="none"/>
        </w:rPr>
      </w:pPr>
      <w:r>
        <w:rPr>
          <w:rFonts w:hint="eastAsia"/>
          <w:highlight w:val="none"/>
        </w:rPr>
        <w:br w:type="page"/>
      </w:r>
    </w:p>
    <w:p>
      <w:pPr>
        <w:spacing w:line="360" w:lineRule="auto"/>
        <w:jc w:val="center"/>
        <w:outlineLvl w:val="2"/>
        <w:rPr>
          <w:b/>
          <w:spacing w:val="-6"/>
          <w:highlight w:val="none"/>
        </w:rPr>
      </w:pPr>
      <w:bookmarkStart w:id="34" w:name="_Hlk79749649"/>
      <w:r>
        <w:rPr>
          <w:rFonts w:hint="eastAsia"/>
          <w:b/>
          <w:spacing w:val="-6"/>
          <w:highlight w:val="none"/>
        </w:rPr>
        <w:t>（5）残疾人福利性单位声明函</w:t>
      </w:r>
    </w:p>
    <w:bookmarkEnd w:id="34"/>
    <w:p>
      <w:pPr>
        <w:adjustRightInd w:val="0"/>
        <w:snapToGrid w:val="0"/>
        <w:spacing w:line="360" w:lineRule="auto"/>
        <w:rPr>
          <w:rFonts w:cs="Times New Roman"/>
          <w:highlight w:val="none"/>
        </w:rPr>
      </w:pPr>
    </w:p>
    <w:p>
      <w:pPr>
        <w:adjustRightInd w:val="0"/>
        <w:snapToGrid w:val="0"/>
        <w:spacing w:line="360" w:lineRule="auto"/>
        <w:ind w:firstLine="424" w:firstLineChars="177"/>
        <w:rPr>
          <w:rFonts w:cs="Times New Roman"/>
          <w:highlight w:val="none"/>
        </w:rPr>
      </w:pPr>
      <w:r>
        <w:rPr>
          <w:rFonts w:cs="Times New Roman"/>
          <w:highlight w:val="none"/>
        </w:rPr>
        <w:t>本公司（联合体）郑重声明，根据</w:t>
      </w:r>
      <w:r>
        <w:rPr>
          <w:rFonts w:hint="eastAsia" w:cs="Times New Roman"/>
          <w:spacing w:val="6"/>
          <w:highlight w:val="none"/>
        </w:rPr>
        <w:t>《财政部 民政部 中国残疾人联合会关于促进残疾人就业政府采购政策的通知》（财库</w:t>
      </w:r>
      <w:r>
        <w:rPr>
          <w:rFonts w:hint="eastAsia" w:cs="Times New Roman"/>
          <w:highlight w:val="none"/>
        </w:rPr>
        <w:t>[2017]141</w:t>
      </w:r>
      <w:r>
        <w:rPr>
          <w:rFonts w:hint="eastAsia" w:cs="Times New Roman"/>
          <w:spacing w:val="6"/>
          <w:highlight w:val="none"/>
        </w:rPr>
        <w:t>号）的规定</w:t>
      </w:r>
      <w:r>
        <w:rPr>
          <w:rFonts w:cs="Times New Roman"/>
          <w:highlight w:val="none"/>
        </w:rPr>
        <w:t>，本公司）参加</w:t>
      </w:r>
      <w:r>
        <w:rPr>
          <w:rFonts w:cs="Times New Roman"/>
          <w:i/>
          <w:highlight w:val="none"/>
          <w:u w:val="single"/>
        </w:rPr>
        <w:t>（单位名称）</w:t>
      </w:r>
      <w:r>
        <w:rPr>
          <w:rFonts w:cs="Times New Roman"/>
          <w:highlight w:val="none"/>
        </w:rPr>
        <w:t>的</w:t>
      </w:r>
      <w:r>
        <w:rPr>
          <w:rFonts w:cs="Times New Roman"/>
          <w:i/>
          <w:highlight w:val="none"/>
          <w:u w:val="single"/>
        </w:rPr>
        <w:t>（项目名称）</w:t>
      </w:r>
      <w:r>
        <w:rPr>
          <w:rFonts w:cs="Times New Roman"/>
          <w:highlight w:val="none"/>
        </w:rPr>
        <w:t>采购活动，提供的</w:t>
      </w:r>
      <w:r>
        <w:rPr>
          <w:rFonts w:hint="eastAsia" w:cs="Times New Roman"/>
          <w:highlight w:val="none"/>
        </w:rPr>
        <w:t>服务</w:t>
      </w:r>
      <w:r>
        <w:rPr>
          <w:rFonts w:cs="Times New Roman"/>
          <w:highlight w:val="none"/>
        </w:rPr>
        <w:t>全部由</w:t>
      </w:r>
      <w:r>
        <w:rPr>
          <w:rFonts w:hint="eastAsia" w:cs="Times New Roman"/>
          <w:highlight w:val="none"/>
        </w:rPr>
        <w:t>残疾人福利性单位承接</w:t>
      </w:r>
      <w:r>
        <w:rPr>
          <w:rFonts w:cs="Times New Roman"/>
          <w:highlight w:val="none"/>
        </w:rPr>
        <w:t>。相关企业的具体情况如下：</w:t>
      </w:r>
    </w:p>
    <w:p>
      <w:pPr>
        <w:spacing w:line="360" w:lineRule="auto"/>
        <w:ind w:firstLine="424" w:firstLineChars="177"/>
        <w:rPr>
          <w:rFonts w:cs="Times New Roman"/>
          <w:spacing w:val="6"/>
          <w:highlight w:val="none"/>
        </w:rPr>
      </w:pPr>
      <w:r>
        <w:rPr>
          <w:rFonts w:cs="Times New Roman"/>
          <w:i/>
          <w:highlight w:val="none"/>
          <w:u w:val="single"/>
        </w:rPr>
        <w:t>1. （标的名称）</w:t>
      </w:r>
      <w:r>
        <w:rPr>
          <w:rFonts w:cs="Times New Roman"/>
          <w:i/>
          <w:highlight w:val="none"/>
        </w:rPr>
        <w:t xml:space="preserve"> </w:t>
      </w:r>
      <w:r>
        <w:rPr>
          <w:rFonts w:cs="Times New Roman"/>
          <w:highlight w:val="none"/>
        </w:rPr>
        <w:t>，（承接企业）</w:t>
      </w:r>
      <w:r>
        <w:rPr>
          <w:rFonts w:cs="Times New Roman"/>
          <w:i/>
          <w:highlight w:val="none"/>
          <w:u w:val="single"/>
        </w:rPr>
        <w:t>（企业名称）</w:t>
      </w:r>
      <w:r>
        <w:rPr>
          <w:rFonts w:hint="eastAsia" w:cs="Times New Roman"/>
          <w:highlight w:val="none"/>
        </w:rPr>
        <w:t>，</w:t>
      </w:r>
      <w:r>
        <w:rPr>
          <w:rFonts w:cs="Times New Roman"/>
          <w:highlight w:val="none"/>
        </w:rPr>
        <w:t>属于</w:t>
      </w:r>
      <w:r>
        <w:rPr>
          <w:rFonts w:hint="eastAsia" w:cs="Times New Roman"/>
          <w:highlight w:val="none"/>
          <w:u w:val="single"/>
        </w:rPr>
        <w:t>残疾人福利性单位。</w:t>
      </w:r>
    </w:p>
    <w:p>
      <w:pPr>
        <w:spacing w:line="360" w:lineRule="auto"/>
        <w:ind w:firstLine="446" w:firstLineChars="177"/>
        <w:rPr>
          <w:rFonts w:cs="Times New Roman"/>
          <w:spacing w:val="6"/>
          <w:highlight w:val="none"/>
        </w:rPr>
      </w:pPr>
      <w:r>
        <w:rPr>
          <w:rFonts w:hint="eastAsia" w:cs="Times New Roman"/>
          <w:spacing w:val="6"/>
          <w:highlight w:val="none"/>
        </w:rPr>
        <w:t>本单位对上述声明的真实性负责。如有虚假，将依法承担相应责任。</w:t>
      </w:r>
    </w:p>
    <w:p>
      <w:pPr>
        <w:spacing w:line="360" w:lineRule="auto"/>
        <w:rPr>
          <w:rFonts w:cs="Times New Roman"/>
          <w:spacing w:val="-6"/>
          <w:highlight w:val="none"/>
        </w:rPr>
      </w:pPr>
    </w:p>
    <w:p>
      <w:pPr>
        <w:spacing w:line="360" w:lineRule="auto"/>
        <w:rPr>
          <w:rFonts w:cs="Times New Roman"/>
          <w:b/>
          <w:bCs/>
          <w:spacing w:val="-6"/>
          <w:highlight w:val="none"/>
        </w:rPr>
      </w:pPr>
      <w:r>
        <w:rPr>
          <w:rFonts w:hint="eastAsia" w:cs="Times New Roman"/>
          <w:b/>
          <w:bCs/>
          <w:spacing w:val="-6"/>
          <w:highlight w:val="none"/>
        </w:rPr>
        <w:t>供应商名称（盖章）</w:t>
      </w:r>
    </w:p>
    <w:p>
      <w:pPr>
        <w:spacing w:line="360" w:lineRule="auto"/>
        <w:rPr>
          <w:rFonts w:cs="Times New Roman"/>
          <w:b/>
          <w:bCs/>
          <w:spacing w:val="-6"/>
          <w:highlight w:val="none"/>
        </w:rPr>
      </w:pPr>
      <w:r>
        <w:rPr>
          <w:rFonts w:hint="eastAsia" w:cs="Times New Roman"/>
          <w:b/>
          <w:bCs/>
          <w:spacing w:val="-6"/>
          <w:highlight w:val="none"/>
        </w:rPr>
        <w:t>供应商代表签字：</w:t>
      </w:r>
    </w:p>
    <w:p>
      <w:pPr>
        <w:spacing w:line="360" w:lineRule="auto"/>
        <w:jc w:val="left"/>
        <w:rPr>
          <w:rFonts w:cs="Times New Roman"/>
          <w:b/>
          <w:bCs/>
          <w:sz w:val="21"/>
          <w:szCs w:val="21"/>
          <w:highlight w:val="none"/>
        </w:rPr>
      </w:pPr>
      <w:r>
        <w:rPr>
          <w:rFonts w:hint="eastAsia" w:cs="Times New Roman"/>
          <w:b/>
          <w:bCs/>
          <w:spacing w:val="-6"/>
          <w:highlight w:val="none"/>
        </w:rPr>
        <w:t>日期：     年   月   日</w:t>
      </w:r>
    </w:p>
    <w:p>
      <w:pPr>
        <w:spacing w:line="360" w:lineRule="auto"/>
        <w:rPr>
          <w:rFonts w:cs="Times New Roman"/>
          <w:b/>
          <w:bCs/>
          <w:sz w:val="21"/>
          <w:szCs w:val="21"/>
          <w:highlight w:val="none"/>
        </w:rPr>
      </w:pPr>
    </w:p>
    <w:p>
      <w:pPr>
        <w:spacing w:line="360" w:lineRule="auto"/>
        <w:rPr>
          <w:rFonts w:cs="Times New Roman"/>
          <w:b/>
          <w:bCs/>
          <w:sz w:val="21"/>
          <w:szCs w:val="21"/>
          <w:highlight w:val="none"/>
        </w:rPr>
      </w:pPr>
      <w:r>
        <w:rPr>
          <w:rFonts w:hint="eastAsia" w:cs="Times New Roman"/>
          <w:b/>
          <w:bCs/>
          <w:sz w:val="21"/>
          <w:szCs w:val="21"/>
          <w:highlight w:val="none"/>
        </w:rPr>
        <w:t>说明</w:t>
      </w:r>
      <w:r>
        <w:rPr>
          <w:rFonts w:cs="Times New Roman"/>
          <w:b/>
          <w:bCs/>
          <w:sz w:val="21"/>
          <w:szCs w:val="21"/>
          <w:highlight w:val="none"/>
        </w:rPr>
        <w:t>：</w:t>
      </w:r>
    </w:p>
    <w:p>
      <w:pPr>
        <w:ind w:firstLine="420" w:firstLineChars="200"/>
        <w:jc w:val="left"/>
        <w:rPr>
          <w:rFonts w:cs="Times New Roman"/>
          <w:spacing w:val="6"/>
          <w:sz w:val="21"/>
          <w:szCs w:val="21"/>
          <w:highlight w:val="none"/>
        </w:rPr>
      </w:pPr>
      <w:r>
        <w:rPr>
          <w:rFonts w:hint="eastAsia" w:cs="Times New Roman"/>
          <w:bCs/>
          <w:sz w:val="21"/>
          <w:szCs w:val="21"/>
          <w:highlight w:val="none"/>
        </w:rPr>
        <w:t>1</w:t>
      </w:r>
      <w:r>
        <w:rPr>
          <w:rFonts w:cs="Times New Roman"/>
          <w:bCs/>
          <w:sz w:val="21"/>
          <w:szCs w:val="21"/>
          <w:highlight w:val="none"/>
        </w:rPr>
        <w:t>.</w:t>
      </w:r>
      <w:r>
        <w:rPr>
          <w:rFonts w:hint="eastAsia" w:cs="Times New Roman"/>
          <w:spacing w:val="6"/>
          <w:sz w:val="21"/>
          <w:szCs w:val="21"/>
          <w:highlight w:val="none"/>
        </w:rPr>
        <w:t>若承接企业同时满足以下条件，则属于依法享受政府采购支持政策的残疾人福利性单位，可提供《残疾人福利性单位声明函》，并对声明的真实性负责：</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（一）安置的残疾人占本单位在职职工人数的比例不低于25%（含25%），并且安置的残疾人人数不少于10人（含10人）；</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（二）依法与安置的每位残疾人签订了一年以上（含一年）的劳动合同或服务协议；</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cs="Times New Roman"/>
          <w:bCs/>
          <w:sz w:val="21"/>
          <w:szCs w:val="21"/>
          <w:highlight w:val="none"/>
        </w:rPr>
      </w:pPr>
      <w:r>
        <w:rPr>
          <w:rFonts w:hint="eastAsia" w:cs="Times New Roman"/>
          <w:bCs/>
          <w:sz w:val="21"/>
          <w:szCs w:val="21"/>
          <w:highlight w:val="none"/>
        </w:rPr>
        <w:t>2.供应商提供服务为残疾人福利性单位承接的，《残疾人福利性单位声明函》随中标（成交）结果同时公告，接受社会监督。</w:t>
      </w:r>
    </w:p>
    <w:p>
      <w:pPr>
        <w:widowControl/>
        <w:shd w:val="clear" w:color="auto" w:fill="FFFFFF"/>
        <w:ind w:firstLine="446" w:firstLineChars="200"/>
        <w:jc w:val="left"/>
        <w:rPr>
          <w:rFonts w:cs="Times New Roman"/>
          <w:b/>
          <w:bCs/>
          <w:spacing w:val="6"/>
          <w:sz w:val="21"/>
          <w:szCs w:val="21"/>
          <w:highlight w:val="none"/>
        </w:rPr>
      </w:pPr>
      <w:r>
        <w:rPr>
          <w:rFonts w:hint="eastAsia" w:cs="Times New Roman"/>
          <w:b/>
          <w:bCs/>
          <w:spacing w:val="6"/>
          <w:sz w:val="21"/>
          <w:szCs w:val="21"/>
          <w:highlight w:val="none"/>
        </w:rPr>
        <w:t>供应商提供服务不是残疾人福利性单位承接的，无需提供此声明函，如提供所引起的后果由供应商承担。</w:t>
      </w:r>
    </w:p>
    <w:p>
      <w:pPr>
        <w:widowControl/>
        <w:jc w:val="left"/>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设计馆《纤维密码》展览画册出版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QSZB-Z(F)-H21302(CS)     </w:t>
      </w:r>
      <w:r>
        <w:rPr>
          <w:rFonts w:hint="eastAsia"/>
          <w:highlight w:val="non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3"/>
        </w:numPr>
        <w:adjustRightInd w:val="0"/>
        <w:snapToGrid w:val="0"/>
        <w:spacing w:line="360" w:lineRule="auto"/>
        <w:jc w:val="center"/>
        <w:outlineLvl w:val="2"/>
        <w:rPr>
          <w:b/>
          <w:bCs/>
          <w:highlight w:val="none"/>
        </w:rPr>
      </w:pPr>
      <w:r>
        <w:rPr>
          <w:rFonts w:hint="eastAsia"/>
          <w:b/>
          <w:bCs/>
          <w:highlight w:val="none"/>
        </w:rPr>
        <w:t>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1589" w:type="dxa"/>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1207" w:type="dxa"/>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8" w:type="dxa"/>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w:t>
      </w:r>
      <w:r>
        <w:rPr>
          <w:rFonts w:hint="eastAsia"/>
          <w:highlight w:val="none"/>
          <w:lang w:eastAsia="zh-CN"/>
        </w:rPr>
        <w:t>中国美术学院设计馆《纤维密码》展览画册出版</w:t>
      </w:r>
      <w:r>
        <w:rPr>
          <w:rFonts w:hint="eastAsia"/>
          <w:highlight w:val="none"/>
        </w:rPr>
        <w:t xml:space="preserve">  的采购邀请【项目编号：</w:t>
      </w:r>
      <w:r>
        <w:rPr>
          <w:rFonts w:hint="eastAsia"/>
          <w:highlight w:val="none"/>
          <w:lang w:eastAsia="zh-CN"/>
        </w:rPr>
        <w:t xml:space="preserve">QSZB-Z(F)-H21302(CS)     </w:t>
      </w:r>
      <w:r>
        <w:rPr>
          <w:rFonts w:hint="eastAsia"/>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w:t>
      </w:r>
      <w:r>
        <w:rPr>
          <w:rFonts w:hint="eastAsia"/>
          <w:highlight w:val="none"/>
          <w:lang w:eastAsia="zh-CN"/>
        </w:rPr>
        <w:t>中国美术学院设计馆《纤维密码》展览画册出版</w:t>
      </w:r>
      <w:r>
        <w:rPr>
          <w:rFonts w:hint="eastAsia"/>
          <w:highlight w:val="none"/>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w:t>
      </w:r>
      <w:r>
        <w:rPr>
          <w:rFonts w:hint="eastAsia"/>
          <w:highlight w:val="none"/>
          <w:lang w:eastAsia="zh-CN"/>
        </w:rPr>
        <w:t>中国美术学院设计馆《纤维密码》展览画册出版</w:t>
      </w:r>
      <w:r>
        <w:rPr>
          <w:rFonts w:hint="eastAsia"/>
          <w:highlight w:val="none"/>
        </w:rPr>
        <w:t>项目标项</w:t>
      </w:r>
      <w:r>
        <w:rPr>
          <w:rFonts w:hint="eastAsia"/>
          <w:highlight w:val="none"/>
          <w:u w:val="single"/>
        </w:rPr>
        <w:t xml:space="preserve">  </w:t>
      </w:r>
      <w:r>
        <w:rPr>
          <w:rFonts w:hint="eastAsia"/>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4"/>
        </w:numPr>
        <w:adjustRightInd w:val="0"/>
        <w:snapToGrid w:val="0"/>
        <w:spacing w:line="360" w:lineRule="auto"/>
        <w:jc w:val="center"/>
        <w:outlineLvl w:val="2"/>
        <w:rPr>
          <w:b/>
          <w:bCs/>
          <w:highlight w:val="none"/>
        </w:rPr>
      </w:pPr>
      <w:r>
        <w:rPr>
          <w:rFonts w:hint="eastAsia"/>
          <w:b/>
          <w:bCs/>
          <w:highlight w:val="none"/>
        </w:rPr>
        <w:t>供应商同类项目实施情况一览表</w:t>
      </w:r>
    </w:p>
    <w:p>
      <w:pPr>
        <w:pStyle w:val="6"/>
        <w:rPr>
          <w:highlight w:val="none"/>
        </w:rPr>
      </w:pPr>
      <w:r>
        <w:rPr>
          <w:rFonts w:hint="eastAsia"/>
          <w:highlight w:val="none"/>
        </w:rPr>
        <w:t>标项：</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（7）采购需求偏离表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设计馆《纤维密码》展览画册出版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QSZB-Z(F)-H21243(CS)</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color w:val="000000" w:themeColor="text1"/>
          <w:highlight w:val="none"/>
          <w:lang w:val="en-US" w:eastAsia="zh-CN"/>
          <w14:textFill>
            <w14:solidFill>
              <w14:schemeClr w14:val="tx1"/>
            </w14:solidFill>
          </w14:textFill>
        </w:rPr>
        <w:t>（8）其余</w:t>
      </w:r>
      <w:r>
        <w:rPr>
          <w:b/>
          <w:bCs/>
          <w:color w:val="000000" w:themeColor="text1"/>
          <w:highlight w:val="none"/>
          <w14:textFill>
            <w14:solidFill>
              <w14:schemeClr w14:val="tx1"/>
            </w14:solidFill>
          </w14:textFill>
        </w:rPr>
        <w:t>内容格式自拟</w:t>
      </w:r>
    </w:p>
    <w:p>
      <w:pPr>
        <w:adjustRightInd w:val="0"/>
        <w:snapToGrid w:val="0"/>
        <w:spacing w:line="288" w:lineRule="auto"/>
        <w:ind w:firstLine="562" w:firstLineChars="200"/>
        <w:rPr>
          <w:b/>
          <w:bCs/>
          <w:sz w:val="28"/>
          <w:szCs w:val="28"/>
          <w:highlight w:val="none"/>
        </w:rPr>
      </w:pPr>
    </w:p>
    <w:p>
      <w:pPr>
        <w:spacing w:line="360" w:lineRule="auto"/>
        <w:outlineLvl w:val="2"/>
        <w:rPr>
          <w:b/>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03758"/>
    <w:multiLevelType w:val="singleLevel"/>
    <w:tmpl w:val="94E03758"/>
    <w:lvl w:ilvl="0" w:tentative="0">
      <w:start w:val="2"/>
      <w:numFmt w:val="chineseCounting"/>
      <w:suff w:val="nothing"/>
      <w:lvlText w:val="%1、"/>
      <w:lvlJc w:val="left"/>
      <w:rPr>
        <w:rFonts w:hint="eastAsia"/>
      </w:rPr>
    </w:lvl>
  </w:abstractNum>
  <w:abstractNum w:abstractNumId="1">
    <w:nsid w:val="C26B9202"/>
    <w:multiLevelType w:val="singleLevel"/>
    <w:tmpl w:val="C26B9202"/>
    <w:lvl w:ilvl="0" w:tentative="0">
      <w:start w:val="2"/>
      <w:numFmt w:val="decimal"/>
      <w:suff w:val="nothing"/>
      <w:lvlText w:val="（%1）"/>
      <w:lvlJc w:val="left"/>
    </w:lvl>
  </w:abstractNum>
  <w:abstractNum w:abstractNumId="2">
    <w:nsid w:val="EC47E0A5"/>
    <w:multiLevelType w:val="singleLevel"/>
    <w:tmpl w:val="EC47E0A5"/>
    <w:lvl w:ilvl="0" w:tentative="0">
      <w:start w:val="2"/>
      <w:numFmt w:val="chineseCounting"/>
      <w:suff w:val="nothing"/>
      <w:lvlText w:val="%1、"/>
      <w:lvlJc w:val="left"/>
      <w:rPr>
        <w:rFonts w:hint="eastAsia"/>
      </w:rPr>
    </w:lvl>
  </w:abstractNum>
  <w:abstractNum w:abstractNumId="3">
    <w:nsid w:val="5BDDFB03"/>
    <w:multiLevelType w:val="singleLevel"/>
    <w:tmpl w:val="5BDDFB03"/>
    <w:lvl w:ilvl="0" w:tentative="0">
      <w:start w:val="6"/>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31B39"/>
    <w:rsid w:val="000430AC"/>
    <w:rsid w:val="00081FB8"/>
    <w:rsid w:val="00087AA4"/>
    <w:rsid w:val="000908FB"/>
    <w:rsid w:val="000B0AFC"/>
    <w:rsid w:val="000B2063"/>
    <w:rsid w:val="000B22A6"/>
    <w:rsid w:val="000B6DC3"/>
    <w:rsid w:val="000C5B13"/>
    <w:rsid w:val="000D75D9"/>
    <w:rsid w:val="000E6023"/>
    <w:rsid w:val="000E7236"/>
    <w:rsid w:val="000F74F6"/>
    <w:rsid w:val="00110E4C"/>
    <w:rsid w:val="0012475B"/>
    <w:rsid w:val="00127812"/>
    <w:rsid w:val="0013073F"/>
    <w:rsid w:val="001407E0"/>
    <w:rsid w:val="00142487"/>
    <w:rsid w:val="00145F4F"/>
    <w:rsid w:val="001629F2"/>
    <w:rsid w:val="0016331E"/>
    <w:rsid w:val="001705C9"/>
    <w:rsid w:val="001803E7"/>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E5FFC"/>
    <w:rsid w:val="001F4C52"/>
    <w:rsid w:val="00203B7E"/>
    <w:rsid w:val="0020567E"/>
    <w:rsid w:val="00223344"/>
    <w:rsid w:val="002244D1"/>
    <w:rsid w:val="002365FC"/>
    <w:rsid w:val="00257623"/>
    <w:rsid w:val="00260A9F"/>
    <w:rsid w:val="0026201F"/>
    <w:rsid w:val="00271655"/>
    <w:rsid w:val="00271BC7"/>
    <w:rsid w:val="0027404F"/>
    <w:rsid w:val="002847E2"/>
    <w:rsid w:val="00294B8C"/>
    <w:rsid w:val="002A07B5"/>
    <w:rsid w:val="002A0D65"/>
    <w:rsid w:val="002A143E"/>
    <w:rsid w:val="002A2B06"/>
    <w:rsid w:val="002A497A"/>
    <w:rsid w:val="002B00EC"/>
    <w:rsid w:val="002B14E5"/>
    <w:rsid w:val="002C24AC"/>
    <w:rsid w:val="002C2F5D"/>
    <w:rsid w:val="002D5B1A"/>
    <w:rsid w:val="002E4A55"/>
    <w:rsid w:val="002E77E1"/>
    <w:rsid w:val="002F39B2"/>
    <w:rsid w:val="00300188"/>
    <w:rsid w:val="00304C7E"/>
    <w:rsid w:val="003218CB"/>
    <w:rsid w:val="00324DBF"/>
    <w:rsid w:val="00326414"/>
    <w:rsid w:val="003277CE"/>
    <w:rsid w:val="003321D8"/>
    <w:rsid w:val="00332365"/>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D5900"/>
    <w:rsid w:val="003E0C7F"/>
    <w:rsid w:val="003E3619"/>
    <w:rsid w:val="003F3A4E"/>
    <w:rsid w:val="0040087E"/>
    <w:rsid w:val="00403DFF"/>
    <w:rsid w:val="0040692C"/>
    <w:rsid w:val="00411C4F"/>
    <w:rsid w:val="00414B48"/>
    <w:rsid w:val="004235BA"/>
    <w:rsid w:val="00437E88"/>
    <w:rsid w:val="0044631C"/>
    <w:rsid w:val="00453482"/>
    <w:rsid w:val="00460410"/>
    <w:rsid w:val="00462F48"/>
    <w:rsid w:val="00467FA3"/>
    <w:rsid w:val="00477C08"/>
    <w:rsid w:val="004B27EF"/>
    <w:rsid w:val="004C28D6"/>
    <w:rsid w:val="004C5538"/>
    <w:rsid w:val="004C63FA"/>
    <w:rsid w:val="004E0163"/>
    <w:rsid w:val="004E1987"/>
    <w:rsid w:val="005114AB"/>
    <w:rsid w:val="005160C5"/>
    <w:rsid w:val="00516685"/>
    <w:rsid w:val="005203F2"/>
    <w:rsid w:val="0052060B"/>
    <w:rsid w:val="00521326"/>
    <w:rsid w:val="00530769"/>
    <w:rsid w:val="00531406"/>
    <w:rsid w:val="005314FF"/>
    <w:rsid w:val="00535E5B"/>
    <w:rsid w:val="00537039"/>
    <w:rsid w:val="00540291"/>
    <w:rsid w:val="00542553"/>
    <w:rsid w:val="00542E27"/>
    <w:rsid w:val="00553EFE"/>
    <w:rsid w:val="0056288C"/>
    <w:rsid w:val="005660A0"/>
    <w:rsid w:val="00567E90"/>
    <w:rsid w:val="00572430"/>
    <w:rsid w:val="00572A91"/>
    <w:rsid w:val="00576CC0"/>
    <w:rsid w:val="00577E18"/>
    <w:rsid w:val="00585872"/>
    <w:rsid w:val="005961BC"/>
    <w:rsid w:val="005A7876"/>
    <w:rsid w:val="005B2FD9"/>
    <w:rsid w:val="005C26DC"/>
    <w:rsid w:val="005C76EF"/>
    <w:rsid w:val="005E541A"/>
    <w:rsid w:val="005E606B"/>
    <w:rsid w:val="005F1491"/>
    <w:rsid w:val="006049A2"/>
    <w:rsid w:val="00604B99"/>
    <w:rsid w:val="00605A26"/>
    <w:rsid w:val="00623375"/>
    <w:rsid w:val="00631899"/>
    <w:rsid w:val="00632793"/>
    <w:rsid w:val="006366F0"/>
    <w:rsid w:val="00647F07"/>
    <w:rsid w:val="00676C52"/>
    <w:rsid w:val="00680911"/>
    <w:rsid w:val="00680A5B"/>
    <w:rsid w:val="006A5A5D"/>
    <w:rsid w:val="006B4656"/>
    <w:rsid w:val="006C3481"/>
    <w:rsid w:val="006D3AA2"/>
    <w:rsid w:val="006D3BAA"/>
    <w:rsid w:val="006D7283"/>
    <w:rsid w:val="006E5749"/>
    <w:rsid w:val="006F46B6"/>
    <w:rsid w:val="00707602"/>
    <w:rsid w:val="00707B60"/>
    <w:rsid w:val="0071637C"/>
    <w:rsid w:val="007325CF"/>
    <w:rsid w:val="00732CDB"/>
    <w:rsid w:val="0073538E"/>
    <w:rsid w:val="00742B0C"/>
    <w:rsid w:val="007453F9"/>
    <w:rsid w:val="00757AD3"/>
    <w:rsid w:val="00757B26"/>
    <w:rsid w:val="00761FCE"/>
    <w:rsid w:val="00766D5A"/>
    <w:rsid w:val="007674CC"/>
    <w:rsid w:val="007809F5"/>
    <w:rsid w:val="00783DE5"/>
    <w:rsid w:val="007904D7"/>
    <w:rsid w:val="00791767"/>
    <w:rsid w:val="007952A9"/>
    <w:rsid w:val="007952CD"/>
    <w:rsid w:val="007A2CA3"/>
    <w:rsid w:val="007B160C"/>
    <w:rsid w:val="007C2F9C"/>
    <w:rsid w:val="007D1444"/>
    <w:rsid w:val="007D2661"/>
    <w:rsid w:val="007E37B9"/>
    <w:rsid w:val="007E681D"/>
    <w:rsid w:val="007F2E8B"/>
    <w:rsid w:val="00800ABA"/>
    <w:rsid w:val="00800FCE"/>
    <w:rsid w:val="00810FA6"/>
    <w:rsid w:val="00814C63"/>
    <w:rsid w:val="00831053"/>
    <w:rsid w:val="00840FE7"/>
    <w:rsid w:val="00841ADD"/>
    <w:rsid w:val="00843675"/>
    <w:rsid w:val="008639D0"/>
    <w:rsid w:val="00882EE8"/>
    <w:rsid w:val="0088596D"/>
    <w:rsid w:val="008A34A6"/>
    <w:rsid w:val="008A4292"/>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37F6"/>
    <w:rsid w:val="009653D9"/>
    <w:rsid w:val="00966E9D"/>
    <w:rsid w:val="00967418"/>
    <w:rsid w:val="00981D3A"/>
    <w:rsid w:val="009B2D3E"/>
    <w:rsid w:val="009B35EF"/>
    <w:rsid w:val="009B750B"/>
    <w:rsid w:val="009C5AF9"/>
    <w:rsid w:val="009D4F43"/>
    <w:rsid w:val="009E3823"/>
    <w:rsid w:val="00A021D6"/>
    <w:rsid w:val="00A0297C"/>
    <w:rsid w:val="00A142D1"/>
    <w:rsid w:val="00A22CF0"/>
    <w:rsid w:val="00A2408D"/>
    <w:rsid w:val="00A249C0"/>
    <w:rsid w:val="00A30675"/>
    <w:rsid w:val="00A33906"/>
    <w:rsid w:val="00A42750"/>
    <w:rsid w:val="00A47B9A"/>
    <w:rsid w:val="00A549DF"/>
    <w:rsid w:val="00A6088B"/>
    <w:rsid w:val="00A732F4"/>
    <w:rsid w:val="00A76EBE"/>
    <w:rsid w:val="00A8034A"/>
    <w:rsid w:val="00A819DE"/>
    <w:rsid w:val="00A81A32"/>
    <w:rsid w:val="00A86E0A"/>
    <w:rsid w:val="00A92F31"/>
    <w:rsid w:val="00A9606B"/>
    <w:rsid w:val="00A97B61"/>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4DD0"/>
    <w:rsid w:val="00B058CE"/>
    <w:rsid w:val="00B13329"/>
    <w:rsid w:val="00B13F59"/>
    <w:rsid w:val="00B145EA"/>
    <w:rsid w:val="00B273E5"/>
    <w:rsid w:val="00B27D5F"/>
    <w:rsid w:val="00B3599C"/>
    <w:rsid w:val="00B368F7"/>
    <w:rsid w:val="00B43EB1"/>
    <w:rsid w:val="00B44156"/>
    <w:rsid w:val="00B461A3"/>
    <w:rsid w:val="00B46901"/>
    <w:rsid w:val="00B60372"/>
    <w:rsid w:val="00B75F72"/>
    <w:rsid w:val="00B8265D"/>
    <w:rsid w:val="00BA1344"/>
    <w:rsid w:val="00BA20EE"/>
    <w:rsid w:val="00BA5B33"/>
    <w:rsid w:val="00BB537B"/>
    <w:rsid w:val="00BC0C37"/>
    <w:rsid w:val="00BC271F"/>
    <w:rsid w:val="00BC69B9"/>
    <w:rsid w:val="00BD1071"/>
    <w:rsid w:val="00BD48DF"/>
    <w:rsid w:val="00BF12A4"/>
    <w:rsid w:val="00BF7858"/>
    <w:rsid w:val="00C06714"/>
    <w:rsid w:val="00C127D1"/>
    <w:rsid w:val="00C16A0C"/>
    <w:rsid w:val="00C23F1B"/>
    <w:rsid w:val="00C31136"/>
    <w:rsid w:val="00C329AC"/>
    <w:rsid w:val="00C41755"/>
    <w:rsid w:val="00C419D0"/>
    <w:rsid w:val="00C43452"/>
    <w:rsid w:val="00C51E77"/>
    <w:rsid w:val="00C57C91"/>
    <w:rsid w:val="00C739AF"/>
    <w:rsid w:val="00C7549F"/>
    <w:rsid w:val="00C8122C"/>
    <w:rsid w:val="00C86AE4"/>
    <w:rsid w:val="00C87810"/>
    <w:rsid w:val="00C91A0B"/>
    <w:rsid w:val="00CA65D5"/>
    <w:rsid w:val="00CA68BB"/>
    <w:rsid w:val="00CA714D"/>
    <w:rsid w:val="00CC4BB4"/>
    <w:rsid w:val="00CD13BC"/>
    <w:rsid w:val="00CE55AB"/>
    <w:rsid w:val="00CF0526"/>
    <w:rsid w:val="00CF0F1A"/>
    <w:rsid w:val="00CF3679"/>
    <w:rsid w:val="00CF6ADF"/>
    <w:rsid w:val="00D10578"/>
    <w:rsid w:val="00D1097C"/>
    <w:rsid w:val="00D150C5"/>
    <w:rsid w:val="00D15194"/>
    <w:rsid w:val="00D15F6A"/>
    <w:rsid w:val="00D1799B"/>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93E8F"/>
    <w:rsid w:val="00DA38EB"/>
    <w:rsid w:val="00DA6115"/>
    <w:rsid w:val="00DB6D80"/>
    <w:rsid w:val="00DB7001"/>
    <w:rsid w:val="00DD03A9"/>
    <w:rsid w:val="00DD08CA"/>
    <w:rsid w:val="00DD2AFA"/>
    <w:rsid w:val="00DD3361"/>
    <w:rsid w:val="00DD6C5E"/>
    <w:rsid w:val="00DE0018"/>
    <w:rsid w:val="00DE5110"/>
    <w:rsid w:val="00DF205A"/>
    <w:rsid w:val="00DF5142"/>
    <w:rsid w:val="00E0209F"/>
    <w:rsid w:val="00E02718"/>
    <w:rsid w:val="00E03F07"/>
    <w:rsid w:val="00E05310"/>
    <w:rsid w:val="00E054D6"/>
    <w:rsid w:val="00E07963"/>
    <w:rsid w:val="00E07C2D"/>
    <w:rsid w:val="00E12310"/>
    <w:rsid w:val="00E30E42"/>
    <w:rsid w:val="00E32ADE"/>
    <w:rsid w:val="00E36D93"/>
    <w:rsid w:val="00E565AC"/>
    <w:rsid w:val="00E60376"/>
    <w:rsid w:val="00E66BFD"/>
    <w:rsid w:val="00E702BC"/>
    <w:rsid w:val="00E9083B"/>
    <w:rsid w:val="00E9327B"/>
    <w:rsid w:val="00EC0E91"/>
    <w:rsid w:val="00EC2506"/>
    <w:rsid w:val="00EC5481"/>
    <w:rsid w:val="00ED5C3B"/>
    <w:rsid w:val="00EF12FE"/>
    <w:rsid w:val="00F018F6"/>
    <w:rsid w:val="00F04D51"/>
    <w:rsid w:val="00F05A5D"/>
    <w:rsid w:val="00F0780F"/>
    <w:rsid w:val="00F171A7"/>
    <w:rsid w:val="00F31217"/>
    <w:rsid w:val="00F31415"/>
    <w:rsid w:val="00F40CB5"/>
    <w:rsid w:val="00F54B3E"/>
    <w:rsid w:val="00F5586F"/>
    <w:rsid w:val="00F70BE8"/>
    <w:rsid w:val="00F742BF"/>
    <w:rsid w:val="00F75E1B"/>
    <w:rsid w:val="00F80268"/>
    <w:rsid w:val="00F80F99"/>
    <w:rsid w:val="00F90E35"/>
    <w:rsid w:val="00F9106A"/>
    <w:rsid w:val="00FA1F1C"/>
    <w:rsid w:val="00FB1975"/>
    <w:rsid w:val="00FC28D7"/>
    <w:rsid w:val="00FD3491"/>
    <w:rsid w:val="00FE036D"/>
    <w:rsid w:val="00FE23A5"/>
    <w:rsid w:val="00FE35AF"/>
    <w:rsid w:val="00FE36E0"/>
    <w:rsid w:val="01151B18"/>
    <w:rsid w:val="017966BD"/>
    <w:rsid w:val="018C0E18"/>
    <w:rsid w:val="01C9286B"/>
    <w:rsid w:val="02350109"/>
    <w:rsid w:val="02480D0E"/>
    <w:rsid w:val="024E4980"/>
    <w:rsid w:val="02503267"/>
    <w:rsid w:val="02515B60"/>
    <w:rsid w:val="02AE3211"/>
    <w:rsid w:val="037B50A2"/>
    <w:rsid w:val="03954F4C"/>
    <w:rsid w:val="03E00C4C"/>
    <w:rsid w:val="04047316"/>
    <w:rsid w:val="04107868"/>
    <w:rsid w:val="042639C4"/>
    <w:rsid w:val="044A3FF6"/>
    <w:rsid w:val="05186D7A"/>
    <w:rsid w:val="05530297"/>
    <w:rsid w:val="05921E89"/>
    <w:rsid w:val="059B7960"/>
    <w:rsid w:val="06073472"/>
    <w:rsid w:val="06124752"/>
    <w:rsid w:val="06155FB9"/>
    <w:rsid w:val="062C0EFB"/>
    <w:rsid w:val="063A4A7C"/>
    <w:rsid w:val="063F01A6"/>
    <w:rsid w:val="063F4856"/>
    <w:rsid w:val="064D026E"/>
    <w:rsid w:val="065D4FEB"/>
    <w:rsid w:val="06806222"/>
    <w:rsid w:val="07002843"/>
    <w:rsid w:val="070D5CB2"/>
    <w:rsid w:val="0720236C"/>
    <w:rsid w:val="07274707"/>
    <w:rsid w:val="07292075"/>
    <w:rsid w:val="07402809"/>
    <w:rsid w:val="074513B1"/>
    <w:rsid w:val="074A76B8"/>
    <w:rsid w:val="07530F64"/>
    <w:rsid w:val="07D91574"/>
    <w:rsid w:val="07DD2110"/>
    <w:rsid w:val="08407E9B"/>
    <w:rsid w:val="08A66635"/>
    <w:rsid w:val="08C10B5F"/>
    <w:rsid w:val="08D10BEF"/>
    <w:rsid w:val="08D246C8"/>
    <w:rsid w:val="094474E0"/>
    <w:rsid w:val="0949141E"/>
    <w:rsid w:val="095639A6"/>
    <w:rsid w:val="09592BB8"/>
    <w:rsid w:val="095A626C"/>
    <w:rsid w:val="09D842F7"/>
    <w:rsid w:val="0A621094"/>
    <w:rsid w:val="0A84444E"/>
    <w:rsid w:val="0AB0203D"/>
    <w:rsid w:val="0AB84F29"/>
    <w:rsid w:val="0AC6684F"/>
    <w:rsid w:val="0AF721E9"/>
    <w:rsid w:val="0AFA33F2"/>
    <w:rsid w:val="0B091E63"/>
    <w:rsid w:val="0B164A29"/>
    <w:rsid w:val="0B1B034D"/>
    <w:rsid w:val="0B9D7C1B"/>
    <w:rsid w:val="0BB34A54"/>
    <w:rsid w:val="0BE07CB5"/>
    <w:rsid w:val="0C065496"/>
    <w:rsid w:val="0C0C5636"/>
    <w:rsid w:val="0C121233"/>
    <w:rsid w:val="0C201187"/>
    <w:rsid w:val="0C510B2F"/>
    <w:rsid w:val="0C5E11F6"/>
    <w:rsid w:val="0C881272"/>
    <w:rsid w:val="0C965B7D"/>
    <w:rsid w:val="0CB10F8C"/>
    <w:rsid w:val="0CC35546"/>
    <w:rsid w:val="0CC67799"/>
    <w:rsid w:val="0CCF00FE"/>
    <w:rsid w:val="0CEA24D2"/>
    <w:rsid w:val="0D122F31"/>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0FED1509"/>
    <w:rsid w:val="10210889"/>
    <w:rsid w:val="10356A35"/>
    <w:rsid w:val="10AC3582"/>
    <w:rsid w:val="10D1632A"/>
    <w:rsid w:val="11070506"/>
    <w:rsid w:val="11275087"/>
    <w:rsid w:val="1148776A"/>
    <w:rsid w:val="114B36EF"/>
    <w:rsid w:val="118B24F5"/>
    <w:rsid w:val="118C196C"/>
    <w:rsid w:val="120A2A2A"/>
    <w:rsid w:val="12364575"/>
    <w:rsid w:val="12393FEB"/>
    <w:rsid w:val="125777B2"/>
    <w:rsid w:val="1272668F"/>
    <w:rsid w:val="12957D69"/>
    <w:rsid w:val="12AB15B0"/>
    <w:rsid w:val="12EC0C50"/>
    <w:rsid w:val="12F05A2A"/>
    <w:rsid w:val="1300503C"/>
    <w:rsid w:val="131F199E"/>
    <w:rsid w:val="13247991"/>
    <w:rsid w:val="13295189"/>
    <w:rsid w:val="13515A7F"/>
    <w:rsid w:val="135B3AAF"/>
    <w:rsid w:val="1394170F"/>
    <w:rsid w:val="13A76668"/>
    <w:rsid w:val="13B02B2B"/>
    <w:rsid w:val="13DF2B58"/>
    <w:rsid w:val="14087B4A"/>
    <w:rsid w:val="1443162A"/>
    <w:rsid w:val="145E0D0D"/>
    <w:rsid w:val="1484023A"/>
    <w:rsid w:val="148C7CEF"/>
    <w:rsid w:val="14A75DDC"/>
    <w:rsid w:val="14B51D57"/>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B6BE1"/>
    <w:rsid w:val="18F37C5C"/>
    <w:rsid w:val="18FB643D"/>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1E6BB7"/>
    <w:rsid w:val="1B8B535C"/>
    <w:rsid w:val="1BA573C0"/>
    <w:rsid w:val="1BCB0252"/>
    <w:rsid w:val="1C0D34A1"/>
    <w:rsid w:val="1C1E57ED"/>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38388E"/>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63A8F"/>
    <w:rsid w:val="23C80CC2"/>
    <w:rsid w:val="23CA2360"/>
    <w:rsid w:val="23FE376C"/>
    <w:rsid w:val="240B7B52"/>
    <w:rsid w:val="24116F34"/>
    <w:rsid w:val="24227489"/>
    <w:rsid w:val="24635A3A"/>
    <w:rsid w:val="249B62E9"/>
    <w:rsid w:val="24EC117C"/>
    <w:rsid w:val="250C4BB6"/>
    <w:rsid w:val="251D778B"/>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97C9D"/>
    <w:rsid w:val="27775C75"/>
    <w:rsid w:val="27C450A3"/>
    <w:rsid w:val="27C72C22"/>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3D77D5"/>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05831"/>
    <w:rsid w:val="2B8175A1"/>
    <w:rsid w:val="2BFF5D0E"/>
    <w:rsid w:val="2C45590B"/>
    <w:rsid w:val="2C665C52"/>
    <w:rsid w:val="2C691ECA"/>
    <w:rsid w:val="2C77101E"/>
    <w:rsid w:val="2C7F3A5D"/>
    <w:rsid w:val="2CDC7E42"/>
    <w:rsid w:val="2CF652E7"/>
    <w:rsid w:val="2D1153A4"/>
    <w:rsid w:val="2D614DC2"/>
    <w:rsid w:val="2DA22BE2"/>
    <w:rsid w:val="2DB27727"/>
    <w:rsid w:val="2DDC65C4"/>
    <w:rsid w:val="2E2758AF"/>
    <w:rsid w:val="2E3F744B"/>
    <w:rsid w:val="2E7942E2"/>
    <w:rsid w:val="2F0F13BF"/>
    <w:rsid w:val="2F0F2FF0"/>
    <w:rsid w:val="2F0F3ED9"/>
    <w:rsid w:val="2F5D35AA"/>
    <w:rsid w:val="2F713FC3"/>
    <w:rsid w:val="30116C8D"/>
    <w:rsid w:val="302B091D"/>
    <w:rsid w:val="302F07D9"/>
    <w:rsid w:val="30376BB9"/>
    <w:rsid w:val="307A6BF4"/>
    <w:rsid w:val="3090618B"/>
    <w:rsid w:val="31186EB7"/>
    <w:rsid w:val="315F34A6"/>
    <w:rsid w:val="3179376A"/>
    <w:rsid w:val="31A353BC"/>
    <w:rsid w:val="31B10509"/>
    <w:rsid w:val="31BD5198"/>
    <w:rsid w:val="31C169C5"/>
    <w:rsid w:val="31DB0F40"/>
    <w:rsid w:val="31F57CCE"/>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B23D47"/>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85EA6"/>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67394"/>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9F75FE"/>
    <w:rsid w:val="43A246D5"/>
    <w:rsid w:val="43BE35E9"/>
    <w:rsid w:val="43C27A16"/>
    <w:rsid w:val="442B1667"/>
    <w:rsid w:val="4456358B"/>
    <w:rsid w:val="446D5132"/>
    <w:rsid w:val="44711592"/>
    <w:rsid w:val="448955E3"/>
    <w:rsid w:val="44AA53F4"/>
    <w:rsid w:val="44B86C03"/>
    <w:rsid w:val="44DB13AA"/>
    <w:rsid w:val="452457AE"/>
    <w:rsid w:val="453647EA"/>
    <w:rsid w:val="455333C3"/>
    <w:rsid w:val="45540B2A"/>
    <w:rsid w:val="45687E76"/>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895084"/>
    <w:rsid w:val="4798537B"/>
    <w:rsid w:val="479E69C8"/>
    <w:rsid w:val="47A3367E"/>
    <w:rsid w:val="47D04B77"/>
    <w:rsid w:val="47DB22A9"/>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61682"/>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032AC"/>
    <w:rsid w:val="4EFE5BE2"/>
    <w:rsid w:val="4EFE6728"/>
    <w:rsid w:val="4F05236E"/>
    <w:rsid w:val="4F0B787A"/>
    <w:rsid w:val="4F1203F1"/>
    <w:rsid w:val="4F187DE9"/>
    <w:rsid w:val="4F210F21"/>
    <w:rsid w:val="4F3718E3"/>
    <w:rsid w:val="4F7B269C"/>
    <w:rsid w:val="4F894C61"/>
    <w:rsid w:val="4FDA0DAB"/>
    <w:rsid w:val="4FEC3BFA"/>
    <w:rsid w:val="507239EE"/>
    <w:rsid w:val="5088341F"/>
    <w:rsid w:val="50AD2A54"/>
    <w:rsid w:val="50BA7E57"/>
    <w:rsid w:val="50D81BF7"/>
    <w:rsid w:val="50E9335E"/>
    <w:rsid w:val="51013988"/>
    <w:rsid w:val="51190415"/>
    <w:rsid w:val="51230E0B"/>
    <w:rsid w:val="513738A4"/>
    <w:rsid w:val="513F7897"/>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4A14AE"/>
    <w:rsid w:val="54A83322"/>
    <w:rsid w:val="54A9021D"/>
    <w:rsid w:val="54C066C6"/>
    <w:rsid w:val="54C80C1B"/>
    <w:rsid w:val="54E7165D"/>
    <w:rsid w:val="55066D76"/>
    <w:rsid w:val="552D710B"/>
    <w:rsid w:val="556A04AF"/>
    <w:rsid w:val="556C38AA"/>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3C36F1"/>
    <w:rsid w:val="57575FE6"/>
    <w:rsid w:val="581731F5"/>
    <w:rsid w:val="5818649C"/>
    <w:rsid w:val="5875284A"/>
    <w:rsid w:val="587C6933"/>
    <w:rsid w:val="58B24F2D"/>
    <w:rsid w:val="58B6757E"/>
    <w:rsid w:val="59427DB3"/>
    <w:rsid w:val="597E6AEA"/>
    <w:rsid w:val="59DA4DF8"/>
    <w:rsid w:val="5A8848BE"/>
    <w:rsid w:val="5ABB33A6"/>
    <w:rsid w:val="5ACE76BA"/>
    <w:rsid w:val="5AF4242B"/>
    <w:rsid w:val="5B17128C"/>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6D6CA9"/>
    <w:rsid w:val="60122100"/>
    <w:rsid w:val="60BF4EDB"/>
    <w:rsid w:val="60DD499A"/>
    <w:rsid w:val="61667655"/>
    <w:rsid w:val="618A71D9"/>
    <w:rsid w:val="61F5057D"/>
    <w:rsid w:val="620D493E"/>
    <w:rsid w:val="620E31A7"/>
    <w:rsid w:val="62227941"/>
    <w:rsid w:val="622E2FB0"/>
    <w:rsid w:val="627243D7"/>
    <w:rsid w:val="6281362B"/>
    <w:rsid w:val="62BB7314"/>
    <w:rsid w:val="62D073C1"/>
    <w:rsid w:val="63646BCD"/>
    <w:rsid w:val="637E0365"/>
    <w:rsid w:val="63B42B2D"/>
    <w:rsid w:val="63F818AF"/>
    <w:rsid w:val="64097F81"/>
    <w:rsid w:val="642928A3"/>
    <w:rsid w:val="643F5712"/>
    <w:rsid w:val="64474946"/>
    <w:rsid w:val="648864C8"/>
    <w:rsid w:val="64AC0F65"/>
    <w:rsid w:val="64AC4D21"/>
    <w:rsid w:val="64DE5C6F"/>
    <w:rsid w:val="64DE6188"/>
    <w:rsid w:val="64EA3740"/>
    <w:rsid w:val="65237F12"/>
    <w:rsid w:val="6563017D"/>
    <w:rsid w:val="65A93B6B"/>
    <w:rsid w:val="65DE0C76"/>
    <w:rsid w:val="65F77FAC"/>
    <w:rsid w:val="65FD27F5"/>
    <w:rsid w:val="66973754"/>
    <w:rsid w:val="66C24048"/>
    <w:rsid w:val="66D93F53"/>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4568F7"/>
    <w:rsid w:val="6A705A68"/>
    <w:rsid w:val="6AAE07D9"/>
    <w:rsid w:val="6AB662D5"/>
    <w:rsid w:val="6AC87B09"/>
    <w:rsid w:val="6B080012"/>
    <w:rsid w:val="6B475E3A"/>
    <w:rsid w:val="6B6A57BF"/>
    <w:rsid w:val="6B9078C4"/>
    <w:rsid w:val="6BAB28CC"/>
    <w:rsid w:val="6BC327F3"/>
    <w:rsid w:val="6C0E63BA"/>
    <w:rsid w:val="6C1B4A26"/>
    <w:rsid w:val="6C3124B6"/>
    <w:rsid w:val="6CFC400F"/>
    <w:rsid w:val="6D313AF2"/>
    <w:rsid w:val="6D680F11"/>
    <w:rsid w:val="6D9B6FED"/>
    <w:rsid w:val="6DAB31AB"/>
    <w:rsid w:val="6DD17321"/>
    <w:rsid w:val="6DD55516"/>
    <w:rsid w:val="6E642ECA"/>
    <w:rsid w:val="6E981498"/>
    <w:rsid w:val="6EB66249"/>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2D5DF8"/>
    <w:rsid w:val="73355143"/>
    <w:rsid w:val="7371396B"/>
    <w:rsid w:val="73734FD6"/>
    <w:rsid w:val="73A83D47"/>
    <w:rsid w:val="73AF252F"/>
    <w:rsid w:val="73EE04C5"/>
    <w:rsid w:val="740E4978"/>
    <w:rsid w:val="745844E5"/>
    <w:rsid w:val="746570D6"/>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56D1F"/>
    <w:rsid w:val="7789074F"/>
    <w:rsid w:val="778C06EC"/>
    <w:rsid w:val="77AB5374"/>
    <w:rsid w:val="77B72B1A"/>
    <w:rsid w:val="780B47A1"/>
    <w:rsid w:val="783953F6"/>
    <w:rsid w:val="78703381"/>
    <w:rsid w:val="78855B94"/>
    <w:rsid w:val="788C2A25"/>
    <w:rsid w:val="78A55C9A"/>
    <w:rsid w:val="78CB1A27"/>
    <w:rsid w:val="78EB00D2"/>
    <w:rsid w:val="78F146F6"/>
    <w:rsid w:val="793C1D1A"/>
    <w:rsid w:val="797A57B3"/>
    <w:rsid w:val="797F07F8"/>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95F8A"/>
    <w:rsid w:val="7F2C2FB4"/>
    <w:rsid w:val="7F4935EE"/>
    <w:rsid w:val="7F551A8E"/>
    <w:rsid w:val="7F67411D"/>
    <w:rsid w:val="7F6F60AC"/>
    <w:rsid w:val="7FBE237B"/>
    <w:rsid w:val="BCB3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annotation text"/>
    <w:basedOn w:val="1"/>
    <w:link w:val="27"/>
    <w:unhideWhenUsed/>
    <w:qFormat/>
    <w:uiPriority w:val="99"/>
    <w:pPr>
      <w:jc w:val="left"/>
    </w:pPr>
    <w:rPr>
      <w:rFonts w:ascii="Times New Roman" w:hAnsi="Times New Roman" w:cs="Times New Roman"/>
      <w:sz w:val="28"/>
    </w:rPr>
  </w:style>
  <w:style w:type="paragraph" w:styleId="6">
    <w:name w:val="Body Text"/>
    <w:basedOn w:val="1"/>
    <w:next w:val="1"/>
    <w:qFormat/>
    <w:uiPriority w:val="0"/>
    <w:pPr>
      <w:spacing w:after="120"/>
    </w:pPr>
  </w:style>
  <w:style w:type="paragraph" w:styleId="7">
    <w:name w:val="Body Text Indent"/>
    <w:basedOn w:val="1"/>
    <w:next w:val="8"/>
    <w:link w:val="28"/>
    <w:qFormat/>
    <w:uiPriority w:val="0"/>
    <w:pPr>
      <w:spacing w:line="200" w:lineRule="atLeast"/>
      <w:ind w:firstLine="301"/>
    </w:pPr>
    <w:rPr>
      <w:rFonts w:hAnsi="Courier New" w:cs="Times New Roman"/>
      <w:spacing w:val="-4"/>
      <w:sz w:val="18"/>
      <w:szCs w:val="20"/>
    </w:rPr>
  </w:style>
  <w:style w:type="paragraph" w:styleId="8">
    <w:name w:val="Body Text First Indent 2"/>
    <w:basedOn w:val="7"/>
    <w:unhideWhenUsed/>
    <w:qFormat/>
    <w:uiPriority w:val="99"/>
    <w:pPr>
      <w:ind w:firstLine="420"/>
    </w:pPr>
  </w:style>
  <w:style w:type="paragraph" w:styleId="9">
    <w:name w:val="Plain Text"/>
    <w:basedOn w:val="1"/>
    <w:qFormat/>
    <w:uiPriority w:val="0"/>
    <w:pPr>
      <w:widowControl/>
      <w:overflowPunct w:val="0"/>
      <w:autoSpaceDE w:val="0"/>
      <w:autoSpaceDN w:val="0"/>
      <w:adjustRightInd w:val="0"/>
      <w:jc w:val="left"/>
      <w:textAlignment w:val="baseline"/>
    </w:pPr>
    <w:rPr>
      <w:rFonts w:hAnsi="Courier New"/>
      <w:sz w:val="21"/>
    </w:rPr>
  </w:style>
  <w:style w:type="paragraph" w:styleId="10">
    <w:name w:val="Balloon Text"/>
    <w:basedOn w:val="1"/>
    <w:link w:val="2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214" w:after="214"/>
      <w:jc w:val="left"/>
    </w:pPr>
    <w:rPr>
      <w:kern w:val="0"/>
    </w:rPr>
  </w:style>
  <w:style w:type="paragraph" w:styleId="15">
    <w:name w:val="annotation subject"/>
    <w:basedOn w:val="5"/>
    <w:next w:val="5"/>
    <w:link w:val="42"/>
    <w:unhideWhenUsed/>
    <w:qFormat/>
    <w:uiPriority w:val="0"/>
    <w:rPr>
      <w:rFonts w:ascii="宋体" w:hAnsi="宋体" w:cs="宋体"/>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5579A7"/>
      <w:u w:val="none"/>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Normal]"/>
    <w:qFormat/>
    <w:uiPriority w:val="99"/>
    <w:rPr>
      <w:rFonts w:ascii="宋体" w:hAnsi="宋体" w:eastAsia="宋体" w:cs="Times New Roman"/>
      <w:sz w:val="24"/>
      <w:szCs w:val="22"/>
      <w:lang w:val="zh-CN" w:eastAsia="zh-CN" w:bidi="ar-SA"/>
    </w:rPr>
  </w:style>
  <w:style w:type="character" w:customStyle="1" w:styleId="26">
    <w:name w:val="批注框文本 字符"/>
    <w:basedOn w:val="18"/>
    <w:link w:val="10"/>
    <w:qFormat/>
    <w:uiPriority w:val="0"/>
    <w:rPr>
      <w:rFonts w:ascii="宋体" w:hAnsi="宋体" w:cs="宋体"/>
      <w:kern w:val="2"/>
      <w:sz w:val="18"/>
      <w:szCs w:val="18"/>
    </w:rPr>
  </w:style>
  <w:style w:type="character" w:customStyle="1" w:styleId="27">
    <w:name w:val="批注文字 字符"/>
    <w:basedOn w:val="18"/>
    <w:link w:val="5"/>
    <w:qFormat/>
    <w:uiPriority w:val="99"/>
    <w:rPr>
      <w:kern w:val="2"/>
      <w:sz w:val="28"/>
      <w:szCs w:val="24"/>
    </w:rPr>
  </w:style>
  <w:style w:type="character" w:customStyle="1" w:styleId="28">
    <w:name w:val="正文文本缩进 字符1"/>
    <w:link w:val="7"/>
    <w:qFormat/>
    <w:uiPriority w:val="0"/>
    <w:rPr>
      <w:rFonts w:ascii="宋体" w:hAnsi="Courier New"/>
      <w:spacing w:val="-4"/>
      <w:kern w:val="2"/>
      <w:sz w:val="18"/>
    </w:rPr>
  </w:style>
  <w:style w:type="character" w:customStyle="1" w:styleId="29">
    <w:name w:val="正文文本缩进 字符"/>
    <w:basedOn w:val="18"/>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8"/>
    <w:unhideWhenUsed/>
    <w:qFormat/>
    <w:uiPriority w:val="99"/>
    <w:rPr>
      <w:color w:val="605E5C"/>
      <w:shd w:val="clear" w:color="auto" w:fill="E1DFDD"/>
    </w:rPr>
  </w:style>
  <w:style w:type="paragraph" w:customStyle="1" w:styleId="32">
    <w:name w:val="List Paragraph"/>
    <w:basedOn w:val="1"/>
    <w:qFormat/>
    <w:uiPriority w:val="99"/>
    <w:pPr>
      <w:ind w:firstLine="420" w:firstLineChars="200"/>
    </w:pPr>
  </w:style>
  <w:style w:type="character" w:customStyle="1" w:styleId="33">
    <w:name w:val="页脚 字符"/>
    <w:basedOn w:val="18"/>
    <w:link w:val="11"/>
    <w:qFormat/>
    <w:uiPriority w:val="99"/>
    <w:rPr>
      <w:rFonts w:ascii="宋体" w:hAnsi="宋体" w:cs="宋体"/>
      <w:kern w:val="2"/>
      <w:sz w:val="18"/>
      <w:szCs w:val="24"/>
    </w:rPr>
  </w:style>
  <w:style w:type="character" w:customStyle="1" w:styleId="34">
    <w:name w:val="jbox-icon-warning"/>
    <w:basedOn w:val="18"/>
    <w:qFormat/>
    <w:uiPriority w:val="0"/>
  </w:style>
  <w:style w:type="character" w:customStyle="1" w:styleId="35">
    <w:name w:val="jbox-icon"/>
    <w:basedOn w:val="18"/>
    <w:qFormat/>
    <w:uiPriority w:val="0"/>
  </w:style>
  <w:style w:type="character" w:customStyle="1" w:styleId="36">
    <w:name w:val="jbox-icon-info"/>
    <w:basedOn w:val="18"/>
    <w:qFormat/>
    <w:uiPriority w:val="0"/>
  </w:style>
  <w:style w:type="character" w:customStyle="1" w:styleId="37">
    <w:name w:val="jbox-icon-success"/>
    <w:basedOn w:val="18"/>
    <w:qFormat/>
    <w:uiPriority w:val="0"/>
  </w:style>
  <w:style w:type="character" w:customStyle="1" w:styleId="38">
    <w:name w:val="jbox-icon-question"/>
    <w:basedOn w:val="18"/>
    <w:qFormat/>
    <w:uiPriority w:val="0"/>
  </w:style>
  <w:style w:type="character" w:customStyle="1" w:styleId="39">
    <w:name w:val="jbox-icon-error"/>
    <w:basedOn w:val="18"/>
    <w:qFormat/>
    <w:uiPriority w:val="0"/>
  </w:style>
  <w:style w:type="character" w:customStyle="1" w:styleId="40">
    <w:name w:val="jbox-icon-none"/>
    <w:basedOn w:val="18"/>
    <w:qFormat/>
    <w:uiPriority w:val="0"/>
    <w:rPr>
      <w:vanish/>
    </w:rPr>
  </w:style>
  <w:style w:type="character" w:customStyle="1" w:styleId="41">
    <w:name w:val="jbox-icon-loading"/>
    <w:basedOn w:val="18"/>
    <w:qFormat/>
    <w:uiPriority w:val="0"/>
  </w:style>
  <w:style w:type="character" w:customStyle="1" w:styleId="42">
    <w:name w:val="批注主题 字符"/>
    <w:basedOn w:val="27"/>
    <w:link w:val="15"/>
    <w:semiHidden/>
    <w:qFormat/>
    <w:uiPriority w:val="0"/>
    <w:rPr>
      <w:rFonts w:ascii="宋体" w:hAnsi="宋体" w:cs="宋体"/>
      <w:b/>
      <w:bCs/>
      <w:kern w:val="2"/>
      <w:sz w:val="24"/>
      <w:szCs w:val="24"/>
    </w:rPr>
  </w:style>
  <w:style w:type="paragraph" w:customStyle="1" w:styleId="43">
    <w:name w:val="A 正文内容"/>
    <w:basedOn w:val="1"/>
    <w:qFormat/>
    <w:uiPriority w:val="0"/>
    <w:pPr>
      <w:ind w:firstLine="480"/>
    </w:pPr>
  </w:style>
  <w:style w:type="paragraph" w:customStyle="1" w:styleId="4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45">
    <w:name w:val="Table Paragraph"/>
    <w:basedOn w:val="1"/>
    <w:qFormat/>
    <w:uiPriority w:val="1"/>
    <w:rPr>
      <w:rFonts w:ascii="宋体" w:hAnsi="宋体" w:eastAsia="宋体" w:cs="宋体"/>
      <w:lang w:val="zh-CN" w:eastAsia="zh-CN" w:bidi="zh-CN"/>
    </w:rPr>
  </w:style>
  <w:style w:type="character" w:customStyle="1" w:styleId="46">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4338</Words>
  <Characters>24732</Characters>
  <Lines>206</Lines>
  <Paragraphs>58</Paragraphs>
  <TotalTime>3</TotalTime>
  <ScaleCrop>false</ScaleCrop>
  <LinksUpToDate>false</LinksUpToDate>
  <CharactersWithSpaces>29012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2020-03-27T15:28:00Z</dcterms:created>
  <dc:creator>Administrator</dc:creator>
  <cp:lastModifiedBy>浙江求是招标代理有限公司</cp:lastModifiedBy>
  <cp:lastPrinted>2020-04-01T13:56:00Z</cp:lastPrinted>
  <dcterms:modified xsi:type="dcterms:W3CDTF">2021-11-18T03:21:06Z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