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楷体" w:hAnsi="楷体" w:eastAsia="楷体" w:cs="楷体"/>
          <w:b/>
          <w:bCs/>
          <w:sz w:val="72"/>
          <w:szCs w:val="72"/>
          <w:highlight w:val="none"/>
        </w:rPr>
      </w:pPr>
    </w:p>
    <w:p>
      <w:pPr>
        <w:adjustRightInd w:val="0"/>
        <w:snapToGrid w:val="0"/>
        <w:spacing w:line="360"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rPr>
        <w:t>浙江求是招标代理有限公司关于</w:t>
      </w:r>
    </w:p>
    <w:p>
      <w:pPr>
        <w:adjustRightInd w:val="0"/>
        <w:snapToGrid w:val="0"/>
        <w:spacing w:line="360"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rPr>
        <w:t>中国美术学院</w:t>
      </w:r>
    </w:p>
    <w:p>
      <w:pPr>
        <w:adjustRightInd w:val="0"/>
        <w:snapToGrid w:val="0"/>
        <w:spacing w:line="360"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rPr>
        <w:t xml:space="preserve">招生系统平台信息化服务  </w:t>
      </w:r>
    </w:p>
    <w:p>
      <w:pPr>
        <w:adjustRightInd w:val="0"/>
        <w:snapToGrid w:val="0"/>
        <w:spacing w:line="360" w:lineRule="auto"/>
        <w:jc w:val="center"/>
        <w:rPr>
          <w:rFonts w:ascii="楷体" w:hAnsi="楷体" w:eastAsia="楷体" w:cs="楷体"/>
          <w:b/>
          <w:bCs/>
          <w:sz w:val="72"/>
          <w:szCs w:val="72"/>
          <w:highlight w:val="none"/>
        </w:rPr>
      </w:pPr>
    </w:p>
    <w:p>
      <w:pPr>
        <w:adjustRightInd w:val="0"/>
        <w:snapToGrid w:val="0"/>
        <w:spacing w:line="360"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pPr>
        <w:adjustRightInd w:val="0"/>
        <w:snapToGrid w:val="0"/>
        <w:spacing w:line="360"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pPr>
        <w:adjustRightInd w:val="0"/>
        <w:snapToGrid w:val="0"/>
        <w:spacing w:line="360" w:lineRule="auto"/>
        <w:jc w:val="center"/>
        <w:rPr>
          <w:sz w:val="72"/>
          <w:szCs w:val="72"/>
          <w:highlight w:val="none"/>
        </w:rPr>
      </w:pP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 xml:space="preserve">采 购 人：中国美术学院 </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 xml:space="preserve">项目名称：招生系统平台信息化服务  </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 xml:space="preserve">项目编号：QSZB-Z(F)-H21265(CS)    </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采购计划文号：[2021]70037号、[2021]70038号</w:t>
      </w:r>
    </w:p>
    <w:p>
      <w:pPr>
        <w:widowControl/>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pPr>
        <w:adjustRightInd w:val="0"/>
        <w:snapToGrid w:val="0"/>
        <w:spacing w:line="360" w:lineRule="auto"/>
        <w:rPr>
          <w:rFonts w:ascii="楷体" w:hAnsi="楷体" w:eastAsia="楷体" w:cs="楷体"/>
          <w:b/>
          <w:bCs/>
          <w:sz w:val="30"/>
          <w:szCs w:val="30"/>
          <w:highlight w:val="none"/>
        </w:rPr>
      </w:pPr>
    </w:p>
    <w:p>
      <w:pPr>
        <w:adjustRightInd w:val="0"/>
        <w:snapToGrid w:val="0"/>
        <w:spacing w:line="360" w:lineRule="auto"/>
        <w:jc w:val="center"/>
        <w:outlineLvl w:val="0"/>
        <w:rPr>
          <w:rFonts w:ascii="楷体" w:hAnsi="楷体" w:eastAsia="楷体" w:cs="楷体"/>
          <w:b/>
          <w:bCs/>
          <w:sz w:val="48"/>
          <w:szCs w:val="48"/>
          <w:highlight w:val="none"/>
        </w:rPr>
      </w:pPr>
      <w:r>
        <w:rPr>
          <w:rFonts w:hint="eastAsia" w:ascii="楷体" w:hAnsi="楷体" w:eastAsia="楷体" w:cs="楷体"/>
          <w:b/>
          <w:bCs/>
          <w:sz w:val="48"/>
          <w:szCs w:val="48"/>
          <w:highlight w:val="none"/>
        </w:rPr>
        <w:t>目录</w:t>
      </w:r>
    </w:p>
    <w:p>
      <w:pPr>
        <w:adjustRightInd w:val="0"/>
        <w:snapToGrid w:val="0"/>
        <w:spacing w:line="360" w:lineRule="auto"/>
        <w:rPr>
          <w:rFonts w:ascii="楷体" w:hAnsi="楷体" w:eastAsia="楷体" w:cs="楷体"/>
          <w:b/>
          <w:bCs/>
          <w:sz w:val="30"/>
          <w:szCs w:val="30"/>
          <w:highlight w:val="none"/>
        </w:rPr>
      </w:pP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第一章  采购邀请</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第二章  采购需求</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第三章  供应商须知</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第四章  评审办法及评分标准</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第五章  拟签订的合同文本</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第六章  响应文件格式</w:t>
      </w:r>
    </w:p>
    <w:p>
      <w:pPr>
        <w:adjustRightInd w:val="0"/>
        <w:snapToGrid w:val="0"/>
        <w:spacing w:line="360" w:lineRule="auto"/>
        <w:rPr>
          <w:rFonts w:ascii="楷体" w:hAnsi="楷体" w:eastAsia="楷体" w:cs="楷体"/>
          <w:b/>
          <w:bCs/>
          <w:sz w:val="30"/>
          <w:szCs w:val="30"/>
          <w:highlight w:val="none"/>
        </w:rPr>
      </w:pPr>
    </w:p>
    <w:p>
      <w:pPr>
        <w:ind w:firstLine="602" w:firstLineChars="200"/>
        <w:rPr>
          <w:rFonts w:ascii="楷体" w:hAnsi="楷体" w:eastAsia="楷体" w:cs="楷体"/>
          <w:b/>
          <w:bCs/>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ascii="楷体" w:hAnsi="楷体" w:eastAsia="楷体" w:cs="楷体"/>
          <w:sz w:val="21"/>
          <w:szCs w:val="21"/>
          <w:highlight w:val="none"/>
        </w:rPr>
      </w:pPr>
      <w:r>
        <w:rPr>
          <w:rFonts w:hint="eastAsia"/>
          <w:b/>
          <w:bCs/>
          <w:sz w:val="32"/>
          <w:szCs w:val="32"/>
          <w:highlight w:val="none"/>
        </w:rPr>
        <w:t xml:space="preserve">第一章 </w:t>
      </w:r>
      <w:r>
        <w:rPr>
          <w:b/>
          <w:bCs/>
          <w:sz w:val="32"/>
          <w:szCs w:val="32"/>
          <w:highlight w:val="none"/>
        </w:rPr>
        <w:t xml:space="preserve"> </w:t>
      </w:r>
      <w:r>
        <w:rPr>
          <w:rFonts w:hint="eastAsia"/>
          <w:b/>
          <w:bCs/>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u w:val="single"/>
        </w:rPr>
        <w:t xml:space="preserve"> 招生系统平台信息化服务</w:t>
      </w:r>
      <w:r>
        <w:rPr>
          <w:rFonts w:hint="eastAsia"/>
          <w:b/>
          <w:sz w:val="21"/>
          <w:szCs w:val="21"/>
          <w:highlight w:val="none"/>
        </w:rPr>
        <w:t>采购项目的潜在供应商应在</w:t>
      </w:r>
      <w:r>
        <w:rPr>
          <w:rFonts w:hint="eastAsia"/>
          <w:b/>
          <w:sz w:val="21"/>
          <w:szCs w:val="21"/>
          <w:highlight w:val="none"/>
          <w:u w:val="single"/>
        </w:rPr>
        <w:t xml:space="preserve"> 政府采购云平台（https://login.zcygov.cn） </w:t>
      </w:r>
      <w:r>
        <w:rPr>
          <w:rFonts w:hint="eastAsia"/>
          <w:b/>
          <w:sz w:val="21"/>
          <w:szCs w:val="21"/>
          <w:highlight w:val="none"/>
        </w:rPr>
        <w:t>获取（下载）采购文件，并于</w:t>
      </w:r>
      <w:r>
        <w:rPr>
          <w:rFonts w:hint="eastAsia"/>
          <w:b/>
          <w:sz w:val="21"/>
          <w:szCs w:val="21"/>
          <w:highlight w:val="none"/>
          <w:u w:val="single"/>
        </w:rPr>
        <w:t xml:space="preserve"> 2021年</w:t>
      </w:r>
      <w:r>
        <w:rPr>
          <w:rFonts w:hint="eastAsia"/>
          <w:b/>
          <w:sz w:val="21"/>
          <w:szCs w:val="21"/>
          <w:highlight w:val="none"/>
          <w:u w:val="single"/>
          <w:lang w:eastAsia="zh-CN"/>
        </w:rPr>
        <w:t>11月8日</w:t>
      </w:r>
      <w:r>
        <w:rPr>
          <w:b/>
          <w:sz w:val="21"/>
          <w:szCs w:val="21"/>
          <w:highlight w:val="none"/>
          <w:u w:val="single"/>
        </w:rPr>
        <w:t>9</w:t>
      </w:r>
      <w:r>
        <w:rPr>
          <w:rFonts w:hint="eastAsia"/>
          <w:b/>
          <w:sz w:val="21"/>
          <w:szCs w:val="21"/>
          <w:highlight w:val="none"/>
          <w:u w:val="single"/>
        </w:rPr>
        <w:t xml:space="preserve">:30:00 </w:t>
      </w:r>
      <w:r>
        <w:rPr>
          <w:rFonts w:hint="eastAsia"/>
          <w:b/>
          <w:bCs/>
          <w:sz w:val="21"/>
          <w:szCs w:val="21"/>
          <w:highlight w:val="none"/>
        </w:rPr>
        <w:t>（北京时间）前提交（上传）响应文件</w:t>
      </w:r>
      <w:r>
        <w:rPr>
          <w:rFonts w:hint="eastAsia"/>
          <w:b/>
          <w:sz w:val="21"/>
          <w:szCs w:val="21"/>
          <w:highlight w:val="none"/>
        </w:rPr>
        <w:t>。</w:t>
      </w:r>
    </w:p>
    <w:p>
      <w:pPr>
        <w:adjustRightInd w:val="0"/>
        <w:snapToGrid w:val="0"/>
        <w:spacing w:line="288" w:lineRule="auto"/>
        <w:ind w:firstLine="200"/>
        <w:rPr>
          <w:b/>
          <w:sz w:val="21"/>
          <w:szCs w:val="21"/>
          <w:highlight w:val="none"/>
        </w:rPr>
      </w:pPr>
      <w:bookmarkStart w:id="0" w:name="_Toc35393621"/>
      <w:bookmarkStart w:id="1" w:name="_Toc35393790"/>
      <w:bookmarkStart w:id="2" w:name="_Toc28359079"/>
      <w:bookmarkStart w:id="3" w:name="_Toc28359002"/>
      <w:bookmarkStart w:id="4" w:name="_Hlk24379207"/>
      <w:r>
        <w:rPr>
          <w:rFonts w:hint="eastAsia"/>
          <w:b/>
          <w:sz w:val="21"/>
          <w:szCs w:val="21"/>
          <w:highlight w:val="none"/>
        </w:rPr>
        <w:t>一、项目基本情况</w:t>
      </w:r>
      <w:bookmarkEnd w:id="0"/>
      <w:bookmarkEnd w:id="1"/>
      <w:bookmarkEnd w:id="2"/>
      <w:bookmarkEnd w:id="3"/>
    </w:p>
    <w:p>
      <w:pPr>
        <w:adjustRightInd w:val="0"/>
        <w:snapToGrid w:val="0"/>
        <w:spacing w:line="288" w:lineRule="auto"/>
        <w:ind w:firstLine="420" w:firstLineChars="200"/>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rPr>
        <w:t xml:space="preserve">QSZB-Z(F)-H21265(CS)    </w:t>
      </w:r>
    </w:p>
    <w:p>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 xml:space="preserve">项目名称：招生系统平台信息化服务  </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bookmarkEnd w:id="4"/>
    </w:p>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预算金额（元）：400000</w:t>
      </w:r>
    </w:p>
    <w:p>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最高限价（元）：400000</w:t>
      </w:r>
    </w:p>
    <w:p>
      <w:pPr>
        <w:adjustRightInd w:val="0"/>
        <w:snapToGrid w:val="0"/>
        <w:spacing w:line="288" w:lineRule="auto"/>
        <w:ind w:firstLine="420" w:firstLineChars="200"/>
        <w:rPr>
          <w:sz w:val="21"/>
          <w:szCs w:val="21"/>
          <w:highlight w:val="none"/>
        </w:rPr>
      </w:pPr>
      <w:r>
        <w:rPr>
          <w:sz w:val="21"/>
          <w:szCs w:val="21"/>
          <w:highlight w:val="none"/>
        </w:rPr>
        <w:t>6.</w:t>
      </w:r>
      <w:r>
        <w:rPr>
          <w:rFonts w:hint="eastAsia"/>
          <w:sz w:val="21"/>
          <w:szCs w:val="21"/>
          <w:highlight w:val="none"/>
        </w:rPr>
        <w:t>合同履行期限：合同期限至202</w:t>
      </w:r>
      <w:r>
        <w:rPr>
          <w:rFonts w:hint="eastAsia"/>
          <w:sz w:val="21"/>
          <w:szCs w:val="21"/>
          <w:highlight w:val="none"/>
          <w:lang w:val="en-US" w:eastAsia="zh-CN"/>
        </w:rPr>
        <w:t>2</w:t>
      </w:r>
      <w:r>
        <w:rPr>
          <w:rFonts w:hint="eastAsia"/>
          <w:sz w:val="21"/>
          <w:szCs w:val="21"/>
          <w:highlight w:val="none"/>
        </w:rPr>
        <w:t>年7月30日</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本项目不接受联合体响应。</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6"/>
        <w:tblW w:w="9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5"/>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785"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3522"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828"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830"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3655"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85"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3522" w:type="dxa"/>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sz w:val="21"/>
                <w:szCs w:val="21"/>
                <w:highlight w:val="none"/>
              </w:rPr>
              <w:t>招生系统平台信息化服务</w:t>
            </w:r>
          </w:p>
        </w:tc>
        <w:tc>
          <w:tcPr>
            <w:tcW w:w="828"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830"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项</w:t>
            </w:r>
          </w:p>
        </w:tc>
        <w:tc>
          <w:tcPr>
            <w:tcW w:w="3655" w:type="dxa"/>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详见采购需求</w:t>
            </w:r>
          </w:p>
        </w:tc>
      </w:tr>
    </w:tbl>
    <w:p>
      <w:pPr>
        <w:adjustRightInd w:val="0"/>
        <w:snapToGrid w:val="0"/>
        <w:spacing w:line="288" w:lineRule="auto"/>
        <w:ind w:firstLine="200"/>
        <w:rPr>
          <w:b/>
          <w:sz w:val="21"/>
          <w:szCs w:val="21"/>
          <w:highlight w:val="none"/>
        </w:rPr>
      </w:pPr>
      <w:bookmarkStart w:id="5" w:name="_Toc35393791"/>
      <w:bookmarkStart w:id="6" w:name="_Toc28359003"/>
      <w:bookmarkStart w:id="7" w:name="_Toc35393622"/>
      <w:bookmarkStart w:id="8" w:name="_Toc28359080"/>
      <w:r>
        <w:rPr>
          <w:rFonts w:hint="eastAsia"/>
          <w:b/>
          <w:sz w:val="21"/>
          <w:szCs w:val="21"/>
          <w:highlight w:val="none"/>
        </w:rPr>
        <w:t>二、申请人的资格要求：</w:t>
      </w:r>
      <w:bookmarkEnd w:id="5"/>
      <w:bookmarkEnd w:id="6"/>
      <w:bookmarkEnd w:id="7"/>
      <w:bookmarkEnd w:id="8"/>
    </w:p>
    <w:p>
      <w:pPr>
        <w:adjustRightInd w:val="0"/>
        <w:snapToGrid w:val="0"/>
        <w:spacing w:line="288" w:lineRule="auto"/>
        <w:ind w:firstLine="420" w:firstLineChars="200"/>
        <w:jc w:val="left"/>
        <w:rPr>
          <w:sz w:val="21"/>
          <w:szCs w:val="21"/>
          <w:highlight w:val="none"/>
        </w:rPr>
      </w:pPr>
      <w:bookmarkStart w:id="9" w:name="_Toc28359081"/>
      <w:bookmarkStart w:id="10" w:name="_Toc28359004"/>
      <w:r>
        <w:rPr>
          <w:rFonts w:hint="eastAsia"/>
          <w:sz w:val="21"/>
          <w:szCs w:val="21"/>
          <w:highlight w:val="none"/>
        </w:rPr>
        <w:t>1.满足《中华人民共和国政府采购法》第二十二条规定，且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2.落实政府采购政策需满足的资格要求：</w:t>
      </w:r>
      <w:r>
        <w:rPr>
          <w:rFonts w:hint="eastAsia"/>
          <w:color w:val="000000" w:themeColor="text1"/>
          <w:sz w:val="21"/>
          <w:szCs w:val="21"/>
          <w:highlight w:val="none"/>
          <w14:textFill>
            <w14:solidFill>
              <w14:schemeClr w14:val="tx1"/>
            </w14:solidFill>
          </w14:textFill>
        </w:rPr>
        <w:t>本项目面向中小企业采购（对应的中小企业划分标准所属行业：软件和信息技术服务业）</w:t>
      </w:r>
      <w:r>
        <w:rPr>
          <w:color w:val="000000" w:themeColor="text1"/>
          <w:sz w:val="21"/>
          <w:szCs w:val="21"/>
          <w:highlight w:val="none"/>
          <w14:textFill>
            <w14:solidFill>
              <w14:schemeClr w14:val="tx1"/>
            </w14:solidFill>
          </w14:textFill>
        </w:rPr>
        <w:t>。</w:t>
      </w:r>
    </w:p>
    <w:p>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pPr>
        <w:adjustRightInd w:val="0"/>
        <w:snapToGrid w:val="0"/>
        <w:spacing w:line="288" w:lineRule="auto"/>
        <w:ind w:firstLine="200"/>
        <w:rPr>
          <w:b/>
          <w:sz w:val="21"/>
          <w:szCs w:val="21"/>
          <w:highlight w:val="none"/>
        </w:rPr>
      </w:pPr>
      <w:bookmarkStart w:id="11" w:name="_Toc35393792"/>
      <w:bookmarkStart w:id="12" w:name="_Toc35393623"/>
      <w:r>
        <w:rPr>
          <w:rFonts w:hint="eastAsia"/>
          <w:b/>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28359082"/>
      <w:bookmarkStart w:id="14" w:name="_Toc35393793"/>
      <w:bookmarkStart w:id="15" w:name="_Toc28359005"/>
      <w:bookmarkStart w:id="16" w:name="_Toc35393624"/>
      <w:r>
        <w:rPr>
          <w:rFonts w:hint="eastAsia"/>
          <w:sz w:val="21"/>
          <w:szCs w:val="21"/>
          <w:highlight w:val="none"/>
        </w:rPr>
        <w:t>时间：2021年</w:t>
      </w:r>
      <w:r>
        <w:rPr>
          <w:rFonts w:hint="eastAsia"/>
          <w:sz w:val="21"/>
          <w:szCs w:val="21"/>
          <w:highlight w:val="none"/>
          <w:lang w:eastAsia="zh-CN"/>
        </w:rPr>
        <w:t>1</w:t>
      </w:r>
      <w:r>
        <w:rPr>
          <w:rFonts w:hint="eastAsia"/>
          <w:sz w:val="21"/>
          <w:szCs w:val="21"/>
          <w:highlight w:val="none"/>
          <w:lang w:val="en-US" w:eastAsia="zh-CN"/>
        </w:rPr>
        <w:t>0</w:t>
      </w:r>
      <w:r>
        <w:rPr>
          <w:rFonts w:hint="eastAsia"/>
          <w:sz w:val="21"/>
          <w:szCs w:val="21"/>
          <w:highlight w:val="none"/>
          <w:lang w:eastAsia="zh-CN"/>
        </w:rPr>
        <w:t>月</w:t>
      </w:r>
      <w:r>
        <w:rPr>
          <w:rFonts w:hint="eastAsia"/>
          <w:sz w:val="21"/>
          <w:szCs w:val="21"/>
          <w:highlight w:val="none"/>
          <w:lang w:val="en-US" w:eastAsia="zh-CN"/>
        </w:rPr>
        <w:t>2</w:t>
      </w:r>
      <w:r>
        <w:rPr>
          <w:rFonts w:hint="eastAsia"/>
          <w:sz w:val="21"/>
          <w:szCs w:val="21"/>
          <w:highlight w:val="none"/>
          <w:lang w:eastAsia="zh-CN"/>
        </w:rPr>
        <w:t>8日</w:t>
      </w:r>
      <w:r>
        <w:rPr>
          <w:rFonts w:hint="eastAsia"/>
          <w:sz w:val="21"/>
          <w:szCs w:val="21"/>
          <w:highlight w:val="none"/>
        </w:rPr>
        <w:t>至2021年</w:t>
      </w:r>
      <w:r>
        <w:rPr>
          <w:rFonts w:hint="eastAsia"/>
          <w:sz w:val="21"/>
          <w:szCs w:val="21"/>
          <w:highlight w:val="none"/>
          <w:lang w:eastAsia="zh-CN"/>
        </w:rPr>
        <w:t>11月8日</w:t>
      </w:r>
      <w:r>
        <w:rPr>
          <w:rFonts w:hint="eastAsia"/>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地点（网址）：政府采购云平台（https://login.zcygov.cn）</w:t>
      </w:r>
    </w:p>
    <w:p>
      <w:pPr>
        <w:adjustRightInd w:val="0"/>
        <w:snapToGrid w:val="0"/>
        <w:spacing w:line="288" w:lineRule="auto"/>
        <w:ind w:firstLine="420" w:firstLineChars="200"/>
        <w:rPr>
          <w:sz w:val="21"/>
          <w:szCs w:val="21"/>
          <w:highlight w:val="none"/>
        </w:rPr>
      </w:pPr>
      <w:r>
        <w:rPr>
          <w:rFonts w:hint="eastAsia"/>
          <w:sz w:val="21"/>
          <w:szCs w:val="21"/>
          <w:highlight w:val="none"/>
        </w:rPr>
        <w:t>方式：在线获取（潜在供应商登陆政府采购云平台，进入“项目采购”，在“获取采购文件”菜单中选择项目后“申请获取采购文件”）</w:t>
      </w:r>
    </w:p>
    <w:p>
      <w:pPr>
        <w:adjustRightInd w:val="0"/>
        <w:snapToGrid w:val="0"/>
        <w:spacing w:line="288" w:lineRule="auto"/>
        <w:ind w:firstLine="420" w:firstLineChars="200"/>
        <w:rPr>
          <w:sz w:val="21"/>
          <w:szCs w:val="21"/>
          <w:highlight w:val="none"/>
        </w:rPr>
      </w:pPr>
      <w:r>
        <w:rPr>
          <w:rFonts w:hint="eastAsia"/>
          <w:sz w:val="21"/>
          <w:szCs w:val="21"/>
          <w:highlight w:val="none"/>
        </w:rPr>
        <w:t>售价（元）：0</w:t>
      </w:r>
    </w:p>
    <w:p>
      <w:pPr>
        <w:adjustRightInd w:val="0"/>
        <w:snapToGrid w:val="0"/>
        <w:spacing w:line="288" w:lineRule="auto"/>
        <w:ind w:firstLine="200"/>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截止时间：2021年</w:t>
      </w:r>
      <w:r>
        <w:rPr>
          <w:rFonts w:hint="eastAsia"/>
          <w:bCs/>
          <w:sz w:val="21"/>
          <w:szCs w:val="21"/>
          <w:highlight w:val="none"/>
          <w:lang w:eastAsia="zh-CN"/>
        </w:rPr>
        <w:t>11月8日</w:t>
      </w:r>
      <w:r>
        <w:rPr>
          <w:bCs/>
          <w:sz w:val="21"/>
          <w:szCs w:val="21"/>
          <w:highlight w:val="none"/>
        </w:rPr>
        <w:t>9</w:t>
      </w:r>
      <w:r>
        <w:rPr>
          <w:rFonts w:hint="eastAsia"/>
          <w:bCs/>
          <w:sz w:val="21"/>
          <w:szCs w:val="21"/>
          <w:highlight w:val="none"/>
        </w:rPr>
        <w:t>:30:00（北京时间）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（网址）：政府采购云平台（https://login.zcygov.cn）</w:t>
      </w:r>
    </w:p>
    <w:p>
      <w:pPr>
        <w:adjustRightInd w:val="0"/>
        <w:snapToGrid w:val="0"/>
        <w:spacing w:line="288" w:lineRule="auto"/>
        <w:ind w:firstLine="200"/>
        <w:rPr>
          <w:b/>
          <w:sz w:val="21"/>
          <w:szCs w:val="21"/>
          <w:highlight w:val="none"/>
        </w:rPr>
      </w:pPr>
      <w:bookmarkStart w:id="17" w:name="_Toc35393625"/>
      <w:bookmarkStart w:id="18" w:name="_Toc28359084"/>
      <w:bookmarkStart w:id="19" w:name="_Toc28359007"/>
      <w:bookmarkStart w:id="20" w:name="_Toc35393794"/>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开启时间：2021年</w:t>
      </w:r>
      <w:r>
        <w:rPr>
          <w:rFonts w:hint="eastAsia"/>
          <w:bCs/>
          <w:sz w:val="21"/>
          <w:szCs w:val="21"/>
          <w:highlight w:val="none"/>
          <w:lang w:eastAsia="zh-CN"/>
        </w:rPr>
        <w:t>11月8日</w:t>
      </w:r>
      <w:r>
        <w:rPr>
          <w:bCs/>
          <w:sz w:val="21"/>
          <w:szCs w:val="21"/>
          <w:highlight w:val="none"/>
        </w:rPr>
        <w:t>9</w:t>
      </w:r>
      <w:r>
        <w:rPr>
          <w:rFonts w:hint="eastAsia"/>
          <w:bCs/>
          <w:sz w:val="21"/>
          <w:szCs w:val="21"/>
          <w:highlight w:val="none"/>
        </w:rPr>
        <w:t>:30:00（北京时间）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（网址）：政府采购云平台（https://login.zcygov.cn）</w:t>
      </w:r>
      <w:r>
        <w:rPr>
          <w:rFonts w:hint="eastAsia" w:cs="Times New Roman"/>
          <w:sz w:val="21"/>
          <w:szCs w:val="21"/>
          <w:highlight w:val="none"/>
        </w:rPr>
        <w:t>/</w:t>
      </w:r>
      <w:r>
        <w:rPr>
          <w:rFonts w:hint="eastAsia"/>
          <w:color w:val="000000" w:themeColor="text1"/>
          <w:sz w:val="21"/>
          <w:szCs w:val="21"/>
          <w:highlight w:val="none"/>
          <w14:textFill>
            <w14:solidFill>
              <w14:schemeClr w14:val="tx1"/>
            </w14:solidFill>
          </w14:textFill>
        </w:rPr>
        <w:t>杭州市西湖区玉古路</w:t>
      </w:r>
      <w:r>
        <w:rPr>
          <w:color w:val="000000" w:themeColor="text1"/>
          <w:sz w:val="21"/>
          <w:szCs w:val="21"/>
          <w:highlight w:val="none"/>
          <w14:textFill>
            <w14:solidFill>
              <w14:schemeClr w14:val="tx1"/>
            </w14:solidFill>
          </w14:textFill>
        </w:rPr>
        <w:t>173号中田大厦11楼</w:t>
      </w:r>
      <w:r>
        <w:rPr>
          <w:rFonts w:hint="eastAsia"/>
          <w:color w:val="000000" w:themeColor="text1"/>
          <w:sz w:val="21"/>
          <w:szCs w:val="21"/>
          <w:highlight w:val="none"/>
          <w14:textFill>
            <w14:solidFill>
              <w14:schemeClr w14:val="tx1"/>
            </w14:solidFill>
          </w14:textFill>
        </w:rPr>
        <w:t>求是招标</w:t>
      </w:r>
      <w:r>
        <w:rPr>
          <w:rFonts w:hint="eastAsia"/>
          <w:color w:val="000000" w:themeColor="text1"/>
          <w:sz w:val="21"/>
          <w:szCs w:val="21"/>
          <w:highlight w:val="none"/>
          <w:lang w:val="en-US" w:eastAsia="zh-CN"/>
          <w14:textFill>
            <w14:solidFill>
              <w14:schemeClr w14:val="tx1"/>
            </w14:solidFill>
          </w14:textFill>
        </w:rPr>
        <w:t>3</w:t>
      </w:r>
      <w:r>
        <w:rPr>
          <w:rFonts w:hint="eastAsia"/>
          <w:color w:val="000000" w:themeColor="text1"/>
          <w:sz w:val="21"/>
          <w:szCs w:val="21"/>
          <w:highlight w:val="none"/>
          <w14:textFill>
            <w14:solidFill>
              <w14:schemeClr w14:val="tx1"/>
            </w14:solidFill>
          </w14:textFill>
        </w:rPr>
        <w:t>号会议室</w:t>
      </w:r>
    </w:p>
    <w:p>
      <w:pPr>
        <w:adjustRightInd w:val="0"/>
        <w:snapToGrid w:val="0"/>
        <w:spacing w:line="288" w:lineRule="auto"/>
        <w:ind w:firstLine="200"/>
        <w:rPr>
          <w:b/>
          <w:sz w:val="21"/>
          <w:szCs w:val="21"/>
          <w:highlight w:val="none"/>
        </w:rPr>
      </w:pPr>
      <w:r>
        <w:rPr>
          <w:rFonts w:hint="eastAsia"/>
          <w:b/>
          <w:sz w:val="21"/>
          <w:szCs w:val="21"/>
          <w:highlight w:val="none"/>
        </w:rPr>
        <w:t>六、公告期限</w:t>
      </w:r>
      <w:bookmarkEnd w:id="17"/>
      <w:bookmarkEnd w:id="18"/>
      <w:bookmarkEnd w:id="19"/>
      <w:bookmarkEnd w:id="20"/>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pPr>
        <w:adjustRightInd w:val="0"/>
        <w:snapToGrid w:val="0"/>
        <w:spacing w:line="288" w:lineRule="auto"/>
        <w:ind w:firstLine="211" w:firstLineChars="100"/>
        <w:rPr>
          <w:b/>
          <w:sz w:val="21"/>
          <w:szCs w:val="21"/>
          <w:highlight w:val="none"/>
        </w:rPr>
      </w:pPr>
      <w:bookmarkStart w:id="21" w:name="_Toc35393626"/>
      <w:bookmarkStart w:id="22" w:name="_Toc35393795"/>
      <w:r>
        <w:rPr>
          <w:rFonts w:hint="eastAsia"/>
          <w:b/>
          <w:sz w:val="21"/>
          <w:szCs w:val="21"/>
          <w:highlight w:val="none"/>
        </w:rPr>
        <w:t>七、其他补充事宜</w:t>
      </w:r>
      <w:bookmarkEnd w:id="21"/>
      <w:bookmarkEnd w:id="22"/>
    </w:p>
    <w:p>
      <w:pPr>
        <w:adjustRightInd w:val="0"/>
        <w:snapToGrid w:val="0"/>
        <w:spacing w:line="288" w:lineRule="auto"/>
        <w:ind w:firstLine="396" w:firstLineChars="200"/>
        <w:rPr>
          <w:bCs/>
          <w:sz w:val="21"/>
          <w:szCs w:val="21"/>
          <w:highlight w:val="none"/>
        </w:rPr>
      </w:pPr>
      <w:bookmarkStart w:id="23" w:name="_Toc35393796"/>
      <w:bookmarkStart w:id="24" w:name="_Toc35393627"/>
      <w:bookmarkStart w:id="25" w:name="_Toc28359008"/>
      <w:bookmarkStart w:id="26" w:name="_Toc28359085"/>
      <w:r>
        <w:rPr>
          <w:rFonts w:hint="eastAsia"/>
          <w:spacing w:val="-6"/>
          <w:sz w:val="21"/>
          <w:szCs w:val="21"/>
          <w:highlight w:val="none"/>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bCs/>
          <w:sz w:val="21"/>
          <w:szCs w:val="21"/>
          <w:highlight w:val="none"/>
        </w:rPr>
      </w:pPr>
      <w:r>
        <w:rPr>
          <w:rFonts w:hint="eastAsia"/>
          <w:bCs/>
          <w:sz w:val="21"/>
          <w:szCs w:val="21"/>
          <w:highlight w:val="none"/>
        </w:rPr>
        <w:t>质疑函范本、投诉书范本请到浙江政府采购网下载专区下载。</w:t>
      </w:r>
    </w:p>
    <w:p>
      <w:pPr>
        <w:adjustRightInd w:val="0"/>
        <w:snapToGrid w:val="0"/>
        <w:spacing w:line="288" w:lineRule="auto"/>
        <w:ind w:firstLine="422" w:firstLineChars="200"/>
        <w:rPr>
          <w:b/>
          <w:bCs/>
          <w:kern w:val="0"/>
          <w:sz w:val="21"/>
          <w:szCs w:val="21"/>
          <w:highlight w:val="none"/>
        </w:rPr>
      </w:pPr>
      <w:r>
        <w:rPr>
          <w:b/>
          <w:bCs/>
          <w:kern w:val="0"/>
          <w:sz w:val="21"/>
          <w:szCs w:val="21"/>
          <w:highlight w:val="none"/>
        </w:rPr>
        <w:t>政采云</w:t>
      </w:r>
      <w:r>
        <w:rPr>
          <w:rFonts w:hint="eastAsia"/>
          <w:b/>
          <w:bCs/>
          <w:kern w:val="0"/>
          <w:sz w:val="21"/>
          <w:szCs w:val="21"/>
          <w:highlight w:val="none"/>
        </w:rPr>
        <w:t>电子交易系统咨询</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若对项目采购电子交易系统操作有疑问，可登录政采云（</w:t>
      </w:r>
      <w:r>
        <w:rPr>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kern w:val="0"/>
          <w:sz w:val="21"/>
          <w:szCs w:val="21"/>
          <w:highlight w:val="none"/>
        </w:rPr>
      </w:pPr>
      <w:r>
        <w:rPr>
          <w:kern w:val="0"/>
          <w:sz w:val="21"/>
          <w:szCs w:val="21"/>
          <w:highlight w:val="none"/>
        </w:rPr>
        <w:t>CA问题联系电话（人工）：汇信CA 400-888-4636；天谷CA 400-087-8198。</w:t>
      </w:r>
    </w:p>
    <w:p>
      <w:pPr>
        <w:adjustRightInd w:val="0"/>
        <w:snapToGrid w:val="0"/>
        <w:spacing w:line="288" w:lineRule="auto"/>
        <w:ind w:firstLine="200"/>
        <w:rPr>
          <w:b/>
          <w:sz w:val="21"/>
          <w:szCs w:val="21"/>
          <w:highlight w:val="none"/>
        </w:rPr>
      </w:pPr>
      <w:r>
        <w:rPr>
          <w:rFonts w:hint="eastAsia"/>
          <w:b/>
          <w:sz w:val="21"/>
          <w:szCs w:val="21"/>
          <w:highlight w:val="none"/>
        </w:rPr>
        <w:t>八、凡对本次采购提出询问、质疑、投诉请按以下方式联系</w:t>
      </w:r>
      <w:bookmarkEnd w:id="23"/>
      <w:bookmarkEnd w:id="24"/>
      <w:bookmarkEnd w:id="25"/>
      <w:bookmarkEnd w:id="26"/>
    </w:p>
    <w:p>
      <w:pPr>
        <w:adjustRightInd w:val="0"/>
        <w:snapToGrid w:val="0"/>
        <w:spacing w:line="288" w:lineRule="auto"/>
        <w:ind w:firstLine="283" w:firstLineChars="135"/>
        <w:rPr>
          <w:sz w:val="21"/>
          <w:szCs w:val="21"/>
          <w:highlight w:val="none"/>
        </w:rPr>
      </w:pPr>
      <w:r>
        <w:rPr>
          <w:sz w:val="21"/>
          <w:szCs w:val="21"/>
          <w:highlight w:val="none"/>
        </w:rPr>
        <w:t>1.采购人信息</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名称：中国美术学院</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地址：杭州市南山路218号</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rFonts w:hint="eastAsia"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val="en-US" w:eastAsia="zh-CN"/>
        </w:rPr>
        <w:t>赵老师</w:t>
      </w:r>
    </w:p>
    <w:p>
      <w:pPr>
        <w:adjustRightInd w:val="0"/>
        <w:snapToGrid w:val="0"/>
        <w:spacing w:line="288" w:lineRule="auto"/>
        <w:ind w:firstLine="283" w:firstLineChars="135"/>
        <w:rPr>
          <w:sz w:val="21"/>
          <w:szCs w:val="21"/>
          <w:highlight w:val="none"/>
        </w:rPr>
      </w:pPr>
      <w:r>
        <w:rPr>
          <w:rFonts w:hint="eastAsia"/>
          <w:sz w:val="21"/>
          <w:szCs w:val="21"/>
          <w:highlight w:val="none"/>
        </w:rPr>
        <w:t>项目联系方式（询问）：0571-87169703</w:t>
      </w:r>
    </w:p>
    <w:p>
      <w:pPr>
        <w:adjustRightInd w:val="0"/>
        <w:snapToGrid w:val="0"/>
        <w:spacing w:line="288" w:lineRule="auto"/>
        <w:ind w:firstLine="283" w:firstLineChars="135"/>
        <w:rPr>
          <w:sz w:val="21"/>
          <w:szCs w:val="21"/>
          <w:highlight w:val="none"/>
        </w:rPr>
      </w:pPr>
      <w:r>
        <w:rPr>
          <w:rFonts w:hint="eastAsia"/>
          <w:sz w:val="21"/>
          <w:szCs w:val="21"/>
          <w:highlight w:val="none"/>
        </w:rPr>
        <w:t>质疑联系人：黄老师</w:t>
      </w:r>
    </w:p>
    <w:p>
      <w:pPr>
        <w:adjustRightInd w:val="0"/>
        <w:snapToGrid w:val="0"/>
        <w:spacing w:line="288" w:lineRule="auto"/>
        <w:ind w:firstLine="283" w:firstLineChars="135"/>
        <w:rPr>
          <w:sz w:val="21"/>
          <w:szCs w:val="21"/>
          <w:highlight w:val="none"/>
        </w:rPr>
      </w:pPr>
      <w:r>
        <w:rPr>
          <w:rFonts w:hint="eastAsia"/>
          <w:sz w:val="21"/>
          <w:szCs w:val="21"/>
          <w:highlight w:val="none"/>
        </w:rPr>
        <w:t>质疑联系方式：0571-87200066</w:t>
      </w:r>
    </w:p>
    <w:p>
      <w:pPr>
        <w:adjustRightInd w:val="0"/>
        <w:snapToGrid w:val="0"/>
        <w:spacing w:line="288" w:lineRule="auto"/>
        <w:ind w:firstLine="283" w:firstLineChars="135"/>
        <w:rPr>
          <w:sz w:val="21"/>
          <w:szCs w:val="21"/>
          <w:highlight w:val="none"/>
        </w:rPr>
      </w:pPr>
    </w:p>
    <w:p>
      <w:pPr>
        <w:adjustRightInd w:val="0"/>
        <w:snapToGrid w:val="0"/>
        <w:spacing w:line="288" w:lineRule="auto"/>
        <w:ind w:firstLine="283" w:firstLineChars="135"/>
        <w:rPr>
          <w:sz w:val="21"/>
          <w:szCs w:val="21"/>
          <w:highlight w:val="none"/>
        </w:rPr>
      </w:pPr>
      <w:r>
        <w:rPr>
          <w:sz w:val="21"/>
          <w:szCs w:val="21"/>
          <w:highlight w:val="none"/>
        </w:rPr>
        <w:t>2.采购代理机构信息</w:t>
      </w:r>
    </w:p>
    <w:p>
      <w:pPr>
        <w:adjustRightInd w:val="0"/>
        <w:snapToGrid w:val="0"/>
        <w:spacing w:line="288" w:lineRule="auto"/>
        <w:ind w:firstLine="283" w:firstLineChars="135"/>
        <w:rPr>
          <w:sz w:val="21"/>
          <w:szCs w:val="21"/>
          <w:highlight w:val="none"/>
        </w:rPr>
      </w:pPr>
      <w:r>
        <w:rPr>
          <w:rFonts w:hint="eastAsia"/>
          <w:sz w:val="21"/>
          <w:szCs w:val="21"/>
          <w:highlight w:val="none"/>
        </w:rPr>
        <w:t>名称：浙江求是招标代理有限公司</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地址：杭州市西湖区玉古路</w:t>
      </w:r>
      <w:r>
        <w:rPr>
          <w:sz w:val="21"/>
          <w:szCs w:val="21"/>
          <w:highlight w:val="none"/>
        </w:rPr>
        <w:t>173号中田大厦11楼</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sz w:val="21"/>
          <w:szCs w:val="21"/>
          <w:highlight w:val="none"/>
        </w:rPr>
      </w:pPr>
      <w:r>
        <w:rPr>
          <w:rFonts w:hint="eastAsia"/>
          <w:sz w:val="21"/>
          <w:szCs w:val="21"/>
          <w:highlight w:val="none"/>
        </w:rPr>
        <w:t>项目联系人（询问）：陈培特、王娜</w:t>
      </w:r>
    </w:p>
    <w:p>
      <w:pPr>
        <w:adjustRightInd w:val="0"/>
        <w:snapToGrid w:val="0"/>
        <w:spacing w:line="288" w:lineRule="auto"/>
        <w:ind w:firstLine="283" w:firstLineChars="135"/>
        <w:rPr>
          <w:sz w:val="21"/>
          <w:szCs w:val="21"/>
          <w:highlight w:val="none"/>
        </w:rPr>
      </w:pPr>
      <w:r>
        <w:rPr>
          <w:rFonts w:hint="eastAsia"/>
          <w:sz w:val="21"/>
          <w:szCs w:val="21"/>
          <w:highlight w:val="none"/>
        </w:rPr>
        <w:t>项目联系方式（询问）：0571-87666115</w:t>
      </w:r>
    </w:p>
    <w:p>
      <w:pPr>
        <w:adjustRightInd w:val="0"/>
        <w:snapToGrid w:val="0"/>
        <w:spacing w:line="288" w:lineRule="auto"/>
        <w:ind w:firstLine="283" w:firstLineChars="135"/>
        <w:rPr>
          <w:sz w:val="21"/>
          <w:szCs w:val="21"/>
          <w:highlight w:val="none"/>
        </w:rPr>
      </w:pPr>
      <w:r>
        <w:rPr>
          <w:rFonts w:hint="eastAsia"/>
          <w:sz w:val="21"/>
          <w:szCs w:val="21"/>
          <w:highlight w:val="none"/>
        </w:rPr>
        <w:t>质疑联系人：余水星</w:t>
      </w:r>
    </w:p>
    <w:p>
      <w:pPr>
        <w:adjustRightInd w:val="0"/>
        <w:snapToGrid w:val="0"/>
        <w:spacing w:line="288" w:lineRule="auto"/>
        <w:ind w:firstLine="283" w:firstLineChars="135"/>
        <w:rPr>
          <w:sz w:val="21"/>
          <w:szCs w:val="21"/>
          <w:highlight w:val="none"/>
        </w:rPr>
      </w:pPr>
      <w:r>
        <w:rPr>
          <w:rFonts w:hint="eastAsia"/>
          <w:sz w:val="21"/>
          <w:szCs w:val="21"/>
          <w:highlight w:val="none"/>
        </w:rPr>
        <w:t>质疑联系方式：</w:t>
      </w:r>
      <w:r>
        <w:rPr>
          <w:sz w:val="21"/>
          <w:szCs w:val="21"/>
          <w:highlight w:val="none"/>
        </w:rPr>
        <w:t>0571-81110356</w:t>
      </w:r>
    </w:p>
    <w:p>
      <w:pPr>
        <w:adjustRightInd w:val="0"/>
        <w:snapToGrid w:val="0"/>
        <w:spacing w:line="288" w:lineRule="auto"/>
        <w:ind w:firstLine="283" w:firstLineChars="135"/>
        <w:rPr>
          <w:sz w:val="21"/>
          <w:szCs w:val="21"/>
          <w:highlight w:val="none"/>
        </w:rPr>
      </w:pPr>
      <w:r>
        <w:rPr>
          <w:rFonts w:hint="eastAsia"/>
          <w:sz w:val="21"/>
          <w:szCs w:val="21"/>
          <w:highlight w:val="none"/>
        </w:rPr>
        <w:t>质疑邮箱：</w:t>
      </w:r>
      <w:r>
        <w:rPr>
          <w:sz w:val="21"/>
          <w:szCs w:val="21"/>
          <w:highlight w:val="none"/>
        </w:rPr>
        <w:t>jdkh@qszb.net</w:t>
      </w:r>
    </w:p>
    <w:p>
      <w:pPr>
        <w:adjustRightInd w:val="0"/>
        <w:snapToGrid w:val="0"/>
        <w:spacing w:line="288" w:lineRule="auto"/>
        <w:ind w:firstLine="283" w:firstLineChars="135"/>
        <w:rPr>
          <w:sz w:val="21"/>
          <w:szCs w:val="21"/>
          <w:highlight w:val="none"/>
        </w:rPr>
      </w:pPr>
    </w:p>
    <w:p>
      <w:pPr>
        <w:adjustRightInd w:val="0"/>
        <w:snapToGrid w:val="0"/>
        <w:spacing w:line="288" w:lineRule="auto"/>
        <w:ind w:firstLine="283" w:firstLineChars="135"/>
        <w:rPr>
          <w:sz w:val="21"/>
          <w:szCs w:val="21"/>
          <w:highlight w:val="none"/>
        </w:rPr>
      </w:pPr>
      <w:r>
        <w:rPr>
          <w:sz w:val="21"/>
          <w:szCs w:val="21"/>
          <w:highlight w:val="none"/>
        </w:rPr>
        <w:t>3.同级政府采购监督管理部门</w:t>
      </w:r>
    </w:p>
    <w:p>
      <w:pPr>
        <w:adjustRightInd w:val="0"/>
        <w:snapToGrid w:val="0"/>
        <w:spacing w:line="288" w:lineRule="auto"/>
        <w:ind w:firstLine="283" w:firstLineChars="135"/>
        <w:rPr>
          <w:sz w:val="21"/>
          <w:szCs w:val="21"/>
          <w:highlight w:val="none"/>
        </w:rPr>
      </w:pPr>
      <w:r>
        <w:rPr>
          <w:rFonts w:hint="eastAsia"/>
          <w:sz w:val="21"/>
          <w:szCs w:val="21"/>
          <w:highlight w:val="none"/>
        </w:rPr>
        <w:t>名称：浙江省财政厅政府采购监管处</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地址：杭州市环城西路</w:t>
      </w:r>
      <w:r>
        <w:rPr>
          <w:sz w:val="21"/>
          <w:szCs w:val="21"/>
          <w:highlight w:val="none"/>
        </w:rPr>
        <w:t>37号</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sz w:val="21"/>
          <w:szCs w:val="21"/>
          <w:highlight w:val="none"/>
        </w:rPr>
      </w:pPr>
      <w:r>
        <w:rPr>
          <w:rFonts w:hint="eastAsia"/>
          <w:sz w:val="21"/>
          <w:szCs w:val="21"/>
          <w:highlight w:val="none"/>
        </w:rPr>
        <w:t>联系人：倪文良、吴聪瑜</w:t>
      </w:r>
    </w:p>
    <w:p>
      <w:pPr>
        <w:adjustRightInd w:val="0"/>
        <w:snapToGrid w:val="0"/>
        <w:spacing w:line="288" w:lineRule="auto"/>
        <w:ind w:firstLine="283" w:firstLineChars="135"/>
        <w:rPr>
          <w:sz w:val="21"/>
          <w:szCs w:val="21"/>
          <w:highlight w:val="none"/>
        </w:rPr>
      </w:pPr>
      <w:r>
        <w:rPr>
          <w:rFonts w:hint="eastAsia"/>
          <w:sz w:val="21"/>
          <w:szCs w:val="21"/>
          <w:highlight w:val="none"/>
        </w:rPr>
        <w:t>监督投诉电话：</w:t>
      </w:r>
      <w:r>
        <w:rPr>
          <w:sz w:val="21"/>
          <w:szCs w:val="21"/>
          <w:highlight w:val="none"/>
        </w:rPr>
        <w:t>0571-87057615、87058489</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第二章  采购需求</w:t>
      </w:r>
    </w:p>
    <w:p>
      <w:pPr>
        <w:adjustRightInd w:val="0"/>
        <w:snapToGrid w:val="0"/>
        <w:spacing w:line="288" w:lineRule="auto"/>
        <w:outlineLvl w:val="1"/>
        <w:rPr>
          <w:b/>
          <w:bCs/>
          <w:sz w:val="21"/>
          <w:szCs w:val="21"/>
          <w:highlight w:val="none"/>
        </w:rPr>
      </w:pPr>
      <w:r>
        <w:rPr>
          <w:rFonts w:hint="eastAsia"/>
          <w:b/>
          <w:bCs/>
          <w:sz w:val="21"/>
          <w:szCs w:val="21"/>
          <w:highlight w:val="none"/>
        </w:rPr>
        <w:t>一、为落实政府采购政策需满足的要求：</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297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政策名称</w:t>
            </w:r>
          </w:p>
        </w:tc>
        <w:tc>
          <w:tcPr>
            <w:tcW w:w="583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1</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政府采购促进中小企业发展</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2</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政府采购支持监狱企业发展</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3</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政府采购促进残疾人就业</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bl>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采购标的对应的中小企业划分标准所属行业：</w:t>
      </w:r>
      <w:r>
        <w:rPr>
          <w:rFonts w:hint="eastAsia"/>
          <w:color w:val="000000" w:themeColor="text1"/>
          <w:sz w:val="21"/>
          <w:szCs w:val="21"/>
          <w:highlight w:val="none"/>
          <w14:textFill>
            <w14:solidFill>
              <w14:schemeClr w14:val="tx1"/>
            </w14:solidFill>
          </w14:textFill>
        </w:rPr>
        <w:t>软件和信息技术服务业</w:t>
      </w:r>
    </w:p>
    <w:p>
      <w:pPr>
        <w:adjustRightInd w:val="0"/>
        <w:snapToGrid w:val="0"/>
        <w:spacing w:line="288" w:lineRule="auto"/>
        <w:rPr>
          <w:sz w:val="21"/>
          <w:szCs w:val="21"/>
          <w:highlight w:val="none"/>
        </w:rPr>
      </w:pPr>
      <w:r>
        <w:rPr>
          <w:rFonts w:hint="eastAsia"/>
          <w:b/>
          <w:bCs/>
          <w:sz w:val="21"/>
          <w:szCs w:val="21"/>
          <w:highlight w:val="none"/>
        </w:rPr>
        <w:t>中小企业划型标准：</w:t>
      </w:r>
      <w:r>
        <w:rPr>
          <w:rFonts w:hint="eastAsia"/>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olor w:val="000000" w:themeColor="text1"/>
          <w:sz w:val="21"/>
          <w:szCs w:val="21"/>
          <w:highlight w:val="none"/>
          <w14:textFill>
            <w14:solidFill>
              <w14:schemeClr w14:val="tx1"/>
            </w14:solidFill>
          </w14:textFill>
        </w:rPr>
        <w:t>。</w:t>
      </w:r>
    </w:p>
    <w:p>
      <w:pPr>
        <w:adjustRightInd w:val="0"/>
        <w:snapToGrid w:val="0"/>
        <w:spacing w:line="288" w:lineRule="auto"/>
        <w:outlineLvl w:val="1"/>
        <w:rPr>
          <w:b/>
          <w:bCs/>
          <w:sz w:val="21"/>
          <w:szCs w:val="21"/>
          <w:highlight w:val="none"/>
        </w:rPr>
      </w:pPr>
    </w:p>
    <w:p>
      <w:pPr>
        <w:numPr>
          <w:ilvl w:val="0"/>
          <w:numId w:val="1"/>
        </w:numPr>
        <w:adjustRightInd w:val="0"/>
        <w:snapToGrid w:val="0"/>
        <w:spacing w:line="288" w:lineRule="auto"/>
        <w:outlineLvl w:val="1"/>
        <w:rPr>
          <w:b/>
          <w:bCs/>
          <w:sz w:val="21"/>
          <w:szCs w:val="21"/>
          <w:highlight w:val="none"/>
        </w:rPr>
      </w:pPr>
      <w:r>
        <w:rPr>
          <w:rFonts w:hint="eastAsia"/>
          <w:b/>
          <w:bCs/>
          <w:sz w:val="21"/>
          <w:szCs w:val="21"/>
          <w:highlight w:val="none"/>
        </w:rPr>
        <w:t>采购资金的支付方式、时间、条件：</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履约保证金</w:t>
            </w:r>
          </w:p>
        </w:tc>
        <w:tc>
          <w:tcPr>
            <w:tcW w:w="7819" w:type="dxa"/>
            <w:vAlign w:val="center"/>
          </w:tcPr>
          <w:p>
            <w:pPr>
              <w:adjustRightInd w:val="0"/>
              <w:snapToGrid w:val="0"/>
              <w:spacing w:line="288" w:lineRule="auto"/>
              <w:rPr>
                <w:sz w:val="21"/>
                <w:szCs w:val="21"/>
                <w:highlight w:val="none"/>
              </w:rPr>
            </w:pPr>
            <w:r>
              <w:rPr>
                <w:rFonts w:hint="eastAsia"/>
                <w:sz w:val="21"/>
                <w:szCs w:val="21"/>
                <w:highlight w:val="none"/>
              </w:rPr>
              <w:t>中标人在合同签订生效后10个工作日内缴纳合同金额 5 %的履约保证金，履约保证金在履约结束后10个工作日内无息退还。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adjustRightInd w:val="0"/>
              <w:snapToGrid w:val="0"/>
              <w:spacing w:line="288" w:lineRule="auto"/>
              <w:jc w:val="center"/>
              <w:rPr>
                <w:b/>
                <w:bCs/>
                <w:sz w:val="21"/>
                <w:szCs w:val="21"/>
                <w:highlight w:val="none"/>
              </w:rPr>
            </w:pPr>
            <w:r>
              <w:rPr>
                <w:b/>
                <w:bCs/>
                <w:sz w:val="21"/>
                <w:szCs w:val="21"/>
                <w:highlight w:val="none"/>
              </w:rPr>
              <w:t>付款方式</w:t>
            </w:r>
          </w:p>
        </w:tc>
        <w:tc>
          <w:tcPr>
            <w:tcW w:w="7819" w:type="dxa"/>
            <w:vAlign w:val="center"/>
          </w:tcPr>
          <w:p>
            <w:pPr>
              <w:adjustRightInd w:val="0"/>
              <w:snapToGrid w:val="0"/>
              <w:spacing w:line="288" w:lineRule="auto"/>
              <w:rPr>
                <w:sz w:val="21"/>
                <w:szCs w:val="21"/>
                <w:highlight w:val="none"/>
              </w:rPr>
            </w:pPr>
            <w:r>
              <w:rPr>
                <w:rFonts w:hint="eastAsia"/>
                <w:sz w:val="21"/>
                <w:szCs w:val="21"/>
                <w:highlight w:val="none"/>
              </w:rPr>
              <w:t>采购合同生效且自采购人收到履约保证金十个工作日内，支付合同款10%，即_</w:t>
            </w:r>
            <w:r>
              <w:rPr>
                <w:sz w:val="21"/>
                <w:szCs w:val="21"/>
                <w:highlight w:val="none"/>
              </w:rPr>
              <w:t>___________</w:t>
            </w:r>
            <w:r>
              <w:rPr>
                <w:rFonts w:hint="eastAsia"/>
                <w:sz w:val="21"/>
                <w:szCs w:val="21"/>
                <w:highlight w:val="none"/>
              </w:rPr>
              <w:t>元。项目完成并经验收合格后十五个工作日内向成交供应商支付合同剩余款项，即_</w:t>
            </w:r>
            <w:r>
              <w:rPr>
                <w:sz w:val="21"/>
                <w:szCs w:val="21"/>
                <w:highlight w:val="none"/>
              </w:rPr>
              <w:t>____________</w:t>
            </w:r>
            <w:r>
              <w:rPr>
                <w:rFonts w:hint="eastAsia"/>
                <w:sz w:val="21"/>
                <w:szCs w:val="21"/>
                <w:highlight w:val="none"/>
              </w:rPr>
              <w:t>元。</w:t>
            </w:r>
          </w:p>
        </w:tc>
      </w:tr>
    </w:tbl>
    <w:p>
      <w:pPr>
        <w:adjustRightInd w:val="0"/>
        <w:snapToGrid w:val="0"/>
        <w:spacing w:line="288" w:lineRule="auto"/>
        <w:rPr>
          <w:sz w:val="21"/>
          <w:szCs w:val="21"/>
          <w:highlight w:val="none"/>
        </w:rPr>
      </w:pPr>
    </w:p>
    <w:p>
      <w:pPr>
        <w:numPr>
          <w:ilvl w:val="0"/>
          <w:numId w:val="1"/>
        </w:numPr>
        <w:adjustRightInd w:val="0"/>
        <w:snapToGrid w:val="0"/>
        <w:spacing w:line="288" w:lineRule="auto"/>
        <w:outlineLvl w:val="1"/>
        <w:rPr>
          <w:b/>
          <w:bCs/>
          <w:sz w:val="21"/>
          <w:szCs w:val="21"/>
          <w:highlight w:val="none"/>
        </w:rPr>
      </w:pPr>
      <w:r>
        <w:rPr>
          <w:rFonts w:hint="eastAsia"/>
          <w:b/>
          <w:bCs/>
          <w:sz w:val="21"/>
          <w:szCs w:val="21"/>
          <w:highlight w:val="none"/>
        </w:rPr>
        <w:t>服务要求：</w:t>
      </w:r>
    </w:p>
    <w:p>
      <w:pPr>
        <w:adjustRightInd w:val="0"/>
        <w:snapToGrid w:val="0"/>
        <w:ind w:firstLine="420" w:firstLineChars="200"/>
        <w:rPr>
          <w:sz w:val="21"/>
          <w:szCs w:val="21"/>
          <w:highlight w:val="none"/>
        </w:rPr>
      </w:pPr>
      <w:r>
        <w:rPr>
          <w:rFonts w:hint="eastAsia"/>
          <w:sz w:val="21"/>
          <w:szCs w:val="21"/>
          <w:highlight w:val="none"/>
        </w:rPr>
        <w:t>（一）架构要求</w:t>
      </w:r>
    </w:p>
    <w:p>
      <w:pPr>
        <w:adjustRightInd w:val="0"/>
        <w:snapToGrid w:val="0"/>
        <w:ind w:firstLine="420" w:firstLineChars="200"/>
        <w:rPr>
          <w:sz w:val="21"/>
          <w:szCs w:val="21"/>
          <w:highlight w:val="none"/>
        </w:rPr>
      </w:pPr>
      <w:r>
        <w:rPr>
          <w:rFonts w:hint="eastAsia"/>
          <w:sz w:val="21"/>
          <w:szCs w:val="21"/>
          <w:highlight w:val="none"/>
        </w:rPr>
        <w:t>1）实现各模块数据库分离，保障各业务数据库访问安全稳定；</w:t>
      </w:r>
    </w:p>
    <w:p>
      <w:pPr>
        <w:adjustRightInd w:val="0"/>
        <w:snapToGrid w:val="0"/>
        <w:ind w:firstLine="420" w:firstLineChars="200"/>
        <w:rPr>
          <w:sz w:val="21"/>
          <w:szCs w:val="21"/>
          <w:highlight w:val="none"/>
        </w:rPr>
      </w:pPr>
      <w:r>
        <w:rPr>
          <w:rFonts w:hint="eastAsia"/>
          <w:sz w:val="21"/>
          <w:szCs w:val="21"/>
          <w:highlight w:val="none"/>
        </w:rPr>
        <w:t>2）实现业务数据读写分离，使查询与写入操作互不影响数据库服务器性能，能合理利用缓存技术，有效降低数据库访问压力；</w:t>
      </w:r>
    </w:p>
    <w:p>
      <w:pPr>
        <w:adjustRightInd w:val="0"/>
        <w:snapToGrid w:val="0"/>
        <w:ind w:firstLine="420" w:firstLineChars="200"/>
        <w:rPr>
          <w:sz w:val="21"/>
          <w:szCs w:val="21"/>
          <w:highlight w:val="none"/>
        </w:rPr>
      </w:pPr>
      <w:r>
        <w:rPr>
          <w:rFonts w:hint="eastAsia"/>
          <w:sz w:val="21"/>
          <w:szCs w:val="21"/>
          <w:highlight w:val="none"/>
        </w:rPr>
        <w:t>3）能够将系统的多个应用分离部署，形成高可用的系统分布式集群，以保障业务运行的高可用性。</w:t>
      </w:r>
    </w:p>
    <w:p>
      <w:pPr>
        <w:adjustRightInd w:val="0"/>
        <w:snapToGrid w:val="0"/>
        <w:ind w:firstLine="420" w:firstLineChars="200"/>
        <w:rPr>
          <w:sz w:val="21"/>
          <w:szCs w:val="21"/>
          <w:highlight w:val="none"/>
        </w:rPr>
      </w:pPr>
      <w:r>
        <w:rPr>
          <w:rFonts w:hint="eastAsia"/>
          <w:sz w:val="21"/>
          <w:szCs w:val="21"/>
          <w:highlight w:val="none"/>
        </w:rPr>
        <w:t>（二）性能要求</w:t>
      </w:r>
    </w:p>
    <w:p>
      <w:pPr>
        <w:adjustRightInd w:val="0"/>
        <w:snapToGrid w:val="0"/>
        <w:ind w:firstLine="420" w:firstLineChars="200"/>
        <w:rPr>
          <w:sz w:val="21"/>
          <w:szCs w:val="21"/>
          <w:highlight w:val="none"/>
        </w:rPr>
      </w:pPr>
      <w:r>
        <w:rPr>
          <w:rFonts w:hint="eastAsia"/>
          <w:sz w:val="21"/>
          <w:szCs w:val="21"/>
          <w:highlight w:val="none"/>
        </w:rPr>
        <w:t>1）系统请求响应时间：5秒以内；</w:t>
      </w:r>
    </w:p>
    <w:p>
      <w:pPr>
        <w:adjustRightInd w:val="0"/>
        <w:snapToGrid w:val="0"/>
        <w:ind w:firstLine="420" w:firstLineChars="200"/>
        <w:rPr>
          <w:sz w:val="21"/>
          <w:szCs w:val="21"/>
          <w:highlight w:val="none"/>
        </w:rPr>
      </w:pPr>
      <w:r>
        <w:rPr>
          <w:rFonts w:hint="eastAsia"/>
          <w:sz w:val="21"/>
          <w:szCs w:val="21"/>
          <w:highlight w:val="none"/>
        </w:rPr>
        <w:t>2）每分钟成功报名考生数：50万</w:t>
      </w:r>
    </w:p>
    <w:p>
      <w:pPr>
        <w:adjustRightInd w:val="0"/>
        <w:snapToGrid w:val="0"/>
        <w:ind w:firstLine="420" w:firstLineChars="200"/>
        <w:rPr>
          <w:sz w:val="21"/>
          <w:szCs w:val="21"/>
          <w:highlight w:val="none"/>
        </w:rPr>
      </w:pPr>
      <w:r>
        <w:rPr>
          <w:rFonts w:hint="eastAsia"/>
          <w:sz w:val="21"/>
          <w:szCs w:val="21"/>
          <w:highlight w:val="none"/>
        </w:rPr>
        <w:t>▲（3）其他要求</w:t>
      </w:r>
    </w:p>
    <w:p>
      <w:pPr>
        <w:adjustRightInd w:val="0"/>
        <w:snapToGrid w:val="0"/>
        <w:ind w:firstLine="420" w:firstLineChars="200"/>
        <w:rPr>
          <w:sz w:val="21"/>
          <w:szCs w:val="21"/>
          <w:highlight w:val="none"/>
        </w:rPr>
      </w:pPr>
      <w:r>
        <w:rPr>
          <w:rFonts w:hint="eastAsia"/>
          <w:sz w:val="21"/>
          <w:szCs w:val="21"/>
          <w:highlight w:val="none"/>
        </w:rPr>
        <w:t>报名期间除提供招生及网络考试系统平台信息化服务外，同时在不同服务器上开发一套能满足考生正常报名的应急报名通道，在遇突发事件导致主系统无法正常报名时启用，保证考生报名不受影响，报名采集信息格式同招生及网络考试系统平台信息化服务。</w:t>
      </w:r>
    </w:p>
    <w:p>
      <w:pPr>
        <w:adjustRightInd w:val="0"/>
        <w:snapToGrid w:val="0"/>
        <w:ind w:firstLine="420" w:firstLineChars="200"/>
        <w:rPr>
          <w:sz w:val="21"/>
          <w:szCs w:val="21"/>
          <w:highlight w:val="none"/>
        </w:rPr>
      </w:pPr>
      <w:r>
        <w:rPr>
          <w:rFonts w:hint="eastAsia"/>
          <w:sz w:val="21"/>
          <w:szCs w:val="21"/>
          <w:highlight w:val="none"/>
        </w:rPr>
        <w:t>（三）院校功能</w:t>
      </w:r>
    </w:p>
    <w:p>
      <w:pPr>
        <w:adjustRightInd w:val="0"/>
        <w:snapToGrid w:val="0"/>
        <w:ind w:firstLine="420" w:firstLineChars="200"/>
        <w:rPr>
          <w:sz w:val="21"/>
          <w:szCs w:val="21"/>
          <w:highlight w:val="none"/>
        </w:rPr>
      </w:pPr>
      <w:r>
        <w:rPr>
          <w:rFonts w:hint="eastAsia"/>
          <w:sz w:val="21"/>
          <w:szCs w:val="21"/>
          <w:highlight w:val="none"/>
        </w:rPr>
        <w:t>基于互联网的艺术类院校报名系统为考务工作提供便捷实用的信息化报名服务支撑，同时让院校管理人员实时掌握报名信息，为院校决策提供依据，包含如下主要功能：院校基础管理、报名管理、考务管理、考生管理、考后管理、报名监控中心、考生注册/登录、考生信息完善（肖像审核）、考生报名、网上交费、打印准考证、查询成绩、志愿填报、录取查询等。</w:t>
      </w:r>
    </w:p>
    <w:p>
      <w:pPr>
        <w:numPr>
          <w:ilvl w:val="0"/>
          <w:numId w:val="2"/>
        </w:numPr>
        <w:ind w:firstLine="420" w:firstLineChars="200"/>
        <w:rPr>
          <w:bCs/>
          <w:sz w:val="21"/>
          <w:szCs w:val="21"/>
          <w:highlight w:val="none"/>
        </w:rPr>
      </w:pPr>
      <w:bookmarkStart w:id="27" w:name="_Toc508294522"/>
      <w:r>
        <w:rPr>
          <w:rFonts w:hint="eastAsia"/>
          <w:bCs/>
          <w:sz w:val="21"/>
          <w:szCs w:val="21"/>
          <w:highlight w:val="none"/>
        </w:rPr>
        <w:t>院校基础管理</w:t>
      </w:r>
    </w:p>
    <w:p>
      <w:pPr>
        <w:ind w:firstLine="420" w:firstLineChars="200"/>
        <w:rPr>
          <w:bCs/>
          <w:sz w:val="21"/>
          <w:szCs w:val="21"/>
          <w:highlight w:val="none"/>
        </w:rPr>
      </w:pPr>
      <w:r>
        <w:rPr>
          <w:rFonts w:hint="eastAsia"/>
          <w:bCs/>
          <w:sz w:val="21"/>
          <w:szCs w:val="21"/>
          <w:highlight w:val="none"/>
        </w:rPr>
        <w:t>院校信息：显示或设置本次考试院校名称信息；</w:t>
      </w:r>
    </w:p>
    <w:p>
      <w:pPr>
        <w:ind w:firstLine="420" w:firstLineChars="200"/>
        <w:rPr>
          <w:bCs/>
          <w:sz w:val="21"/>
          <w:szCs w:val="21"/>
          <w:highlight w:val="none"/>
        </w:rPr>
      </w:pPr>
      <w:r>
        <w:rPr>
          <w:rFonts w:hint="eastAsia"/>
          <w:bCs/>
          <w:sz w:val="21"/>
          <w:szCs w:val="21"/>
          <w:highlight w:val="none"/>
        </w:rPr>
        <w:t>院校常用专业库：设置院校相关的专业基础信息，考试开启后不允许再修改专业信息；</w:t>
      </w:r>
    </w:p>
    <w:p>
      <w:pPr>
        <w:ind w:firstLine="420" w:firstLineChars="200"/>
        <w:rPr>
          <w:rFonts w:hint="eastAsia"/>
          <w:bCs/>
          <w:sz w:val="21"/>
          <w:szCs w:val="21"/>
          <w:highlight w:val="none"/>
        </w:rPr>
      </w:pPr>
      <w:r>
        <w:rPr>
          <w:rFonts w:hint="eastAsia"/>
          <w:bCs/>
          <w:sz w:val="21"/>
          <w:szCs w:val="21"/>
          <w:highlight w:val="none"/>
        </w:rPr>
        <w:t>院校常用考点库：设置院校会使用的考点信息。</w:t>
      </w:r>
    </w:p>
    <w:p>
      <w:pPr>
        <w:pStyle w:val="2"/>
        <w:ind w:firstLine="420"/>
        <w:rPr>
          <w:highlight w:val="none"/>
        </w:rPr>
      </w:pPr>
      <w:r>
        <w:rPr>
          <w:rStyle w:val="46"/>
          <w:rFonts w:hint="default"/>
          <w:color w:val="auto"/>
          <w:sz w:val="21"/>
          <w:szCs w:val="21"/>
          <w:highlight w:val="none"/>
          <w:lang w:bidi="ar"/>
        </w:rPr>
        <w:t>院校账号管理：支持账号分级管理，院校管理员可根据需要自行管理各考点管理员账号、财务账号、监控账号。</w:t>
      </w:r>
    </w:p>
    <w:p>
      <w:pPr>
        <w:ind w:firstLine="420" w:firstLineChars="200"/>
        <w:rPr>
          <w:bCs/>
          <w:sz w:val="21"/>
          <w:szCs w:val="21"/>
          <w:highlight w:val="none"/>
        </w:rPr>
      </w:pPr>
      <w:r>
        <w:rPr>
          <w:rFonts w:hint="eastAsia"/>
          <w:bCs/>
          <w:sz w:val="21"/>
          <w:szCs w:val="21"/>
          <w:highlight w:val="none"/>
        </w:rPr>
        <w:t>2）报名管理</w:t>
      </w:r>
    </w:p>
    <w:p>
      <w:pPr>
        <w:ind w:firstLine="420" w:firstLineChars="200"/>
        <w:rPr>
          <w:bCs/>
          <w:sz w:val="21"/>
          <w:szCs w:val="21"/>
          <w:highlight w:val="none"/>
        </w:rPr>
      </w:pPr>
      <w:r>
        <w:rPr>
          <w:rFonts w:hint="eastAsia"/>
          <w:bCs/>
          <w:sz w:val="21"/>
          <w:szCs w:val="21"/>
          <w:highlight w:val="none"/>
        </w:rPr>
        <w:t>考试管理：可以新增设置多场考试的名称、考试年度、限考专业数、专业志愿填报数和开通标志，可通过限考专业数控制考生本次考试报考专业的最大数，通过专业志愿填报数控制考试专业中有志愿的专业允许填报志愿的数量；</w:t>
      </w:r>
    </w:p>
    <w:p>
      <w:pPr>
        <w:ind w:firstLine="420" w:firstLineChars="200"/>
        <w:rPr>
          <w:bCs/>
          <w:sz w:val="21"/>
          <w:szCs w:val="21"/>
          <w:highlight w:val="none"/>
        </w:rPr>
      </w:pPr>
      <w:r>
        <w:rPr>
          <w:rFonts w:hint="eastAsia"/>
          <w:bCs/>
          <w:sz w:val="21"/>
          <w:szCs w:val="21"/>
          <w:highlight w:val="none"/>
        </w:rPr>
        <w:t>考试专业管理：可以通过“新增”或者“批量新增”的方式，设置考试对应的报考专业信息；</w:t>
      </w:r>
    </w:p>
    <w:p>
      <w:pPr>
        <w:ind w:firstLine="420" w:firstLineChars="200"/>
        <w:rPr>
          <w:bCs/>
          <w:sz w:val="21"/>
          <w:szCs w:val="21"/>
          <w:highlight w:val="none"/>
        </w:rPr>
      </w:pPr>
      <w:r>
        <w:rPr>
          <w:rFonts w:hint="eastAsia"/>
          <w:bCs/>
          <w:sz w:val="21"/>
          <w:szCs w:val="21"/>
          <w:highlight w:val="none"/>
        </w:rPr>
        <w:t>报名时间管理：设置各考点的报名起止时间、准考证打印起止时间，考生必须在指定的时间内进行报名，超过了时间就不允许报名，报名完成后考生可以在指定的时间进行打印准考证操作；</w:t>
      </w:r>
    </w:p>
    <w:p>
      <w:pPr>
        <w:ind w:firstLine="420" w:firstLineChars="200"/>
        <w:rPr>
          <w:bCs/>
          <w:sz w:val="21"/>
          <w:szCs w:val="21"/>
          <w:highlight w:val="none"/>
        </w:rPr>
      </w:pPr>
      <w:r>
        <w:rPr>
          <w:rFonts w:hint="eastAsia"/>
          <w:bCs/>
          <w:sz w:val="21"/>
          <w:szCs w:val="21"/>
          <w:highlight w:val="none"/>
        </w:rPr>
        <w:t>考试时间管理：设置各考点下对应专业的考试信息包括设置考试时间，限报人数、报名费、准考证须知、报考的相关特殊要求，如：性别限制、具体考试时间段等信息；</w:t>
      </w:r>
    </w:p>
    <w:p>
      <w:pPr>
        <w:ind w:firstLine="420" w:firstLineChars="200"/>
        <w:rPr>
          <w:bCs/>
          <w:sz w:val="21"/>
          <w:szCs w:val="21"/>
          <w:highlight w:val="none"/>
        </w:rPr>
      </w:pPr>
      <w:r>
        <w:rPr>
          <w:rFonts w:hint="eastAsia"/>
          <w:bCs/>
          <w:sz w:val="21"/>
          <w:szCs w:val="21"/>
          <w:highlight w:val="none"/>
        </w:rPr>
        <w:t>报考须知配置：在报考的时候弹出提示对话框，告知考生本次考试的相关特殊信息，报考须知可以根据需要设置在考点上，也可以设置在专业上。</w:t>
      </w:r>
    </w:p>
    <w:p>
      <w:pPr>
        <w:ind w:firstLine="420" w:firstLineChars="200"/>
        <w:rPr>
          <w:bCs/>
          <w:sz w:val="21"/>
          <w:szCs w:val="21"/>
          <w:highlight w:val="none"/>
        </w:rPr>
      </w:pPr>
      <w:r>
        <w:rPr>
          <w:rFonts w:hint="eastAsia"/>
          <w:bCs/>
          <w:sz w:val="21"/>
          <w:szCs w:val="21"/>
          <w:highlight w:val="none"/>
        </w:rPr>
        <w:t>3）报名规则设置</w:t>
      </w:r>
    </w:p>
    <w:p>
      <w:pPr>
        <w:ind w:firstLine="420" w:firstLineChars="200"/>
        <w:rPr>
          <w:bCs/>
          <w:sz w:val="21"/>
          <w:szCs w:val="21"/>
          <w:highlight w:val="none"/>
        </w:rPr>
      </w:pPr>
      <w:r>
        <w:rPr>
          <w:rFonts w:hint="eastAsia"/>
          <w:bCs/>
          <w:sz w:val="21"/>
          <w:szCs w:val="21"/>
          <w:highlight w:val="none"/>
        </w:rPr>
        <w:t>报考省份限制：在报考的时候对考生的高考省份进行限制，只有指定的省份才能报考或指定的省份不允许进行报考，省份限制可以根据考点设置，也可以根据专业考试日程设置；</w:t>
      </w:r>
    </w:p>
    <w:p>
      <w:pPr>
        <w:ind w:firstLine="420" w:firstLineChars="200"/>
        <w:rPr>
          <w:bCs/>
          <w:sz w:val="21"/>
          <w:szCs w:val="21"/>
          <w:highlight w:val="none"/>
        </w:rPr>
      </w:pPr>
      <w:r>
        <w:rPr>
          <w:rFonts w:hint="eastAsia"/>
          <w:bCs/>
          <w:sz w:val="21"/>
          <w:szCs w:val="21"/>
          <w:highlight w:val="none"/>
        </w:rPr>
        <w:t>报名专业规则：设置报考专业是否允许兼报，是否允许跨考点报考，是否允许相同日期的两个专业报考；</w:t>
      </w:r>
    </w:p>
    <w:p>
      <w:pPr>
        <w:ind w:firstLine="420" w:firstLineChars="200"/>
        <w:rPr>
          <w:bCs/>
          <w:sz w:val="21"/>
          <w:szCs w:val="21"/>
          <w:highlight w:val="none"/>
        </w:rPr>
      </w:pPr>
      <w:r>
        <w:rPr>
          <w:rFonts w:hint="eastAsia"/>
          <w:bCs/>
          <w:sz w:val="21"/>
          <w:szCs w:val="21"/>
          <w:highlight w:val="none"/>
        </w:rPr>
        <w:t>考点容量设置：考点每天可能有不同个数的专业考试，考点容量可以控制每个考点每天的最大报考人数，一旦超过考点容量的人数，则不允许进行报考；</w:t>
      </w:r>
    </w:p>
    <w:p>
      <w:pPr>
        <w:ind w:firstLine="420" w:firstLineChars="200"/>
        <w:rPr>
          <w:bCs/>
          <w:sz w:val="21"/>
          <w:szCs w:val="21"/>
          <w:highlight w:val="none"/>
        </w:rPr>
      </w:pPr>
      <w:r>
        <w:rPr>
          <w:rFonts w:hint="eastAsia"/>
          <w:bCs/>
          <w:sz w:val="21"/>
          <w:szCs w:val="21"/>
          <w:highlight w:val="none"/>
        </w:rPr>
        <w:t>文理科报考设置：根据考试专业设置各个省份的文理科报考限制；</w:t>
      </w:r>
    </w:p>
    <w:p>
      <w:pPr>
        <w:ind w:firstLine="420" w:firstLineChars="200"/>
        <w:rPr>
          <w:bCs/>
          <w:sz w:val="21"/>
          <w:szCs w:val="21"/>
          <w:highlight w:val="none"/>
        </w:rPr>
      </w:pPr>
      <w:r>
        <w:rPr>
          <w:rFonts w:hint="eastAsia"/>
          <w:bCs/>
          <w:sz w:val="21"/>
          <w:szCs w:val="21"/>
          <w:highlight w:val="none"/>
        </w:rPr>
        <w:t>报考资格库：可根据考试、考点和专业设置报考资格库，如果设置了资格库，则在进行报考的时候需要判断考生的身份证是否在资格库中，只有资格库中的考生才能进行报考。</w:t>
      </w:r>
    </w:p>
    <w:p>
      <w:pPr>
        <w:ind w:firstLine="420" w:firstLineChars="200"/>
        <w:rPr>
          <w:bCs/>
          <w:sz w:val="21"/>
          <w:szCs w:val="21"/>
          <w:highlight w:val="none"/>
        </w:rPr>
      </w:pPr>
      <w:r>
        <w:rPr>
          <w:rFonts w:hint="eastAsia"/>
          <w:bCs/>
          <w:sz w:val="21"/>
          <w:szCs w:val="21"/>
          <w:highlight w:val="none"/>
        </w:rPr>
        <w:t>4）准考证管理</w:t>
      </w:r>
    </w:p>
    <w:p>
      <w:pPr>
        <w:ind w:firstLine="420" w:firstLineChars="200"/>
        <w:rPr>
          <w:bCs/>
          <w:sz w:val="21"/>
          <w:szCs w:val="21"/>
          <w:highlight w:val="none"/>
        </w:rPr>
      </w:pPr>
      <w:r>
        <w:rPr>
          <w:rFonts w:hint="eastAsia"/>
          <w:bCs/>
          <w:sz w:val="21"/>
          <w:szCs w:val="21"/>
          <w:highlight w:val="none"/>
        </w:rPr>
        <w:t>准考证设置：设置准考证的组成规则，包括前缀、长度、编号起始号等，设置完成后，就可以生成指定的待分配的准考证号码，也可以</w:t>
      </w:r>
      <w:r>
        <w:rPr>
          <w:rStyle w:val="46"/>
          <w:rFonts w:hint="default"/>
          <w:color w:val="auto"/>
          <w:sz w:val="21"/>
          <w:szCs w:val="21"/>
          <w:highlight w:val="none"/>
          <w:lang w:bidi="ar"/>
        </w:rPr>
        <w:t>统一规则批量生成所有考点专业的准考证规则；</w:t>
      </w:r>
      <w:r>
        <w:rPr>
          <w:rFonts w:hint="eastAsia"/>
          <w:bCs/>
          <w:sz w:val="21"/>
          <w:szCs w:val="21"/>
          <w:highlight w:val="none"/>
        </w:rPr>
        <w:t>生成完成以后由后台管理人员可以将准考证号码随机分配给考生，或者由考生单个随机获取，</w:t>
      </w:r>
      <w:r>
        <w:rPr>
          <w:rStyle w:val="46"/>
          <w:rFonts w:hint="default"/>
          <w:color w:val="auto"/>
          <w:sz w:val="21"/>
          <w:szCs w:val="21"/>
          <w:highlight w:val="none"/>
          <w:lang w:bidi="ar"/>
        </w:rPr>
        <w:t>支持多段式随机取号</w:t>
      </w:r>
      <w:r>
        <w:rPr>
          <w:rFonts w:hint="eastAsia"/>
          <w:bCs/>
          <w:sz w:val="21"/>
          <w:szCs w:val="21"/>
          <w:highlight w:val="none"/>
        </w:rPr>
        <w:t>；</w:t>
      </w:r>
    </w:p>
    <w:p>
      <w:pPr>
        <w:ind w:firstLine="420" w:firstLineChars="200"/>
        <w:rPr>
          <w:bCs/>
          <w:sz w:val="21"/>
          <w:szCs w:val="21"/>
          <w:highlight w:val="none"/>
        </w:rPr>
      </w:pPr>
      <w:r>
        <w:rPr>
          <w:rFonts w:hint="eastAsia"/>
          <w:bCs/>
          <w:sz w:val="21"/>
          <w:szCs w:val="21"/>
          <w:highlight w:val="none"/>
        </w:rPr>
        <w:t>准考证打印设置：按专业和考点设置准考证的抬头、考生须知、考试科目时间等信息，其中考生须知可以根据需要针对不同的专业进行不同内容的设置，也可以根据考点给每个专业设置相同的须知内容；</w:t>
      </w:r>
    </w:p>
    <w:p>
      <w:pPr>
        <w:ind w:firstLine="420" w:firstLineChars="200"/>
        <w:rPr>
          <w:bCs/>
          <w:sz w:val="21"/>
          <w:szCs w:val="21"/>
          <w:highlight w:val="none"/>
        </w:rPr>
      </w:pPr>
      <w:r>
        <w:rPr>
          <w:rFonts w:hint="eastAsia"/>
          <w:bCs/>
          <w:sz w:val="21"/>
          <w:szCs w:val="21"/>
          <w:highlight w:val="none"/>
        </w:rPr>
        <w:t>准考证预览：按专业和考点预览生成的准考证信息，校验准考证设置是否正确。</w:t>
      </w:r>
    </w:p>
    <w:p>
      <w:pPr>
        <w:ind w:firstLine="420" w:firstLineChars="200"/>
        <w:rPr>
          <w:bCs/>
          <w:sz w:val="21"/>
          <w:szCs w:val="21"/>
          <w:highlight w:val="none"/>
        </w:rPr>
      </w:pPr>
      <w:r>
        <w:rPr>
          <w:rFonts w:hint="eastAsia"/>
          <w:bCs/>
          <w:sz w:val="21"/>
          <w:szCs w:val="21"/>
          <w:highlight w:val="none"/>
        </w:rPr>
        <w:t>5）考务管理</w:t>
      </w:r>
    </w:p>
    <w:p>
      <w:pPr>
        <w:ind w:firstLine="420" w:firstLineChars="200"/>
        <w:rPr>
          <w:bCs/>
          <w:sz w:val="21"/>
          <w:szCs w:val="21"/>
          <w:highlight w:val="none"/>
        </w:rPr>
      </w:pPr>
      <w:r>
        <w:rPr>
          <w:rFonts w:hint="eastAsia"/>
          <w:bCs/>
          <w:sz w:val="21"/>
          <w:szCs w:val="21"/>
          <w:highlight w:val="none"/>
        </w:rPr>
        <w:t>考场管理：新增或导入可用的考场信息；</w:t>
      </w:r>
    </w:p>
    <w:p>
      <w:pPr>
        <w:ind w:firstLine="420" w:firstLineChars="200"/>
        <w:rPr>
          <w:bCs/>
          <w:sz w:val="21"/>
          <w:szCs w:val="21"/>
          <w:highlight w:val="none"/>
        </w:rPr>
      </w:pPr>
      <w:r>
        <w:rPr>
          <w:rFonts w:hint="eastAsia"/>
          <w:bCs/>
          <w:sz w:val="21"/>
          <w:szCs w:val="21"/>
          <w:highlight w:val="none"/>
        </w:rPr>
        <w:t>考场编排：将准考证号码分配到各个考场教室，分配完成以后需要进行发布，发布以后考生打印的准考证上可显示对应的考场信息，同时需提供打印考场安排表、打印门贴、打印签到单、打印考试题标、打印考场记录等功能；</w:t>
      </w:r>
    </w:p>
    <w:p>
      <w:pPr>
        <w:ind w:firstLine="420" w:firstLineChars="200"/>
        <w:rPr>
          <w:bCs/>
          <w:sz w:val="21"/>
          <w:szCs w:val="21"/>
          <w:highlight w:val="none"/>
        </w:rPr>
      </w:pPr>
      <w:r>
        <w:rPr>
          <w:rFonts w:hint="eastAsia"/>
          <w:bCs/>
          <w:sz w:val="21"/>
          <w:szCs w:val="21"/>
          <w:highlight w:val="none"/>
        </w:rPr>
        <w:t>打印考场核对单：按专业打印各个考场的考生信息，应包含以下信息：考场编号、考场地址、专业名称、考试日期、考生照片、身份证号、准考证号、姓名、性别、考生签名栏，可根据考场容量设置按每页15人或者20人进行打印，也可以按考试科目分开打印，方便考务人员进行核对。</w:t>
      </w:r>
    </w:p>
    <w:p>
      <w:pPr>
        <w:ind w:firstLine="420" w:firstLineChars="200"/>
        <w:rPr>
          <w:bCs/>
          <w:sz w:val="21"/>
          <w:szCs w:val="21"/>
          <w:highlight w:val="none"/>
        </w:rPr>
      </w:pPr>
      <w:r>
        <w:rPr>
          <w:rFonts w:hint="eastAsia"/>
          <w:bCs/>
          <w:sz w:val="21"/>
          <w:szCs w:val="21"/>
          <w:highlight w:val="none"/>
        </w:rPr>
        <w:t>6）考生管理</w:t>
      </w:r>
    </w:p>
    <w:p>
      <w:pPr>
        <w:ind w:firstLine="420" w:firstLineChars="200"/>
        <w:rPr>
          <w:bCs/>
          <w:sz w:val="21"/>
          <w:szCs w:val="21"/>
          <w:highlight w:val="none"/>
        </w:rPr>
      </w:pPr>
      <w:r>
        <w:rPr>
          <w:rFonts w:hint="eastAsia"/>
          <w:bCs/>
          <w:sz w:val="21"/>
          <w:szCs w:val="21"/>
          <w:highlight w:val="none"/>
        </w:rPr>
        <w:t>考生查询：根据考生证件号码、姓名查询某个考生的详细信息，在查询过程中对考生的手机号码等敏感信息进行加密隐藏，在点击查询单个考生的详细信息时才显示；</w:t>
      </w:r>
    </w:p>
    <w:p>
      <w:pPr>
        <w:ind w:firstLine="420" w:firstLineChars="200"/>
        <w:rPr>
          <w:bCs/>
          <w:sz w:val="21"/>
          <w:szCs w:val="21"/>
          <w:highlight w:val="none"/>
        </w:rPr>
      </w:pPr>
      <w:r>
        <w:rPr>
          <w:rFonts w:hint="eastAsia"/>
          <w:bCs/>
          <w:sz w:val="21"/>
          <w:szCs w:val="21"/>
          <w:highlight w:val="none"/>
        </w:rPr>
        <w:t>报考专业查询：提供考生报考信息查询及导出功能；</w:t>
      </w:r>
    </w:p>
    <w:p>
      <w:pPr>
        <w:ind w:firstLine="420" w:firstLineChars="200"/>
        <w:rPr>
          <w:bCs/>
          <w:sz w:val="21"/>
          <w:szCs w:val="21"/>
          <w:highlight w:val="none"/>
        </w:rPr>
      </w:pPr>
      <w:r>
        <w:rPr>
          <w:rFonts w:hint="eastAsia"/>
          <w:bCs/>
          <w:sz w:val="21"/>
          <w:szCs w:val="21"/>
          <w:highlight w:val="none"/>
        </w:rPr>
        <w:t>考生专业作废申请审核，可以单个审核，也可以批量审核，可以针对性给出审核意见。</w:t>
      </w:r>
    </w:p>
    <w:p>
      <w:pPr>
        <w:ind w:firstLine="420" w:firstLineChars="200"/>
        <w:rPr>
          <w:bCs/>
          <w:sz w:val="21"/>
          <w:szCs w:val="21"/>
          <w:highlight w:val="none"/>
        </w:rPr>
      </w:pPr>
      <w:r>
        <w:rPr>
          <w:rFonts w:hint="eastAsia"/>
          <w:bCs/>
          <w:sz w:val="21"/>
          <w:szCs w:val="21"/>
          <w:highlight w:val="none"/>
        </w:rPr>
        <w:t>7）考后管理</w:t>
      </w:r>
    </w:p>
    <w:p>
      <w:pPr>
        <w:ind w:firstLine="420" w:firstLineChars="200"/>
        <w:rPr>
          <w:bCs/>
          <w:sz w:val="21"/>
          <w:szCs w:val="21"/>
          <w:highlight w:val="none"/>
        </w:rPr>
      </w:pPr>
      <w:r>
        <w:rPr>
          <w:rFonts w:hint="eastAsia"/>
          <w:bCs/>
          <w:sz w:val="21"/>
          <w:szCs w:val="21"/>
          <w:highlight w:val="none"/>
        </w:rPr>
        <w:t>考后控制管理：设置成绩查询起止时间、考生申请成绩复查起止时间、合格证打印起止时间、志愿填报起止时间及录取查询起止时间，同时可设置成绩查询说明、成绩单和合格证的打印须知、志愿填报须知等内容；</w:t>
      </w:r>
    </w:p>
    <w:p>
      <w:pPr>
        <w:ind w:firstLine="420" w:firstLineChars="200"/>
        <w:rPr>
          <w:bCs/>
          <w:sz w:val="21"/>
          <w:szCs w:val="21"/>
          <w:highlight w:val="none"/>
        </w:rPr>
      </w:pPr>
      <w:r>
        <w:rPr>
          <w:rFonts w:hint="eastAsia"/>
          <w:bCs/>
          <w:sz w:val="21"/>
          <w:szCs w:val="21"/>
          <w:highlight w:val="none"/>
        </w:rPr>
        <w:t>成绩导入：按照指定的格式，将考生的成绩批量导入到系统中，考生在报名网站上可以查询自己的成绩；</w:t>
      </w:r>
    </w:p>
    <w:p>
      <w:pPr>
        <w:ind w:firstLine="420" w:firstLineChars="200"/>
        <w:rPr>
          <w:bCs/>
          <w:sz w:val="21"/>
          <w:szCs w:val="21"/>
          <w:highlight w:val="none"/>
        </w:rPr>
      </w:pPr>
      <w:r>
        <w:rPr>
          <w:rFonts w:hint="eastAsia"/>
          <w:bCs/>
          <w:sz w:val="21"/>
          <w:szCs w:val="21"/>
          <w:highlight w:val="none"/>
        </w:rPr>
        <w:t>申请复核管理：提供考生对成绩的复核申请，同时支持批量导出考生的复核申请内容。</w:t>
      </w:r>
    </w:p>
    <w:p>
      <w:pPr>
        <w:ind w:firstLine="420" w:firstLineChars="200"/>
        <w:rPr>
          <w:bCs/>
          <w:sz w:val="21"/>
          <w:szCs w:val="21"/>
          <w:highlight w:val="none"/>
        </w:rPr>
      </w:pPr>
      <w:r>
        <w:rPr>
          <w:rFonts w:hint="eastAsia"/>
          <w:bCs/>
          <w:sz w:val="21"/>
          <w:szCs w:val="21"/>
          <w:highlight w:val="none"/>
        </w:rPr>
        <w:t>8）报名监控中心</w:t>
      </w:r>
    </w:p>
    <w:p>
      <w:pPr>
        <w:ind w:firstLine="420" w:firstLineChars="200"/>
        <w:rPr>
          <w:bCs/>
          <w:sz w:val="21"/>
          <w:szCs w:val="21"/>
          <w:highlight w:val="none"/>
        </w:rPr>
      </w:pPr>
      <w:r>
        <w:rPr>
          <w:rFonts w:hint="eastAsia"/>
          <w:bCs/>
          <w:sz w:val="21"/>
          <w:szCs w:val="21"/>
          <w:highlight w:val="none"/>
        </w:rPr>
        <w:t>查询各考点各专业的报名人数、确认人数；</w:t>
      </w:r>
    </w:p>
    <w:p>
      <w:pPr>
        <w:ind w:firstLine="420" w:firstLineChars="200"/>
        <w:rPr>
          <w:bCs/>
          <w:sz w:val="21"/>
          <w:szCs w:val="21"/>
          <w:highlight w:val="none"/>
        </w:rPr>
      </w:pPr>
      <w:r>
        <w:rPr>
          <w:rFonts w:hint="eastAsia"/>
          <w:bCs/>
          <w:sz w:val="21"/>
          <w:szCs w:val="21"/>
          <w:highlight w:val="none"/>
        </w:rPr>
        <w:t>按考试或专业统计报名流量变化情况；</w:t>
      </w:r>
    </w:p>
    <w:p>
      <w:pPr>
        <w:ind w:firstLine="420" w:firstLineChars="200"/>
        <w:rPr>
          <w:rFonts w:hint="eastAsia"/>
          <w:bCs/>
          <w:sz w:val="21"/>
          <w:szCs w:val="21"/>
          <w:highlight w:val="none"/>
        </w:rPr>
      </w:pPr>
      <w:r>
        <w:rPr>
          <w:rFonts w:hint="eastAsia"/>
          <w:bCs/>
          <w:sz w:val="21"/>
          <w:szCs w:val="21"/>
          <w:highlight w:val="none"/>
        </w:rPr>
        <w:t>按考点、专业、志愿、日期统计报名人数、确认人数。</w:t>
      </w:r>
    </w:p>
    <w:p>
      <w:pPr>
        <w:pStyle w:val="2"/>
        <w:ind w:firstLine="420" w:firstLineChars="200"/>
        <w:rPr>
          <w:highlight w:val="none"/>
        </w:rPr>
      </w:pPr>
      <w:r>
        <w:rPr>
          <w:rStyle w:val="46"/>
          <w:rFonts w:hint="default"/>
          <w:color w:val="auto"/>
          <w:sz w:val="21"/>
          <w:szCs w:val="21"/>
          <w:highlight w:val="none"/>
          <w:lang w:bidi="ar"/>
        </w:rPr>
        <w:t>提供院校管理人员在安卓和IOS移动端应用上查询统计招生报名情况；</w:t>
      </w:r>
    </w:p>
    <w:p>
      <w:pPr>
        <w:pStyle w:val="2"/>
        <w:ind w:firstLine="420"/>
        <w:rPr>
          <w:highlight w:val="none"/>
        </w:rPr>
      </w:pPr>
      <w:r>
        <w:rPr>
          <w:rFonts w:hint="eastAsia"/>
          <w:bCs/>
          <w:sz w:val="21"/>
          <w:szCs w:val="21"/>
          <w:highlight w:val="none"/>
        </w:rPr>
        <w:t>10）提供资料审核功能</w:t>
      </w:r>
    </w:p>
    <w:p>
      <w:pPr>
        <w:pStyle w:val="2"/>
        <w:ind w:firstLine="420"/>
        <w:rPr>
          <w:rStyle w:val="46"/>
          <w:rFonts w:hint="default"/>
          <w:color w:val="auto"/>
          <w:sz w:val="21"/>
          <w:szCs w:val="21"/>
          <w:highlight w:val="none"/>
          <w:lang w:bidi="ar"/>
        </w:rPr>
      </w:pPr>
      <w:r>
        <w:rPr>
          <w:rStyle w:val="46"/>
          <w:rFonts w:hint="default"/>
          <w:color w:val="auto"/>
          <w:sz w:val="21"/>
          <w:szCs w:val="21"/>
          <w:highlight w:val="none"/>
          <w:lang w:bidi="ar"/>
        </w:rPr>
        <w:t>考生报名之后提供考生肖像、身份证、联考证(报考证)、视频拍摄及上传审核功能；</w:t>
      </w:r>
    </w:p>
    <w:p>
      <w:pPr>
        <w:pStyle w:val="2"/>
        <w:ind w:firstLine="420"/>
        <w:rPr>
          <w:highlight w:val="none"/>
        </w:rPr>
      </w:pPr>
      <w:r>
        <w:rPr>
          <w:rStyle w:val="46"/>
          <w:rFonts w:hint="default"/>
          <w:color w:val="auto"/>
          <w:sz w:val="21"/>
          <w:szCs w:val="21"/>
          <w:highlight w:val="none"/>
          <w:lang w:bidi="ar"/>
        </w:rPr>
        <w:t>提供A、B角色操作员对考生上传信息进行审核，如果A、B角色操作员同时审核通过则该考生信息审核通过，如果A、B角色操作员同时审核不通过则该考生信息审核不通过，需要重新上传信息，如果仅有一个角色审核不通过，则转交复审操作员审核；</w:t>
      </w:r>
    </w:p>
    <w:p>
      <w:pPr>
        <w:pStyle w:val="2"/>
        <w:rPr>
          <w:highlight w:val="none"/>
        </w:rPr>
      </w:pPr>
    </w:p>
    <w:p>
      <w:pPr>
        <w:adjustRightInd w:val="0"/>
        <w:snapToGrid w:val="0"/>
        <w:ind w:firstLine="420" w:firstLineChars="200"/>
        <w:rPr>
          <w:sz w:val="21"/>
          <w:szCs w:val="21"/>
          <w:highlight w:val="none"/>
        </w:rPr>
      </w:pPr>
      <w:r>
        <w:rPr>
          <w:rFonts w:hint="eastAsia"/>
          <w:sz w:val="21"/>
          <w:szCs w:val="21"/>
          <w:highlight w:val="none"/>
        </w:rPr>
        <w:t>（四）考生功能</w:t>
      </w:r>
    </w:p>
    <w:p>
      <w:pPr>
        <w:ind w:firstLine="420" w:firstLineChars="200"/>
        <w:rPr>
          <w:bCs/>
          <w:sz w:val="21"/>
          <w:szCs w:val="21"/>
          <w:highlight w:val="none"/>
        </w:rPr>
      </w:pPr>
      <w:r>
        <w:rPr>
          <w:rFonts w:hint="eastAsia"/>
          <w:bCs/>
          <w:sz w:val="21"/>
          <w:szCs w:val="21"/>
          <w:highlight w:val="none"/>
        </w:rPr>
        <w:t>1）考生报考</w:t>
      </w:r>
    </w:p>
    <w:p>
      <w:pPr>
        <w:ind w:firstLine="420" w:firstLineChars="200"/>
        <w:rPr>
          <w:bCs/>
          <w:sz w:val="21"/>
          <w:szCs w:val="21"/>
          <w:highlight w:val="none"/>
        </w:rPr>
      </w:pPr>
      <w:r>
        <w:rPr>
          <w:rFonts w:hint="eastAsia"/>
          <w:bCs/>
          <w:sz w:val="21"/>
          <w:szCs w:val="21"/>
          <w:highlight w:val="none"/>
        </w:rPr>
        <w:t>考生注册/登录：考生注册需要输入身份证号码或手机号码、系统密码和安全问题，确认无误后完成注册，可用身份证号码或手机号码和密码登录系统，如果考生忘记密码，可以采用通过手机短信验证码或者密码安全问题重新设置登录密码；</w:t>
      </w:r>
      <w:r>
        <w:rPr>
          <w:rStyle w:val="46"/>
          <w:rFonts w:hint="default"/>
          <w:color w:val="auto"/>
          <w:sz w:val="21"/>
          <w:szCs w:val="21"/>
          <w:highlight w:val="none"/>
          <w:lang w:bidi="ar"/>
        </w:rPr>
        <w:t>用户连续多次登陆密码错误账号会被锁定，需要解锁才能登录；</w:t>
      </w:r>
    </w:p>
    <w:p>
      <w:pPr>
        <w:ind w:firstLine="420" w:firstLineChars="200"/>
        <w:rPr>
          <w:bCs/>
          <w:sz w:val="21"/>
          <w:szCs w:val="21"/>
          <w:highlight w:val="none"/>
        </w:rPr>
      </w:pPr>
      <w:r>
        <w:rPr>
          <w:rFonts w:hint="eastAsia"/>
          <w:bCs/>
          <w:sz w:val="21"/>
          <w:szCs w:val="21"/>
          <w:highlight w:val="none"/>
        </w:rPr>
        <w:t>2）考生绑定：对于用手机号码注册登录的考生，在第一次登录系统维护信息时需要绑定考生身份证信息，身份证号绑定后将不可更改；</w:t>
      </w:r>
    </w:p>
    <w:p>
      <w:pPr>
        <w:ind w:firstLine="420" w:firstLineChars="200"/>
        <w:rPr>
          <w:bCs/>
          <w:sz w:val="21"/>
          <w:szCs w:val="21"/>
          <w:highlight w:val="none"/>
        </w:rPr>
      </w:pPr>
      <w:r>
        <w:rPr>
          <w:rFonts w:hint="eastAsia"/>
          <w:bCs/>
          <w:sz w:val="21"/>
          <w:szCs w:val="21"/>
          <w:highlight w:val="none"/>
        </w:rPr>
        <w:t>3）完善信息：考生在第一次登录后需要填写基本信息，包括姓名、性别、民族、出生年月、通讯地址、手机号码、考生类型、学历、高考省份、文理科、政治面貌、家庭信息等；</w:t>
      </w:r>
    </w:p>
    <w:p>
      <w:pPr>
        <w:ind w:firstLine="420" w:firstLineChars="200"/>
        <w:rPr>
          <w:bCs/>
          <w:sz w:val="21"/>
          <w:szCs w:val="21"/>
          <w:highlight w:val="none"/>
        </w:rPr>
      </w:pPr>
      <w:r>
        <w:rPr>
          <w:rFonts w:hint="eastAsia"/>
          <w:bCs/>
          <w:sz w:val="21"/>
          <w:szCs w:val="21"/>
          <w:highlight w:val="none"/>
        </w:rPr>
        <w:t>4）考生报考：</w:t>
      </w:r>
      <w:r>
        <w:rPr>
          <w:rStyle w:val="46"/>
          <w:rFonts w:hint="default"/>
          <w:color w:val="auto"/>
          <w:sz w:val="21"/>
          <w:szCs w:val="21"/>
          <w:highlight w:val="none"/>
          <w:lang w:bidi="ar"/>
        </w:rPr>
        <w:t>考生在安卓和IOS移动端应用上进行报名</w:t>
      </w:r>
      <w:r>
        <w:rPr>
          <w:rFonts w:hint="eastAsia"/>
          <w:bCs/>
          <w:sz w:val="21"/>
          <w:szCs w:val="21"/>
          <w:highlight w:val="none"/>
        </w:rPr>
        <w:t>，考生可以选择报考的院校、考试、考点和考试专业进行报考，考生报考时候需要校验考生的报考资格，如是否在报考资格库、是否满足报考省份的要求、与已报专业是否有报名时间及考点的冲突等等，符合相关报考要求的才允许提交；</w:t>
      </w:r>
    </w:p>
    <w:p>
      <w:pPr>
        <w:ind w:firstLine="420" w:firstLineChars="200"/>
        <w:rPr>
          <w:bCs/>
          <w:sz w:val="21"/>
          <w:szCs w:val="21"/>
          <w:highlight w:val="none"/>
        </w:rPr>
      </w:pPr>
      <w:r>
        <w:rPr>
          <w:rFonts w:hint="eastAsia"/>
          <w:bCs/>
          <w:sz w:val="21"/>
          <w:szCs w:val="21"/>
          <w:highlight w:val="none"/>
        </w:rPr>
        <w:t>5）考生交费：</w:t>
      </w:r>
      <w:r>
        <w:rPr>
          <w:rStyle w:val="46"/>
          <w:rFonts w:hint="default"/>
          <w:color w:val="auto"/>
          <w:sz w:val="21"/>
          <w:szCs w:val="21"/>
          <w:highlight w:val="none"/>
          <w:lang w:bidi="ar"/>
        </w:rPr>
        <w:t>考生在安卓和IOS移动端应用上进行交费，</w:t>
      </w:r>
      <w:r>
        <w:rPr>
          <w:rFonts w:hint="eastAsia"/>
          <w:bCs/>
          <w:sz w:val="21"/>
          <w:szCs w:val="21"/>
          <w:highlight w:val="none"/>
        </w:rPr>
        <w:t>考生报考专业提交成功后考生需要在30分钟内完成支付，超时后系统将关闭本次报名，如超时关闭，考生须重新选择考点与专业报名，直到交费成功之后此次报名才算成功，报名费用根据招生院校不同而设置，支持通过支付宝或微信进行缴费，面试类专业初试通过的考生可以在线支付复试费用；</w:t>
      </w:r>
    </w:p>
    <w:p>
      <w:pPr>
        <w:ind w:firstLine="420" w:firstLineChars="200"/>
        <w:rPr>
          <w:bCs/>
          <w:sz w:val="21"/>
          <w:szCs w:val="21"/>
          <w:highlight w:val="none"/>
        </w:rPr>
      </w:pPr>
      <w:r>
        <w:rPr>
          <w:rFonts w:hint="eastAsia"/>
          <w:bCs/>
          <w:sz w:val="21"/>
          <w:szCs w:val="21"/>
          <w:highlight w:val="none"/>
        </w:rPr>
        <w:t>6）确认环节：考生可以选择在线确认或者现场确认两种方式，在线确认考生须上传确认材料，并审核通过，部分专业考生需要在确认环节选择考试时间，考生现场确认时客户端程序可以刷身份证进行报名信息调取，并现场拍摄考生照片，给考生打印准考证；</w:t>
      </w:r>
    </w:p>
    <w:p>
      <w:pPr>
        <w:ind w:firstLine="420" w:firstLineChars="200"/>
        <w:rPr>
          <w:bCs/>
          <w:sz w:val="21"/>
          <w:szCs w:val="21"/>
          <w:highlight w:val="none"/>
        </w:rPr>
      </w:pPr>
      <w:r>
        <w:rPr>
          <w:rFonts w:hint="eastAsia"/>
          <w:bCs/>
          <w:sz w:val="21"/>
          <w:szCs w:val="21"/>
          <w:highlight w:val="none"/>
        </w:rPr>
        <w:t>7）准考证打印：考生在准考证打印起止时间内可登录系统打印准考证；</w:t>
      </w:r>
    </w:p>
    <w:p>
      <w:pPr>
        <w:ind w:firstLine="420" w:firstLineChars="200"/>
        <w:rPr>
          <w:bCs/>
          <w:sz w:val="21"/>
          <w:szCs w:val="21"/>
          <w:highlight w:val="none"/>
        </w:rPr>
      </w:pPr>
      <w:r>
        <w:rPr>
          <w:rFonts w:hint="eastAsia"/>
          <w:bCs/>
          <w:sz w:val="21"/>
          <w:szCs w:val="21"/>
          <w:highlight w:val="none"/>
        </w:rPr>
        <w:t>8）专业成绩/结论：考生在成绩查询起止时间内可登录系统查询考试成绩，如果考生对考试成绩有异议，可在规定时间申请成绩复核。</w:t>
      </w:r>
    </w:p>
    <w:p>
      <w:pPr>
        <w:ind w:firstLine="420" w:firstLineChars="200"/>
        <w:rPr>
          <w:bCs/>
          <w:sz w:val="21"/>
          <w:szCs w:val="21"/>
          <w:highlight w:val="none"/>
        </w:rPr>
      </w:pPr>
      <w:r>
        <w:rPr>
          <w:rFonts w:hint="eastAsia"/>
          <w:bCs/>
          <w:sz w:val="21"/>
          <w:szCs w:val="21"/>
          <w:highlight w:val="none"/>
        </w:rPr>
        <w:t>9）填报志愿：专业考试合格的考生在志愿填报起止时间可登录系统填报或者修改专业志愿；</w:t>
      </w:r>
    </w:p>
    <w:p>
      <w:pPr>
        <w:ind w:firstLine="420" w:firstLineChars="200"/>
        <w:rPr>
          <w:bCs/>
          <w:sz w:val="21"/>
          <w:szCs w:val="21"/>
          <w:highlight w:val="none"/>
        </w:rPr>
      </w:pPr>
      <w:r>
        <w:rPr>
          <w:rFonts w:hint="eastAsia"/>
          <w:bCs/>
          <w:sz w:val="21"/>
          <w:szCs w:val="21"/>
          <w:highlight w:val="none"/>
        </w:rPr>
        <w:t>10）录取查询：考生在录取查询起止时间可登录系统查询录取情况；</w:t>
      </w:r>
    </w:p>
    <w:p>
      <w:pPr>
        <w:ind w:firstLine="420" w:firstLineChars="200"/>
        <w:rPr>
          <w:bCs/>
          <w:sz w:val="21"/>
          <w:szCs w:val="21"/>
          <w:highlight w:val="none"/>
        </w:rPr>
      </w:pPr>
      <w:r>
        <w:rPr>
          <w:rFonts w:hint="eastAsia"/>
          <w:bCs/>
          <w:sz w:val="21"/>
          <w:szCs w:val="21"/>
          <w:highlight w:val="none"/>
        </w:rPr>
        <w:t>11）密码修改：考生修改登录系统的密码信息；</w:t>
      </w:r>
    </w:p>
    <w:p>
      <w:pPr>
        <w:ind w:firstLine="420" w:firstLineChars="200"/>
        <w:rPr>
          <w:bCs/>
          <w:sz w:val="21"/>
          <w:szCs w:val="21"/>
          <w:highlight w:val="none"/>
        </w:rPr>
      </w:pPr>
      <w:r>
        <w:rPr>
          <w:rFonts w:hint="eastAsia"/>
          <w:bCs/>
          <w:sz w:val="21"/>
          <w:szCs w:val="21"/>
          <w:highlight w:val="none"/>
        </w:rPr>
        <w:t>12）考生反馈：考生在报考过程中遇到的问题，可以通过该项目进行反馈，机器人根据关键字进行自动回复。</w:t>
      </w:r>
    </w:p>
    <w:p>
      <w:pPr>
        <w:ind w:firstLine="420" w:firstLineChars="200"/>
        <w:rPr>
          <w:bCs/>
          <w:sz w:val="21"/>
          <w:szCs w:val="21"/>
          <w:highlight w:val="none"/>
        </w:rPr>
      </w:pPr>
      <w:r>
        <w:rPr>
          <w:rFonts w:hint="eastAsia"/>
          <w:bCs/>
          <w:sz w:val="21"/>
          <w:szCs w:val="21"/>
          <w:highlight w:val="none"/>
        </w:rPr>
        <w:t>（2）业务流程</w:t>
      </w:r>
      <w:bookmarkEnd w:id="27"/>
    </w:p>
    <w:p>
      <w:pPr>
        <w:pStyle w:val="2"/>
        <w:rPr>
          <w:highlight w:val="none"/>
        </w:rPr>
      </w:pPr>
    </w:p>
    <w:p>
      <w:pPr>
        <w:pStyle w:val="3"/>
        <w:rPr>
          <w:highlight w:val="none"/>
        </w:rPr>
      </w:pPr>
    </w:p>
    <w:p>
      <w:pPr>
        <w:ind w:firstLine="420" w:firstLineChars="200"/>
        <w:jc w:val="center"/>
        <w:rPr>
          <w:bCs/>
          <w:sz w:val="21"/>
          <w:szCs w:val="21"/>
          <w:highlight w:val="none"/>
        </w:rPr>
      </w:pPr>
      <w:r>
        <w:rPr>
          <w:rFonts w:hint="eastAsia"/>
          <w:bCs/>
          <w:sz w:val="21"/>
          <w:szCs w:val="21"/>
          <w:highlight w:val="none"/>
        </w:rPr>
        <w:drawing>
          <wp:inline distT="0" distB="0" distL="114300" distR="114300">
            <wp:extent cx="5273675" cy="3841750"/>
            <wp:effectExtent l="0" t="0" r="14605" b="13970"/>
            <wp:docPr id="2" name="图片 2" descr="整体流程1030new"/>
            <wp:cNvGraphicFramePr/>
            <a:graphic xmlns:a="http://schemas.openxmlformats.org/drawingml/2006/main">
              <a:graphicData uri="http://schemas.openxmlformats.org/drawingml/2006/picture">
                <pic:pic xmlns:pic="http://schemas.openxmlformats.org/drawingml/2006/picture">
                  <pic:nvPicPr>
                    <pic:cNvPr id="2" name="图片 2" descr="整体流程1030new"/>
                    <pic:cNvPicPr/>
                  </pic:nvPicPr>
                  <pic:blipFill>
                    <a:blip r:embed="rId6"/>
                    <a:stretch>
                      <a:fillRect/>
                    </a:stretch>
                  </pic:blipFill>
                  <pic:spPr>
                    <a:xfrm>
                      <a:off x="0" y="0"/>
                      <a:ext cx="5273675" cy="3841750"/>
                    </a:xfrm>
                    <a:prstGeom prst="rect">
                      <a:avLst/>
                    </a:prstGeom>
                    <a:noFill/>
                    <a:ln>
                      <a:noFill/>
                    </a:ln>
                  </pic:spPr>
                </pic:pic>
              </a:graphicData>
            </a:graphic>
          </wp:inline>
        </w:drawing>
      </w:r>
    </w:p>
    <w:p>
      <w:pPr>
        <w:ind w:firstLine="422" w:firstLineChars="200"/>
        <w:jc w:val="center"/>
        <w:rPr>
          <w:b/>
          <w:sz w:val="21"/>
          <w:szCs w:val="21"/>
          <w:highlight w:val="none"/>
        </w:rPr>
      </w:pPr>
    </w:p>
    <w:p>
      <w:pPr>
        <w:ind w:firstLine="422" w:firstLineChars="200"/>
        <w:jc w:val="center"/>
        <w:rPr>
          <w:b/>
          <w:sz w:val="21"/>
          <w:szCs w:val="21"/>
          <w:highlight w:val="none"/>
        </w:rPr>
      </w:pPr>
      <w:r>
        <w:rPr>
          <w:rFonts w:hint="eastAsia"/>
          <w:b/>
          <w:sz w:val="21"/>
          <w:szCs w:val="21"/>
          <w:highlight w:val="none"/>
        </w:rPr>
        <w:t>业务流程图</w:t>
      </w:r>
    </w:p>
    <w:p>
      <w:pPr>
        <w:ind w:firstLine="422" w:firstLineChars="200"/>
        <w:rPr>
          <w:b/>
          <w:sz w:val="21"/>
          <w:szCs w:val="21"/>
          <w:highlight w:val="none"/>
        </w:rPr>
      </w:pPr>
      <w:r>
        <w:rPr>
          <w:rFonts w:hint="eastAsia"/>
          <w:b/>
          <w:sz w:val="21"/>
          <w:szCs w:val="21"/>
          <w:highlight w:val="none"/>
        </w:rPr>
        <w:t>5.服务功能要求</w:t>
      </w:r>
    </w:p>
    <w:p>
      <w:pPr>
        <w:ind w:firstLine="420" w:firstLineChars="200"/>
        <w:rPr>
          <w:bCs/>
          <w:sz w:val="21"/>
          <w:szCs w:val="21"/>
          <w:highlight w:val="none"/>
        </w:rPr>
      </w:pPr>
      <w:r>
        <w:rPr>
          <w:rFonts w:hint="eastAsia"/>
          <w:bCs/>
          <w:sz w:val="21"/>
          <w:szCs w:val="21"/>
          <w:highlight w:val="none"/>
        </w:rPr>
        <w:t>（1）系统实现用户、报名、订单、成绩各模块数据库分离，各业务数据库访问安全稳定；</w:t>
      </w:r>
    </w:p>
    <w:p>
      <w:pPr>
        <w:ind w:firstLine="420" w:firstLineChars="200"/>
        <w:rPr>
          <w:bCs/>
          <w:sz w:val="21"/>
          <w:szCs w:val="21"/>
          <w:highlight w:val="none"/>
        </w:rPr>
      </w:pPr>
      <w:r>
        <w:rPr>
          <w:rFonts w:hint="eastAsia"/>
          <w:bCs/>
          <w:sz w:val="21"/>
          <w:szCs w:val="21"/>
          <w:highlight w:val="none"/>
        </w:rPr>
        <w:t>（2）系统实现业务数据读写分离，使查询与写入操作互不影响数据库服务器性能，能合理利用缓存技术，有效降低数据库访问压力；</w:t>
      </w:r>
    </w:p>
    <w:p>
      <w:pPr>
        <w:ind w:firstLine="420" w:firstLineChars="200"/>
        <w:rPr>
          <w:bCs/>
          <w:sz w:val="21"/>
          <w:szCs w:val="21"/>
          <w:highlight w:val="none"/>
        </w:rPr>
      </w:pPr>
      <w:r>
        <w:rPr>
          <w:rFonts w:hint="eastAsia"/>
          <w:bCs/>
          <w:sz w:val="21"/>
          <w:szCs w:val="21"/>
          <w:highlight w:val="none"/>
        </w:rPr>
        <w:t>（3）系统能够将系统的多个应用分离部署，形成高可用的系统分布式集群，以保障业务运行的高可用性，系统信息化支撑服务满足采购人高并发量的性能需求，架构支持高并发（即支持每秒并发连接数30万），完成过50万每秒并发的全链路压测。</w:t>
      </w:r>
    </w:p>
    <w:p>
      <w:pPr>
        <w:ind w:firstLine="422" w:firstLineChars="200"/>
        <w:rPr>
          <w:b/>
          <w:sz w:val="21"/>
          <w:szCs w:val="21"/>
          <w:highlight w:val="none"/>
        </w:rPr>
      </w:pPr>
      <w:r>
        <w:rPr>
          <w:rFonts w:hint="eastAsia"/>
          <w:b/>
          <w:sz w:val="21"/>
          <w:szCs w:val="21"/>
          <w:highlight w:val="none"/>
        </w:rPr>
        <w:t>6.服务器要求</w:t>
      </w:r>
    </w:p>
    <w:p>
      <w:pPr>
        <w:ind w:firstLine="420" w:firstLineChars="200"/>
        <w:rPr>
          <w:bCs/>
          <w:sz w:val="21"/>
          <w:szCs w:val="21"/>
          <w:highlight w:val="none"/>
        </w:rPr>
      </w:pPr>
      <w:r>
        <w:rPr>
          <w:rFonts w:hint="eastAsia"/>
          <w:bCs/>
          <w:sz w:val="21"/>
          <w:szCs w:val="21"/>
          <w:highlight w:val="none"/>
        </w:rPr>
        <w:t>（1）云服务器200台以上，单台服务器规格在8核16G及以上，合同期限至2022年7月30日；</w:t>
      </w:r>
    </w:p>
    <w:p>
      <w:pPr>
        <w:ind w:firstLine="420" w:firstLineChars="200"/>
        <w:rPr>
          <w:bCs/>
          <w:sz w:val="21"/>
          <w:szCs w:val="21"/>
          <w:highlight w:val="none"/>
        </w:rPr>
      </w:pPr>
      <w:r>
        <w:rPr>
          <w:rFonts w:hint="eastAsia"/>
          <w:bCs/>
          <w:sz w:val="21"/>
          <w:szCs w:val="21"/>
          <w:highlight w:val="none"/>
        </w:rPr>
        <w:t>（2）云数据库服务器2台，单台服务器规格在32核128G及以上，合同期限至2022年7月30日；</w:t>
      </w:r>
    </w:p>
    <w:p>
      <w:pPr>
        <w:ind w:firstLine="420" w:firstLineChars="200"/>
        <w:rPr>
          <w:bCs/>
          <w:sz w:val="21"/>
          <w:szCs w:val="21"/>
          <w:highlight w:val="none"/>
        </w:rPr>
      </w:pPr>
      <w:r>
        <w:rPr>
          <w:rFonts w:hint="eastAsia"/>
          <w:bCs/>
          <w:sz w:val="21"/>
          <w:szCs w:val="21"/>
          <w:highlight w:val="none"/>
        </w:rPr>
        <w:t>（3）负载均衡（SLB）最大可以支持连接数：100万，每秒新建连接数（CPS）：10万，每秒查询数（QPS）：5万，合同期限至2022年7月30日；</w:t>
      </w:r>
    </w:p>
    <w:p>
      <w:pPr>
        <w:ind w:firstLine="420" w:firstLineChars="200"/>
        <w:rPr>
          <w:bCs/>
          <w:sz w:val="21"/>
          <w:szCs w:val="21"/>
          <w:highlight w:val="none"/>
        </w:rPr>
      </w:pPr>
      <w:r>
        <w:rPr>
          <w:rFonts w:hint="eastAsia"/>
          <w:bCs/>
          <w:sz w:val="21"/>
          <w:szCs w:val="21"/>
          <w:highlight w:val="none"/>
        </w:rPr>
        <w:t>（4）云数据库Redis实例规格256G集群（16节点）及以上，合同期限至2022年7月30日；</w:t>
      </w:r>
    </w:p>
    <w:p>
      <w:pPr>
        <w:ind w:firstLine="420" w:firstLineChars="200"/>
        <w:rPr>
          <w:bCs/>
          <w:sz w:val="21"/>
          <w:szCs w:val="21"/>
          <w:highlight w:val="none"/>
        </w:rPr>
      </w:pPr>
      <w:r>
        <w:rPr>
          <w:rFonts w:hint="eastAsia"/>
          <w:bCs/>
          <w:sz w:val="21"/>
          <w:szCs w:val="21"/>
          <w:highlight w:val="none"/>
        </w:rPr>
        <w:t>（5）WEB防火墙带宽不少于5G，合同期限至2022年7月30日。</w:t>
      </w:r>
    </w:p>
    <w:p>
      <w:pPr>
        <w:ind w:firstLine="420" w:firstLineChars="200"/>
        <w:rPr>
          <w:bCs/>
          <w:sz w:val="21"/>
          <w:szCs w:val="21"/>
          <w:highlight w:val="none"/>
        </w:rPr>
      </w:pPr>
      <w:r>
        <w:rPr>
          <w:rFonts w:hint="eastAsia"/>
          <w:bCs/>
          <w:sz w:val="21"/>
          <w:szCs w:val="21"/>
          <w:highlight w:val="none"/>
        </w:rPr>
        <w:t>（6）提供报名应急备用系统，在遇突发事件导致主系统无法正常报名时启用，保证考生报名不受影响。</w:t>
      </w:r>
    </w:p>
    <w:p>
      <w:pPr>
        <w:ind w:firstLine="422" w:firstLineChars="200"/>
        <w:rPr>
          <w:b/>
          <w:sz w:val="21"/>
          <w:szCs w:val="21"/>
          <w:highlight w:val="none"/>
        </w:rPr>
      </w:pPr>
      <w:r>
        <w:rPr>
          <w:rFonts w:hint="eastAsia"/>
          <w:b/>
          <w:sz w:val="21"/>
          <w:szCs w:val="21"/>
          <w:highlight w:val="none"/>
        </w:rPr>
        <w:t>7.运维要求</w:t>
      </w:r>
    </w:p>
    <w:p>
      <w:pPr>
        <w:ind w:firstLine="420" w:firstLineChars="200"/>
        <w:rPr>
          <w:bCs/>
          <w:sz w:val="21"/>
          <w:szCs w:val="21"/>
          <w:highlight w:val="none"/>
        </w:rPr>
      </w:pPr>
      <w:r>
        <w:rPr>
          <w:rFonts w:hint="eastAsia"/>
          <w:bCs/>
          <w:sz w:val="21"/>
          <w:szCs w:val="21"/>
          <w:highlight w:val="none"/>
        </w:rPr>
        <w:t>（1）委托云服务运维相关资质的服务商对云上相关产品进行维护；</w:t>
      </w:r>
    </w:p>
    <w:p>
      <w:pPr>
        <w:ind w:firstLine="420" w:firstLineChars="200"/>
        <w:rPr>
          <w:bCs/>
          <w:sz w:val="21"/>
          <w:szCs w:val="21"/>
          <w:highlight w:val="none"/>
        </w:rPr>
      </w:pPr>
      <w:r>
        <w:rPr>
          <w:rFonts w:hint="eastAsia"/>
          <w:bCs/>
          <w:sz w:val="21"/>
          <w:szCs w:val="21"/>
          <w:highlight w:val="none"/>
        </w:rPr>
        <w:t>（2）考试期间指定至少两名工程师对接技术服务，对突发状况能及时响应；</w:t>
      </w:r>
    </w:p>
    <w:p>
      <w:pPr>
        <w:ind w:firstLine="420" w:firstLineChars="200"/>
        <w:rPr>
          <w:bCs/>
          <w:sz w:val="21"/>
          <w:szCs w:val="21"/>
          <w:highlight w:val="none"/>
        </w:rPr>
      </w:pPr>
      <w:r>
        <w:rPr>
          <w:rFonts w:hint="eastAsia"/>
          <w:bCs/>
          <w:sz w:val="21"/>
          <w:szCs w:val="21"/>
          <w:highlight w:val="none"/>
        </w:rPr>
        <w:t>（3）系统程序部署采用可视化自动化部署工具；</w:t>
      </w:r>
    </w:p>
    <w:p>
      <w:pPr>
        <w:ind w:firstLine="420" w:firstLineChars="200"/>
        <w:rPr>
          <w:bCs/>
          <w:sz w:val="21"/>
          <w:szCs w:val="21"/>
          <w:highlight w:val="none"/>
        </w:rPr>
      </w:pPr>
      <w:r>
        <w:rPr>
          <w:rFonts w:hint="eastAsia"/>
          <w:bCs/>
          <w:sz w:val="21"/>
          <w:szCs w:val="21"/>
          <w:highlight w:val="none"/>
        </w:rPr>
        <w:t>（4）应用服务器和数据库服务器采用可视化监控工具进行实时监控。</w:t>
      </w:r>
    </w:p>
    <w:p>
      <w:pPr>
        <w:ind w:firstLine="422" w:firstLineChars="200"/>
        <w:rPr>
          <w:b/>
          <w:sz w:val="21"/>
          <w:szCs w:val="21"/>
          <w:highlight w:val="none"/>
        </w:rPr>
      </w:pPr>
      <w:r>
        <w:rPr>
          <w:rFonts w:hint="eastAsia"/>
          <w:b/>
          <w:sz w:val="21"/>
          <w:szCs w:val="21"/>
          <w:highlight w:val="none"/>
        </w:rPr>
        <w:t>8.响应时间要求</w:t>
      </w:r>
    </w:p>
    <w:p>
      <w:pPr>
        <w:ind w:firstLine="420" w:firstLineChars="200"/>
        <w:rPr>
          <w:bCs/>
          <w:sz w:val="21"/>
          <w:szCs w:val="21"/>
          <w:highlight w:val="none"/>
        </w:rPr>
      </w:pPr>
      <w:r>
        <w:rPr>
          <w:rFonts w:hint="eastAsia"/>
          <w:bCs/>
          <w:sz w:val="21"/>
          <w:szCs w:val="21"/>
          <w:highlight w:val="none"/>
        </w:rPr>
        <w:t>（1）平均响应时间10分钟以内，限时4小时内提供解决方案或者解决，保证全年95%以上的服务响应率；</w:t>
      </w:r>
    </w:p>
    <w:p>
      <w:pPr>
        <w:ind w:firstLine="420" w:firstLineChars="200"/>
        <w:rPr>
          <w:bCs/>
          <w:sz w:val="21"/>
          <w:szCs w:val="21"/>
          <w:highlight w:val="none"/>
        </w:rPr>
      </w:pPr>
      <w:r>
        <w:rPr>
          <w:rFonts w:hint="eastAsia"/>
          <w:bCs/>
          <w:sz w:val="21"/>
          <w:szCs w:val="21"/>
          <w:highlight w:val="none"/>
        </w:rPr>
        <w:t>（2）夜间平均响应时间15分钟以内，限时4小时内提供解决方案或者解决。</w:t>
      </w:r>
    </w:p>
    <w:p>
      <w:pPr>
        <w:ind w:firstLine="422" w:firstLineChars="200"/>
        <w:rPr>
          <w:b/>
          <w:sz w:val="21"/>
          <w:szCs w:val="21"/>
          <w:highlight w:val="none"/>
        </w:rPr>
      </w:pPr>
      <w:r>
        <w:rPr>
          <w:rFonts w:hint="eastAsia"/>
          <w:b/>
          <w:sz w:val="21"/>
          <w:szCs w:val="21"/>
          <w:highlight w:val="none"/>
        </w:rPr>
        <w:t>9.实施规范</w:t>
      </w:r>
    </w:p>
    <w:p>
      <w:pPr>
        <w:ind w:firstLine="420" w:firstLineChars="200"/>
        <w:rPr>
          <w:bCs/>
          <w:sz w:val="21"/>
          <w:szCs w:val="21"/>
          <w:highlight w:val="none"/>
        </w:rPr>
      </w:pPr>
      <w:r>
        <w:rPr>
          <w:rFonts w:hint="eastAsia"/>
          <w:bCs/>
          <w:sz w:val="21"/>
          <w:szCs w:val="21"/>
          <w:highlight w:val="none"/>
        </w:rPr>
        <w:t>（1）运维工程师获取账号信息遵循“唯一性、必要性、最小授权”法则；</w:t>
      </w:r>
    </w:p>
    <w:p>
      <w:pPr>
        <w:ind w:firstLine="420" w:firstLineChars="200"/>
        <w:rPr>
          <w:bCs/>
          <w:sz w:val="21"/>
          <w:szCs w:val="21"/>
          <w:highlight w:val="none"/>
        </w:rPr>
      </w:pPr>
      <w:r>
        <w:rPr>
          <w:rFonts w:hint="eastAsia"/>
          <w:bCs/>
          <w:sz w:val="21"/>
          <w:szCs w:val="21"/>
          <w:highlight w:val="none"/>
        </w:rPr>
        <w:t>（2）运维工程师对获取到的账号信息需妥善保存在公司指定路径，重要信息定时做好备份；</w:t>
      </w:r>
    </w:p>
    <w:p>
      <w:pPr>
        <w:ind w:firstLine="420" w:firstLineChars="200"/>
        <w:rPr>
          <w:bCs/>
          <w:sz w:val="21"/>
          <w:szCs w:val="21"/>
          <w:highlight w:val="none"/>
        </w:rPr>
      </w:pPr>
      <w:r>
        <w:rPr>
          <w:rFonts w:hint="eastAsia"/>
          <w:bCs/>
          <w:sz w:val="21"/>
          <w:szCs w:val="21"/>
          <w:highlight w:val="none"/>
        </w:rPr>
        <w:t>（3）运维工程师不得将账号信息泄露给非运维工作的旁系人员；</w:t>
      </w:r>
    </w:p>
    <w:p>
      <w:pPr>
        <w:ind w:firstLine="420" w:firstLineChars="200"/>
        <w:rPr>
          <w:bCs/>
          <w:sz w:val="21"/>
          <w:szCs w:val="21"/>
          <w:highlight w:val="none"/>
        </w:rPr>
      </w:pPr>
      <w:r>
        <w:rPr>
          <w:rFonts w:hint="eastAsia"/>
          <w:bCs/>
          <w:sz w:val="21"/>
          <w:szCs w:val="21"/>
          <w:highlight w:val="none"/>
        </w:rPr>
        <w:t>（4）运维工程师的工作电脑、运维账号在任何环境下不可转借他人。</w:t>
      </w:r>
    </w:p>
    <w:p>
      <w:pPr>
        <w:spacing w:line="300" w:lineRule="auto"/>
        <w:jc w:val="left"/>
        <w:rPr>
          <w:b/>
          <w:spacing w:val="-6"/>
          <w:sz w:val="21"/>
          <w:szCs w:val="21"/>
          <w:highlight w:val="none"/>
        </w:rPr>
      </w:pPr>
      <w:r>
        <w:rPr>
          <w:rFonts w:hint="eastAsia"/>
          <w:b/>
          <w:spacing w:val="-6"/>
          <w:sz w:val="21"/>
          <w:szCs w:val="21"/>
          <w:highlight w:val="none"/>
        </w:rPr>
        <w:t>四、现场演示：</w:t>
      </w:r>
    </w:p>
    <w:p>
      <w:pPr>
        <w:spacing w:line="300" w:lineRule="auto"/>
        <w:ind w:firstLine="398" w:firstLineChars="200"/>
        <w:jc w:val="left"/>
        <w:rPr>
          <w:b/>
          <w:spacing w:val="-6"/>
          <w:sz w:val="21"/>
          <w:szCs w:val="21"/>
          <w:highlight w:val="none"/>
        </w:rPr>
      </w:pPr>
      <w:r>
        <w:rPr>
          <w:rFonts w:hint="eastAsia"/>
          <w:b/>
          <w:spacing w:val="-6"/>
          <w:sz w:val="21"/>
          <w:szCs w:val="21"/>
          <w:highlight w:val="none"/>
        </w:rPr>
        <w:t>1.供应商须提供软件实物演示，演示内容：</w:t>
      </w:r>
    </w:p>
    <w:tbl>
      <w:tblPr>
        <w:tblStyle w:val="16"/>
        <w:tblW w:w="4999" w:type="pct"/>
        <w:tblInd w:w="0" w:type="dxa"/>
        <w:tblLayout w:type="autofit"/>
        <w:tblCellMar>
          <w:top w:w="0" w:type="dxa"/>
          <w:left w:w="108" w:type="dxa"/>
          <w:bottom w:w="0" w:type="dxa"/>
          <w:right w:w="108" w:type="dxa"/>
        </w:tblCellMar>
      </w:tblPr>
      <w:tblGrid>
        <w:gridCol w:w="861"/>
        <w:gridCol w:w="8765"/>
      </w:tblGrid>
      <w:tr>
        <w:trPr>
          <w:trHeight w:val="400" w:hRule="atLeast"/>
        </w:trPr>
        <w:tc>
          <w:tcPr>
            <w:tcW w:w="447" w:type="pct"/>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b/>
                <w:bCs/>
                <w:kern w:val="0"/>
                <w:sz w:val="21"/>
                <w:szCs w:val="21"/>
                <w:highlight w:val="none"/>
              </w:rPr>
            </w:pPr>
            <w:r>
              <w:rPr>
                <w:rFonts w:hint="eastAsia"/>
                <w:b/>
                <w:bCs/>
                <w:kern w:val="0"/>
                <w:sz w:val="21"/>
                <w:szCs w:val="21"/>
                <w:highlight w:val="none"/>
              </w:rPr>
              <w:t>序号</w:t>
            </w:r>
          </w:p>
        </w:tc>
        <w:tc>
          <w:tcPr>
            <w:tcW w:w="4552" w:type="pct"/>
            <w:tcBorders>
              <w:top w:val="single" w:color="auto" w:sz="8" w:space="0"/>
              <w:left w:val="nil"/>
              <w:bottom w:val="single" w:color="auto" w:sz="8" w:space="0"/>
              <w:right w:val="single" w:color="auto" w:sz="8" w:space="0"/>
            </w:tcBorders>
            <w:shd w:val="clear" w:color="auto" w:fill="auto"/>
            <w:vAlign w:val="center"/>
          </w:tcPr>
          <w:p>
            <w:pPr>
              <w:widowControl/>
              <w:jc w:val="center"/>
              <w:rPr>
                <w:b/>
                <w:bCs/>
                <w:kern w:val="0"/>
                <w:sz w:val="21"/>
                <w:szCs w:val="21"/>
                <w:highlight w:val="none"/>
              </w:rPr>
            </w:pPr>
            <w:r>
              <w:rPr>
                <w:rFonts w:hint="eastAsia"/>
                <w:b/>
                <w:bCs/>
                <w:kern w:val="0"/>
                <w:sz w:val="21"/>
                <w:szCs w:val="21"/>
                <w:highlight w:val="none"/>
              </w:rPr>
              <w:t>演示内容</w:t>
            </w:r>
          </w:p>
        </w:tc>
      </w:tr>
      <w:tr>
        <w:trPr>
          <w:trHeight w:val="400"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46"/>
                <w:rFonts w:hint="default"/>
                <w:color w:val="auto"/>
                <w:sz w:val="21"/>
                <w:szCs w:val="21"/>
                <w:highlight w:val="none"/>
                <w:lang w:bidi="ar"/>
              </w:rPr>
            </w:pPr>
            <w:r>
              <w:rPr>
                <w:rStyle w:val="46"/>
                <w:rFonts w:hint="default"/>
                <w:color w:val="auto"/>
                <w:sz w:val="21"/>
                <w:szCs w:val="21"/>
                <w:highlight w:val="none"/>
                <w:lang w:bidi="ar"/>
              </w:rPr>
              <w:t>1</w:t>
            </w:r>
          </w:p>
        </w:tc>
        <w:tc>
          <w:tcPr>
            <w:tcW w:w="4552" w:type="pct"/>
            <w:tcBorders>
              <w:top w:val="nil"/>
              <w:left w:val="nil"/>
              <w:bottom w:val="single" w:color="auto" w:sz="4" w:space="0"/>
              <w:right w:val="single" w:color="auto" w:sz="8" w:space="0"/>
            </w:tcBorders>
            <w:shd w:val="clear" w:color="auto" w:fill="auto"/>
          </w:tcPr>
          <w:p>
            <w:pPr>
              <w:widowControl/>
              <w:jc w:val="left"/>
              <w:rPr>
                <w:rStyle w:val="46"/>
                <w:rFonts w:hint="default"/>
                <w:color w:val="auto"/>
                <w:sz w:val="21"/>
                <w:szCs w:val="21"/>
                <w:highlight w:val="none"/>
                <w:lang w:bidi="ar"/>
              </w:rPr>
            </w:pPr>
            <w:r>
              <w:rPr>
                <w:rStyle w:val="46"/>
                <w:rFonts w:hint="default"/>
                <w:color w:val="auto"/>
                <w:sz w:val="21"/>
                <w:szCs w:val="21"/>
                <w:highlight w:val="none"/>
                <w:lang w:bidi="ar"/>
              </w:rPr>
              <w:t>支持分考点分专业设置允许（不允许）考生报考的省份；支持设置考试是否允许报名日期冲突，是否允许跨考点报名，相同专业是否可以重复报名；支持按专业和省份设置文理科限制；支持按报考专业对考生性别和年龄限制；</w:t>
            </w:r>
          </w:p>
        </w:tc>
      </w:tr>
      <w:tr>
        <w:tblPrEx>
          <w:tblCellMar>
            <w:top w:w="0" w:type="dxa"/>
            <w:left w:w="108" w:type="dxa"/>
            <w:bottom w:w="0" w:type="dxa"/>
            <w:right w:w="108" w:type="dxa"/>
          </w:tblCellMar>
        </w:tblPrEx>
        <w:trPr>
          <w:trHeight w:val="400"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46"/>
                <w:rFonts w:hint="default"/>
                <w:color w:val="auto"/>
                <w:sz w:val="21"/>
                <w:szCs w:val="21"/>
                <w:highlight w:val="none"/>
                <w:lang w:bidi="ar"/>
              </w:rPr>
            </w:pPr>
            <w:r>
              <w:rPr>
                <w:rStyle w:val="46"/>
                <w:rFonts w:hint="default"/>
                <w:color w:val="auto"/>
                <w:sz w:val="21"/>
                <w:szCs w:val="21"/>
                <w:highlight w:val="none"/>
                <w:lang w:bidi="ar"/>
              </w:rPr>
              <w:t>2</w:t>
            </w:r>
          </w:p>
        </w:tc>
        <w:tc>
          <w:tcPr>
            <w:tcW w:w="4552" w:type="pct"/>
            <w:tcBorders>
              <w:top w:val="single" w:color="auto" w:sz="4" w:space="0"/>
              <w:left w:val="nil"/>
              <w:bottom w:val="single" w:color="auto" w:sz="4" w:space="0"/>
              <w:right w:val="single" w:color="auto" w:sz="8" w:space="0"/>
            </w:tcBorders>
            <w:shd w:val="clear" w:color="auto" w:fill="auto"/>
          </w:tcPr>
          <w:p>
            <w:pPr>
              <w:widowControl/>
              <w:jc w:val="left"/>
              <w:rPr>
                <w:rStyle w:val="46"/>
                <w:rFonts w:hint="default"/>
                <w:color w:val="auto"/>
                <w:sz w:val="21"/>
                <w:szCs w:val="21"/>
                <w:highlight w:val="none"/>
                <w:lang w:bidi="ar"/>
              </w:rPr>
            </w:pPr>
            <w:r>
              <w:rPr>
                <w:rStyle w:val="46"/>
                <w:rFonts w:hint="default"/>
                <w:color w:val="auto"/>
                <w:sz w:val="21"/>
                <w:szCs w:val="21"/>
                <w:highlight w:val="none"/>
                <w:lang w:bidi="ar"/>
              </w:rPr>
              <w:t>考生报考专业有误需要重新报考时，可以由考生发起已报专业的作废申请并注明原因，必须是由院校审批同意后，原报考专业方可作废；</w:t>
            </w:r>
          </w:p>
        </w:tc>
      </w:tr>
      <w:tr>
        <w:tblPrEx>
          <w:tblCellMar>
            <w:top w:w="0" w:type="dxa"/>
            <w:left w:w="108" w:type="dxa"/>
            <w:bottom w:w="0" w:type="dxa"/>
            <w:right w:w="108" w:type="dxa"/>
          </w:tblCellMar>
        </w:tblPrEx>
        <w:trPr>
          <w:trHeight w:val="400"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46"/>
                <w:rFonts w:hint="default"/>
                <w:color w:val="auto"/>
                <w:sz w:val="21"/>
                <w:szCs w:val="21"/>
                <w:highlight w:val="none"/>
                <w:lang w:bidi="ar"/>
              </w:rPr>
            </w:pPr>
            <w:r>
              <w:rPr>
                <w:rStyle w:val="46"/>
                <w:rFonts w:hint="default"/>
                <w:color w:val="auto"/>
                <w:sz w:val="21"/>
                <w:szCs w:val="21"/>
                <w:highlight w:val="none"/>
                <w:lang w:bidi="ar"/>
              </w:rPr>
              <w:t>3</w:t>
            </w:r>
          </w:p>
        </w:tc>
        <w:tc>
          <w:tcPr>
            <w:tcW w:w="4552" w:type="pct"/>
            <w:tcBorders>
              <w:top w:val="single" w:color="auto" w:sz="4" w:space="0"/>
              <w:left w:val="nil"/>
              <w:bottom w:val="single" w:color="auto" w:sz="4" w:space="0"/>
              <w:right w:val="single" w:color="auto" w:sz="8" w:space="0"/>
            </w:tcBorders>
            <w:shd w:val="clear" w:color="auto" w:fill="auto"/>
          </w:tcPr>
          <w:p>
            <w:pPr>
              <w:widowControl/>
              <w:jc w:val="left"/>
              <w:rPr>
                <w:rStyle w:val="46"/>
                <w:rFonts w:hint="default"/>
                <w:color w:val="auto"/>
                <w:sz w:val="21"/>
                <w:szCs w:val="21"/>
                <w:highlight w:val="none"/>
                <w:lang w:bidi="ar"/>
              </w:rPr>
            </w:pPr>
            <w:r>
              <w:rPr>
                <w:rStyle w:val="46"/>
                <w:rFonts w:hint="default"/>
                <w:color w:val="auto"/>
                <w:sz w:val="21"/>
                <w:szCs w:val="21"/>
                <w:highlight w:val="none"/>
                <w:lang w:bidi="ar"/>
              </w:rPr>
              <w:t>需支持两阶段报名模式，第一阶段依据考生需求完成考试时间段报名，第二阶段依据考点实际容量由考生自主选择考试日期及场次；</w:t>
            </w:r>
          </w:p>
        </w:tc>
      </w:tr>
      <w:tr>
        <w:trPr>
          <w:trHeight w:val="400"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46"/>
                <w:rFonts w:hint="default"/>
                <w:color w:val="auto"/>
                <w:sz w:val="21"/>
                <w:szCs w:val="21"/>
                <w:highlight w:val="none"/>
                <w:lang w:bidi="ar"/>
              </w:rPr>
            </w:pPr>
            <w:r>
              <w:rPr>
                <w:rStyle w:val="46"/>
                <w:rFonts w:hint="default"/>
                <w:color w:val="auto"/>
                <w:sz w:val="21"/>
                <w:szCs w:val="21"/>
                <w:highlight w:val="none"/>
                <w:lang w:bidi="ar"/>
              </w:rPr>
              <w:t>4</w:t>
            </w:r>
          </w:p>
        </w:tc>
        <w:tc>
          <w:tcPr>
            <w:tcW w:w="4552" w:type="pct"/>
            <w:tcBorders>
              <w:top w:val="single" w:color="auto" w:sz="4" w:space="0"/>
              <w:left w:val="nil"/>
              <w:bottom w:val="single" w:color="auto" w:sz="4" w:space="0"/>
              <w:right w:val="single" w:color="auto" w:sz="8" w:space="0"/>
            </w:tcBorders>
            <w:shd w:val="clear" w:color="auto" w:fill="auto"/>
          </w:tcPr>
          <w:p>
            <w:pPr>
              <w:widowControl/>
              <w:jc w:val="left"/>
              <w:rPr>
                <w:rStyle w:val="46"/>
                <w:rFonts w:hint="default"/>
                <w:color w:val="auto"/>
                <w:sz w:val="21"/>
                <w:szCs w:val="21"/>
                <w:highlight w:val="none"/>
                <w:lang w:bidi="ar"/>
              </w:rPr>
            </w:pPr>
            <w:r>
              <w:rPr>
                <w:rStyle w:val="46"/>
                <w:rFonts w:hint="default"/>
                <w:color w:val="auto"/>
                <w:sz w:val="21"/>
                <w:szCs w:val="21"/>
                <w:highlight w:val="none"/>
                <w:lang w:bidi="ar"/>
              </w:rPr>
              <w:t>支持多轮次报名考试（初复试）及缴费，提供实时的复试缴费查询。支持支付宝或微信交费；支持院校自行配置支付渠道，并提供测试支付渠道是否畅通的功能；</w:t>
            </w:r>
          </w:p>
        </w:tc>
      </w:tr>
      <w:tr>
        <w:tblPrEx>
          <w:tblCellMar>
            <w:top w:w="0" w:type="dxa"/>
            <w:left w:w="108" w:type="dxa"/>
            <w:bottom w:w="0" w:type="dxa"/>
            <w:right w:w="108" w:type="dxa"/>
          </w:tblCellMar>
        </w:tblPrEx>
        <w:trPr>
          <w:trHeight w:val="400"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46"/>
                <w:rFonts w:hint="default"/>
                <w:color w:val="auto"/>
                <w:sz w:val="21"/>
                <w:szCs w:val="21"/>
                <w:highlight w:val="none"/>
                <w:lang w:bidi="ar"/>
              </w:rPr>
            </w:pPr>
            <w:r>
              <w:rPr>
                <w:rStyle w:val="46"/>
                <w:rFonts w:hint="default"/>
                <w:color w:val="auto"/>
                <w:sz w:val="21"/>
                <w:szCs w:val="21"/>
                <w:highlight w:val="none"/>
                <w:lang w:bidi="ar"/>
              </w:rPr>
              <w:t>5</w:t>
            </w:r>
          </w:p>
        </w:tc>
        <w:tc>
          <w:tcPr>
            <w:tcW w:w="4552" w:type="pct"/>
            <w:tcBorders>
              <w:top w:val="single" w:color="auto" w:sz="4" w:space="0"/>
              <w:left w:val="nil"/>
              <w:bottom w:val="single" w:color="auto" w:sz="4" w:space="0"/>
              <w:right w:val="single" w:color="auto" w:sz="8" w:space="0"/>
            </w:tcBorders>
            <w:shd w:val="clear" w:color="auto" w:fill="auto"/>
          </w:tcPr>
          <w:p>
            <w:pPr>
              <w:widowControl/>
              <w:jc w:val="left"/>
              <w:rPr>
                <w:rStyle w:val="46"/>
                <w:rFonts w:hint="default"/>
                <w:color w:val="auto"/>
                <w:sz w:val="21"/>
                <w:szCs w:val="21"/>
                <w:highlight w:val="none"/>
                <w:lang w:bidi="ar"/>
              </w:rPr>
            </w:pPr>
            <w:r>
              <w:rPr>
                <w:rStyle w:val="46"/>
                <w:rFonts w:hint="default"/>
                <w:color w:val="auto"/>
                <w:sz w:val="21"/>
                <w:szCs w:val="21"/>
                <w:highlight w:val="none"/>
                <w:lang w:bidi="ar"/>
              </w:rPr>
              <w:t>支持考生自主确认后打印准考证；支持对考点下的专业设置不同的准考证前缀规则和准考证长度，并可根据统一规则批量生成所有考点专业的准考证规则；准考证样式支持设置预览，可以按考点、专业配置不同的考试科目说明、准考证须知。准考证具有防伪功能，采用加密的二维码、水印校验码等手段防止伪造。考生准考证号支持多段式随机取号；</w:t>
            </w:r>
          </w:p>
        </w:tc>
      </w:tr>
      <w:tr>
        <w:tblPrEx>
          <w:tblCellMar>
            <w:top w:w="0" w:type="dxa"/>
            <w:left w:w="108" w:type="dxa"/>
            <w:bottom w:w="0" w:type="dxa"/>
            <w:right w:w="108" w:type="dxa"/>
          </w:tblCellMar>
        </w:tblPrEx>
        <w:trPr>
          <w:trHeight w:val="400"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46"/>
                <w:rFonts w:hint="default"/>
                <w:color w:val="auto"/>
                <w:sz w:val="21"/>
                <w:szCs w:val="21"/>
                <w:highlight w:val="none"/>
                <w:lang w:bidi="ar"/>
              </w:rPr>
            </w:pPr>
            <w:r>
              <w:rPr>
                <w:rStyle w:val="46"/>
                <w:rFonts w:hint="default"/>
                <w:color w:val="auto"/>
                <w:sz w:val="21"/>
                <w:szCs w:val="21"/>
                <w:highlight w:val="none"/>
                <w:lang w:bidi="ar"/>
              </w:rPr>
              <w:t>6</w:t>
            </w:r>
          </w:p>
        </w:tc>
        <w:tc>
          <w:tcPr>
            <w:tcW w:w="4552" w:type="pct"/>
            <w:tcBorders>
              <w:top w:val="single" w:color="auto" w:sz="4" w:space="0"/>
              <w:left w:val="nil"/>
              <w:bottom w:val="single" w:color="auto" w:sz="4" w:space="0"/>
              <w:right w:val="single" w:color="auto" w:sz="8" w:space="0"/>
            </w:tcBorders>
            <w:shd w:val="clear" w:color="auto" w:fill="auto"/>
          </w:tcPr>
          <w:p>
            <w:pPr>
              <w:widowControl/>
              <w:jc w:val="left"/>
              <w:rPr>
                <w:rStyle w:val="46"/>
                <w:rFonts w:hint="default"/>
                <w:color w:val="auto"/>
                <w:sz w:val="21"/>
                <w:szCs w:val="21"/>
                <w:highlight w:val="none"/>
                <w:lang w:bidi="ar"/>
              </w:rPr>
            </w:pPr>
            <w:r>
              <w:rPr>
                <w:rStyle w:val="46"/>
                <w:rFonts w:hint="default"/>
                <w:color w:val="auto"/>
                <w:sz w:val="21"/>
                <w:szCs w:val="21"/>
                <w:highlight w:val="none"/>
                <w:lang w:bidi="ar"/>
              </w:rPr>
              <w:t>提供考生肖像、身份证、联考证(报考证)、视频拍摄及上传；提供对考生上传信息审核功能，支持A、B角色操作员审核，如果A、B角色操作员同时审核通过则该考生信息审核通过，如果A、B角色操作员同时审核不通过则该考生信息审核不通过，需要重新上传信息，如果仅有一个角色审核不通过，则转交复审操作员审核；</w:t>
            </w:r>
          </w:p>
        </w:tc>
      </w:tr>
      <w:tr>
        <w:tblPrEx>
          <w:tblCellMar>
            <w:top w:w="0" w:type="dxa"/>
            <w:left w:w="108" w:type="dxa"/>
            <w:bottom w:w="0" w:type="dxa"/>
            <w:right w:w="108" w:type="dxa"/>
          </w:tblCellMar>
        </w:tblPrEx>
        <w:trPr>
          <w:trHeight w:val="400"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46"/>
                <w:rFonts w:hint="default"/>
                <w:color w:val="auto"/>
                <w:sz w:val="21"/>
                <w:szCs w:val="21"/>
                <w:highlight w:val="none"/>
                <w:lang w:bidi="ar"/>
              </w:rPr>
            </w:pPr>
            <w:r>
              <w:rPr>
                <w:rStyle w:val="46"/>
                <w:rFonts w:hint="default"/>
                <w:color w:val="auto"/>
                <w:sz w:val="21"/>
                <w:szCs w:val="21"/>
                <w:highlight w:val="none"/>
                <w:lang w:bidi="ar"/>
              </w:rPr>
              <w:t>7</w:t>
            </w:r>
          </w:p>
        </w:tc>
        <w:tc>
          <w:tcPr>
            <w:tcW w:w="4552" w:type="pct"/>
            <w:tcBorders>
              <w:top w:val="single" w:color="auto" w:sz="4" w:space="0"/>
              <w:left w:val="nil"/>
              <w:bottom w:val="single" w:color="auto" w:sz="4" w:space="0"/>
              <w:right w:val="single" w:color="auto" w:sz="8" w:space="0"/>
            </w:tcBorders>
            <w:shd w:val="clear" w:color="auto" w:fill="auto"/>
          </w:tcPr>
          <w:p>
            <w:pPr>
              <w:widowControl/>
              <w:jc w:val="left"/>
              <w:rPr>
                <w:rStyle w:val="46"/>
                <w:rFonts w:hint="default"/>
                <w:color w:val="auto"/>
                <w:sz w:val="21"/>
                <w:szCs w:val="21"/>
                <w:highlight w:val="none"/>
                <w:lang w:bidi="ar"/>
              </w:rPr>
            </w:pPr>
            <w:r>
              <w:rPr>
                <w:rStyle w:val="46"/>
                <w:rFonts w:hint="default"/>
                <w:color w:val="auto"/>
                <w:sz w:val="21"/>
                <w:szCs w:val="21"/>
                <w:highlight w:val="none"/>
                <w:lang w:bidi="ar"/>
              </w:rPr>
              <w:t>支持考生在安卓和IOS移动端应用上报名及缴费；支持院校管理人员在安卓和IOS移动端应用上查询统计招生报名情况；</w:t>
            </w:r>
          </w:p>
        </w:tc>
      </w:tr>
      <w:tr>
        <w:tblPrEx>
          <w:tblCellMar>
            <w:top w:w="0" w:type="dxa"/>
            <w:left w:w="108" w:type="dxa"/>
            <w:bottom w:w="0" w:type="dxa"/>
            <w:right w:w="108" w:type="dxa"/>
          </w:tblCellMar>
        </w:tblPrEx>
        <w:trPr>
          <w:trHeight w:val="400"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46"/>
                <w:rFonts w:hint="default"/>
                <w:color w:val="auto"/>
                <w:sz w:val="21"/>
                <w:szCs w:val="21"/>
                <w:highlight w:val="none"/>
                <w:lang w:bidi="ar"/>
              </w:rPr>
            </w:pPr>
            <w:r>
              <w:rPr>
                <w:rStyle w:val="46"/>
                <w:rFonts w:hint="default"/>
                <w:color w:val="auto"/>
                <w:sz w:val="21"/>
                <w:szCs w:val="21"/>
                <w:highlight w:val="none"/>
                <w:lang w:bidi="ar"/>
              </w:rPr>
              <w:t>8</w:t>
            </w:r>
          </w:p>
        </w:tc>
        <w:tc>
          <w:tcPr>
            <w:tcW w:w="4552" w:type="pct"/>
            <w:tcBorders>
              <w:top w:val="single" w:color="auto" w:sz="4" w:space="0"/>
              <w:left w:val="nil"/>
              <w:bottom w:val="single" w:color="auto" w:sz="4" w:space="0"/>
              <w:right w:val="single" w:color="auto" w:sz="8" w:space="0"/>
            </w:tcBorders>
            <w:shd w:val="clear" w:color="auto" w:fill="auto"/>
          </w:tcPr>
          <w:p>
            <w:pPr>
              <w:widowControl/>
              <w:jc w:val="left"/>
              <w:rPr>
                <w:rStyle w:val="46"/>
                <w:rFonts w:hint="default"/>
                <w:color w:val="auto"/>
                <w:sz w:val="21"/>
                <w:szCs w:val="21"/>
                <w:highlight w:val="none"/>
                <w:lang w:bidi="ar"/>
              </w:rPr>
            </w:pPr>
            <w:r>
              <w:rPr>
                <w:rStyle w:val="46"/>
                <w:rFonts w:hint="default"/>
                <w:color w:val="auto"/>
                <w:sz w:val="21"/>
                <w:szCs w:val="21"/>
                <w:highlight w:val="none"/>
                <w:lang w:bidi="ar"/>
              </w:rPr>
              <w:t>提供接入在线客服管理系统功能，支持机器人自动问答回复；</w:t>
            </w:r>
          </w:p>
        </w:tc>
      </w:tr>
      <w:tr>
        <w:tblPrEx>
          <w:tblCellMar>
            <w:top w:w="0" w:type="dxa"/>
            <w:left w:w="108" w:type="dxa"/>
            <w:bottom w:w="0" w:type="dxa"/>
            <w:right w:w="108" w:type="dxa"/>
          </w:tblCellMar>
        </w:tblPrEx>
        <w:trPr>
          <w:trHeight w:val="400"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46"/>
                <w:rFonts w:hint="default"/>
                <w:color w:val="auto"/>
                <w:sz w:val="21"/>
                <w:szCs w:val="21"/>
                <w:highlight w:val="none"/>
                <w:lang w:bidi="ar"/>
              </w:rPr>
            </w:pPr>
            <w:r>
              <w:rPr>
                <w:rStyle w:val="46"/>
                <w:rFonts w:hint="default"/>
                <w:color w:val="auto"/>
                <w:sz w:val="21"/>
                <w:szCs w:val="21"/>
                <w:highlight w:val="none"/>
                <w:lang w:bidi="ar"/>
              </w:rPr>
              <w:t>9</w:t>
            </w:r>
          </w:p>
        </w:tc>
        <w:tc>
          <w:tcPr>
            <w:tcW w:w="4552" w:type="pct"/>
            <w:tcBorders>
              <w:top w:val="single" w:color="auto" w:sz="4" w:space="0"/>
              <w:left w:val="nil"/>
              <w:bottom w:val="single" w:color="auto" w:sz="4" w:space="0"/>
              <w:right w:val="single" w:color="auto" w:sz="8" w:space="0"/>
            </w:tcBorders>
            <w:shd w:val="clear" w:color="auto" w:fill="auto"/>
          </w:tcPr>
          <w:p>
            <w:pPr>
              <w:widowControl/>
              <w:jc w:val="left"/>
              <w:rPr>
                <w:rStyle w:val="46"/>
                <w:rFonts w:hint="default"/>
                <w:color w:val="auto"/>
                <w:sz w:val="21"/>
                <w:szCs w:val="21"/>
                <w:highlight w:val="none"/>
                <w:lang w:bidi="ar"/>
              </w:rPr>
            </w:pPr>
            <w:r>
              <w:rPr>
                <w:rStyle w:val="46"/>
                <w:rFonts w:hint="default"/>
                <w:color w:val="auto"/>
                <w:sz w:val="21"/>
                <w:szCs w:val="21"/>
                <w:highlight w:val="none"/>
                <w:lang w:bidi="ar"/>
              </w:rPr>
              <w:t>支持账号分级管理，院校管理员可根据需要自行管理各考点管理员账号、财务账号、监控账号。招生敏感数据（考生联系电话和通讯地址）在数据库采用加密存储；用户（管理员和考生）连续多次登陆密码错误账号锁定；</w:t>
            </w:r>
          </w:p>
        </w:tc>
      </w:tr>
      <w:tr>
        <w:tblPrEx>
          <w:tblCellMar>
            <w:top w:w="0" w:type="dxa"/>
            <w:left w:w="108" w:type="dxa"/>
            <w:bottom w:w="0" w:type="dxa"/>
            <w:right w:w="108" w:type="dxa"/>
          </w:tblCellMar>
        </w:tblPrEx>
        <w:trPr>
          <w:trHeight w:val="400"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46"/>
                <w:rFonts w:hint="default"/>
                <w:color w:val="auto"/>
                <w:sz w:val="21"/>
                <w:szCs w:val="21"/>
                <w:highlight w:val="none"/>
                <w:lang w:bidi="ar"/>
              </w:rPr>
            </w:pPr>
            <w:r>
              <w:rPr>
                <w:rStyle w:val="46"/>
                <w:rFonts w:hint="default"/>
                <w:color w:val="auto"/>
                <w:sz w:val="21"/>
                <w:szCs w:val="21"/>
                <w:highlight w:val="none"/>
                <w:lang w:bidi="ar"/>
              </w:rPr>
              <w:t>10</w:t>
            </w:r>
          </w:p>
        </w:tc>
        <w:tc>
          <w:tcPr>
            <w:tcW w:w="4552" w:type="pct"/>
            <w:tcBorders>
              <w:top w:val="single" w:color="auto" w:sz="4" w:space="0"/>
              <w:left w:val="nil"/>
              <w:bottom w:val="single" w:color="auto" w:sz="4" w:space="0"/>
              <w:right w:val="single" w:color="auto" w:sz="8" w:space="0"/>
            </w:tcBorders>
            <w:shd w:val="clear" w:color="auto" w:fill="auto"/>
          </w:tcPr>
          <w:p>
            <w:pPr>
              <w:widowControl/>
              <w:jc w:val="left"/>
              <w:rPr>
                <w:rStyle w:val="46"/>
                <w:rFonts w:hint="default"/>
                <w:color w:val="auto"/>
                <w:sz w:val="21"/>
                <w:szCs w:val="21"/>
                <w:highlight w:val="none"/>
                <w:lang w:bidi="ar"/>
              </w:rPr>
            </w:pPr>
            <w:r>
              <w:rPr>
                <w:rStyle w:val="46"/>
                <w:rFonts w:hint="default"/>
                <w:color w:val="auto"/>
                <w:sz w:val="21"/>
                <w:szCs w:val="21"/>
                <w:highlight w:val="none"/>
                <w:lang w:bidi="ar"/>
              </w:rPr>
              <w:t>支持考生成绩查询，考生对成绩有异议可提出成绩复核申请；支持考后志愿采集；支持录取查询；</w:t>
            </w:r>
          </w:p>
        </w:tc>
      </w:tr>
      <w:tr>
        <w:tblPrEx>
          <w:tblCellMar>
            <w:top w:w="0" w:type="dxa"/>
            <w:left w:w="108" w:type="dxa"/>
            <w:bottom w:w="0" w:type="dxa"/>
            <w:right w:w="108" w:type="dxa"/>
          </w:tblCellMar>
        </w:tblPrEx>
        <w:trPr>
          <w:trHeight w:val="400"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46"/>
                <w:rFonts w:hint="default"/>
                <w:color w:val="auto"/>
                <w:sz w:val="21"/>
                <w:szCs w:val="21"/>
                <w:highlight w:val="none"/>
                <w:lang w:bidi="ar"/>
              </w:rPr>
            </w:pPr>
            <w:r>
              <w:rPr>
                <w:rStyle w:val="46"/>
                <w:rFonts w:hint="default"/>
                <w:color w:val="auto"/>
                <w:sz w:val="21"/>
                <w:szCs w:val="21"/>
                <w:highlight w:val="none"/>
                <w:lang w:bidi="ar"/>
              </w:rPr>
              <w:t>11</w:t>
            </w:r>
          </w:p>
        </w:tc>
        <w:tc>
          <w:tcPr>
            <w:tcW w:w="4552" w:type="pct"/>
            <w:tcBorders>
              <w:top w:val="single" w:color="auto" w:sz="4" w:space="0"/>
              <w:left w:val="nil"/>
              <w:bottom w:val="single" w:color="auto" w:sz="4" w:space="0"/>
              <w:right w:val="single" w:color="auto" w:sz="8" w:space="0"/>
            </w:tcBorders>
            <w:shd w:val="clear" w:color="auto" w:fill="auto"/>
          </w:tcPr>
          <w:p>
            <w:pPr>
              <w:widowControl/>
              <w:jc w:val="left"/>
              <w:rPr>
                <w:rStyle w:val="46"/>
                <w:rFonts w:hint="default"/>
                <w:color w:val="auto"/>
                <w:sz w:val="21"/>
                <w:szCs w:val="21"/>
                <w:highlight w:val="none"/>
                <w:lang w:bidi="ar"/>
              </w:rPr>
            </w:pPr>
            <w:r>
              <w:rPr>
                <w:rStyle w:val="46"/>
                <w:rFonts w:hint="default"/>
                <w:color w:val="auto"/>
                <w:sz w:val="21"/>
                <w:szCs w:val="21"/>
                <w:highlight w:val="none"/>
                <w:lang w:bidi="ar"/>
              </w:rPr>
              <w:t>能通过设置报考资格库来限制考生报考，只有在资格库中的考生方可报名，资格库可以按照考点和专业灵活设置；</w:t>
            </w:r>
          </w:p>
        </w:tc>
      </w:tr>
      <w:tr>
        <w:trPr>
          <w:trHeight w:val="400"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46"/>
                <w:rFonts w:hint="default"/>
                <w:color w:val="auto"/>
                <w:sz w:val="21"/>
                <w:szCs w:val="21"/>
                <w:highlight w:val="none"/>
                <w:lang w:bidi="ar"/>
              </w:rPr>
            </w:pPr>
            <w:r>
              <w:rPr>
                <w:rStyle w:val="46"/>
                <w:rFonts w:hint="default"/>
                <w:color w:val="auto"/>
                <w:sz w:val="21"/>
                <w:szCs w:val="21"/>
                <w:highlight w:val="none"/>
                <w:lang w:bidi="ar"/>
              </w:rPr>
              <w:t>12</w:t>
            </w:r>
          </w:p>
        </w:tc>
        <w:tc>
          <w:tcPr>
            <w:tcW w:w="4552" w:type="pct"/>
            <w:tcBorders>
              <w:top w:val="single" w:color="auto" w:sz="4" w:space="0"/>
              <w:left w:val="nil"/>
              <w:bottom w:val="single" w:color="auto" w:sz="4" w:space="0"/>
              <w:right w:val="single" w:color="auto" w:sz="8" w:space="0"/>
            </w:tcBorders>
            <w:shd w:val="clear" w:color="auto" w:fill="auto"/>
          </w:tcPr>
          <w:p>
            <w:pPr>
              <w:widowControl/>
              <w:jc w:val="left"/>
              <w:rPr>
                <w:rStyle w:val="46"/>
                <w:rFonts w:hint="default"/>
                <w:color w:val="auto"/>
                <w:sz w:val="21"/>
                <w:szCs w:val="21"/>
                <w:highlight w:val="none"/>
                <w:lang w:bidi="ar"/>
              </w:rPr>
            </w:pPr>
            <w:r>
              <w:rPr>
                <w:rStyle w:val="46"/>
                <w:rFonts w:hint="default"/>
                <w:color w:val="auto"/>
                <w:sz w:val="21"/>
                <w:szCs w:val="21"/>
                <w:highlight w:val="none"/>
                <w:lang w:bidi="ar"/>
              </w:rPr>
              <w:t>提供的报名应急备用系统，其功能能够符合技术需求的各项业务指标；</w:t>
            </w:r>
          </w:p>
        </w:tc>
      </w:tr>
      <w:tr>
        <w:tblPrEx>
          <w:tblCellMar>
            <w:top w:w="0" w:type="dxa"/>
            <w:left w:w="108" w:type="dxa"/>
            <w:bottom w:w="0" w:type="dxa"/>
            <w:right w:w="108" w:type="dxa"/>
          </w:tblCellMar>
        </w:tblPrEx>
        <w:trPr>
          <w:trHeight w:val="400"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46"/>
                <w:rFonts w:hint="default"/>
                <w:color w:val="auto"/>
                <w:sz w:val="21"/>
                <w:szCs w:val="21"/>
                <w:highlight w:val="none"/>
                <w:lang w:bidi="ar"/>
              </w:rPr>
            </w:pPr>
            <w:r>
              <w:rPr>
                <w:rStyle w:val="46"/>
                <w:rFonts w:hint="default"/>
                <w:color w:val="auto"/>
                <w:sz w:val="21"/>
                <w:szCs w:val="21"/>
                <w:highlight w:val="none"/>
                <w:lang w:bidi="ar"/>
              </w:rPr>
              <w:t>13</w:t>
            </w:r>
          </w:p>
        </w:tc>
        <w:tc>
          <w:tcPr>
            <w:tcW w:w="4552" w:type="pct"/>
            <w:tcBorders>
              <w:top w:val="single" w:color="auto" w:sz="4" w:space="0"/>
              <w:left w:val="nil"/>
              <w:bottom w:val="single" w:color="auto" w:sz="4" w:space="0"/>
              <w:right w:val="single" w:color="auto" w:sz="8" w:space="0"/>
            </w:tcBorders>
            <w:shd w:val="clear" w:color="auto" w:fill="auto"/>
          </w:tcPr>
          <w:p>
            <w:pPr>
              <w:widowControl/>
              <w:jc w:val="left"/>
              <w:rPr>
                <w:rStyle w:val="46"/>
                <w:rFonts w:hint="default"/>
                <w:color w:val="auto"/>
                <w:sz w:val="21"/>
                <w:szCs w:val="21"/>
                <w:highlight w:val="none"/>
                <w:lang w:bidi="ar"/>
              </w:rPr>
            </w:pPr>
            <w:r>
              <w:rPr>
                <w:rStyle w:val="46"/>
                <w:rFonts w:hint="default"/>
                <w:color w:val="auto"/>
                <w:sz w:val="21"/>
                <w:szCs w:val="21"/>
                <w:highlight w:val="none"/>
                <w:lang w:bidi="ar"/>
              </w:rPr>
              <w:t>系统程序部署采用可视化自动化部署工具；</w:t>
            </w:r>
          </w:p>
        </w:tc>
      </w:tr>
      <w:tr>
        <w:tblPrEx>
          <w:tblCellMar>
            <w:top w:w="0" w:type="dxa"/>
            <w:left w:w="108" w:type="dxa"/>
            <w:bottom w:w="0" w:type="dxa"/>
            <w:right w:w="108" w:type="dxa"/>
          </w:tblCellMar>
        </w:tblPrEx>
        <w:trPr>
          <w:trHeight w:val="400"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Style w:val="46"/>
                <w:rFonts w:hint="default"/>
                <w:color w:val="auto"/>
                <w:sz w:val="21"/>
                <w:szCs w:val="21"/>
                <w:highlight w:val="none"/>
                <w:lang w:bidi="ar"/>
              </w:rPr>
            </w:pPr>
            <w:r>
              <w:rPr>
                <w:rStyle w:val="46"/>
                <w:rFonts w:hint="default"/>
                <w:color w:val="auto"/>
                <w:sz w:val="21"/>
                <w:szCs w:val="21"/>
                <w:highlight w:val="none"/>
                <w:lang w:bidi="ar"/>
              </w:rPr>
              <w:t>14</w:t>
            </w:r>
          </w:p>
        </w:tc>
        <w:tc>
          <w:tcPr>
            <w:tcW w:w="4552" w:type="pct"/>
            <w:tcBorders>
              <w:top w:val="single" w:color="auto" w:sz="4" w:space="0"/>
              <w:left w:val="nil"/>
              <w:bottom w:val="single" w:color="auto" w:sz="8" w:space="0"/>
              <w:right w:val="single" w:color="auto" w:sz="8" w:space="0"/>
            </w:tcBorders>
            <w:shd w:val="clear" w:color="auto" w:fill="auto"/>
          </w:tcPr>
          <w:p>
            <w:pPr>
              <w:widowControl/>
              <w:jc w:val="left"/>
              <w:rPr>
                <w:rStyle w:val="46"/>
                <w:rFonts w:hint="default"/>
                <w:color w:val="auto"/>
                <w:sz w:val="21"/>
                <w:szCs w:val="21"/>
                <w:highlight w:val="none"/>
                <w:lang w:bidi="ar"/>
              </w:rPr>
            </w:pPr>
            <w:r>
              <w:rPr>
                <w:rStyle w:val="46"/>
                <w:rFonts w:hint="default"/>
                <w:color w:val="auto"/>
                <w:sz w:val="21"/>
                <w:szCs w:val="21"/>
                <w:highlight w:val="none"/>
                <w:lang w:bidi="ar"/>
              </w:rPr>
              <w:t>应用服务器和数据库服务器采用可视化监控工具进行实时监控。</w:t>
            </w:r>
          </w:p>
        </w:tc>
      </w:tr>
    </w:tbl>
    <w:p>
      <w:pPr>
        <w:pStyle w:val="2"/>
        <w:spacing w:line="30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1.2 演示时间不超过</w:t>
      </w:r>
      <w:r>
        <w:rPr>
          <w:rFonts w:hint="eastAsia" w:ascii="宋体" w:hAnsi="宋体" w:cs="宋体"/>
          <w:b/>
          <w:color w:val="auto"/>
          <w:sz w:val="21"/>
          <w:szCs w:val="21"/>
          <w:highlight w:val="none"/>
          <w:lang w:val="en-US" w:eastAsia="zh-CN"/>
        </w:rPr>
        <w:t>20</w:t>
      </w:r>
      <w:r>
        <w:rPr>
          <w:rFonts w:hint="eastAsia" w:ascii="宋体" w:hAnsi="宋体" w:cs="宋体"/>
          <w:b/>
          <w:color w:val="auto"/>
          <w:sz w:val="21"/>
          <w:szCs w:val="21"/>
          <w:highlight w:val="none"/>
        </w:rPr>
        <w:t>分钟，演示过程需要准备的器材、软件、网络等设施由供应商自行准备。</w:t>
      </w:r>
    </w:p>
    <w:p>
      <w:pPr>
        <w:pStyle w:val="2"/>
        <w:spacing w:line="30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1.3 未提供演示或采用非系统原型或DEMO的，演示分为0分。</w:t>
      </w:r>
    </w:p>
    <w:p>
      <w:pPr>
        <w:pStyle w:val="2"/>
        <w:spacing w:line="30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1.4 演示U盘：</w:t>
      </w:r>
    </w:p>
    <w:p>
      <w:pPr>
        <w:pStyle w:val="2"/>
        <w:spacing w:line="30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1.4.1 根据“电子交易/不见面开评标”原则，供应商需将以上软件演示及讲解过程录制视频，演示时长不超过20分钟以.mp4格式存储于U盘。</w:t>
      </w:r>
    </w:p>
    <w:p>
      <w:pPr>
        <w:pStyle w:val="2"/>
        <w:spacing w:line="30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1.4.2 演示U盘可以EMS或顺丰邮寄形式在响应文件提交截止时间前递交，演示U盘应当密封包装并在包装上标注演示U盘、项目名称、标项、供应商名称并加盖公章。</w:t>
      </w:r>
    </w:p>
    <w:p>
      <w:pPr>
        <w:pStyle w:val="2"/>
        <w:spacing w:line="300" w:lineRule="auto"/>
        <w:ind w:firstLine="422" w:firstLineChars="200"/>
        <w:rPr>
          <w:rFonts w:cs="Times New Roman"/>
          <w:sz w:val="21"/>
          <w:szCs w:val="21"/>
          <w:highlight w:val="none"/>
        </w:rPr>
      </w:pPr>
      <w:r>
        <w:rPr>
          <w:rFonts w:hint="eastAsia" w:ascii="宋体" w:hAnsi="宋体" w:cs="宋体"/>
          <w:b/>
          <w:color w:val="auto"/>
          <w:sz w:val="21"/>
          <w:szCs w:val="21"/>
          <w:highlight w:val="none"/>
        </w:rPr>
        <w:t>1.4.3未按磋商文件要求提供演示U盘造成评审专家无法正常评审的风险由供应商自行承担。</w:t>
      </w:r>
      <w:r>
        <w:rPr>
          <w:rFonts w:cs="Times New Roman"/>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第三章  供应商须知</w:t>
      </w:r>
    </w:p>
    <w:p>
      <w:pPr>
        <w:adjustRightInd w:val="0"/>
        <w:snapToGrid w:val="0"/>
        <w:spacing w:line="288" w:lineRule="auto"/>
        <w:jc w:val="center"/>
        <w:outlineLvl w:val="1"/>
        <w:rPr>
          <w:b/>
          <w:bCs/>
          <w:sz w:val="21"/>
          <w:szCs w:val="21"/>
          <w:highlight w:val="none"/>
        </w:rPr>
      </w:pPr>
      <w:r>
        <w:rPr>
          <w:rFonts w:hint="eastAsia"/>
          <w:b/>
          <w:bCs/>
          <w:sz w:val="21"/>
          <w:szCs w:val="21"/>
          <w:highlight w:val="none"/>
        </w:rPr>
        <w:t>供应商须知前附表</w:t>
      </w:r>
    </w:p>
    <w:tbl>
      <w:tblPr>
        <w:tblStyle w:val="1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条款号</w:t>
            </w:r>
          </w:p>
        </w:tc>
        <w:tc>
          <w:tcPr>
            <w:tcW w:w="170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c>
          <w:tcPr>
            <w:tcW w:w="6663"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（一）</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适用范围</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本磋商文件适用于中国美术学院招生系统平台信息化服务  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（二）</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采购方式</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（三）</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竞争性磋商委托</w:t>
            </w:r>
          </w:p>
        </w:tc>
        <w:tc>
          <w:tcPr>
            <w:tcW w:w="6663" w:type="dxa"/>
            <w:vAlign w:val="center"/>
          </w:tcPr>
          <w:p>
            <w:pPr>
              <w:adjustRightInd w:val="0"/>
              <w:snapToGrid w:val="0"/>
              <w:spacing w:line="288" w:lineRule="auto"/>
              <w:rPr>
                <w:sz w:val="21"/>
                <w:szCs w:val="21"/>
                <w:highlight w:val="none"/>
              </w:rPr>
            </w:pPr>
            <w:r>
              <w:rPr>
                <w:sz w:val="21"/>
                <w:szCs w:val="21"/>
                <w:highlight w:val="none"/>
              </w:rPr>
              <w:t>1</w:t>
            </w:r>
            <w:r>
              <w:rPr>
                <w:rFonts w:hint="eastAsia"/>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（四）</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磋商费用</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highlight w:val="none"/>
              </w:rPr>
            </w:pPr>
            <w:bookmarkStart w:id="28" w:name="_Hlk71808378"/>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7"/>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成交金额（万元）</w:t>
                  </w:r>
                </w:p>
              </w:tc>
              <w:tc>
                <w:tcPr>
                  <w:tcW w:w="283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4" w:type="dxa"/>
                  <w:vAlign w:val="center"/>
                </w:tcPr>
                <w:p>
                  <w:pPr>
                    <w:adjustRightInd w:val="0"/>
                    <w:snapToGrid w:val="0"/>
                    <w:spacing w:line="288" w:lineRule="auto"/>
                    <w:jc w:val="center"/>
                    <w:rPr>
                      <w:sz w:val="21"/>
                      <w:szCs w:val="21"/>
                      <w:highlight w:val="none"/>
                    </w:rPr>
                  </w:pPr>
                  <w:r>
                    <w:rPr>
                      <w:rFonts w:hint="eastAsia"/>
                      <w:sz w:val="21"/>
                      <w:szCs w:val="21"/>
                      <w:highlight w:val="none"/>
                    </w:rPr>
                    <w:t>100以下</w:t>
                  </w:r>
                </w:p>
              </w:tc>
              <w:tc>
                <w:tcPr>
                  <w:tcW w:w="2831" w:type="dxa"/>
                  <w:vAlign w:val="center"/>
                </w:tcPr>
                <w:p>
                  <w:pPr>
                    <w:adjustRightInd w:val="0"/>
                    <w:snapToGrid w:val="0"/>
                    <w:spacing w:line="288" w:lineRule="auto"/>
                    <w:jc w:val="center"/>
                    <w:rPr>
                      <w:sz w:val="21"/>
                      <w:szCs w:val="21"/>
                      <w:highlight w:val="none"/>
                    </w:rPr>
                  </w:pPr>
                  <w:r>
                    <w:rPr>
                      <w:rFonts w:hint="eastAsia"/>
                      <w:sz w:val="21"/>
                      <w:szCs w:val="21"/>
                      <w:highlight w:val="none"/>
                    </w:rPr>
                    <w:t>1.2</w:t>
                  </w:r>
                  <w:r>
                    <w:rPr>
                      <w:rFonts w:hint="eastAsia"/>
                      <w:spacing w:val="-6"/>
                      <w:sz w:val="21"/>
                      <w:szCs w:val="21"/>
                      <w:highlight w:val="none"/>
                    </w:rPr>
                    <w:t>（不足3000元按3000元计）</w:t>
                  </w:r>
                </w:p>
              </w:tc>
            </w:tr>
            <w:bookmarkEnd w:id="28"/>
          </w:tbl>
          <w:p>
            <w:pPr>
              <w:adjustRightInd w:val="0"/>
              <w:snapToGrid w:val="0"/>
              <w:spacing w:line="288" w:lineRule="auto"/>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（五）</w:t>
            </w:r>
          </w:p>
        </w:tc>
        <w:tc>
          <w:tcPr>
            <w:tcW w:w="1701" w:type="dxa"/>
            <w:vAlign w:val="center"/>
          </w:tcPr>
          <w:p>
            <w:pPr>
              <w:adjustRightInd w:val="0"/>
              <w:snapToGrid w:val="0"/>
              <w:spacing w:line="288" w:lineRule="auto"/>
              <w:jc w:val="center"/>
              <w:rPr>
                <w:sz w:val="21"/>
                <w:szCs w:val="21"/>
                <w:highlight w:val="none"/>
              </w:rPr>
            </w:pPr>
            <w:r>
              <w:rPr>
                <w:rFonts w:hint="eastAsia" w:cs="Times New Roman"/>
                <w:spacing w:val="-6"/>
                <w:sz w:val="21"/>
                <w:szCs w:val="21"/>
                <w:highlight w:val="none"/>
              </w:rPr>
              <w:t>磋商保证金（元）</w:t>
            </w:r>
          </w:p>
        </w:tc>
        <w:tc>
          <w:tcPr>
            <w:tcW w:w="6663" w:type="dxa"/>
            <w:vAlign w:val="center"/>
          </w:tcPr>
          <w:p>
            <w:pPr>
              <w:adjustRightInd w:val="0"/>
              <w:snapToGrid w:val="0"/>
              <w:spacing w:line="288" w:lineRule="auto"/>
              <w:rPr>
                <w:sz w:val="21"/>
                <w:szCs w:val="21"/>
                <w:highlight w:val="none"/>
              </w:rPr>
            </w:pPr>
            <w:r>
              <w:rPr>
                <w:rFonts w:hint="eastAsia" w:cs="Times New Roman"/>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（六）</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联合体响应</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（七）</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转包与分包</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1.本项目不允许转包；</w:t>
            </w:r>
          </w:p>
          <w:p>
            <w:pPr>
              <w:adjustRightInd w:val="0"/>
              <w:snapToGrid w:val="0"/>
              <w:spacing w:line="288" w:lineRule="auto"/>
              <w:rPr>
                <w:sz w:val="21"/>
                <w:szCs w:val="21"/>
                <w:highlight w:val="none"/>
              </w:rPr>
            </w:pPr>
            <w:r>
              <w:rPr>
                <w:rFonts w:hint="eastAsia"/>
                <w:sz w:val="21"/>
                <w:szCs w:val="21"/>
                <w:highlight w:val="none"/>
              </w:rPr>
              <w:t>2.供应商根据磋商文件的规定和采购项目的实际情况，拟在成交后将项目的非主体、非关键性工作分包的，应当在磋商文件中载明分包承担主体，分包承担主体应当具备相应资质条件且不得再次分包。依据《政府采购促进中小企业发展管理办法》（财库〔</w:t>
            </w:r>
            <w:r>
              <w:rPr>
                <w:sz w:val="21"/>
                <w:szCs w:val="21"/>
                <w:highlight w:val="none"/>
              </w:rPr>
              <w:t>2020〕46号）规定享受扶持政策获得政府采购合同的，小微企业不得将合同分包给大中型企业，中型企业不得将合同分包给大型企业。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（八）</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信用记录</w:t>
            </w:r>
          </w:p>
        </w:tc>
        <w:tc>
          <w:tcPr>
            <w:tcW w:w="6663" w:type="dxa"/>
            <w:vAlign w:val="center"/>
          </w:tcPr>
          <w:p>
            <w:pPr>
              <w:adjustRightInd w:val="0"/>
              <w:snapToGrid w:val="0"/>
              <w:spacing w:line="288" w:lineRule="auto"/>
              <w:rPr>
                <w:bCs/>
                <w:sz w:val="21"/>
                <w:szCs w:val="21"/>
                <w:highlight w:val="none"/>
              </w:rPr>
            </w:pPr>
            <w:bookmarkStart w:id="29" w:name="_Hlk71808489"/>
            <w:r>
              <w:rPr>
                <w:rFonts w:hint="eastAsia"/>
                <w:bCs/>
                <w:sz w:val="21"/>
                <w:szCs w:val="21"/>
                <w:highlight w:val="none"/>
              </w:rPr>
              <w:t>根据财库[2016]125号《关于在政府采购活动中查询及使用信用记录有关问题的通知》要求，采购代理机构会对供应商信用记录进行查询并甄别。信用</w:t>
            </w:r>
            <w:r>
              <w:rPr>
                <w:rFonts w:hint="eastAsia"/>
                <w:sz w:val="21"/>
                <w:szCs w:val="21"/>
                <w:highlight w:val="none"/>
              </w:rPr>
              <w:t>信息查询的截止时点：响应截止时间；</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（九）</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资格审查要求的资格证明材料</w:t>
            </w:r>
          </w:p>
        </w:tc>
        <w:tc>
          <w:tcPr>
            <w:tcW w:w="6663" w:type="dxa"/>
            <w:vAlign w:val="center"/>
          </w:tcPr>
          <w:p>
            <w:pPr>
              <w:adjustRightInd w:val="0"/>
              <w:snapToGrid w:val="0"/>
              <w:spacing w:line="288" w:lineRule="auto"/>
              <w:rPr>
                <w:b/>
                <w:bCs/>
                <w:sz w:val="21"/>
                <w:szCs w:val="21"/>
                <w:highlight w:val="none"/>
              </w:rPr>
            </w:pPr>
            <w:r>
              <w:rPr>
                <w:rFonts w:hint="eastAsia"/>
                <w:b/>
                <w:bCs/>
                <w:sz w:val="21"/>
                <w:szCs w:val="21"/>
                <w:highlight w:val="none"/>
              </w:rPr>
              <w:t>资格审查要求的资格证明材料(均需加盖公章)：</w:t>
            </w:r>
          </w:p>
          <w:p>
            <w:pPr>
              <w:adjustRightInd w:val="0"/>
              <w:snapToGrid w:val="0"/>
              <w:spacing w:line="288" w:lineRule="auto"/>
              <w:rPr>
                <w:b/>
                <w:bCs/>
                <w:sz w:val="21"/>
                <w:szCs w:val="21"/>
                <w:highlight w:val="none"/>
              </w:rPr>
            </w:pPr>
            <w:r>
              <w:rPr>
                <w:rFonts w:hint="eastAsia"/>
                <w:b/>
                <w:bCs/>
                <w:sz w:val="21"/>
                <w:szCs w:val="21"/>
                <w:highlight w:val="none"/>
              </w:rPr>
              <w:t>（1）有效的法人或者其他组织的营业执照等证明文件，自然人的身份证明</w:t>
            </w:r>
          </w:p>
          <w:p>
            <w:pPr>
              <w:adjustRightInd w:val="0"/>
              <w:snapToGrid w:val="0"/>
              <w:spacing w:line="288" w:lineRule="auto"/>
              <w:rPr>
                <w:rFonts w:hint="eastAsia"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资格条件承诺函</w:t>
            </w:r>
          </w:p>
          <w:p>
            <w:pPr>
              <w:adjustRightInd w:val="0"/>
              <w:snapToGrid w:val="0"/>
              <w:spacing w:line="288" w:lineRule="auto"/>
              <w:rPr>
                <w:rFonts w:hint="eastAsia"/>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（3）</w:t>
            </w:r>
            <w:r>
              <w:rPr>
                <w:b/>
                <w:bCs/>
                <w:color w:val="000000" w:themeColor="text1"/>
                <w:sz w:val="21"/>
                <w:szCs w:val="21"/>
                <w:highlight w:val="none"/>
                <w14:textFill>
                  <w14:solidFill>
                    <w14:schemeClr w14:val="tx1"/>
                  </w14:solidFill>
                </w14:textFill>
              </w:rPr>
              <w:t>落实政府采购政策需满足的资格要求：</w:t>
            </w:r>
            <w:r>
              <w:rPr>
                <w:rFonts w:hint="eastAsia"/>
                <w:color w:val="000000" w:themeColor="text1"/>
                <w:sz w:val="21"/>
                <w:szCs w:val="21"/>
                <w:highlight w:val="none"/>
                <w14:textFill>
                  <w14:solidFill>
                    <w14:schemeClr w14:val="tx1"/>
                  </w14:solidFill>
                </w14:textFill>
              </w:rPr>
              <w:t>对应的中小企业划分标准所属行业：</w:t>
            </w:r>
            <w:r>
              <w:rPr>
                <w:rFonts w:hint="eastAsia"/>
                <w:color w:val="000000" w:themeColor="text1"/>
                <w:sz w:val="21"/>
                <w:szCs w:val="21"/>
                <w:highlight w:val="none"/>
                <w:lang w:eastAsia="zh-CN"/>
                <w14:textFill>
                  <w14:solidFill>
                    <w14:schemeClr w14:val="tx1"/>
                  </w14:solidFill>
                </w14:textFill>
              </w:rPr>
              <w:t>软件和信息技术服务业</w:t>
            </w:r>
            <w:r>
              <w:rPr>
                <w:rFonts w:hint="eastAsia"/>
                <w:color w:val="000000" w:themeColor="text1"/>
                <w:sz w:val="21"/>
                <w:szCs w:val="21"/>
                <w:highlight w:val="none"/>
                <w:lang w:val="en-US" w:eastAsia="zh-CN"/>
                <w14:textFill>
                  <w14:solidFill>
                    <w14:schemeClr w14:val="tx1"/>
                  </w14:solidFill>
                </w14:textFill>
              </w:rPr>
              <w:t xml:space="preserve"> </w:t>
            </w:r>
            <w:bookmarkStart w:id="36" w:name="_GoBack"/>
            <w:bookmarkEnd w:id="36"/>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w:t>
            </w:r>
            <w:r>
              <w:rPr>
                <w:rFonts w:hint="eastAsia"/>
                <w:color w:val="000000" w:themeColor="text1"/>
                <w:sz w:val="21"/>
                <w:szCs w:val="21"/>
                <w:highlight w:val="none"/>
                <w14:textFill>
                  <w14:solidFill>
                    <w14:schemeClr w14:val="tx1"/>
                  </w14:solidFill>
                </w14:textFill>
              </w:rPr>
              <w:t>）中小企业声明函（若属于中小企业）</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r>
              <w:rPr>
                <w:rFonts w:hint="eastAsia"/>
                <w:color w:val="000000" w:themeColor="text1"/>
                <w:sz w:val="21"/>
                <w:szCs w:val="21"/>
                <w:highlight w:val="none"/>
                <w14:textFill>
                  <w14:solidFill>
                    <w14:schemeClr w14:val="tx1"/>
                  </w14:solidFill>
                </w14:textFill>
              </w:rPr>
              <w:t>）监狱企业资格证明材料（若属于监狱企业）</w:t>
            </w:r>
          </w:p>
          <w:p>
            <w:pPr>
              <w:adjustRightInd w:val="0"/>
              <w:snapToGrid w:val="0"/>
              <w:spacing w:line="288" w:lineRule="auto"/>
              <w:rPr>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r>
              <w:rPr>
                <w:rFonts w:hint="eastAsia"/>
                <w:color w:val="000000" w:themeColor="text1"/>
                <w:sz w:val="21"/>
                <w:szCs w:val="21"/>
                <w:highlight w:val="none"/>
                <w14:textFill>
                  <w14:solidFill>
                    <w14:schemeClr w14:val="tx1"/>
                  </w14:solidFill>
                </w14:textFill>
              </w:rPr>
              <w:t>）残疾人福利性单位声明函（若属于残疾人福利性单位）</w:t>
            </w:r>
          </w:p>
          <w:p>
            <w:pPr>
              <w:adjustRightInd w:val="0"/>
              <w:snapToGrid w:val="0"/>
              <w:spacing w:line="288" w:lineRule="auto"/>
              <w:rPr>
                <w:b/>
                <w:bCs/>
                <w:sz w:val="21"/>
                <w:szCs w:val="21"/>
                <w:highlight w:val="none"/>
              </w:rPr>
            </w:pPr>
            <w:r>
              <w:rPr>
                <w:rFonts w:hint="eastAsia"/>
                <w:b/>
                <w:bCs/>
                <w:color w:val="000000" w:themeColor="text1"/>
                <w:sz w:val="21"/>
                <w:szCs w:val="21"/>
                <w:highlight w:val="none"/>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4</w:t>
            </w:r>
            <w:r>
              <w:rPr>
                <w:rFonts w:hint="eastAsia"/>
                <w:b/>
                <w:bCs/>
                <w:color w:val="000000" w:themeColor="text1"/>
                <w:sz w:val="21"/>
                <w:szCs w:val="21"/>
                <w:highlight w:val="none"/>
                <w14:textFill>
                  <w14:solidFill>
                    <w14:schemeClr w14:val="tx1"/>
                  </w14:solidFill>
                </w14:textFill>
              </w:rPr>
              <w:t>）供应商特定资格条件证明材料：无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响应文件份数</w:t>
            </w:r>
          </w:p>
        </w:tc>
        <w:tc>
          <w:tcPr>
            <w:tcW w:w="6663" w:type="dxa"/>
            <w:vAlign w:val="center"/>
          </w:tcPr>
          <w:p>
            <w:pPr>
              <w:adjustRightInd w:val="0"/>
              <w:snapToGrid w:val="0"/>
              <w:spacing w:line="288" w:lineRule="auto"/>
              <w:jc w:val="left"/>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0571-87666115，寄出后将（快递单号、项目名称、标项、公司名称、联系方式等相关信息）发至：zb03@qszb.net，以便查收）。</w:t>
            </w:r>
          </w:p>
          <w:p>
            <w:pPr>
              <w:adjustRightInd w:val="0"/>
              <w:snapToGrid w:val="0"/>
              <w:spacing w:line="288" w:lineRule="auto"/>
              <w:jc w:val="left"/>
              <w:rPr>
                <w:b/>
                <w:bCs/>
                <w:sz w:val="21"/>
                <w:szCs w:val="21"/>
                <w:highlight w:val="none"/>
              </w:rPr>
            </w:pPr>
            <w:r>
              <w:rPr>
                <w:rFonts w:hint="eastAsia"/>
                <w:b/>
                <w:bCs/>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（十一）</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磋商报价</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.本次磋商采用人民币报价；</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.最后磋商报价是履行合同的最终价格，应包括履行所有规定服务所产生的全部税、费。</w:t>
            </w:r>
          </w:p>
          <w:p>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磋商小组</w:t>
            </w:r>
            <w:r>
              <w:rPr>
                <w:sz w:val="21"/>
                <w:szCs w:val="21"/>
                <w:highlight w:val="none"/>
              </w:rPr>
              <w:t>认为</w:t>
            </w:r>
            <w:r>
              <w:rPr>
                <w:rFonts w:hint="eastAsia"/>
                <w:sz w:val="21"/>
                <w:szCs w:val="21"/>
                <w:highlight w:val="none"/>
              </w:rPr>
              <w:t>供应商</w:t>
            </w:r>
            <w:r>
              <w:rPr>
                <w:sz w:val="21"/>
                <w:szCs w:val="21"/>
                <w:highlight w:val="none"/>
              </w:rPr>
              <w:t>的</w:t>
            </w:r>
            <w:r>
              <w:rPr>
                <w:rFonts w:hint="eastAsia"/>
                <w:sz w:val="21"/>
                <w:szCs w:val="21"/>
                <w:highlight w:val="none"/>
              </w:rPr>
              <w:t>最后</w:t>
            </w:r>
            <w:r>
              <w:rPr>
                <w:sz w:val="21"/>
                <w:szCs w:val="21"/>
                <w:highlight w:val="none"/>
              </w:rPr>
              <w:t>报价明显低于其他通过符合性审查</w:t>
            </w:r>
            <w:r>
              <w:rPr>
                <w:rFonts w:hint="eastAsia"/>
                <w:sz w:val="21"/>
                <w:szCs w:val="21"/>
                <w:highlight w:val="none"/>
              </w:rPr>
              <w:t>供应商</w:t>
            </w:r>
            <w:r>
              <w:rPr>
                <w:sz w:val="21"/>
                <w:szCs w:val="21"/>
                <w:highlight w:val="none"/>
              </w:rPr>
              <w:t>的</w:t>
            </w:r>
            <w:r>
              <w:rPr>
                <w:rFonts w:hint="eastAsia"/>
                <w:sz w:val="21"/>
                <w:szCs w:val="21"/>
                <w:highlight w:val="none"/>
              </w:rPr>
              <w:t>最后</w:t>
            </w:r>
            <w:r>
              <w:rPr>
                <w:sz w:val="21"/>
                <w:szCs w:val="21"/>
                <w:highlight w:val="none"/>
              </w:rPr>
              <w:t>报价，依据《政府采购货物和服务招标投标管理办法》（财政部令第87号）第六十条进行处理。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（十二）</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响应有效期</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（十三）</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评审办法及评分标准</w:t>
            </w:r>
          </w:p>
        </w:tc>
        <w:tc>
          <w:tcPr>
            <w:tcW w:w="6663" w:type="dxa"/>
            <w:vAlign w:val="center"/>
          </w:tcPr>
          <w:p>
            <w:pPr>
              <w:adjustRightInd w:val="0"/>
              <w:snapToGrid w:val="0"/>
              <w:spacing w:line="288" w:lineRule="auto"/>
              <w:rPr>
                <w:sz w:val="21"/>
                <w:szCs w:val="21"/>
                <w:highlight w:val="none"/>
              </w:rPr>
            </w:pPr>
            <w:r>
              <w:rPr>
                <w:sz w:val="21"/>
                <w:szCs w:val="21"/>
                <w:highlight w:val="none"/>
              </w:rPr>
              <w:t>详见“</w:t>
            </w:r>
            <w:r>
              <w:rPr>
                <w:rFonts w:hint="eastAsia"/>
                <w:sz w:val="21"/>
                <w:szCs w:val="21"/>
                <w:highlight w:val="none"/>
              </w:rPr>
              <w:t>第四章  评审办法及评分标准</w:t>
            </w:r>
            <w:r>
              <w:rPr>
                <w:sz w:val="21"/>
                <w:szCs w:val="21"/>
                <w:highlight w:val="none"/>
              </w:rPr>
              <w:t>”</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sz w:val="21"/>
                <w:szCs w:val="21"/>
                <w:highlight w:val="none"/>
              </w:rPr>
              <w:t>（</w:t>
            </w:r>
            <w:r>
              <w:rPr>
                <w:rFonts w:hint="eastAsia"/>
                <w:sz w:val="21"/>
                <w:szCs w:val="21"/>
                <w:highlight w:val="none"/>
              </w:rPr>
              <w:t>十四</w:t>
            </w:r>
            <w:r>
              <w:rPr>
                <w:sz w:val="21"/>
                <w:szCs w:val="21"/>
                <w:highlight w:val="none"/>
              </w:rPr>
              <w:t>）</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评审结果公示</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（十五）</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签订合同</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成交通知书发出之日起30日内。</w:t>
            </w:r>
          </w:p>
        </w:tc>
      </w:tr>
    </w:tbl>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一、总则</w:t>
      </w:r>
    </w:p>
    <w:p>
      <w:pPr>
        <w:adjustRightInd w:val="0"/>
        <w:snapToGrid w:val="0"/>
        <w:spacing w:line="288" w:lineRule="auto"/>
        <w:outlineLvl w:val="2"/>
        <w:rPr>
          <w:b/>
          <w:bCs/>
          <w:sz w:val="21"/>
          <w:szCs w:val="21"/>
          <w:highlight w:val="none"/>
        </w:rPr>
      </w:pPr>
      <w:r>
        <w:rPr>
          <w:rFonts w:hint="eastAsia"/>
          <w:b/>
          <w:bCs/>
          <w:sz w:val="21"/>
          <w:szCs w:val="21"/>
          <w:highlight w:val="none"/>
        </w:rPr>
        <w:t>（一）适用范围</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本磋商文件适用于中国美术学院招生系统平台信息化服务  的磋商、评审、成交、验收、合同履约、付款等（法律、法规另有规定的，从其规定）。</w:t>
      </w:r>
    </w:p>
    <w:p>
      <w:pPr>
        <w:adjustRightInd w:val="0"/>
        <w:snapToGrid w:val="0"/>
        <w:spacing w:line="288" w:lineRule="auto"/>
        <w:outlineLvl w:val="2"/>
        <w:rPr>
          <w:b/>
          <w:bCs/>
          <w:sz w:val="21"/>
          <w:szCs w:val="21"/>
          <w:highlight w:val="none"/>
        </w:rPr>
      </w:pPr>
      <w:r>
        <w:rPr>
          <w:rFonts w:hint="eastAsia"/>
          <w:b/>
          <w:bCs/>
          <w:sz w:val="21"/>
          <w:szCs w:val="21"/>
          <w:highlight w:val="none"/>
        </w:rPr>
        <w:t>（二）定义</w:t>
      </w:r>
    </w:p>
    <w:p>
      <w:pPr>
        <w:adjustRightInd w:val="0"/>
        <w:snapToGrid w:val="0"/>
        <w:spacing w:line="288" w:lineRule="auto"/>
        <w:ind w:firstLine="420" w:firstLineChars="200"/>
        <w:rPr>
          <w:sz w:val="21"/>
          <w:szCs w:val="21"/>
          <w:highlight w:val="none"/>
        </w:rPr>
      </w:pPr>
      <w:r>
        <w:rPr>
          <w:rFonts w:hint="eastAsia"/>
          <w:sz w:val="21"/>
          <w:szCs w:val="21"/>
          <w:highlight w:val="none"/>
        </w:rPr>
        <w:t>1.“采购人”系指中国美术学院；</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2.“采购代理机构”系指组织本次竞争性磋商的浙江求是招标代理有限公司；</w:t>
      </w:r>
    </w:p>
    <w:p>
      <w:pPr>
        <w:adjustRightInd w:val="0"/>
        <w:snapToGrid w:val="0"/>
        <w:spacing w:line="288" w:lineRule="auto"/>
        <w:ind w:firstLine="420" w:firstLineChars="200"/>
        <w:rPr>
          <w:sz w:val="21"/>
          <w:szCs w:val="21"/>
          <w:highlight w:val="none"/>
        </w:rPr>
      </w:pPr>
      <w:r>
        <w:rPr>
          <w:rFonts w:hint="eastAsia"/>
          <w:sz w:val="21"/>
          <w:szCs w:val="21"/>
          <w:highlight w:val="none"/>
        </w:rPr>
        <w:t>3.“供应商”系指响应磋商、参加竞争的法人、其他组织或者自然人；</w:t>
      </w:r>
    </w:p>
    <w:p>
      <w:pPr>
        <w:adjustRightInd w:val="0"/>
        <w:snapToGrid w:val="0"/>
        <w:spacing w:line="288" w:lineRule="auto"/>
        <w:ind w:firstLine="420" w:firstLineChars="200"/>
        <w:rPr>
          <w:sz w:val="21"/>
          <w:szCs w:val="21"/>
          <w:highlight w:val="none"/>
        </w:rPr>
      </w:pPr>
      <w:r>
        <w:rPr>
          <w:rFonts w:hint="eastAsia"/>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6.“公章”除特殊说明外系指政采云电子交易客户端（政采云投标客户端）中供应商的电子签章；</w:t>
      </w:r>
    </w:p>
    <w:p>
      <w:pPr>
        <w:adjustRightInd w:val="0"/>
        <w:snapToGrid w:val="0"/>
        <w:spacing w:line="288" w:lineRule="auto"/>
        <w:ind w:firstLine="420" w:firstLineChars="200"/>
        <w:rPr>
          <w:sz w:val="21"/>
          <w:szCs w:val="21"/>
          <w:highlight w:val="none"/>
        </w:rPr>
      </w:pPr>
      <w:r>
        <w:rPr>
          <w:rFonts w:hint="eastAsia"/>
          <w:sz w:val="21"/>
          <w:szCs w:val="21"/>
          <w:highlight w:val="none"/>
        </w:rPr>
        <w:t>7.“▲”系指实质性要求条款，供应商应当做出实质性响应。</w:t>
      </w:r>
    </w:p>
    <w:p>
      <w:pPr>
        <w:adjustRightInd w:val="0"/>
        <w:snapToGrid w:val="0"/>
        <w:spacing w:line="288" w:lineRule="auto"/>
        <w:outlineLvl w:val="2"/>
        <w:rPr>
          <w:b/>
          <w:bCs/>
          <w:sz w:val="21"/>
          <w:szCs w:val="21"/>
          <w:highlight w:val="none"/>
        </w:rPr>
      </w:pPr>
      <w:r>
        <w:rPr>
          <w:rFonts w:hint="eastAsia"/>
          <w:b/>
          <w:bCs/>
          <w:sz w:val="21"/>
          <w:szCs w:val="21"/>
          <w:highlight w:val="none"/>
        </w:rPr>
        <w:t>（三）采购方式</w:t>
      </w:r>
    </w:p>
    <w:p>
      <w:pPr>
        <w:adjustRightInd w:val="0"/>
        <w:snapToGrid w:val="0"/>
        <w:spacing w:line="288" w:lineRule="auto"/>
        <w:ind w:firstLine="420" w:firstLineChars="200"/>
        <w:rPr>
          <w:sz w:val="21"/>
          <w:szCs w:val="21"/>
          <w:highlight w:val="none"/>
        </w:rPr>
      </w:pPr>
      <w:r>
        <w:rPr>
          <w:rFonts w:hint="eastAsia"/>
          <w:sz w:val="21"/>
          <w:szCs w:val="21"/>
          <w:highlight w:val="none"/>
        </w:rPr>
        <w:t>本次采购采用竞争性磋商（线上电子交易）方式进行。</w:t>
      </w:r>
    </w:p>
    <w:p>
      <w:pPr>
        <w:adjustRightInd w:val="0"/>
        <w:snapToGrid w:val="0"/>
        <w:spacing w:line="288" w:lineRule="auto"/>
        <w:outlineLvl w:val="2"/>
        <w:rPr>
          <w:b/>
          <w:bCs/>
          <w:sz w:val="21"/>
          <w:szCs w:val="21"/>
          <w:highlight w:val="none"/>
        </w:rPr>
      </w:pPr>
      <w:r>
        <w:rPr>
          <w:rFonts w:hint="eastAsia"/>
          <w:b/>
          <w:bCs/>
          <w:sz w:val="21"/>
          <w:szCs w:val="21"/>
          <w:highlight w:val="none"/>
        </w:rPr>
        <w:t>（四）竞争性磋商委托</w:t>
      </w:r>
    </w:p>
    <w:p>
      <w:pPr>
        <w:adjustRightInd w:val="0"/>
        <w:snapToGrid w:val="0"/>
        <w:spacing w:line="288" w:lineRule="auto"/>
        <w:ind w:firstLine="420" w:firstLineChars="200"/>
        <w:rPr>
          <w:sz w:val="21"/>
          <w:szCs w:val="21"/>
          <w:highlight w:val="none"/>
        </w:rPr>
      </w:pPr>
      <w:r>
        <w:rPr>
          <w:sz w:val="21"/>
          <w:szCs w:val="21"/>
          <w:highlight w:val="none"/>
        </w:rPr>
        <w:t>1</w:t>
      </w:r>
      <w:r>
        <w:rPr>
          <w:rFonts w:hint="eastAsia"/>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pPr>
        <w:adjustRightInd w:val="0"/>
        <w:snapToGrid w:val="0"/>
        <w:spacing w:line="288" w:lineRule="auto"/>
        <w:outlineLvl w:val="2"/>
        <w:rPr>
          <w:b/>
          <w:bCs/>
          <w:sz w:val="21"/>
          <w:szCs w:val="21"/>
          <w:highlight w:val="none"/>
        </w:rPr>
      </w:pPr>
      <w:r>
        <w:rPr>
          <w:rFonts w:hint="eastAsia"/>
          <w:b/>
          <w:bCs/>
          <w:sz w:val="21"/>
          <w:szCs w:val="21"/>
          <w:highlight w:val="none"/>
        </w:rPr>
        <w:t>（五）磋商费用</w:t>
      </w:r>
    </w:p>
    <w:p>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ind w:firstLine="420" w:firstLineChars="200"/>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7"/>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成交金额（万元）</w:t>
            </w:r>
          </w:p>
        </w:tc>
        <w:tc>
          <w:tcPr>
            <w:tcW w:w="283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4" w:type="dxa"/>
            <w:vAlign w:val="center"/>
          </w:tcPr>
          <w:p>
            <w:pPr>
              <w:adjustRightInd w:val="0"/>
              <w:snapToGrid w:val="0"/>
              <w:spacing w:line="288" w:lineRule="auto"/>
              <w:jc w:val="center"/>
              <w:rPr>
                <w:sz w:val="21"/>
                <w:szCs w:val="21"/>
                <w:highlight w:val="none"/>
              </w:rPr>
            </w:pPr>
            <w:r>
              <w:rPr>
                <w:rFonts w:hint="eastAsia"/>
                <w:sz w:val="21"/>
                <w:szCs w:val="21"/>
                <w:highlight w:val="none"/>
              </w:rPr>
              <w:t>100以下</w:t>
            </w:r>
          </w:p>
        </w:tc>
        <w:tc>
          <w:tcPr>
            <w:tcW w:w="2831" w:type="dxa"/>
            <w:vAlign w:val="center"/>
          </w:tcPr>
          <w:p>
            <w:pPr>
              <w:adjustRightInd w:val="0"/>
              <w:snapToGrid w:val="0"/>
              <w:spacing w:line="288" w:lineRule="auto"/>
              <w:jc w:val="center"/>
              <w:rPr>
                <w:sz w:val="21"/>
                <w:szCs w:val="21"/>
                <w:highlight w:val="none"/>
              </w:rPr>
            </w:pPr>
            <w:r>
              <w:rPr>
                <w:rFonts w:hint="eastAsia"/>
                <w:sz w:val="21"/>
                <w:szCs w:val="21"/>
                <w:highlight w:val="none"/>
              </w:rPr>
              <w:t>1.2</w:t>
            </w:r>
            <w:r>
              <w:rPr>
                <w:rFonts w:hint="eastAsia"/>
                <w:spacing w:val="-6"/>
                <w:sz w:val="21"/>
                <w:szCs w:val="21"/>
                <w:highlight w:val="none"/>
              </w:rPr>
              <w:t>（不足3000元按3000元计）</w:t>
            </w:r>
          </w:p>
        </w:tc>
      </w:tr>
    </w:tbl>
    <w:p>
      <w:pPr>
        <w:adjustRightInd w:val="0"/>
        <w:snapToGrid w:val="0"/>
        <w:spacing w:line="288" w:lineRule="auto"/>
        <w:ind w:firstLine="420" w:firstLineChars="200"/>
        <w:rPr>
          <w:sz w:val="21"/>
          <w:szCs w:val="21"/>
          <w:highlight w:val="none"/>
        </w:rPr>
      </w:pPr>
      <w:r>
        <w:rPr>
          <w:rFonts w:hint="eastAsia"/>
          <w:sz w:val="21"/>
          <w:szCs w:val="21"/>
          <w:highlight w:val="none"/>
        </w:rPr>
        <w:t>5.磋商保证金（元）：无</w:t>
      </w:r>
    </w:p>
    <w:p>
      <w:pPr>
        <w:adjustRightInd w:val="0"/>
        <w:snapToGrid w:val="0"/>
        <w:spacing w:line="288" w:lineRule="auto"/>
        <w:outlineLvl w:val="2"/>
        <w:rPr>
          <w:b/>
          <w:bCs/>
          <w:sz w:val="21"/>
          <w:szCs w:val="21"/>
          <w:highlight w:val="none"/>
        </w:rPr>
      </w:pPr>
      <w:r>
        <w:rPr>
          <w:rFonts w:hint="eastAsia"/>
          <w:b/>
          <w:bCs/>
          <w:sz w:val="21"/>
          <w:szCs w:val="21"/>
          <w:highlight w:val="none"/>
        </w:rPr>
        <w:t>（六）联合体响应</w:t>
      </w:r>
    </w:p>
    <w:p>
      <w:pPr>
        <w:adjustRightInd w:val="0"/>
        <w:snapToGrid w:val="0"/>
        <w:spacing w:line="288" w:lineRule="auto"/>
        <w:ind w:firstLine="420" w:firstLineChars="200"/>
        <w:rPr>
          <w:sz w:val="21"/>
          <w:szCs w:val="21"/>
          <w:highlight w:val="none"/>
        </w:rPr>
      </w:pPr>
      <w:r>
        <w:rPr>
          <w:rFonts w:hint="eastAsia"/>
          <w:sz w:val="21"/>
          <w:szCs w:val="21"/>
          <w:highlight w:val="none"/>
        </w:rPr>
        <w:t>本项目不接受联合体响应。</w:t>
      </w:r>
    </w:p>
    <w:p>
      <w:pPr>
        <w:adjustRightInd w:val="0"/>
        <w:snapToGrid w:val="0"/>
        <w:spacing w:line="288" w:lineRule="auto"/>
        <w:outlineLvl w:val="2"/>
        <w:rPr>
          <w:b/>
          <w:bCs/>
          <w:sz w:val="21"/>
          <w:szCs w:val="21"/>
          <w:highlight w:val="none"/>
        </w:rPr>
      </w:pPr>
      <w:r>
        <w:rPr>
          <w:rFonts w:hint="eastAsia"/>
          <w:b/>
          <w:bCs/>
          <w:sz w:val="21"/>
          <w:szCs w:val="21"/>
          <w:highlight w:val="none"/>
        </w:rPr>
        <w:t>（七）转包与分包</w:t>
      </w:r>
    </w:p>
    <w:p>
      <w:pPr>
        <w:adjustRightInd w:val="0"/>
        <w:snapToGrid w:val="0"/>
        <w:spacing w:line="288" w:lineRule="auto"/>
        <w:ind w:firstLine="420" w:firstLineChars="200"/>
        <w:rPr>
          <w:sz w:val="21"/>
          <w:szCs w:val="21"/>
          <w:highlight w:val="none"/>
        </w:rPr>
      </w:pPr>
      <w:r>
        <w:rPr>
          <w:rFonts w:hint="eastAsia"/>
          <w:sz w:val="21"/>
          <w:szCs w:val="21"/>
          <w:highlight w:val="none"/>
        </w:rPr>
        <w:t>1.本项目不允许转包；</w:t>
      </w:r>
    </w:p>
    <w:p>
      <w:pPr>
        <w:adjustRightInd w:val="0"/>
        <w:snapToGrid w:val="0"/>
        <w:spacing w:line="288" w:lineRule="auto"/>
        <w:ind w:firstLine="420" w:firstLineChars="200"/>
        <w:rPr>
          <w:sz w:val="21"/>
          <w:szCs w:val="21"/>
          <w:highlight w:val="none"/>
        </w:rPr>
      </w:pPr>
      <w:r>
        <w:rPr>
          <w:rFonts w:hint="eastAsia"/>
          <w:sz w:val="21"/>
          <w:szCs w:val="21"/>
          <w:highlight w:val="none"/>
        </w:rPr>
        <w:t>2.供应商根据磋商文件的规定和采购项目的实际情况，拟在成交后将项目的非主体、非关键性工作分包的，应当在磋商文件中载明分包承担主体，分包承担主体应当具备相应资质条件且不得再次分包。依据《政府采购促进中小企业发展管理办法》（财库〔</w:t>
      </w:r>
      <w:r>
        <w:rPr>
          <w:sz w:val="21"/>
          <w:szCs w:val="21"/>
          <w:highlight w:val="none"/>
        </w:rPr>
        <w:t>2020〕46号）规定享受扶持政策获得政府采购合同的，小微企业不得将合同分包给大中型企业，中型企业不得将合同分包给大型企业。</w:t>
      </w:r>
    </w:p>
    <w:p>
      <w:pPr>
        <w:adjustRightInd w:val="0"/>
        <w:snapToGrid w:val="0"/>
        <w:spacing w:line="288" w:lineRule="auto"/>
        <w:outlineLvl w:val="2"/>
        <w:rPr>
          <w:b/>
          <w:bCs/>
          <w:sz w:val="21"/>
          <w:szCs w:val="21"/>
          <w:highlight w:val="none"/>
        </w:rPr>
      </w:pPr>
      <w:r>
        <w:rPr>
          <w:rFonts w:hint="eastAsia"/>
          <w:b/>
          <w:bCs/>
          <w:sz w:val="21"/>
          <w:szCs w:val="21"/>
          <w:highlight w:val="none"/>
        </w:rPr>
        <w:t>（八）特别说明</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1.供应商应仔细阅读磋商文件的所有内容，按照磋商文件的要求提交响应文件，并对所提供的全部资料的真实性承担法律责任。</w:t>
      </w:r>
    </w:p>
    <w:p>
      <w:pPr>
        <w:adjustRightInd w:val="0"/>
        <w:snapToGrid w:val="0"/>
        <w:spacing w:line="288" w:lineRule="auto"/>
        <w:ind w:firstLine="420" w:firstLineChars="200"/>
        <w:rPr>
          <w:sz w:val="21"/>
          <w:szCs w:val="21"/>
          <w:highlight w:val="none"/>
        </w:rPr>
      </w:pPr>
      <w:r>
        <w:rPr>
          <w:rFonts w:hint="eastAsia"/>
          <w:sz w:val="21"/>
          <w:szCs w:val="21"/>
          <w:highlight w:val="none"/>
        </w:rPr>
        <w:t>▲2.单位负责人为同一人或者存在直接控股、管理关系的不同供应商，不得参加同一合同项下的政府采购活动。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▲3.为采购项目提供整体设计、规范编制或者项目管理、监理、检测等服务的供应商，不得再参加该采购项目的其他采购活动。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w:t>
      </w:r>
      <w:r>
        <w:rPr>
          <w:b/>
          <w:bCs/>
          <w:sz w:val="21"/>
          <w:szCs w:val="21"/>
          <w:highlight w:val="none"/>
        </w:rPr>
        <w:t>.</w:t>
      </w:r>
      <w:r>
        <w:rPr>
          <w:rFonts w:hint="eastAsia"/>
          <w:b/>
          <w:bCs/>
          <w:sz w:val="21"/>
          <w:szCs w:val="21"/>
          <w:highlight w:val="none"/>
        </w:rPr>
        <w:t>信用记录：</w:t>
      </w:r>
    </w:p>
    <w:p>
      <w:pPr>
        <w:adjustRightInd w:val="0"/>
        <w:snapToGrid w:val="0"/>
        <w:spacing w:line="288" w:lineRule="auto"/>
        <w:ind w:firstLine="420" w:firstLineChars="200"/>
        <w:rPr>
          <w:bCs/>
          <w:sz w:val="21"/>
          <w:szCs w:val="21"/>
          <w:highlight w:val="none"/>
        </w:rPr>
      </w:pPr>
      <w:r>
        <w:rPr>
          <w:rFonts w:hint="eastAsia"/>
          <w:bCs/>
          <w:sz w:val="21"/>
          <w:szCs w:val="21"/>
          <w:highlight w:val="none"/>
        </w:rPr>
        <w:t>根据财库[2016]125号《关于在政府采购活动中查询及使用信用记录有关问题的通知》要求，采购代理机构会对供应商信用记录进行查询并甄别。信用</w:t>
      </w:r>
      <w:r>
        <w:rPr>
          <w:rFonts w:hint="eastAsia"/>
          <w:sz w:val="21"/>
          <w:szCs w:val="21"/>
          <w:highlight w:val="none"/>
        </w:rPr>
        <w:t>信息查询的截止时点：响应截止时间；</w:t>
      </w:r>
    </w:p>
    <w:p>
      <w:pPr>
        <w:adjustRightInd w:val="0"/>
        <w:snapToGrid w:val="0"/>
        <w:spacing w:line="288" w:lineRule="auto"/>
        <w:ind w:firstLine="424" w:firstLineChars="202"/>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ind w:firstLine="424" w:firstLineChars="202"/>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ind w:firstLine="424" w:firstLineChars="202"/>
        <w:rPr>
          <w:b/>
          <w:bCs/>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outlineLvl w:val="2"/>
        <w:rPr>
          <w:b/>
          <w:bCs/>
          <w:sz w:val="21"/>
          <w:szCs w:val="21"/>
          <w:highlight w:val="none"/>
        </w:rPr>
      </w:pPr>
      <w:r>
        <w:rPr>
          <w:rFonts w:hint="eastAsia"/>
          <w:b/>
          <w:bCs/>
          <w:sz w:val="21"/>
          <w:szCs w:val="21"/>
          <w:highlight w:val="none"/>
        </w:rPr>
        <w:t>（九）质疑和投诉</w:t>
      </w:r>
    </w:p>
    <w:p>
      <w:pPr>
        <w:adjustRightInd w:val="0"/>
        <w:snapToGrid w:val="0"/>
        <w:spacing w:line="288" w:lineRule="auto"/>
        <w:ind w:firstLine="420" w:firstLineChars="200"/>
        <w:rPr>
          <w:sz w:val="21"/>
          <w:szCs w:val="21"/>
          <w:highlight w:val="none"/>
        </w:rPr>
      </w:pPr>
      <w:bookmarkStart w:id="30" w:name="_Hlk71884065"/>
      <w:r>
        <w:rPr>
          <w:rFonts w:hint="eastAsia"/>
          <w:sz w:val="21"/>
          <w:szCs w:val="21"/>
          <w:highlight w:val="none"/>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2.供应商提出质疑应当提交质疑函和必要的证明材料，质疑函范本、投诉书范本请到浙江政府采购网下载专区</w:t>
      </w:r>
      <w:r>
        <w:rPr>
          <w:b/>
          <w:bCs/>
          <w:sz w:val="21"/>
          <w:szCs w:val="21"/>
          <w:highlight w:val="none"/>
        </w:rPr>
        <w:t>下载。</w:t>
      </w:r>
      <w:r>
        <w:rPr>
          <w:rFonts w:hint="eastAsia"/>
          <w:b/>
          <w:bCs/>
          <w:sz w:val="21"/>
          <w:szCs w:val="21"/>
          <w:highlight w:val="none"/>
        </w:rPr>
        <w:t>质疑函应当包括下列内容：</w:t>
      </w:r>
    </w:p>
    <w:p>
      <w:pPr>
        <w:adjustRightInd w:val="0"/>
        <w:snapToGrid w:val="0"/>
        <w:spacing w:line="288" w:lineRule="auto"/>
        <w:ind w:firstLine="420" w:firstLineChars="200"/>
        <w:rPr>
          <w:sz w:val="21"/>
          <w:szCs w:val="21"/>
          <w:highlight w:val="none"/>
        </w:rPr>
      </w:pPr>
      <w:r>
        <w:rPr>
          <w:rFonts w:hint="eastAsia"/>
          <w:sz w:val="21"/>
          <w:szCs w:val="21"/>
          <w:highlight w:val="none"/>
        </w:rPr>
        <w:t>（一）供应商的姓名或者名称、地址、邮编、联系人及联系电话；</w:t>
      </w:r>
    </w:p>
    <w:p>
      <w:pPr>
        <w:adjustRightInd w:val="0"/>
        <w:snapToGrid w:val="0"/>
        <w:spacing w:line="288" w:lineRule="auto"/>
        <w:ind w:firstLine="420" w:firstLineChars="200"/>
        <w:rPr>
          <w:sz w:val="21"/>
          <w:szCs w:val="21"/>
          <w:highlight w:val="none"/>
        </w:rPr>
      </w:pPr>
      <w:r>
        <w:rPr>
          <w:rFonts w:hint="eastAsia"/>
          <w:sz w:val="21"/>
          <w:szCs w:val="21"/>
          <w:highlight w:val="none"/>
        </w:rPr>
        <w:t>（二）质疑项目的名称、编号；</w:t>
      </w:r>
    </w:p>
    <w:p>
      <w:pPr>
        <w:adjustRightInd w:val="0"/>
        <w:snapToGrid w:val="0"/>
        <w:spacing w:line="288" w:lineRule="auto"/>
        <w:ind w:firstLine="420" w:firstLineChars="200"/>
        <w:rPr>
          <w:sz w:val="21"/>
          <w:szCs w:val="21"/>
          <w:highlight w:val="none"/>
        </w:rPr>
      </w:pPr>
      <w:r>
        <w:rPr>
          <w:rFonts w:hint="eastAsia"/>
          <w:sz w:val="21"/>
          <w:szCs w:val="21"/>
          <w:highlight w:val="none"/>
        </w:rPr>
        <w:t>（三）具体、明确的质疑事项和与质疑事项相关的请求；</w:t>
      </w:r>
    </w:p>
    <w:p>
      <w:pPr>
        <w:adjustRightInd w:val="0"/>
        <w:snapToGrid w:val="0"/>
        <w:spacing w:line="288" w:lineRule="auto"/>
        <w:ind w:firstLine="420" w:firstLineChars="200"/>
        <w:rPr>
          <w:sz w:val="21"/>
          <w:szCs w:val="21"/>
          <w:highlight w:val="none"/>
        </w:rPr>
      </w:pPr>
      <w:r>
        <w:rPr>
          <w:rFonts w:hint="eastAsia"/>
          <w:sz w:val="21"/>
          <w:szCs w:val="21"/>
          <w:highlight w:val="none"/>
        </w:rPr>
        <w:t>（四）事实依据；</w:t>
      </w:r>
    </w:p>
    <w:p>
      <w:pPr>
        <w:adjustRightInd w:val="0"/>
        <w:snapToGrid w:val="0"/>
        <w:spacing w:line="288" w:lineRule="auto"/>
        <w:ind w:firstLine="420" w:firstLineChars="200"/>
        <w:rPr>
          <w:sz w:val="21"/>
          <w:szCs w:val="21"/>
          <w:highlight w:val="none"/>
        </w:rPr>
      </w:pPr>
      <w:r>
        <w:rPr>
          <w:rFonts w:hint="eastAsia"/>
          <w:sz w:val="21"/>
          <w:szCs w:val="21"/>
          <w:highlight w:val="none"/>
        </w:rPr>
        <w:t>（五）必要的法律依据；</w:t>
      </w:r>
    </w:p>
    <w:p>
      <w:pPr>
        <w:adjustRightInd w:val="0"/>
        <w:snapToGrid w:val="0"/>
        <w:spacing w:line="288" w:lineRule="auto"/>
        <w:ind w:firstLine="420" w:firstLineChars="200"/>
        <w:rPr>
          <w:sz w:val="21"/>
          <w:szCs w:val="21"/>
          <w:highlight w:val="none"/>
        </w:rPr>
      </w:pPr>
      <w:r>
        <w:rPr>
          <w:rFonts w:hint="eastAsia"/>
          <w:sz w:val="21"/>
          <w:szCs w:val="21"/>
          <w:highlight w:val="none"/>
        </w:rPr>
        <w:t>（六）提出质疑的日期。</w:t>
      </w:r>
    </w:p>
    <w:p>
      <w:pPr>
        <w:adjustRightInd w:val="0"/>
        <w:snapToGrid w:val="0"/>
        <w:spacing w:line="288" w:lineRule="auto"/>
        <w:ind w:firstLine="420" w:firstLineChars="200"/>
        <w:rPr>
          <w:sz w:val="21"/>
          <w:szCs w:val="21"/>
          <w:highlight w:val="none"/>
        </w:rPr>
      </w:pPr>
      <w:r>
        <w:rPr>
          <w:rFonts w:hint="eastAsia"/>
          <w:sz w:val="21"/>
          <w:szCs w:val="21"/>
          <w:highlight w:val="none"/>
        </w:rPr>
        <w:t>供应商为自然人的，应当由本人签字；供应商为法人或者其他组织的，应当由法定代表人、主要负责人，或者其授权代表签字或者盖章，并加盖公章。</w:t>
      </w:r>
    </w:p>
    <w:p>
      <w:pPr>
        <w:adjustRightInd w:val="0"/>
        <w:snapToGrid w:val="0"/>
        <w:spacing w:line="288" w:lineRule="auto"/>
        <w:ind w:firstLine="420" w:firstLineChars="200"/>
        <w:rPr>
          <w:b/>
          <w:bCs/>
          <w:sz w:val="21"/>
          <w:szCs w:val="21"/>
          <w:highlight w:val="none"/>
        </w:rPr>
      </w:pPr>
      <w:r>
        <w:rPr>
          <w:rFonts w:hint="eastAsia"/>
          <w:sz w:val="21"/>
          <w:szCs w:val="21"/>
          <w:highlight w:val="none"/>
        </w:rPr>
        <w:t>3.提出质疑的供应商应当是参与本项目磋商响应活动的供应商。</w:t>
      </w:r>
      <w:r>
        <w:rPr>
          <w:rFonts w:hint="eastAsia"/>
          <w:b/>
          <w:bCs/>
          <w:sz w:val="21"/>
          <w:szCs w:val="21"/>
          <w:highlight w:val="none"/>
        </w:rPr>
        <w:t>供应商在法定质疑期内应一次性提出针对同一采购程序环节的质疑。</w:t>
      </w:r>
    </w:p>
    <w:p>
      <w:pPr>
        <w:adjustRightInd w:val="0"/>
        <w:snapToGrid w:val="0"/>
        <w:spacing w:line="288" w:lineRule="auto"/>
        <w:ind w:firstLine="420" w:firstLineChars="200"/>
        <w:rPr>
          <w:sz w:val="21"/>
          <w:szCs w:val="21"/>
          <w:highlight w:val="none"/>
        </w:rPr>
      </w:pPr>
      <w:r>
        <w:rPr>
          <w:rFonts w:hint="eastAsia"/>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highlight w:val="none"/>
        </w:rPr>
      </w:pPr>
      <w:r>
        <w:rPr>
          <w:rFonts w:hint="eastAsia"/>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（一）捏造事实；</w:t>
      </w:r>
    </w:p>
    <w:p>
      <w:pPr>
        <w:adjustRightInd w:val="0"/>
        <w:snapToGrid w:val="0"/>
        <w:spacing w:line="288" w:lineRule="auto"/>
        <w:ind w:firstLine="420" w:firstLineChars="200"/>
        <w:rPr>
          <w:sz w:val="21"/>
          <w:szCs w:val="21"/>
          <w:highlight w:val="none"/>
        </w:rPr>
      </w:pPr>
      <w:r>
        <w:rPr>
          <w:rFonts w:hint="eastAsia"/>
          <w:sz w:val="21"/>
          <w:szCs w:val="21"/>
          <w:highlight w:val="none"/>
        </w:rPr>
        <w:t>（二）提供虚假材料；</w:t>
      </w:r>
    </w:p>
    <w:p>
      <w:pPr>
        <w:adjustRightInd w:val="0"/>
        <w:snapToGrid w:val="0"/>
        <w:spacing w:line="288" w:lineRule="auto"/>
        <w:ind w:firstLine="420" w:firstLineChars="200"/>
        <w:rPr>
          <w:sz w:val="21"/>
          <w:szCs w:val="21"/>
          <w:highlight w:val="none"/>
        </w:rPr>
      </w:pPr>
      <w:r>
        <w:rPr>
          <w:rFonts w:hint="eastAsia"/>
          <w:sz w:val="21"/>
          <w:szCs w:val="21"/>
          <w:highlight w:val="none"/>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b/>
          <w:spacing w:val="-6"/>
          <w:kern w:val="0"/>
          <w:sz w:val="21"/>
          <w:szCs w:val="21"/>
          <w:highlight w:val="none"/>
        </w:rPr>
      </w:pPr>
      <w:r>
        <w:rPr>
          <w:b/>
          <w:spacing w:val="-6"/>
          <w:kern w:val="0"/>
          <w:sz w:val="21"/>
          <w:szCs w:val="21"/>
          <w:highlight w:val="none"/>
        </w:rPr>
        <w:t>（</w:t>
      </w:r>
      <w:r>
        <w:rPr>
          <w:rFonts w:hint="eastAsia"/>
          <w:b/>
          <w:spacing w:val="-6"/>
          <w:kern w:val="0"/>
          <w:sz w:val="21"/>
          <w:szCs w:val="21"/>
          <w:highlight w:val="none"/>
        </w:rPr>
        <w:t>十</w:t>
      </w:r>
      <w:r>
        <w:rPr>
          <w:b/>
          <w:spacing w:val="-6"/>
          <w:kern w:val="0"/>
          <w:sz w:val="21"/>
          <w:szCs w:val="21"/>
          <w:highlight w:val="none"/>
        </w:rPr>
        <w:t>）</w:t>
      </w:r>
      <w:r>
        <w:rPr>
          <w:rFonts w:hint="eastAsia"/>
          <w:b/>
          <w:spacing w:val="-6"/>
          <w:kern w:val="0"/>
          <w:sz w:val="21"/>
          <w:szCs w:val="21"/>
          <w:highlight w:val="none"/>
        </w:rPr>
        <w:t>中小企业说明</w:t>
      </w:r>
    </w:p>
    <w:p>
      <w:pPr>
        <w:pStyle w:val="7"/>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7"/>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符合中小企业划分标准的个体工商户，在政府采购活动中视同中小企业。</w:t>
      </w:r>
    </w:p>
    <w:p>
      <w:pPr>
        <w:pStyle w:val="7"/>
        <w:adjustRightInd w:val="0"/>
        <w:snapToGrid w:val="0"/>
        <w:spacing w:line="288" w:lineRule="auto"/>
        <w:ind w:firstLine="398" w:firstLineChars="200"/>
        <w:jc w:val="left"/>
        <w:rPr>
          <w:rFonts w:hAnsi="宋体"/>
          <w:spacing w:val="-6"/>
          <w:sz w:val="21"/>
          <w:szCs w:val="21"/>
          <w:highlight w:val="none"/>
          <w:u w:val="single"/>
        </w:rPr>
      </w:pPr>
      <w:r>
        <w:rPr>
          <w:rFonts w:hint="eastAsia" w:hAnsi="宋体"/>
          <w:b/>
          <w:bCs/>
          <w:spacing w:val="-6"/>
          <w:sz w:val="21"/>
          <w:szCs w:val="21"/>
          <w:highlight w:val="none"/>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bookmarkEnd w:id="30"/>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二、磋商文件</w:t>
      </w:r>
    </w:p>
    <w:p>
      <w:pPr>
        <w:adjustRightInd w:val="0"/>
        <w:snapToGrid w:val="0"/>
        <w:spacing w:line="288" w:lineRule="auto"/>
        <w:outlineLvl w:val="2"/>
        <w:rPr>
          <w:b/>
          <w:bCs/>
          <w:sz w:val="21"/>
          <w:szCs w:val="21"/>
          <w:highlight w:val="none"/>
        </w:rPr>
      </w:pPr>
      <w:r>
        <w:rPr>
          <w:rFonts w:hint="eastAsia"/>
          <w:b/>
          <w:bCs/>
          <w:sz w:val="21"/>
          <w:szCs w:val="21"/>
          <w:highlight w:val="none"/>
        </w:rPr>
        <w:t>（一）磋商文件的构成</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本磋商文件由以下部份组成：</w:t>
      </w:r>
    </w:p>
    <w:p>
      <w:pPr>
        <w:adjustRightInd w:val="0"/>
        <w:snapToGrid w:val="0"/>
        <w:spacing w:line="288" w:lineRule="auto"/>
        <w:ind w:firstLine="420" w:firstLineChars="200"/>
        <w:rPr>
          <w:sz w:val="21"/>
          <w:szCs w:val="21"/>
          <w:highlight w:val="none"/>
        </w:rPr>
      </w:pPr>
      <w:r>
        <w:rPr>
          <w:rFonts w:hint="eastAsia"/>
          <w:sz w:val="21"/>
          <w:szCs w:val="21"/>
          <w:highlight w:val="none"/>
        </w:rPr>
        <w:t>1.采购邀请</w:t>
      </w:r>
    </w:p>
    <w:p>
      <w:pPr>
        <w:adjustRightInd w:val="0"/>
        <w:snapToGrid w:val="0"/>
        <w:spacing w:line="288" w:lineRule="auto"/>
        <w:ind w:firstLine="420" w:firstLineChars="200"/>
        <w:rPr>
          <w:sz w:val="21"/>
          <w:szCs w:val="21"/>
          <w:highlight w:val="none"/>
        </w:rPr>
      </w:pPr>
      <w:r>
        <w:rPr>
          <w:rFonts w:hint="eastAsia"/>
          <w:sz w:val="21"/>
          <w:szCs w:val="21"/>
          <w:highlight w:val="none"/>
        </w:rPr>
        <w:t>2.采购需求</w:t>
      </w:r>
    </w:p>
    <w:p>
      <w:pPr>
        <w:adjustRightInd w:val="0"/>
        <w:snapToGrid w:val="0"/>
        <w:spacing w:line="288" w:lineRule="auto"/>
        <w:ind w:firstLine="420" w:firstLineChars="200"/>
        <w:rPr>
          <w:sz w:val="21"/>
          <w:szCs w:val="21"/>
          <w:highlight w:val="none"/>
        </w:rPr>
      </w:pPr>
      <w:r>
        <w:rPr>
          <w:rFonts w:hint="eastAsia"/>
          <w:sz w:val="21"/>
          <w:szCs w:val="21"/>
          <w:highlight w:val="none"/>
        </w:rPr>
        <w:t>3.供应商须知</w:t>
      </w:r>
    </w:p>
    <w:p>
      <w:pPr>
        <w:adjustRightInd w:val="0"/>
        <w:snapToGrid w:val="0"/>
        <w:spacing w:line="288" w:lineRule="auto"/>
        <w:ind w:firstLine="420" w:firstLineChars="200"/>
        <w:rPr>
          <w:sz w:val="21"/>
          <w:szCs w:val="21"/>
          <w:highlight w:val="none"/>
        </w:rPr>
      </w:pPr>
      <w:r>
        <w:rPr>
          <w:rFonts w:hint="eastAsia"/>
          <w:sz w:val="21"/>
          <w:szCs w:val="21"/>
          <w:highlight w:val="none"/>
        </w:rPr>
        <w:t>4.评审办法及评分标准</w:t>
      </w:r>
    </w:p>
    <w:p>
      <w:pPr>
        <w:adjustRightInd w:val="0"/>
        <w:snapToGrid w:val="0"/>
        <w:spacing w:line="288" w:lineRule="auto"/>
        <w:ind w:firstLine="420" w:firstLineChars="200"/>
        <w:rPr>
          <w:sz w:val="21"/>
          <w:szCs w:val="21"/>
          <w:highlight w:val="none"/>
        </w:rPr>
      </w:pPr>
      <w:r>
        <w:rPr>
          <w:rFonts w:hint="eastAsia"/>
          <w:sz w:val="21"/>
          <w:szCs w:val="21"/>
          <w:highlight w:val="none"/>
        </w:rPr>
        <w:t>5.拟签订的合同文本</w:t>
      </w:r>
    </w:p>
    <w:p>
      <w:pPr>
        <w:adjustRightInd w:val="0"/>
        <w:snapToGrid w:val="0"/>
        <w:spacing w:line="288" w:lineRule="auto"/>
        <w:ind w:firstLine="420" w:firstLineChars="200"/>
        <w:rPr>
          <w:sz w:val="21"/>
          <w:szCs w:val="21"/>
          <w:highlight w:val="none"/>
        </w:rPr>
      </w:pPr>
      <w:r>
        <w:rPr>
          <w:rFonts w:hint="eastAsia"/>
          <w:sz w:val="21"/>
          <w:szCs w:val="21"/>
          <w:highlight w:val="none"/>
        </w:rPr>
        <w:t>6.响应文件格式</w:t>
      </w:r>
    </w:p>
    <w:p>
      <w:pPr>
        <w:adjustRightInd w:val="0"/>
        <w:snapToGrid w:val="0"/>
        <w:spacing w:line="288" w:lineRule="auto"/>
        <w:ind w:firstLine="420" w:firstLineChars="200"/>
        <w:rPr>
          <w:sz w:val="21"/>
          <w:szCs w:val="21"/>
          <w:highlight w:val="none"/>
        </w:rPr>
      </w:pPr>
      <w:r>
        <w:rPr>
          <w:rFonts w:hint="eastAsia"/>
          <w:sz w:val="21"/>
          <w:szCs w:val="21"/>
          <w:highlight w:val="none"/>
        </w:rPr>
        <w:t>7.本项目磋商文件的澄清、答复、修改、补充的内容</w:t>
      </w:r>
    </w:p>
    <w:p>
      <w:pPr>
        <w:adjustRightInd w:val="0"/>
        <w:snapToGrid w:val="0"/>
        <w:spacing w:line="288" w:lineRule="auto"/>
        <w:outlineLvl w:val="2"/>
        <w:rPr>
          <w:b/>
          <w:bCs/>
          <w:sz w:val="21"/>
          <w:szCs w:val="21"/>
          <w:highlight w:val="none"/>
        </w:rPr>
      </w:pPr>
      <w:r>
        <w:rPr>
          <w:rFonts w:hint="eastAsia"/>
          <w:b/>
          <w:bCs/>
          <w:sz w:val="21"/>
          <w:szCs w:val="21"/>
          <w:highlight w:val="none"/>
        </w:rPr>
        <w:t>（二）供应商的风险</w:t>
      </w:r>
    </w:p>
    <w:p>
      <w:pPr>
        <w:adjustRightInd w:val="0"/>
        <w:snapToGrid w:val="0"/>
        <w:spacing w:line="288" w:lineRule="auto"/>
        <w:ind w:firstLine="420" w:firstLineChars="200"/>
        <w:rPr>
          <w:sz w:val="21"/>
          <w:szCs w:val="21"/>
          <w:highlight w:val="none"/>
        </w:rPr>
      </w:pPr>
      <w:r>
        <w:rPr>
          <w:rFonts w:hint="eastAsia"/>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outlineLvl w:val="2"/>
        <w:rPr>
          <w:b/>
          <w:bCs/>
          <w:sz w:val="21"/>
          <w:szCs w:val="21"/>
          <w:highlight w:val="none"/>
        </w:rPr>
      </w:pPr>
      <w:r>
        <w:rPr>
          <w:rFonts w:hint="eastAsia"/>
          <w:b/>
          <w:bCs/>
          <w:sz w:val="21"/>
          <w:szCs w:val="21"/>
          <w:highlight w:val="none"/>
        </w:rPr>
        <w:t>（三）磋商文件的澄清与修改</w:t>
      </w:r>
    </w:p>
    <w:p>
      <w:pPr>
        <w:adjustRightInd w:val="0"/>
        <w:snapToGrid w:val="0"/>
        <w:spacing w:line="288" w:lineRule="auto"/>
        <w:ind w:firstLine="420" w:firstLineChars="200"/>
        <w:rPr>
          <w:sz w:val="21"/>
          <w:szCs w:val="21"/>
          <w:highlight w:val="none"/>
        </w:rPr>
      </w:pPr>
      <w:r>
        <w:rPr>
          <w:rFonts w:hint="eastAsia"/>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highlight w:val="none"/>
        </w:rPr>
      </w:pPr>
      <w:r>
        <w:rPr>
          <w:rFonts w:hint="eastAsia"/>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highlight w:val="none"/>
        </w:rPr>
      </w:pPr>
      <w:r>
        <w:rPr>
          <w:rFonts w:hint="eastAsia"/>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highlight w:val="none"/>
        </w:rPr>
      </w:pPr>
      <w:r>
        <w:rPr>
          <w:rFonts w:hint="eastAsia"/>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highlight w:val="none"/>
        </w:rPr>
      </w:pPr>
      <w:r>
        <w:rPr>
          <w:rFonts w:hint="eastAsia"/>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三、响应文件的编制</w:t>
      </w:r>
    </w:p>
    <w:p>
      <w:pPr>
        <w:adjustRightInd w:val="0"/>
        <w:snapToGrid w:val="0"/>
        <w:spacing w:line="288" w:lineRule="auto"/>
        <w:outlineLvl w:val="2"/>
        <w:rPr>
          <w:b/>
          <w:bCs/>
          <w:sz w:val="21"/>
          <w:szCs w:val="21"/>
          <w:highlight w:val="none"/>
        </w:rPr>
      </w:pPr>
      <w:r>
        <w:rPr>
          <w:rFonts w:hint="eastAsia"/>
          <w:b/>
          <w:bCs/>
          <w:sz w:val="21"/>
          <w:szCs w:val="21"/>
          <w:highlight w:val="none"/>
        </w:rPr>
        <w:t>（一）响应文件的组成</w:t>
      </w:r>
    </w:p>
    <w:p>
      <w:pPr>
        <w:adjustRightInd w:val="0"/>
        <w:snapToGrid w:val="0"/>
        <w:spacing w:line="288" w:lineRule="auto"/>
        <w:ind w:firstLine="420" w:firstLineChars="200"/>
        <w:rPr>
          <w:sz w:val="21"/>
          <w:szCs w:val="21"/>
          <w:highlight w:val="none"/>
        </w:rPr>
      </w:pPr>
      <w:r>
        <w:rPr>
          <w:rFonts w:hint="eastAsia"/>
          <w:sz w:val="21"/>
          <w:szCs w:val="21"/>
          <w:highlight w:val="none"/>
        </w:rPr>
        <w:t>响应文件由</w:t>
      </w:r>
      <w:r>
        <w:rPr>
          <w:rFonts w:hint="eastAsia"/>
          <w:b/>
          <w:bCs/>
          <w:sz w:val="21"/>
          <w:szCs w:val="21"/>
          <w:highlight w:val="none"/>
        </w:rPr>
        <w:t>资格文件、报价文件、商务和技术文件</w:t>
      </w:r>
      <w:r>
        <w:rPr>
          <w:rFonts w:hint="eastAsia"/>
          <w:sz w:val="21"/>
          <w:szCs w:val="21"/>
          <w:highlight w:val="none"/>
        </w:rPr>
        <w:t>三部分组成（格式详见磋商文件第六章）。</w:t>
      </w:r>
    </w:p>
    <w:p>
      <w:pPr>
        <w:adjustRightInd w:val="0"/>
        <w:snapToGrid w:val="0"/>
        <w:spacing w:line="288" w:lineRule="auto"/>
        <w:ind w:firstLine="422" w:firstLineChars="200"/>
        <w:rPr>
          <w:b/>
          <w:bCs/>
          <w:sz w:val="21"/>
          <w:szCs w:val="21"/>
          <w:highlight w:val="none"/>
        </w:rPr>
      </w:pPr>
      <w:bookmarkStart w:id="31" w:name="_Hlk71884160"/>
      <w:r>
        <w:rPr>
          <w:rFonts w:hint="eastAsia"/>
          <w:b/>
          <w:bCs/>
          <w:sz w:val="21"/>
          <w:szCs w:val="21"/>
          <w:highlight w:val="none"/>
        </w:rPr>
        <w:t>▲1.资格文件（单独上传）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bookmarkEnd w:id="31"/>
    </w:p>
    <w:p>
      <w:pPr>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sz w:val="21"/>
          <w:szCs w:val="21"/>
          <w:highlight w:val="none"/>
        </w:rPr>
      </w:pPr>
      <w:bookmarkStart w:id="32" w:name="_Hlk71884127"/>
      <w:r>
        <w:rPr>
          <w:rFonts w:hint="eastAsia"/>
          <w:b/>
          <w:bCs/>
          <w:sz w:val="21"/>
          <w:szCs w:val="21"/>
          <w:highlight w:val="none"/>
        </w:rPr>
        <w:t>（</w:t>
      </w:r>
      <w:r>
        <w:rPr>
          <w:b/>
          <w:bCs/>
          <w:sz w:val="21"/>
          <w:szCs w:val="21"/>
          <w:highlight w:val="none"/>
        </w:rPr>
        <w:t>2）资格条件承诺函</w:t>
      </w:r>
      <w:bookmarkEnd w:id="32"/>
    </w:p>
    <w:p>
      <w:pPr>
        <w:adjustRightInd w:val="0"/>
        <w:snapToGrid w:val="0"/>
        <w:spacing w:line="288" w:lineRule="auto"/>
        <w:ind w:firstLine="420" w:firstLineChars="200"/>
        <w:rPr>
          <w:sz w:val="21"/>
          <w:szCs w:val="21"/>
          <w:highlight w:val="none"/>
        </w:rPr>
      </w:pPr>
      <w:r>
        <w:rPr>
          <w:rFonts w:hint="eastAsia"/>
          <w:sz w:val="21"/>
          <w:szCs w:val="21"/>
          <w:highlight w:val="none"/>
        </w:rPr>
        <w:t>（3）中小企业声明函（若属于中小企业）</w:t>
      </w:r>
    </w:p>
    <w:p>
      <w:pPr>
        <w:adjustRightInd w:val="0"/>
        <w:snapToGrid w:val="0"/>
        <w:spacing w:line="288" w:lineRule="auto"/>
        <w:ind w:firstLine="420" w:firstLineChars="200"/>
        <w:rPr>
          <w:sz w:val="21"/>
          <w:szCs w:val="21"/>
          <w:highlight w:val="none"/>
        </w:rPr>
      </w:pPr>
      <w:r>
        <w:rPr>
          <w:rFonts w:hint="eastAsia"/>
          <w:sz w:val="21"/>
          <w:szCs w:val="21"/>
          <w:highlight w:val="none"/>
        </w:rPr>
        <w:t>（4）监狱企业资格证明材料（若属于监狱企业）</w:t>
      </w:r>
    </w:p>
    <w:p>
      <w:pPr>
        <w:adjustRightInd w:val="0"/>
        <w:snapToGrid w:val="0"/>
        <w:spacing w:line="288" w:lineRule="auto"/>
        <w:ind w:firstLine="420" w:firstLineChars="200"/>
        <w:rPr>
          <w:b/>
          <w:bCs/>
          <w:sz w:val="21"/>
          <w:szCs w:val="21"/>
          <w:highlight w:val="none"/>
        </w:rPr>
      </w:pPr>
      <w:bookmarkStart w:id="33" w:name="OLE_LINK13"/>
      <w:bookmarkStart w:id="34" w:name="OLE_LINK14"/>
      <w:r>
        <w:rPr>
          <w:rFonts w:hint="eastAsia"/>
          <w:sz w:val="21"/>
          <w:szCs w:val="21"/>
          <w:highlight w:val="none"/>
        </w:rPr>
        <w:t>（5）残疾人福利性单位声明函</w:t>
      </w:r>
      <w:bookmarkEnd w:id="33"/>
      <w:bookmarkEnd w:id="34"/>
      <w:r>
        <w:rPr>
          <w:rFonts w:hint="eastAsia"/>
          <w:sz w:val="21"/>
          <w:szCs w:val="21"/>
          <w:highlight w:val="none"/>
        </w:rPr>
        <w:t>（若属于残疾人福利性单位）</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pPr>
        <w:adjustRightInd w:val="0"/>
        <w:snapToGrid w:val="0"/>
        <w:spacing w:line="288" w:lineRule="auto"/>
        <w:ind w:firstLine="420" w:firstLineChars="200"/>
        <w:rPr>
          <w:sz w:val="21"/>
          <w:szCs w:val="21"/>
          <w:highlight w:val="none"/>
        </w:rPr>
      </w:pPr>
      <w:r>
        <w:rPr>
          <w:rFonts w:hint="eastAsia"/>
          <w:sz w:val="21"/>
          <w:szCs w:val="21"/>
          <w:highlight w:val="none"/>
        </w:rPr>
        <w:t>（2）初次报价明细表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pPr>
        <w:adjustRightInd w:val="0"/>
        <w:snapToGrid w:val="0"/>
        <w:spacing w:line="288" w:lineRule="auto"/>
        <w:ind w:firstLine="420" w:firstLineChars="200"/>
        <w:rPr>
          <w:sz w:val="21"/>
          <w:szCs w:val="21"/>
          <w:highlight w:val="none"/>
        </w:rPr>
      </w:pPr>
      <w:r>
        <w:rPr>
          <w:rFonts w:hint="eastAsia"/>
          <w:sz w:val="21"/>
          <w:szCs w:val="21"/>
          <w:highlight w:val="none"/>
        </w:rPr>
        <w:t>（1）响应函</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）响应声明书</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）法定代表人资格证明书、法定代表人授权委托书</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）2020年12月（含）以后任意一月供应商授权代表社保缴纳证明</w:t>
      </w:r>
    </w:p>
    <w:p>
      <w:pPr>
        <w:adjustRightInd w:val="0"/>
        <w:snapToGrid w:val="0"/>
        <w:spacing w:line="288" w:lineRule="auto"/>
        <w:ind w:firstLine="420" w:firstLineChars="200"/>
        <w:rPr>
          <w:sz w:val="21"/>
          <w:szCs w:val="21"/>
          <w:highlight w:val="none"/>
        </w:rPr>
      </w:pPr>
      <w:r>
        <w:rPr>
          <w:rFonts w:hint="eastAsia"/>
          <w:sz w:val="21"/>
          <w:szCs w:val="21"/>
          <w:highlight w:val="none"/>
        </w:rPr>
        <w:t>（5）供应商情况介绍</w:t>
      </w:r>
    </w:p>
    <w:p>
      <w:pPr>
        <w:adjustRightInd w:val="0"/>
        <w:snapToGrid w:val="0"/>
        <w:spacing w:line="288" w:lineRule="auto"/>
        <w:ind w:firstLine="420" w:firstLineChars="200"/>
        <w:rPr>
          <w:sz w:val="21"/>
          <w:szCs w:val="21"/>
          <w:highlight w:val="none"/>
        </w:rPr>
      </w:pPr>
      <w:r>
        <w:rPr>
          <w:rFonts w:hint="eastAsia"/>
          <w:sz w:val="21"/>
          <w:szCs w:val="21"/>
          <w:highlight w:val="none"/>
        </w:rPr>
        <w:t>（6）供应商同类项目实施情况一览表</w:t>
      </w:r>
    </w:p>
    <w:p>
      <w:pPr>
        <w:adjustRightInd w:val="0"/>
        <w:snapToGrid w:val="0"/>
        <w:spacing w:line="288" w:lineRule="auto"/>
        <w:ind w:firstLine="420" w:firstLineChars="200"/>
        <w:rPr>
          <w:highlight w:val="none"/>
        </w:rPr>
      </w:pPr>
      <w:r>
        <w:rPr>
          <w:rFonts w:hint="eastAsia"/>
          <w:sz w:val="21"/>
          <w:szCs w:val="21"/>
          <w:highlight w:val="none"/>
        </w:rPr>
        <w:t>（7）</w:t>
      </w:r>
      <w:r>
        <w:rPr>
          <w:sz w:val="21"/>
          <w:szCs w:val="21"/>
          <w:highlight w:val="none"/>
        </w:rPr>
        <w:t>采购需求偏离表</w:t>
      </w:r>
    </w:p>
    <w:p>
      <w:pPr>
        <w:adjustRightInd w:val="0"/>
        <w:snapToGrid w:val="0"/>
        <w:spacing w:line="288" w:lineRule="auto"/>
        <w:outlineLvl w:val="2"/>
        <w:rPr>
          <w:b/>
          <w:bCs/>
          <w:sz w:val="21"/>
          <w:szCs w:val="21"/>
          <w:highlight w:val="none"/>
        </w:rPr>
      </w:pPr>
      <w:r>
        <w:rPr>
          <w:rFonts w:hint="eastAsia"/>
          <w:b/>
          <w:bCs/>
          <w:sz w:val="21"/>
          <w:szCs w:val="21"/>
          <w:highlight w:val="none"/>
        </w:rPr>
        <w:t>（二）响应文件的签署和份数</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2.响应文件须由供应商在规定位置加盖公章并由供应商代表签署，供应商应写全称。</w:t>
      </w:r>
    </w:p>
    <w:p>
      <w:pPr>
        <w:adjustRightInd w:val="0"/>
        <w:snapToGrid w:val="0"/>
        <w:spacing w:line="288" w:lineRule="auto"/>
        <w:ind w:firstLine="420" w:firstLineChars="200"/>
        <w:rPr>
          <w:sz w:val="21"/>
          <w:szCs w:val="21"/>
          <w:highlight w:val="none"/>
        </w:rPr>
      </w:pPr>
      <w:r>
        <w:rPr>
          <w:rFonts w:hint="eastAsia"/>
          <w:sz w:val="21"/>
          <w:szCs w:val="21"/>
          <w:highlight w:val="none"/>
        </w:rPr>
        <w:t>3.响应文件不得涂改，若有修改错漏处，须由供应商代表签字并加盖公章。响应文件因字迹潦草或表达不清所引起的后果由供应商负责。</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0571-87666115，寄出后将（快递单号、项目名称、标项、公司名称、联系方式等相关信息）发至：zb03@qszb.net，以便查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outlineLvl w:val="2"/>
        <w:rPr>
          <w:b/>
          <w:bCs/>
          <w:sz w:val="21"/>
          <w:szCs w:val="21"/>
          <w:highlight w:val="none"/>
        </w:rPr>
      </w:pPr>
      <w:r>
        <w:rPr>
          <w:rFonts w:hint="eastAsia"/>
          <w:b/>
          <w:bCs/>
          <w:sz w:val="21"/>
          <w:szCs w:val="21"/>
          <w:highlight w:val="none"/>
        </w:rPr>
        <w:t>（三）响应文件的上传、递交、修改和撤回</w:t>
      </w:r>
    </w:p>
    <w:p>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highlight w:val="none"/>
        </w:rPr>
      </w:pPr>
      <w:r>
        <w:rPr>
          <w:rFonts w:hint="eastAsia"/>
          <w:sz w:val="21"/>
          <w:szCs w:val="21"/>
          <w:highlight w:val="none"/>
        </w:rPr>
        <w:t>b.电子加密响应文件成功上传后，供应商可自行打印响应文件接收回执。</w:t>
      </w:r>
    </w:p>
    <w:p>
      <w:pPr>
        <w:adjustRightInd w:val="0"/>
        <w:snapToGrid w:val="0"/>
        <w:spacing w:line="288" w:lineRule="auto"/>
        <w:ind w:firstLine="420" w:firstLineChars="200"/>
        <w:rPr>
          <w:sz w:val="21"/>
          <w:szCs w:val="21"/>
          <w:highlight w:val="none"/>
        </w:rPr>
      </w:pPr>
      <w:r>
        <w:rPr>
          <w:rFonts w:hint="eastAsia"/>
          <w:sz w:val="21"/>
          <w:szCs w:val="21"/>
          <w:highlight w:val="none"/>
        </w:rPr>
        <w:t>（2）备份响应文件的密封包装、递交：</w:t>
      </w:r>
    </w:p>
    <w:p>
      <w:pPr>
        <w:adjustRightInd w:val="0"/>
        <w:snapToGrid w:val="0"/>
        <w:spacing w:line="288" w:lineRule="auto"/>
        <w:ind w:firstLine="420" w:firstLineChars="200"/>
        <w:rPr>
          <w:sz w:val="21"/>
          <w:szCs w:val="21"/>
          <w:highlight w:val="none"/>
        </w:rPr>
      </w:pPr>
      <w:r>
        <w:rPr>
          <w:rFonts w:hint="eastAsia"/>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highlight w:val="none"/>
        </w:rPr>
      </w:pPr>
      <w:r>
        <w:rPr>
          <w:rFonts w:hint="eastAsia"/>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highlight w:val="none"/>
        </w:rPr>
      </w:pPr>
      <w:r>
        <w:rPr>
          <w:rFonts w:hint="eastAsia"/>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420" w:firstLineChars="200"/>
        <w:rPr>
          <w:sz w:val="21"/>
          <w:szCs w:val="21"/>
          <w:highlight w:val="none"/>
        </w:rPr>
      </w:pPr>
      <w:r>
        <w:rPr>
          <w:rFonts w:hint="eastAsia"/>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供应商</w:t>
      </w:r>
      <w:r>
        <w:rPr>
          <w:sz w:val="21"/>
          <w:szCs w:val="21"/>
          <w:highlight w:val="none"/>
        </w:rPr>
        <w:t>因未在线参加开标而导致电子加密</w:t>
      </w:r>
      <w:r>
        <w:rPr>
          <w:rFonts w:hint="eastAsia"/>
          <w:sz w:val="21"/>
          <w:szCs w:val="21"/>
          <w:highlight w:val="none"/>
        </w:rPr>
        <w:t>响应</w:t>
      </w:r>
      <w:r>
        <w:rPr>
          <w:sz w:val="21"/>
          <w:szCs w:val="21"/>
          <w:highlight w:val="none"/>
        </w:rPr>
        <w:t>文件无法按时解密等一切后果由</w:t>
      </w:r>
      <w:r>
        <w:rPr>
          <w:rFonts w:hint="eastAsia"/>
          <w:sz w:val="21"/>
          <w:szCs w:val="21"/>
          <w:highlight w:val="none"/>
        </w:rPr>
        <w:t>供应商</w:t>
      </w:r>
      <w:r>
        <w:rPr>
          <w:sz w:val="21"/>
          <w:szCs w:val="21"/>
          <w:highlight w:val="none"/>
        </w:rPr>
        <w:t>自行承担。</w:t>
      </w:r>
    </w:p>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供应商</w:t>
      </w:r>
      <w:r>
        <w:rPr>
          <w:sz w:val="21"/>
          <w:szCs w:val="21"/>
          <w:highlight w:val="none"/>
        </w:rPr>
        <w:t>应按照</w:t>
      </w:r>
      <w:r>
        <w:rPr>
          <w:rFonts w:hint="eastAsia"/>
          <w:sz w:val="21"/>
          <w:szCs w:val="21"/>
          <w:highlight w:val="none"/>
        </w:rPr>
        <w:t>磋商</w:t>
      </w:r>
      <w:r>
        <w:rPr>
          <w:sz w:val="21"/>
          <w:szCs w:val="21"/>
          <w:highlight w:val="none"/>
        </w:rPr>
        <w:t>文件和政府采购云平台的要求，根据</w:t>
      </w:r>
      <w:r>
        <w:rPr>
          <w:rFonts w:hint="eastAsia"/>
          <w:sz w:val="21"/>
          <w:szCs w:val="21"/>
          <w:highlight w:val="none"/>
        </w:rPr>
        <w:t>响应</w:t>
      </w:r>
      <w:r>
        <w:rPr>
          <w:sz w:val="21"/>
          <w:szCs w:val="21"/>
          <w:highlight w:val="none"/>
        </w:rPr>
        <w:t>文件的组成规定的内容及顺序通过政采云电子交易客户端（政采云投标客户端）编制加密</w:t>
      </w:r>
      <w:r>
        <w:rPr>
          <w:rFonts w:hint="eastAsia"/>
          <w:sz w:val="21"/>
          <w:szCs w:val="21"/>
          <w:highlight w:val="none"/>
        </w:rPr>
        <w:t>响应</w:t>
      </w:r>
      <w:r>
        <w:rPr>
          <w:sz w:val="21"/>
          <w:szCs w:val="21"/>
          <w:highlight w:val="none"/>
        </w:rPr>
        <w:t>文件。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sz w:val="21"/>
          <w:szCs w:val="21"/>
          <w:highlight w:val="none"/>
        </w:rPr>
      </w:pPr>
      <w:r>
        <w:rPr>
          <w:rFonts w:hint="eastAsia"/>
          <w:b/>
          <w:bCs/>
          <w:sz w:val="21"/>
          <w:szCs w:val="21"/>
          <w:highlight w:val="none"/>
        </w:rPr>
        <w:t>（四）响应文件的语言及计量</w:t>
      </w:r>
    </w:p>
    <w:p>
      <w:pPr>
        <w:adjustRightInd w:val="0"/>
        <w:snapToGrid w:val="0"/>
        <w:spacing w:line="288" w:lineRule="auto"/>
        <w:ind w:firstLine="420" w:firstLineChars="200"/>
        <w:rPr>
          <w:sz w:val="21"/>
          <w:szCs w:val="21"/>
          <w:highlight w:val="none"/>
        </w:rPr>
      </w:pPr>
      <w:r>
        <w:rPr>
          <w:rFonts w:hint="eastAsia"/>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outlineLvl w:val="2"/>
        <w:rPr>
          <w:b/>
          <w:bCs/>
          <w:sz w:val="21"/>
          <w:szCs w:val="21"/>
          <w:highlight w:val="none"/>
        </w:rPr>
      </w:pPr>
      <w:r>
        <w:rPr>
          <w:rFonts w:hint="eastAsia"/>
          <w:b/>
          <w:bCs/>
          <w:sz w:val="21"/>
          <w:szCs w:val="21"/>
          <w:highlight w:val="none"/>
        </w:rPr>
        <w:t>（五）磋商报价</w:t>
      </w:r>
    </w:p>
    <w:p>
      <w:pPr>
        <w:adjustRightInd w:val="0"/>
        <w:snapToGrid w:val="0"/>
        <w:spacing w:line="288" w:lineRule="auto"/>
        <w:ind w:firstLine="420" w:firstLineChars="200"/>
        <w:rPr>
          <w:sz w:val="21"/>
          <w:szCs w:val="21"/>
          <w:highlight w:val="none"/>
        </w:rPr>
      </w:pPr>
      <w:r>
        <w:rPr>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highlight w:val="none"/>
        </w:rPr>
      </w:pPr>
      <w:r>
        <w:rPr>
          <w:sz w:val="21"/>
          <w:szCs w:val="21"/>
          <w:highlight w:val="none"/>
        </w:rPr>
        <w:t>2.本次磋商采用人民币报价；</w:t>
      </w:r>
    </w:p>
    <w:p>
      <w:pPr>
        <w:adjustRightInd w:val="0"/>
        <w:snapToGrid w:val="0"/>
        <w:spacing w:line="288" w:lineRule="auto"/>
        <w:ind w:firstLine="420" w:firstLineChars="200"/>
        <w:rPr>
          <w:sz w:val="21"/>
          <w:szCs w:val="21"/>
          <w:highlight w:val="none"/>
        </w:rPr>
      </w:pPr>
      <w:r>
        <w:rPr>
          <w:sz w:val="21"/>
          <w:szCs w:val="21"/>
          <w:highlight w:val="none"/>
        </w:rPr>
        <w:t>3.最后磋商报价是履行合同的最终价格，应包括完成所有产品供货及履行所有规定服务所产生的全部税、费。</w:t>
      </w:r>
    </w:p>
    <w:p>
      <w:pPr>
        <w:adjustRightInd w:val="0"/>
        <w:snapToGrid w:val="0"/>
        <w:spacing w:line="288" w:lineRule="auto"/>
        <w:ind w:firstLine="420" w:firstLineChars="200"/>
        <w:rPr>
          <w:sz w:val="21"/>
          <w:szCs w:val="21"/>
          <w:highlight w:val="none"/>
        </w:rPr>
      </w:pPr>
      <w:r>
        <w:rPr>
          <w:sz w:val="21"/>
          <w:szCs w:val="21"/>
          <w:highlight w:val="none"/>
        </w:rPr>
        <w:t>4.磋商小组认为供应商的最后报价明显低于其他通过符合性审查供应商的最后报价，依据《政府采购货物和服务招标投标管理办法》（财政部令第87号）第六十条进行处理。</w:t>
      </w:r>
    </w:p>
    <w:p>
      <w:pPr>
        <w:adjustRightInd w:val="0"/>
        <w:snapToGrid w:val="0"/>
        <w:spacing w:line="288" w:lineRule="auto"/>
        <w:outlineLvl w:val="2"/>
        <w:rPr>
          <w:b/>
          <w:bCs/>
          <w:sz w:val="21"/>
          <w:szCs w:val="21"/>
          <w:highlight w:val="none"/>
        </w:rPr>
      </w:pPr>
      <w:r>
        <w:rPr>
          <w:rFonts w:hint="eastAsia"/>
          <w:b/>
          <w:bCs/>
          <w:sz w:val="21"/>
          <w:szCs w:val="21"/>
          <w:highlight w:val="none"/>
        </w:rPr>
        <w:t>（六）响应有效期</w:t>
      </w:r>
    </w:p>
    <w:p>
      <w:pPr>
        <w:adjustRightInd w:val="0"/>
        <w:snapToGrid w:val="0"/>
        <w:spacing w:line="288" w:lineRule="auto"/>
        <w:ind w:firstLine="420" w:firstLineChars="200"/>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p>
      <w:pPr>
        <w:adjustRightInd w:val="0"/>
        <w:snapToGrid w:val="0"/>
        <w:spacing w:line="288" w:lineRule="auto"/>
        <w:outlineLvl w:val="2"/>
        <w:rPr>
          <w:b/>
          <w:bCs/>
          <w:sz w:val="21"/>
          <w:szCs w:val="21"/>
          <w:highlight w:val="none"/>
        </w:rPr>
      </w:pPr>
      <w:r>
        <w:rPr>
          <w:rFonts w:hint="eastAsia"/>
          <w:b/>
          <w:bCs/>
          <w:sz w:val="21"/>
          <w:szCs w:val="21"/>
          <w:highlight w:val="none"/>
        </w:rPr>
        <w:t>（七）响应无效的情形</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1.在资格审查时，如发现下列情形之一的，响应文件将被视为无效：</w:t>
      </w:r>
    </w:p>
    <w:p>
      <w:pPr>
        <w:adjustRightInd w:val="0"/>
        <w:snapToGrid w:val="0"/>
        <w:spacing w:line="288" w:lineRule="auto"/>
        <w:ind w:firstLine="420" w:firstLineChars="200"/>
        <w:rPr>
          <w:sz w:val="21"/>
          <w:szCs w:val="21"/>
          <w:highlight w:val="none"/>
        </w:rPr>
      </w:pPr>
      <w:r>
        <w:rPr>
          <w:rFonts w:hint="eastAsia"/>
          <w:sz w:val="21"/>
          <w:szCs w:val="21"/>
          <w:highlight w:val="none"/>
        </w:rPr>
        <w:t>（1）资格证明材料不全的，或者不符合磋商文件要求的；</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）供应商不具备磋商文件中规定的资格要求的；</w:t>
      </w:r>
    </w:p>
    <w:p>
      <w:pPr>
        <w:adjustRightInd w:val="0"/>
        <w:snapToGrid w:val="0"/>
        <w:spacing w:line="288" w:lineRule="auto"/>
        <w:ind w:firstLine="420" w:firstLineChars="200"/>
        <w:rPr>
          <w:sz w:val="21"/>
          <w:szCs w:val="21"/>
          <w:highlight w:val="none"/>
        </w:rPr>
      </w:pPr>
      <w:r>
        <w:rPr>
          <w:rFonts w:hint="eastAsia"/>
          <w:sz w:val="21"/>
          <w:szCs w:val="21"/>
          <w:highlight w:val="none"/>
        </w:rPr>
        <w:t>（3）资格文件未按要求签署、盖章的。</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（2）未提供或未按要求提供响应函、法定代表人资格证明书、法定代表人授权委托书、响应声明书的；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（3）法定代表人委托授权代表参加响应但未提供授权代表社保缴纳证明的；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（5）明显不符合磋商文件要求，或者与磋商文件中标“▲”的项目发生实质性偏离的，</w:t>
      </w:r>
      <w:r>
        <w:rPr>
          <w:rFonts w:hint="eastAsia"/>
          <w:spacing w:val="-6"/>
          <w:sz w:val="21"/>
          <w:szCs w:val="21"/>
          <w:highlight w:val="none"/>
        </w:rPr>
        <w:t>或</w:t>
      </w:r>
      <w:r>
        <w:rPr>
          <w:rFonts w:hint="eastAsia"/>
          <w:sz w:val="21"/>
          <w:szCs w:val="21"/>
          <w:highlight w:val="none"/>
        </w:rPr>
        <w:t>负偏离达到规定数目的</w:t>
      </w:r>
      <w:r>
        <w:rPr>
          <w:spacing w:val="-6"/>
          <w:sz w:val="21"/>
          <w:szCs w:val="21"/>
          <w:highlight w:val="none"/>
        </w:rPr>
        <w:t>；</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（6）未提供或未如实提供响应技术参数，或者响应文件标明的响应或偏离与事实不符或虚假响应的；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（7）响应技术方案不明确，存在一个或一个以上备选（替代）响应方案的；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（8）响应文件含有采购人不能接受的附加条件的；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（9）法律、法规和磋商文件规定的其他无效情形。</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（1）最后报价超过磋商文件中规定的预算金额或最高限价的；</w:t>
      </w:r>
    </w:p>
    <w:p>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（2）最后报价具有选择性的。</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4.有下列情形之一的，视为供应商串通投标，其响应无效，由采购人或采购代理机构上报政府采购监督管理部门，视情列入不良行为记录名单，在一至三年内禁止参加政府采购活动：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（1）不同供应商的响应文件由同一单位或者个人编制；</w:t>
      </w:r>
    </w:p>
    <w:p>
      <w:pPr>
        <w:adjustRightInd w:val="0"/>
        <w:snapToGrid w:val="0"/>
        <w:spacing w:line="288" w:lineRule="auto"/>
        <w:ind w:firstLine="420" w:firstLineChars="200"/>
        <w:rPr>
          <w:sz w:val="21"/>
          <w:szCs w:val="21"/>
          <w:highlight w:val="none"/>
        </w:rPr>
      </w:pPr>
      <w:r>
        <w:rPr>
          <w:rFonts w:hint="eastAsia"/>
          <w:sz w:val="21"/>
          <w:szCs w:val="21"/>
          <w:highlight w:val="none"/>
        </w:rPr>
        <w:t>（2）不同供应商委托同一单位或者个人办理投标事宜；</w:t>
      </w:r>
    </w:p>
    <w:p>
      <w:pPr>
        <w:adjustRightInd w:val="0"/>
        <w:snapToGrid w:val="0"/>
        <w:spacing w:line="288" w:lineRule="auto"/>
        <w:ind w:firstLine="420" w:firstLineChars="200"/>
        <w:rPr>
          <w:sz w:val="21"/>
          <w:szCs w:val="21"/>
          <w:highlight w:val="none"/>
        </w:rPr>
      </w:pPr>
      <w:r>
        <w:rPr>
          <w:rFonts w:hint="eastAsia"/>
          <w:sz w:val="21"/>
          <w:szCs w:val="21"/>
          <w:highlight w:val="none"/>
        </w:rPr>
        <w:t>（3）不同供应商的响应文件载明的项目管理成员或者联系人员为同一人；</w:t>
      </w:r>
    </w:p>
    <w:p>
      <w:pPr>
        <w:adjustRightInd w:val="0"/>
        <w:snapToGrid w:val="0"/>
        <w:spacing w:line="288" w:lineRule="auto"/>
        <w:ind w:firstLine="420" w:firstLineChars="200"/>
        <w:rPr>
          <w:sz w:val="21"/>
          <w:szCs w:val="21"/>
          <w:highlight w:val="none"/>
        </w:rPr>
      </w:pPr>
      <w:r>
        <w:rPr>
          <w:rFonts w:hint="eastAsia"/>
          <w:sz w:val="21"/>
          <w:szCs w:val="21"/>
          <w:highlight w:val="none"/>
        </w:rPr>
        <w:t>（4）不同供应商的响应文件异常一致或者最后报价呈规律性差异；</w:t>
      </w:r>
    </w:p>
    <w:p>
      <w:pPr>
        <w:adjustRightInd w:val="0"/>
        <w:snapToGrid w:val="0"/>
        <w:spacing w:line="288" w:lineRule="auto"/>
        <w:ind w:firstLine="420" w:firstLineChars="200"/>
        <w:rPr>
          <w:sz w:val="21"/>
          <w:szCs w:val="21"/>
          <w:highlight w:val="none"/>
        </w:rPr>
      </w:pPr>
      <w:r>
        <w:rPr>
          <w:rFonts w:hint="eastAsia"/>
          <w:sz w:val="21"/>
          <w:szCs w:val="21"/>
          <w:highlight w:val="none"/>
        </w:rPr>
        <w:t>（5）不同供应商的响应文件相互混装。</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四、响应文件开启</w:t>
      </w:r>
    </w:p>
    <w:p>
      <w:pPr>
        <w:adjustRightInd w:val="0"/>
        <w:snapToGrid w:val="0"/>
        <w:spacing w:line="288" w:lineRule="auto"/>
        <w:outlineLvl w:val="2"/>
        <w:rPr>
          <w:b/>
          <w:bCs/>
          <w:sz w:val="21"/>
          <w:szCs w:val="21"/>
          <w:highlight w:val="none"/>
        </w:rPr>
      </w:pPr>
      <w:r>
        <w:rPr>
          <w:rFonts w:hint="eastAsia"/>
          <w:b/>
          <w:bCs/>
          <w:sz w:val="21"/>
          <w:szCs w:val="21"/>
          <w:highlight w:val="none"/>
        </w:rPr>
        <w:t>（一）响应文件开启准备</w:t>
      </w:r>
    </w:p>
    <w:p>
      <w:pPr>
        <w:adjustRightInd w:val="0"/>
        <w:snapToGrid w:val="0"/>
        <w:spacing w:line="288" w:lineRule="auto"/>
        <w:ind w:firstLine="420" w:firstLineChars="200"/>
        <w:rPr>
          <w:sz w:val="21"/>
          <w:szCs w:val="21"/>
          <w:highlight w:val="none"/>
        </w:rPr>
      </w:pPr>
      <w:r>
        <w:rPr>
          <w:rFonts w:hint="eastAsia"/>
          <w:sz w:val="21"/>
          <w:szCs w:val="21"/>
          <w:highlight w:val="none"/>
        </w:rPr>
        <w:t>1.制订响应文件开启、评审工作的组织方案，落实工作场地、设施，检查录音录像采集设备运行情况。</w:t>
      </w:r>
    </w:p>
    <w:p>
      <w:pPr>
        <w:adjustRightInd w:val="0"/>
        <w:snapToGrid w:val="0"/>
        <w:spacing w:line="288" w:lineRule="auto"/>
        <w:ind w:firstLine="420" w:firstLineChars="200"/>
        <w:rPr>
          <w:sz w:val="21"/>
          <w:szCs w:val="21"/>
          <w:highlight w:val="none"/>
        </w:rPr>
      </w:pPr>
      <w:r>
        <w:rPr>
          <w:rFonts w:hint="eastAsia"/>
          <w:sz w:val="21"/>
          <w:szCs w:val="21"/>
          <w:highlight w:val="none"/>
        </w:rPr>
        <w:t>2.通知或邀请相关单位和人员出席响应文件开启、评审活动（按规定由相关监管部门或其授权机构随机抽取、通知的政府采购评审专家除外）。</w:t>
      </w:r>
    </w:p>
    <w:p>
      <w:pPr>
        <w:adjustRightInd w:val="0"/>
        <w:snapToGrid w:val="0"/>
        <w:spacing w:line="288" w:lineRule="auto"/>
        <w:ind w:firstLine="420" w:firstLineChars="200"/>
        <w:rPr>
          <w:sz w:val="21"/>
          <w:szCs w:val="21"/>
          <w:highlight w:val="none"/>
        </w:rPr>
      </w:pPr>
      <w:r>
        <w:rPr>
          <w:rFonts w:hint="eastAsia"/>
          <w:sz w:val="21"/>
          <w:szCs w:val="21"/>
          <w:highlight w:val="none"/>
        </w:rPr>
        <w:t>3.准备政府采购项目的相关文件资料，如项目政府采购计划书及专家抽取有关凭证、项目书面说明、磋商文件、补充文件及质疑答复情况、现场工作所需的相关登记表单、评审工作底稿等。</w:t>
      </w:r>
    </w:p>
    <w:p>
      <w:pPr>
        <w:adjustRightInd w:val="0"/>
        <w:snapToGrid w:val="0"/>
        <w:spacing w:line="288" w:lineRule="auto"/>
        <w:ind w:firstLine="420" w:firstLineChars="200"/>
        <w:rPr>
          <w:sz w:val="21"/>
          <w:szCs w:val="21"/>
          <w:highlight w:val="none"/>
        </w:rPr>
      </w:pPr>
      <w:r>
        <w:rPr>
          <w:rFonts w:hint="eastAsia"/>
          <w:sz w:val="21"/>
          <w:szCs w:val="21"/>
          <w:highlight w:val="none"/>
        </w:rPr>
        <w:t>4.其他应准备的事项。</w:t>
      </w:r>
    </w:p>
    <w:p>
      <w:pPr>
        <w:adjustRightInd w:val="0"/>
        <w:snapToGrid w:val="0"/>
        <w:spacing w:line="288" w:lineRule="auto"/>
        <w:outlineLvl w:val="2"/>
        <w:rPr>
          <w:b/>
          <w:bCs/>
          <w:sz w:val="21"/>
          <w:szCs w:val="21"/>
          <w:highlight w:val="none"/>
        </w:rPr>
      </w:pPr>
      <w:r>
        <w:rPr>
          <w:rFonts w:hint="eastAsia"/>
          <w:b/>
          <w:bCs/>
          <w:sz w:val="21"/>
          <w:szCs w:val="21"/>
          <w:highlight w:val="none"/>
        </w:rPr>
        <w:t>（二）响应文件开启程序</w:t>
      </w:r>
    </w:p>
    <w:p>
      <w:pPr>
        <w:adjustRightInd w:val="0"/>
        <w:snapToGrid w:val="0"/>
        <w:spacing w:line="288" w:lineRule="auto"/>
        <w:ind w:firstLine="420" w:firstLineChars="200"/>
        <w:rPr>
          <w:sz w:val="21"/>
          <w:szCs w:val="21"/>
          <w:highlight w:val="none"/>
        </w:rPr>
      </w:pPr>
      <w:r>
        <w:rPr>
          <w:rFonts w:hint="eastAsia"/>
          <w:sz w:val="21"/>
          <w:szCs w:val="21"/>
          <w:highlight w:val="none"/>
        </w:rPr>
        <w:t>采购代理机构按照磋商文件规定的时间、地点和程序组织响应文件开启。具体按以下程序进行：</w:t>
      </w:r>
    </w:p>
    <w:p>
      <w:pPr>
        <w:adjustRightInd w:val="0"/>
        <w:snapToGrid w:val="0"/>
        <w:spacing w:line="288" w:lineRule="auto"/>
        <w:ind w:firstLine="420" w:firstLineChars="200"/>
        <w:rPr>
          <w:sz w:val="21"/>
          <w:szCs w:val="21"/>
          <w:highlight w:val="none"/>
        </w:rPr>
      </w:pPr>
      <w:r>
        <w:rPr>
          <w:rFonts w:hint="eastAsia"/>
          <w:sz w:val="21"/>
          <w:szCs w:val="21"/>
          <w:highlight w:val="none"/>
        </w:rPr>
        <w:t>1.开启响应文件开启场地的录音录像采集设备，并确保其正常运行。</w:t>
      </w:r>
    </w:p>
    <w:p>
      <w:pPr>
        <w:adjustRightInd w:val="0"/>
        <w:snapToGrid w:val="0"/>
        <w:spacing w:line="288" w:lineRule="auto"/>
        <w:ind w:firstLine="420" w:firstLineChars="200"/>
        <w:rPr>
          <w:sz w:val="21"/>
          <w:szCs w:val="21"/>
          <w:highlight w:val="none"/>
        </w:rPr>
      </w:pPr>
      <w:r>
        <w:rPr>
          <w:rFonts w:hint="eastAsia"/>
          <w:sz w:val="21"/>
          <w:szCs w:val="21"/>
          <w:highlight w:val="none"/>
        </w:rPr>
        <w:t>2.核验出席响应文件开启活动现场的各相关单位人员身份，并组织其分别登记、签到，无关人员可拒绝其进入现场。</w:t>
      </w:r>
    </w:p>
    <w:p>
      <w:pPr>
        <w:adjustRightInd w:val="0"/>
        <w:snapToGrid w:val="0"/>
        <w:spacing w:line="288" w:lineRule="auto"/>
        <w:ind w:firstLine="420" w:firstLineChars="200"/>
        <w:rPr>
          <w:sz w:val="21"/>
          <w:szCs w:val="21"/>
          <w:highlight w:val="none"/>
        </w:rPr>
      </w:pPr>
      <w:r>
        <w:rPr>
          <w:rFonts w:hint="eastAsia"/>
          <w:sz w:val="21"/>
          <w:szCs w:val="21"/>
          <w:highlight w:val="none"/>
        </w:rPr>
        <w:t>3.政府采购云平台在线进行响应文件签收。</w:t>
      </w:r>
    </w:p>
    <w:p>
      <w:pPr>
        <w:adjustRightInd w:val="0"/>
        <w:snapToGrid w:val="0"/>
        <w:spacing w:line="288" w:lineRule="auto"/>
        <w:ind w:firstLine="420" w:firstLineChars="200"/>
        <w:rPr>
          <w:sz w:val="21"/>
          <w:szCs w:val="21"/>
          <w:highlight w:val="none"/>
        </w:rPr>
      </w:pPr>
      <w:r>
        <w:rPr>
          <w:rFonts w:hint="eastAsia"/>
          <w:sz w:val="21"/>
          <w:szCs w:val="21"/>
          <w:highlight w:val="none"/>
        </w:rPr>
        <w:t>4.主持人宣布响应文件开启，介绍响应文件开启现场的人员情况，宣读递交响应文件的供应商名单、开标纪律、应当回避的情形等注意事项。</w:t>
      </w:r>
    </w:p>
    <w:p>
      <w:pPr>
        <w:adjustRightInd w:val="0"/>
        <w:snapToGrid w:val="0"/>
        <w:spacing w:line="288" w:lineRule="auto"/>
        <w:ind w:firstLine="420" w:firstLineChars="200"/>
        <w:rPr>
          <w:sz w:val="21"/>
          <w:szCs w:val="21"/>
          <w:highlight w:val="none"/>
        </w:rPr>
      </w:pPr>
      <w:r>
        <w:rPr>
          <w:rFonts w:hint="eastAsia"/>
          <w:sz w:val="21"/>
          <w:szCs w:val="21"/>
          <w:highlight w:val="none"/>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特别说明：如遇政府采购云平台电子化开标或评审程序调整的，按调整后程序执行。</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五、评审程序</w:t>
      </w:r>
    </w:p>
    <w:p>
      <w:pPr>
        <w:adjustRightInd w:val="0"/>
        <w:snapToGrid w:val="0"/>
        <w:spacing w:line="288" w:lineRule="auto"/>
        <w:outlineLvl w:val="2"/>
        <w:rPr>
          <w:b/>
          <w:bCs/>
          <w:sz w:val="21"/>
          <w:szCs w:val="21"/>
          <w:highlight w:val="none"/>
        </w:rPr>
      </w:pPr>
      <w:r>
        <w:rPr>
          <w:rFonts w:hint="eastAsia"/>
          <w:b/>
          <w:bCs/>
          <w:sz w:val="21"/>
          <w:szCs w:val="21"/>
          <w:highlight w:val="none"/>
        </w:rPr>
        <w:t>（一）组建磋商小组</w:t>
      </w:r>
    </w:p>
    <w:p>
      <w:pPr>
        <w:adjustRightInd w:val="0"/>
        <w:snapToGrid w:val="0"/>
        <w:spacing w:line="288" w:lineRule="auto"/>
        <w:ind w:firstLine="420" w:firstLineChars="200"/>
        <w:rPr>
          <w:b/>
          <w:bCs/>
          <w:sz w:val="21"/>
          <w:szCs w:val="21"/>
          <w:highlight w:val="none"/>
        </w:rPr>
      </w:pPr>
      <w:r>
        <w:rPr>
          <w:rFonts w:hint="eastAsia"/>
          <w:sz w:val="21"/>
          <w:szCs w:val="21"/>
          <w:highlight w:val="none"/>
        </w:rPr>
        <w:t>磋商小组由采购人代表和评审专家共</w:t>
      </w:r>
      <w:r>
        <w:rPr>
          <w:sz w:val="21"/>
          <w:szCs w:val="21"/>
          <w:highlight w:val="none"/>
        </w:rPr>
        <w:t>3人（单数）</w:t>
      </w:r>
      <w:r>
        <w:rPr>
          <w:rFonts w:hint="eastAsia"/>
          <w:sz w:val="21"/>
          <w:szCs w:val="21"/>
          <w:highlight w:val="none"/>
        </w:rPr>
        <w:t>组成</w:t>
      </w:r>
      <w:r>
        <w:rPr>
          <w:sz w:val="21"/>
          <w:szCs w:val="21"/>
          <w:highlight w:val="none"/>
        </w:rPr>
        <w:t>，其中评审专家人数不少于磋商小组成员总数的2/3。</w:t>
      </w:r>
    </w:p>
    <w:p>
      <w:pPr>
        <w:adjustRightInd w:val="0"/>
        <w:snapToGrid w:val="0"/>
        <w:spacing w:line="288" w:lineRule="auto"/>
        <w:outlineLvl w:val="2"/>
        <w:rPr>
          <w:b/>
          <w:bCs/>
          <w:sz w:val="21"/>
          <w:szCs w:val="21"/>
          <w:highlight w:val="none"/>
        </w:rPr>
      </w:pPr>
      <w:r>
        <w:rPr>
          <w:rFonts w:hint="eastAsia"/>
          <w:b/>
          <w:bCs/>
          <w:sz w:val="21"/>
          <w:szCs w:val="21"/>
          <w:highlight w:val="none"/>
        </w:rPr>
        <w:t>（二）评审的方式</w:t>
      </w:r>
    </w:p>
    <w:p>
      <w:pPr>
        <w:adjustRightInd w:val="0"/>
        <w:snapToGrid w:val="0"/>
        <w:spacing w:line="288" w:lineRule="auto"/>
        <w:ind w:firstLine="420" w:firstLineChars="200"/>
        <w:rPr>
          <w:sz w:val="21"/>
          <w:szCs w:val="21"/>
          <w:highlight w:val="none"/>
        </w:rPr>
      </w:pPr>
      <w:r>
        <w:rPr>
          <w:rFonts w:hint="eastAsia"/>
          <w:sz w:val="21"/>
          <w:szCs w:val="21"/>
          <w:highlight w:val="none"/>
        </w:rPr>
        <w:t>本项目采用不公开方式评审，评审的依据为磋商文件、响应文件和磋商记录。</w:t>
      </w:r>
    </w:p>
    <w:p>
      <w:pPr>
        <w:adjustRightInd w:val="0"/>
        <w:snapToGrid w:val="0"/>
        <w:spacing w:line="288" w:lineRule="auto"/>
        <w:outlineLvl w:val="2"/>
        <w:rPr>
          <w:b/>
          <w:bCs/>
          <w:sz w:val="21"/>
          <w:szCs w:val="21"/>
          <w:highlight w:val="none"/>
        </w:rPr>
      </w:pPr>
      <w:r>
        <w:rPr>
          <w:rFonts w:hint="eastAsia"/>
          <w:b/>
          <w:bCs/>
          <w:sz w:val="21"/>
          <w:szCs w:val="21"/>
          <w:highlight w:val="none"/>
        </w:rPr>
        <w:t>（三）评审程序</w:t>
      </w:r>
    </w:p>
    <w:p>
      <w:pPr>
        <w:adjustRightInd w:val="0"/>
        <w:snapToGrid w:val="0"/>
        <w:spacing w:line="288" w:lineRule="auto"/>
        <w:ind w:firstLine="420" w:firstLineChars="200"/>
        <w:rPr>
          <w:sz w:val="21"/>
          <w:szCs w:val="21"/>
          <w:highlight w:val="none"/>
        </w:rPr>
      </w:pPr>
      <w:r>
        <w:rPr>
          <w:rFonts w:hint="eastAsia"/>
          <w:sz w:val="21"/>
          <w:szCs w:val="21"/>
          <w:highlight w:val="none"/>
        </w:rPr>
        <w:t>采购代理机构按照磋商文件规定的时间、地点及程序组织评审。评审活动一般应按以下程序组织开展：</w:t>
      </w:r>
    </w:p>
    <w:p>
      <w:pPr>
        <w:adjustRightInd w:val="0"/>
        <w:snapToGrid w:val="0"/>
        <w:spacing w:line="288" w:lineRule="auto"/>
        <w:ind w:firstLine="420" w:firstLineChars="200"/>
        <w:rPr>
          <w:sz w:val="21"/>
          <w:szCs w:val="21"/>
          <w:highlight w:val="none"/>
        </w:rPr>
      </w:pPr>
      <w:r>
        <w:rPr>
          <w:rFonts w:hint="eastAsia"/>
          <w:sz w:val="21"/>
          <w:szCs w:val="21"/>
          <w:highlight w:val="none"/>
        </w:rPr>
        <w:t>1.开启评审场地的录音录像采集设备，并确保其正常运行。</w:t>
      </w:r>
    </w:p>
    <w:p>
      <w:pPr>
        <w:adjustRightInd w:val="0"/>
        <w:snapToGrid w:val="0"/>
        <w:spacing w:line="288" w:lineRule="auto"/>
        <w:ind w:firstLine="420" w:firstLineChars="200"/>
        <w:rPr>
          <w:sz w:val="21"/>
          <w:szCs w:val="21"/>
          <w:highlight w:val="none"/>
        </w:rPr>
      </w:pPr>
      <w:r>
        <w:rPr>
          <w:rFonts w:hint="eastAsia"/>
          <w:sz w:val="21"/>
          <w:szCs w:val="21"/>
          <w:highlight w:val="none"/>
        </w:rPr>
        <w:t>2.核验出席评审活动现场的磋商小组各成员身份，并要求其分别登记、签到，按规定统一收缴、保存其通讯工具，无关人员一律拒绝其进入评审现场。</w:t>
      </w:r>
    </w:p>
    <w:p>
      <w:pPr>
        <w:adjustRightInd w:val="0"/>
        <w:snapToGrid w:val="0"/>
        <w:spacing w:line="288" w:lineRule="auto"/>
        <w:ind w:firstLine="420" w:firstLineChars="200"/>
        <w:rPr>
          <w:sz w:val="21"/>
          <w:szCs w:val="21"/>
          <w:highlight w:val="none"/>
        </w:rPr>
      </w:pPr>
      <w:r>
        <w:rPr>
          <w:rFonts w:hint="eastAsia"/>
          <w:sz w:val="21"/>
          <w:szCs w:val="21"/>
          <w:highlight w:val="none"/>
        </w:rPr>
        <w:t>3.介绍评审现场的人员情况，宣布评审工作纪律，告知磋商小组应当回避情形，组织推选磋商小组组长。</w:t>
      </w:r>
    </w:p>
    <w:p>
      <w:pPr>
        <w:adjustRightInd w:val="0"/>
        <w:snapToGrid w:val="0"/>
        <w:spacing w:line="288" w:lineRule="auto"/>
        <w:ind w:firstLine="420" w:firstLineChars="200"/>
        <w:rPr>
          <w:sz w:val="21"/>
          <w:szCs w:val="21"/>
          <w:highlight w:val="none"/>
        </w:rPr>
      </w:pPr>
      <w:r>
        <w:rPr>
          <w:rFonts w:hint="eastAsia"/>
          <w:sz w:val="21"/>
          <w:szCs w:val="21"/>
          <w:highlight w:val="none"/>
        </w:rPr>
        <w:t>4.通报依法获取磋商文件的供应商名单及资格预审情况（如有），宣读最终提交响应文件的供应商名单，组织磋商小组各位成员签订《政府采购评审人员廉洁自律承诺书》。</w:t>
      </w:r>
    </w:p>
    <w:p>
      <w:pPr>
        <w:adjustRightInd w:val="0"/>
        <w:snapToGrid w:val="0"/>
        <w:spacing w:line="288" w:lineRule="auto"/>
        <w:ind w:firstLine="420" w:firstLineChars="200"/>
        <w:rPr>
          <w:sz w:val="21"/>
          <w:szCs w:val="21"/>
          <w:highlight w:val="none"/>
        </w:rPr>
      </w:pPr>
      <w:r>
        <w:rPr>
          <w:rFonts w:hint="eastAsia"/>
          <w:sz w:val="21"/>
          <w:szCs w:val="21"/>
          <w:highlight w:val="none"/>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adjustRightInd w:val="0"/>
        <w:snapToGrid w:val="0"/>
        <w:spacing w:line="288" w:lineRule="auto"/>
        <w:ind w:firstLine="420" w:firstLineChars="200"/>
        <w:rPr>
          <w:rFonts w:cs="楷体"/>
          <w:sz w:val="21"/>
          <w:szCs w:val="21"/>
          <w:highlight w:val="none"/>
        </w:rPr>
      </w:pPr>
      <w:r>
        <w:rPr>
          <w:rFonts w:hint="eastAsia"/>
          <w:sz w:val="21"/>
          <w:szCs w:val="21"/>
          <w:highlight w:val="none"/>
        </w:rPr>
        <w:t>6.磋商小组组长组织磋商小组成员根据磋商文件规定的评审程序、评审方法和评审标准进行独立评审。未实质性响应磋商文件的响应文件按无效响应处理，磋商小组告知提交响应文件的供应商。</w:t>
      </w:r>
    </w:p>
    <w:p>
      <w:pPr>
        <w:adjustRightInd w:val="0"/>
        <w:snapToGrid w:val="0"/>
        <w:spacing w:line="288" w:lineRule="auto"/>
        <w:ind w:firstLine="420" w:firstLineChars="200"/>
        <w:rPr>
          <w:sz w:val="21"/>
          <w:szCs w:val="21"/>
          <w:highlight w:val="none"/>
        </w:rPr>
      </w:pPr>
      <w:r>
        <w:rPr>
          <w:rFonts w:hint="eastAsia"/>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pPr>
        <w:adjustRightInd w:val="0"/>
        <w:snapToGrid w:val="0"/>
        <w:spacing w:line="288" w:lineRule="auto"/>
        <w:ind w:firstLine="420" w:firstLineChars="200"/>
        <w:rPr>
          <w:sz w:val="21"/>
          <w:szCs w:val="21"/>
          <w:highlight w:val="none"/>
        </w:rPr>
      </w:pPr>
      <w:r>
        <w:rPr>
          <w:rFonts w:hint="eastAsia"/>
          <w:sz w:val="21"/>
          <w:szCs w:val="21"/>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adjustRightInd w:val="0"/>
        <w:snapToGrid w:val="0"/>
        <w:spacing w:line="288" w:lineRule="auto"/>
        <w:ind w:firstLine="420" w:firstLineChars="200"/>
        <w:rPr>
          <w:sz w:val="21"/>
          <w:szCs w:val="21"/>
          <w:highlight w:val="none"/>
        </w:rPr>
      </w:pPr>
      <w:r>
        <w:rPr>
          <w:rFonts w:hint="eastAsia"/>
          <w:sz w:val="21"/>
          <w:szCs w:val="21"/>
          <w:highlight w:val="none"/>
        </w:rPr>
        <w:t>9.经磋商确定最终采购需求和提交最后磋商报价的供应商后，由磋商小组采用综合评分法对提交最后磋商报价的供应商的响应文件和最后磋商报价进行综合评分。</w:t>
      </w:r>
    </w:p>
    <w:p>
      <w:pPr>
        <w:adjustRightInd w:val="0"/>
        <w:snapToGrid w:val="0"/>
        <w:spacing w:line="288" w:lineRule="auto"/>
        <w:ind w:firstLine="420" w:firstLineChars="200"/>
        <w:rPr>
          <w:sz w:val="21"/>
          <w:szCs w:val="21"/>
          <w:highlight w:val="none"/>
        </w:rPr>
      </w:pPr>
      <w:r>
        <w:rPr>
          <w:rFonts w:hint="eastAsia"/>
          <w:sz w:val="21"/>
          <w:szCs w:val="21"/>
          <w:highlight w:val="none"/>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adjustRightInd w:val="0"/>
        <w:snapToGrid w:val="0"/>
        <w:spacing w:line="288" w:lineRule="auto"/>
        <w:ind w:firstLine="420" w:firstLineChars="200"/>
        <w:rPr>
          <w:sz w:val="21"/>
          <w:szCs w:val="21"/>
          <w:highlight w:val="none"/>
        </w:rPr>
      </w:pPr>
      <w:r>
        <w:rPr>
          <w:rFonts w:hint="eastAsia"/>
          <w:sz w:val="21"/>
          <w:szCs w:val="21"/>
          <w:highlight w:val="none"/>
        </w:rPr>
        <w:t>11.做好评审现场相关记录，协助磋商小组组长做好评审报告起草、有关内容电脑文字录入等工作，并要求磋商小组各成员签字确认。</w:t>
      </w:r>
    </w:p>
    <w:p>
      <w:pPr>
        <w:adjustRightInd w:val="0"/>
        <w:snapToGrid w:val="0"/>
        <w:spacing w:line="288" w:lineRule="auto"/>
        <w:ind w:firstLine="420" w:firstLineChars="200"/>
        <w:rPr>
          <w:sz w:val="21"/>
          <w:szCs w:val="21"/>
          <w:highlight w:val="none"/>
        </w:rPr>
      </w:pPr>
      <w:r>
        <w:rPr>
          <w:rFonts w:hint="eastAsia"/>
          <w:sz w:val="21"/>
          <w:szCs w:val="21"/>
          <w:highlight w:val="none"/>
        </w:rPr>
        <w:t>12.评审结束后，采购代理机构交还评审人员及其他现场相关人员的通讯工具，主持人公布成交候选供应商名单，及采购人最终确定成交供应商名单的时间和公告方式等。</w:t>
      </w:r>
    </w:p>
    <w:p>
      <w:pPr>
        <w:adjustRightInd w:val="0"/>
        <w:snapToGrid w:val="0"/>
        <w:spacing w:line="288" w:lineRule="auto"/>
        <w:outlineLvl w:val="2"/>
        <w:rPr>
          <w:b/>
          <w:bCs/>
          <w:sz w:val="21"/>
          <w:szCs w:val="21"/>
          <w:highlight w:val="none"/>
        </w:rPr>
      </w:pPr>
      <w:r>
        <w:rPr>
          <w:rFonts w:hint="eastAsia"/>
          <w:b/>
          <w:bCs/>
          <w:sz w:val="21"/>
          <w:szCs w:val="21"/>
          <w:highlight w:val="none"/>
        </w:rPr>
        <w:t>（四）澄清问题的形式</w:t>
      </w:r>
    </w:p>
    <w:p>
      <w:pPr>
        <w:adjustRightInd w:val="0"/>
        <w:snapToGrid w:val="0"/>
        <w:spacing w:line="288" w:lineRule="auto"/>
        <w:ind w:firstLine="420" w:firstLineChars="200"/>
        <w:rPr>
          <w:sz w:val="21"/>
          <w:szCs w:val="21"/>
          <w:highlight w:val="none"/>
        </w:rPr>
      </w:pPr>
      <w:r>
        <w:rPr>
          <w:rFonts w:hint="eastAsia"/>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288" w:lineRule="auto"/>
        <w:ind w:firstLine="420" w:firstLineChars="200"/>
        <w:rPr>
          <w:sz w:val="21"/>
          <w:szCs w:val="21"/>
          <w:highlight w:val="none"/>
        </w:rPr>
      </w:pPr>
      <w:r>
        <w:rPr>
          <w:rFonts w:hint="eastAsia"/>
          <w:sz w:val="21"/>
          <w:szCs w:val="21"/>
          <w:highlight w:val="none"/>
        </w:rPr>
        <w:t>磋商小组要求供应商澄清、说明或者更正响应文件应当以书面形式（或通过政府采购云平台在线询标）作出。供应商的澄清、说明或者更正应当由法定代表人或其授权代表签字或者加盖公章。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采用书面形式的澄清、说明或者更正，在规定时间内（不少于半小时）通过指定的电子邮箱（zb03@qszb.net）或传真号码（</w:t>
      </w:r>
      <w:r>
        <w:rPr>
          <w:b/>
          <w:bCs/>
          <w:sz w:val="21"/>
          <w:szCs w:val="21"/>
          <w:highlight w:val="none"/>
        </w:rPr>
        <w:t>0571</w:t>
      </w:r>
      <w:r>
        <w:rPr>
          <w:rFonts w:hint="eastAsia"/>
          <w:b/>
          <w:bCs/>
          <w:sz w:val="21"/>
          <w:szCs w:val="21"/>
          <w:highlight w:val="none"/>
        </w:rPr>
        <w:t>-</w:t>
      </w:r>
      <w:r>
        <w:rPr>
          <w:b/>
          <w:bCs/>
          <w:sz w:val="21"/>
          <w:szCs w:val="21"/>
          <w:highlight w:val="none"/>
        </w:rPr>
        <w:t>87666116</w:t>
      </w:r>
      <w:r>
        <w:rPr>
          <w:rFonts w:hint="eastAsia"/>
          <w:b/>
          <w:bCs/>
          <w:sz w:val="21"/>
          <w:szCs w:val="21"/>
          <w:highlight w:val="none"/>
        </w:rPr>
        <w:t>）提交。</w:t>
      </w:r>
    </w:p>
    <w:p>
      <w:pPr>
        <w:adjustRightInd w:val="0"/>
        <w:snapToGrid w:val="0"/>
        <w:spacing w:line="288" w:lineRule="auto"/>
        <w:outlineLvl w:val="2"/>
        <w:rPr>
          <w:b/>
          <w:bCs/>
          <w:sz w:val="21"/>
          <w:szCs w:val="21"/>
          <w:highlight w:val="none"/>
        </w:rPr>
      </w:pPr>
      <w:r>
        <w:rPr>
          <w:rFonts w:hint="eastAsia"/>
          <w:b/>
          <w:bCs/>
          <w:sz w:val="21"/>
          <w:szCs w:val="21"/>
          <w:highlight w:val="none"/>
        </w:rPr>
        <w:t>（五）评审原则和评审办法</w:t>
      </w:r>
    </w:p>
    <w:p>
      <w:pPr>
        <w:adjustRightInd w:val="0"/>
        <w:snapToGrid w:val="0"/>
        <w:spacing w:line="288" w:lineRule="auto"/>
        <w:ind w:firstLine="420" w:firstLineChars="200"/>
        <w:rPr>
          <w:sz w:val="21"/>
          <w:szCs w:val="21"/>
          <w:highlight w:val="none"/>
        </w:rPr>
      </w:pPr>
      <w:r>
        <w:rPr>
          <w:rFonts w:hint="eastAsia"/>
          <w:sz w:val="21"/>
          <w:szCs w:val="21"/>
          <w:highlight w:val="none"/>
        </w:rPr>
        <w:t>1.评审专家应当遵守评审工作纪律，不得泄露评审情况和评审中获悉的商业秘密。磋商小组成员应当按照客观、公正、审慎的原则，根据磋商文件规定的评审程序、评审方法和评审标准进行独立评审。</w:t>
      </w:r>
    </w:p>
    <w:p>
      <w:pPr>
        <w:adjustRightInd w:val="0"/>
        <w:snapToGrid w:val="0"/>
        <w:spacing w:line="288" w:lineRule="auto"/>
        <w:ind w:firstLine="420" w:firstLineChars="200"/>
        <w:rPr>
          <w:sz w:val="21"/>
          <w:szCs w:val="21"/>
          <w:highlight w:val="none"/>
        </w:rPr>
      </w:pPr>
      <w:r>
        <w:rPr>
          <w:rFonts w:hint="eastAsia"/>
          <w:sz w:val="21"/>
          <w:szCs w:val="21"/>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adjustRightInd w:val="0"/>
        <w:snapToGrid w:val="0"/>
        <w:spacing w:line="288" w:lineRule="auto"/>
        <w:ind w:firstLine="420" w:firstLineChars="200"/>
        <w:rPr>
          <w:sz w:val="21"/>
          <w:szCs w:val="21"/>
          <w:highlight w:val="none"/>
        </w:rPr>
      </w:pPr>
      <w:r>
        <w:rPr>
          <w:rFonts w:hint="eastAsia"/>
          <w:sz w:val="21"/>
          <w:szCs w:val="21"/>
          <w:highlight w:val="none"/>
        </w:rPr>
        <w:t>3.磋商文件内容违反国家有关强制性规定的，磋商小组应当停止评审并向采购人或者采购代理机构说明情况。</w:t>
      </w:r>
    </w:p>
    <w:p>
      <w:pPr>
        <w:adjustRightInd w:val="0"/>
        <w:snapToGrid w:val="0"/>
        <w:spacing w:line="288" w:lineRule="auto"/>
        <w:ind w:firstLine="420" w:firstLineChars="200"/>
        <w:rPr>
          <w:sz w:val="21"/>
          <w:szCs w:val="21"/>
          <w:highlight w:val="none"/>
        </w:rPr>
      </w:pPr>
      <w:r>
        <w:rPr>
          <w:rFonts w:hint="eastAsia"/>
          <w:sz w:val="21"/>
          <w:szCs w:val="21"/>
          <w:highlight w:val="none"/>
        </w:rPr>
        <w:t>4.采购人、采购代理机构不得向磋商小组中的评审专家作倾向性、误导性的解释或者说明。</w:t>
      </w:r>
    </w:p>
    <w:p>
      <w:pPr>
        <w:adjustRightInd w:val="0"/>
        <w:snapToGrid w:val="0"/>
        <w:spacing w:line="288" w:lineRule="auto"/>
        <w:ind w:firstLine="420" w:firstLineChars="200"/>
        <w:rPr>
          <w:sz w:val="21"/>
          <w:szCs w:val="21"/>
          <w:highlight w:val="none"/>
        </w:rPr>
      </w:pPr>
      <w:r>
        <w:rPr>
          <w:rFonts w:hint="eastAsia"/>
          <w:sz w:val="21"/>
          <w:szCs w:val="21"/>
          <w:highlight w:val="none"/>
        </w:rPr>
        <w:t>5.已提交响应文件的供应商，在提交最后磋商报价之前，可以根据磋商情况退出磋商。</w:t>
      </w:r>
    </w:p>
    <w:p>
      <w:pPr>
        <w:adjustRightInd w:val="0"/>
        <w:snapToGrid w:val="0"/>
        <w:spacing w:line="288" w:lineRule="auto"/>
        <w:ind w:firstLine="420" w:firstLineChars="200"/>
        <w:rPr>
          <w:sz w:val="21"/>
          <w:szCs w:val="21"/>
          <w:highlight w:val="none"/>
        </w:rPr>
      </w:pPr>
      <w:r>
        <w:rPr>
          <w:sz w:val="21"/>
          <w:szCs w:val="21"/>
          <w:highlight w:val="none"/>
        </w:rPr>
        <w:t>6</w:t>
      </w:r>
      <w:r>
        <w:rPr>
          <w:rFonts w:hint="eastAsia"/>
          <w:sz w:val="21"/>
          <w:szCs w:val="21"/>
          <w:highlight w:val="none"/>
        </w:rPr>
        <w:t>.磋商轮次不超过三轮，具体根据项目的情况由磋商小组决定。</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.评审办法。本项目评审办法是综合评分法，具体评审内容及评分标准等详见《第四章：评审办法及评分标准》。</w:t>
      </w:r>
    </w:p>
    <w:p>
      <w:pPr>
        <w:adjustRightInd w:val="0"/>
        <w:snapToGrid w:val="0"/>
        <w:spacing w:line="288" w:lineRule="auto"/>
        <w:ind w:firstLine="420" w:firstLineChars="200"/>
        <w:rPr>
          <w:sz w:val="21"/>
          <w:szCs w:val="21"/>
          <w:highlight w:val="none"/>
        </w:rPr>
      </w:pPr>
      <w:r>
        <w:rPr>
          <w:sz w:val="21"/>
          <w:szCs w:val="21"/>
          <w:highlight w:val="none"/>
        </w:rPr>
        <w:t>9</w:t>
      </w:r>
      <w:r>
        <w:rPr>
          <w:rFonts w:hint="eastAsia"/>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adjustRightInd w:val="0"/>
        <w:snapToGrid w:val="0"/>
        <w:spacing w:line="288" w:lineRule="auto"/>
        <w:outlineLvl w:val="2"/>
        <w:rPr>
          <w:b/>
          <w:bCs/>
          <w:sz w:val="21"/>
          <w:szCs w:val="21"/>
          <w:highlight w:val="none"/>
        </w:rPr>
      </w:pPr>
      <w:r>
        <w:rPr>
          <w:rFonts w:hint="eastAsia"/>
          <w:b/>
          <w:bCs/>
          <w:sz w:val="21"/>
          <w:szCs w:val="21"/>
          <w:highlight w:val="none"/>
        </w:rPr>
        <w:t>（六）成交</w:t>
      </w:r>
    </w:p>
    <w:p>
      <w:pPr>
        <w:adjustRightInd w:val="0"/>
        <w:snapToGrid w:val="0"/>
        <w:spacing w:line="288" w:lineRule="auto"/>
        <w:ind w:firstLine="420" w:firstLineChars="200"/>
        <w:rPr>
          <w:sz w:val="21"/>
          <w:szCs w:val="21"/>
          <w:highlight w:val="none"/>
        </w:rPr>
      </w:pPr>
      <w:r>
        <w:rPr>
          <w:rFonts w:hint="eastAsia"/>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2.采购代理机构在成交供应商确定后2个工作日内公告成交结果，同时向成交供应商发出成交通知书。</w:t>
      </w:r>
    </w:p>
    <w:p>
      <w:pPr>
        <w:adjustRightInd w:val="0"/>
        <w:snapToGrid w:val="0"/>
        <w:spacing w:line="288" w:lineRule="auto"/>
        <w:ind w:firstLine="420" w:firstLineChars="200"/>
        <w:rPr>
          <w:b/>
          <w:bCs/>
          <w:sz w:val="21"/>
          <w:szCs w:val="21"/>
          <w:highlight w:val="none"/>
        </w:rPr>
      </w:pPr>
      <w:r>
        <w:rPr>
          <w:rFonts w:hint="eastAsia"/>
          <w:sz w:val="21"/>
          <w:szCs w:val="21"/>
          <w:highlight w:val="none"/>
        </w:rPr>
        <w:t>3</w:t>
      </w:r>
      <w:r>
        <w:rPr>
          <w:sz w:val="21"/>
          <w:szCs w:val="21"/>
          <w:highlight w:val="none"/>
        </w:rPr>
        <w:t>.</w:t>
      </w:r>
      <w:r>
        <w:rPr>
          <w:rFonts w:hint="eastAsia"/>
          <w:sz w:val="21"/>
          <w:szCs w:val="21"/>
          <w:highlight w:val="none"/>
        </w:rPr>
        <w:t>评审结果公示媒体：浙江政府采购网（http://zfcg.czt.zj.gov.cn）。</w:t>
      </w:r>
    </w:p>
    <w:p>
      <w:pPr>
        <w:adjustRightInd w:val="0"/>
        <w:snapToGrid w:val="0"/>
        <w:spacing w:line="288" w:lineRule="auto"/>
        <w:jc w:val="left"/>
        <w:outlineLvl w:val="2"/>
        <w:rPr>
          <w:b/>
          <w:bCs/>
          <w:sz w:val="21"/>
          <w:szCs w:val="21"/>
          <w:highlight w:val="none"/>
        </w:rPr>
      </w:pPr>
      <w:r>
        <w:rPr>
          <w:rFonts w:hint="eastAsia"/>
          <w:b/>
          <w:bCs/>
          <w:sz w:val="21"/>
          <w:szCs w:val="21"/>
          <w:highlight w:val="none"/>
        </w:rPr>
        <w:t>（七）合同授予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六、可中止电子交易活动的情形</w:t>
      </w:r>
    </w:p>
    <w:p>
      <w:pPr>
        <w:adjustRightInd w:val="0"/>
        <w:snapToGrid w:val="0"/>
        <w:spacing w:line="288" w:lineRule="auto"/>
        <w:ind w:firstLine="420" w:firstLineChars="200"/>
        <w:rPr>
          <w:sz w:val="21"/>
          <w:szCs w:val="21"/>
          <w:highlight w:val="none"/>
        </w:rPr>
      </w:pPr>
      <w:r>
        <w:rPr>
          <w:rFonts w:hint="eastAsia"/>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highlight w:val="none"/>
        </w:rPr>
      </w:pPr>
      <w:r>
        <w:rPr>
          <w:rFonts w:hint="eastAsia"/>
          <w:sz w:val="21"/>
          <w:szCs w:val="21"/>
          <w:highlight w:val="none"/>
        </w:rPr>
        <w:t>1.电子交易平台发生故障而无法登录访问的；</w:t>
      </w:r>
    </w:p>
    <w:p>
      <w:pPr>
        <w:adjustRightInd w:val="0"/>
        <w:snapToGrid w:val="0"/>
        <w:spacing w:line="288" w:lineRule="auto"/>
        <w:ind w:firstLine="420" w:firstLineChars="200"/>
        <w:rPr>
          <w:sz w:val="21"/>
          <w:szCs w:val="21"/>
          <w:highlight w:val="none"/>
        </w:rPr>
      </w:pPr>
      <w:r>
        <w:rPr>
          <w:rFonts w:hint="eastAsia"/>
          <w:sz w:val="21"/>
          <w:szCs w:val="21"/>
          <w:highlight w:val="none"/>
        </w:rPr>
        <w:t>2.电子交易平台应用或数据库出现错误，不能进行正常操作的；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3.电子交易平台发现严重安全漏洞，有潜在泄密危险的；</w:t>
      </w:r>
    </w:p>
    <w:p>
      <w:pPr>
        <w:adjustRightInd w:val="0"/>
        <w:snapToGrid w:val="0"/>
        <w:spacing w:line="288" w:lineRule="auto"/>
        <w:ind w:firstLine="420" w:firstLineChars="200"/>
        <w:rPr>
          <w:sz w:val="21"/>
          <w:szCs w:val="21"/>
          <w:highlight w:val="none"/>
        </w:rPr>
      </w:pPr>
      <w:r>
        <w:rPr>
          <w:rFonts w:hint="eastAsia"/>
          <w:sz w:val="21"/>
          <w:szCs w:val="21"/>
          <w:highlight w:val="none"/>
        </w:rPr>
        <w:t>4.病毒发作导致不能进行正常操作的；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5.其他无法保证电子交易的公平、公正和安全的情况。</w:t>
      </w:r>
    </w:p>
    <w:p>
      <w:pPr>
        <w:adjustRightInd w:val="0"/>
        <w:snapToGrid w:val="0"/>
        <w:spacing w:line="288" w:lineRule="auto"/>
        <w:ind w:firstLine="420" w:firstLineChars="200"/>
        <w:rPr>
          <w:sz w:val="21"/>
          <w:szCs w:val="21"/>
          <w:highlight w:val="none"/>
        </w:rPr>
      </w:pPr>
      <w:r>
        <w:rPr>
          <w:rFonts w:hint="eastAsia"/>
          <w:sz w:val="21"/>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第四章  评审办法及评分标准</w:t>
      </w:r>
    </w:p>
    <w:p>
      <w:pPr>
        <w:adjustRightInd w:val="0"/>
        <w:snapToGrid w:val="0"/>
        <w:spacing w:line="288" w:lineRule="auto"/>
        <w:outlineLvl w:val="1"/>
        <w:rPr>
          <w:b/>
          <w:bCs/>
          <w:sz w:val="21"/>
          <w:szCs w:val="21"/>
          <w:highlight w:val="none"/>
        </w:rPr>
      </w:pPr>
      <w:r>
        <w:rPr>
          <w:rFonts w:hint="eastAsia"/>
          <w:b/>
          <w:bCs/>
          <w:sz w:val="21"/>
          <w:szCs w:val="21"/>
          <w:highlight w:val="none"/>
        </w:rPr>
        <w:t>一、总则</w:t>
      </w:r>
    </w:p>
    <w:p>
      <w:pPr>
        <w:adjustRightInd w:val="0"/>
        <w:snapToGrid w:val="0"/>
        <w:spacing w:line="288" w:lineRule="auto"/>
        <w:ind w:firstLine="420" w:firstLineChars="200"/>
        <w:rPr>
          <w:sz w:val="21"/>
          <w:szCs w:val="21"/>
          <w:highlight w:val="none"/>
        </w:rPr>
      </w:pPr>
      <w:r>
        <w:rPr>
          <w:rFonts w:hint="eastAsia"/>
          <w:sz w:val="21"/>
          <w:szCs w:val="21"/>
          <w:highlight w:val="none"/>
        </w:rPr>
        <w:t>本次评审采用综合评分法，总分为100分。合格供应商的评审得分为各</w:t>
      </w:r>
      <w:r>
        <w:rPr>
          <w:rFonts w:hint="eastAsia"/>
          <w:bCs/>
          <w:spacing w:val="-6"/>
          <w:sz w:val="21"/>
          <w:szCs w:val="21"/>
          <w:highlight w:val="none"/>
        </w:rPr>
        <w:t>评分项</w:t>
      </w:r>
      <w:r>
        <w:rPr>
          <w:rFonts w:hint="eastAsia"/>
          <w:sz w:val="21"/>
          <w:szCs w:val="21"/>
          <w:highlight w:val="none"/>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pPr>
        <w:adjustRightInd w:val="0"/>
        <w:snapToGrid w:val="0"/>
        <w:spacing w:line="288" w:lineRule="auto"/>
        <w:ind w:firstLine="420" w:firstLineChars="200"/>
        <w:rPr>
          <w:sz w:val="21"/>
          <w:szCs w:val="21"/>
          <w:highlight w:val="none"/>
        </w:rPr>
      </w:pPr>
      <w:r>
        <w:rPr>
          <w:rFonts w:hint="eastAsia"/>
          <w:sz w:val="21"/>
          <w:szCs w:val="21"/>
          <w:highlight w:val="none"/>
        </w:rPr>
        <w:t>供应商评审综合得分=商务分+技术分+价格分</w:t>
      </w:r>
    </w:p>
    <w:p>
      <w:pPr>
        <w:adjustRightInd w:val="0"/>
        <w:snapToGrid w:val="0"/>
        <w:spacing w:line="288" w:lineRule="auto"/>
        <w:ind w:firstLine="420" w:firstLineChars="200"/>
        <w:rPr>
          <w:sz w:val="21"/>
          <w:szCs w:val="21"/>
          <w:highlight w:val="none"/>
        </w:rPr>
      </w:pPr>
      <w:r>
        <w:rPr>
          <w:rFonts w:hint="eastAsia"/>
          <w:sz w:val="21"/>
          <w:szCs w:val="21"/>
          <w:highlight w:val="none"/>
        </w:rPr>
        <w:t>商务分、技术分按照磋商小组成员的独立评分结果的算术平均分计算，计算公式为：商务分、技术分=（磋商小组所有成员评分合计数）/（磋商小组组成人员数）</w:t>
      </w:r>
    </w:p>
    <w:p>
      <w:pPr>
        <w:numPr>
          <w:ilvl w:val="0"/>
          <w:numId w:val="3"/>
        </w:numPr>
        <w:adjustRightInd w:val="0"/>
        <w:snapToGrid w:val="0"/>
        <w:spacing w:line="288" w:lineRule="auto"/>
        <w:outlineLvl w:val="1"/>
        <w:rPr>
          <w:b/>
          <w:bCs/>
          <w:sz w:val="21"/>
          <w:szCs w:val="21"/>
          <w:highlight w:val="none"/>
        </w:rPr>
      </w:pPr>
      <w:r>
        <w:rPr>
          <w:rFonts w:hint="eastAsia"/>
          <w:b/>
          <w:bCs/>
          <w:sz w:val="21"/>
          <w:szCs w:val="21"/>
          <w:highlight w:val="none"/>
        </w:rPr>
        <w:t>评审内容及标准</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cs="Times New Roman"/>
                <w:b/>
                <w:bCs/>
                <w:sz w:val="21"/>
                <w:szCs w:val="21"/>
                <w:highlight w:val="none"/>
              </w:rPr>
            </w:pPr>
            <w:r>
              <w:rPr>
                <w:rFonts w:hint="eastAsia" w:cs="Times New Roman"/>
                <w:b/>
                <w:bCs/>
                <w:sz w:val="21"/>
                <w:szCs w:val="21"/>
                <w:highlight w:val="none"/>
              </w:rPr>
              <w:t>评审因素</w:t>
            </w:r>
          </w:p>
        </w:tc>
        <w:tc>
          <w:tcPr>
            <w:tcW w:w="654" w:type="dxa"/>
            <w:vAlign w:val="center"/>
          </w:tcPr>
          <w:p>
            <w:pPr>
              <w:adjustRightInd w:val="0"/>
              <w:snapToGrid w:val="0"/>
              <w:spacing w:line="288" w:lineRule="auto"/>
              <w:jc w:val="center"/>
              <w:rPr>
                <w:rFonts w:cs="Times New Roman"/>
                <w:b/>
                <w:bCs/>
                <w:sz w:val="21"/>
                <w:szCs w:val="21"/>
                <w:highlight w:val="none"/>
              </w:rPr>
            </w:pPr>
            <w:r>
              <w:rPr>
                <w:rFonts w:hint="eastAsia" w:cs="Times New Roman"/>
                <w:b/>
                <w:bCs/>
                <w:sz w:val="21"/>
                <w:szCs w:val="21"/>
                <w:highlight w:val="none"/>
              </w:rPr>
              <w:t>分值</w:t>
            </w:r>
          </w:p>
        </w:tc>
        <w:tc>
          <w:tcPr>
            <w:tcW w:w="7207" w:type="dxa"/>
            <w:vAlign w:val="center"/>
          </w:tcPr>
          <w:p>
            <w:pPr>
              <w:adjustRightInd w:val="0"/>
              <w:snapToGrid w:val="0"/>
              <w:spacing w:line="288" w:lineRule="auto"/>
              <w:jc w:val="center"/>
              <w:rPr>
                <w:rFonts w:cs="Times New Roman"/>
                <w:b/>
                <w:bCs/>
                <w:sz w:val="21"/>
                <w:szCs w:val="21"/>
                <w:highlight w:val="none"/>
              </w:rPr>
            </w:pPr>
            <w:r>
              <w:rPr>
                <w:rFonts w:cs="Times New Roman"/>
                <w:b/>
                <w:bCs/>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cs="Times New Roman"/>
                <w:b/>
                <w:bCs/>
                <w:sz w:val="21"/>
                <w:szCs w:val="21"/>
                <w:highlight w:val="none"/>
              </w:rPr>
            </w:pPr>
            <w:r>
              <w:rPr>
                <w:rFonts w:cs="Times New Roman"/>
                <w:b/>
                <w:bCs/>
                <w:sz w:val="21"/>
                <w:szCs w:val="21"/>
                <w:highlight w:val="none"/>
              </w:rPr>
              <w:t>价格</w:t>
            </w:r>
            <w:r>
              <w:rPr>
                <w:rFonts w:hint="eastAsia" w:cs="Times New Roman"/>
                <w:b/>
                <w:bCs/>
                <w:sz w:val="21"/>
                <w:szCs w:val="21"/>
                <w:highlight w:val="none"/>
              </w:rPr>
              <w:t>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0"/>
              <w:jc w:val="center"/>
              <w:rPr>
                <w:rFonts w:hAnsi="宋体" w:cs="宋体"/>
                <w:b/>
                <w:bCs/>
                <w:sz w:val="21"/>
                <w:szCs w:val="21"/>
                <w:highlight w:val="none"/>
              </w:rPr>
            </w:pPr>
            <w:r>
              <w:rPr>
                <w:rFonts w:hint="eastAsia" w:hAnsi="宋体"/>
                <w:b/>
                <w:bCs/>
                <w:spacing w:val="-6"/>
                <w:sz w:val="21"/>
                <w:szCs w:val="21"/>
                <w:highlight w:val="none"/>
              </w:rPr>
              <w:t>磋商响应报价</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pacing w:val="-6"/>
                <w:sz w:val="21"/>
                <w:szCs w:val="21"/>
                <w:highlight w:val="none"/>
              </w:rPr>
              <w:t>15</w:t>
            </w:r>
          </w:p>
        </w:tc>
        <w:tc>
          <w:tcPr>
            <w:tcW w:w="7207" w:type="dxa"/>
            <w:tcBorders>
              <w:top w:val="single" w:color="auto" w:sz="4" w:space="0"/>
              <w:left w:val="single" w:color="auto" w:sz="4" w:space="0"/>
              <w:bottom w:val="single" w:color="auto" w:sz="4" w:space="0"/>
              <w:right w:val="single" w:color="auto" w:sz="4" w:space="0"/>
            </w:tcBorders>
            <w:vAlign w:val="center"/>
          </w:tcPr>
          <w:p>
            <w:pPr>
              <w:pStyle w:val="7"/>
              <w:ind w:firstLine="0"/>
              <w:rPr>
                <w:rFonts w:hAnsi="宋体"/>
                <w:spacing w:val="-6"/>
                <w:sz w:val="21"/>
                <w:szCs w:val="21"/>
                <w:highlight w:val="none"/>
              </w:rPr>
            </w:pPr>
            <w:r>
              <w:rPr>
                <w:rFonts w:hint="eastAsia" w:hAnsi="宋体"/>
                <w:spacing w:val="-6"/>
                <w:sz w:val="21"/>
                <w:szCs w:val="21"/>
                <w:highlight w:val="none"/>
              </w:rPr>
              <w:t>价格分采用低价优先法计算，即满足磋商文件要求且磋商响应报价最低的报价为磋商基准价，其他磋商响应供应商的价格分按照下列公式计算：</w:t>
            </w:r>
          </w:p>
          <w:p>
            <w:pPr>
              <w:rPr>
                <w:sz w:val="21"/>
                <w:szCs w:val="21"/>
                <w:highlight w:val="none"/>
              </w:rPr>
            </w:pPr>
            <w:r>
              <w:rPr>
                <w:rFonts w:hint="eastAsia"/>
                <w:spacing w:val="-6"/>
                <w:sz w:val="21"/>
                <w:szCs w:val="21"/>
                <w:highlight w:val="none"/>
              </w:rPr>
              <w:t>价格分=（磋商基准价/磋商响应报价）×15%×100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cs="Times New Roman"/>
                <w:b/>
                <w:bCs/>
                <w:sz w:val="21"/>
                <w:szCs w:val="21"/>
                <w:highlight w:val="none"/>
              </w:rPr>
            </w:pPr>
            <w:r>
              <w:rPr>
                <w:rFonts w:cs="Times New Roman"/>
                <w:b/>
                <w:bCs/>
                <w:sz w:val="21"/>
                <w:szCs w:val="21"/>
                <w:highlight w:val="none"/>
              </w:rPr>
              <w:t>商务分</w:t>
            </w:r>
            <w:r>
              <w:rPr>
                <w:rFonts w:hint="eastAsia" w:cs="Times New Roman"/>
                <w:b/>
                <w:bCs/>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vAlign w:val="center"/>
          </w:tcPr>
          <w:p>
            <w:pPr>
              <w:adjustRightInd w:val="0"/>
              <w:snapToGrid w:val="0"/>
              <w:spacing w:line="288" w:lineRule="auto"/>
              <w:jc w:val="center"/>
              <w:rPr>
                <w:b/>
                <w:bCs/>
                <w:sz w:val="21"/>
                <w:szCs w:val="21"/>
                <w:highlight w:val="none"/>
              </w:rPr>
            </w:pPr>
            <w:r>
              <w:rPr>
                <w:rFonts w:hint="eastAsia"/>
                <w:b/>
                <w:bCs/>
                <w:sz w:val="21"/>
                <w:szCs w:val="21"/>
                <w:highlight w:val="none"/>
              </w:rPr>
              <w:t>认证证书</w:t>
            </w:r>
          </w:p>
        </w:tc>
        <w:tc>
          <w:tcPr>
            <w:tcW w:w="65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1</w:t>
            </w:r>
          </w:p>
        </w:tc>
        <w:tc>
          <w:tcPr>
            <w:tcW w:w="7207" w:type="dxa"/>
            <w:vAlign w:val="center"/>
          </w:tcPr>
          <w:p>
            <w:pPr>
              <w:adjustRightInd w:val="0"/>
              <w:snapToGrid w:val="0"/>
              <w:spacing w:line="288" w:lineRule="auto"/>
              <w:rPr>
                <w:sz w:val="21"/>
                <w:szCs w:val="21"/>
                <w:highlight w:val="none"/>
              </w:rPr>
            </w:pPr>
            <w:r>
              <w:rPr>
                <w:rFonts w:hint="eastAsia"/>
                <w:sz w:val="21"/>
                <w:szCs w:val="21"/>
                <w:highlight w:val="none"/>
              </w:rPr>
              <w:t>供应商具有有效的质量管理体系认证证书的得1分（响应文件中提供证明材料，不提供不得分）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pPr>
              <w:adjustRightInd w:val="0"/>
              <w:snapToGrid w:val="0"/>
              <w:spacing w:line="288" w:lineRule="auto"/>
              <w:jc w:val="center"/>
              <w:rPr>
                <w:b/>
                <w:bCs/>
                <w:sz w:val="21"/>
                <w:szCs w:val="21"/>
                <w:highlight w:val="none"/>
              </w:rPr>
            </w:pPr>
          </w:p>
        </w:tc>
        <w:tc>
          <w:tcPr>
            <w:tcW w:w="65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1</w:t>
            </w:r>
          </w:p>
        </w:tc>
        <w:tc>
          <w:tcPr>
            <w:tcW w:w="7207" w:type="dxa"/>
            <w:vAlign w:val="center"/>
          </w:tcPr>
          <w:p>
            <w:pPr>
              <w:adjustRightInd w:val="0"/>
              <w:snapToGrid w:val="0"/>
              <w:spacing w:line="288" w:lineRule="auto"/>
              <w:rPr>
                <w:sz w:val="21"/>
                <w:szCs w:val="21"/>
                <w:highlight w:val="none"/>
              </w:rPr>
            </w:pPr>
            <w:r>
              <w:rPr>
                <w:rFonts w:hint="eastAsia"/>
                <w:sz w:val="21"/>
                <w:szCs w:val="21"/>
                <w:highlight w:val="none"/>
              </w:rPr>
              <w:t>供应商具有有效的信息安全管理体系认证证书的得1分（响应文件中提供证明材料，不提供不得分）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pPr>
              <w:adjustRightInd w:val="0"/>
              <w:snapToGrid w:val="0"/>
              <w:spacing w:line="288" w:lineRule="auto"/>
              <w:jc w:val="center"/>
              <w:rPr>
                <w:b/>
                <w:bCs/>
                <w:sz w:val="21"/>
                <w:szCs w:val="21"/>
                <w:highlight w:val="none"/>
              </w:rPr>
            </w:pPr>
          </w:p>
        </w:tc>
        <w:tc>
          <w:tcPr>
            <w:tcW w:w="65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1</w:t>
            </w:r>
          </w:p>
        </w:tc>
        <w:tc>
          <w:tcPr>
            <w:tcW w:w="7207" w:type="dxa"/>
            <w:vAlign w:val="center"/>
          </w:tcPr>
          <w:p>
            <w:pPr>
              <w:adjustRightInd w:val="0"/>
              <w:snapToGrid w:val="0"/>
              <w:spacing w:line="288" w:lineRule="auto"/>
              <w:rPr>
                <w:sz w:val="21"/>
                <w:szCs w:val="21"/>
                <w:highlight w:val="none"/>
              </w:rPr>
            </w:pPr>
            <w:r>
              <w:rPr>
                <w:rFonts w:hint="eastAsia"/>
                <w:sz w:val="21"/>
                <w:szCs w:val="21"/>
                <w:highlight w:val="none"/>
              </w:rPr>
              <w:t>供应商具有有效的信息系统安全等级保护备案证明（三级）及以上的得1分（响应文件中提供</w:t>
            </w:r>
            <w:r>
              <w:rPr>
                <w:rFonts w:hint="eastAsia"/>
                <w:sz w:val="21"/>
                <w:szCs w:val="21"/>
                <w:highlight w:val="none"/>
                <w:lang w:eastAsia="zh-CN"/>
              </w:rPr>
              <w:t>扫描件</w:t>
            </w:r>
            <w:r>
              <w:rPr>
                <w:rFonts w:hint="eastAsia"/>
                <w:sz w:val="21"/>
                <w:szCs w:val="21"/>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pPr>
              <w:adjustRightInd w:val="0"/>
              <w:snapToGrid w:val="0"/>
              <w:spacing w:line="288" w:lineRule="auto"/>
              <w:jc w:val="center"/>
              <w:rPr>
                <w:b/>
                <w:bCs/>
                <w:sz w:val="21"/>
                <w:szCs w:val="21"/>
                <w:highlight w:val="none"/>
              </w:rPr>
            </w:pPr>
          </w:p>
        </w:tc>
        <w:tc>
          <w:tcPr>
            <w:tcW w:w="65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1</w:t>
            </w:r>
          </w:p>
        </w:tc>
        <w:tc>
          <w:tcPr>
            <w:tcW w:w="7207" w:type="dxa"/>
            <w:vAlign w:val="center"/>
          </w:tcPr>
          <w:p>
            <w:pPr>
              <w:adjustRightInd w:val="0"/>
              <w:snapToGrid w:val="0"/>
              <w:spacing w:line="288" w:lineRule="auto"/>
              <w:rPr>
                <w:sz w:val="21"/>
                <w:szCs w:val="21"/>
                <w:highlight w:val="none"/>
              </w:rPr>
            </w:pPr>
            <w:r>
              <w:rPr>
                <w:rFonts w:hint="eastAsia"/>
                <w:sz w:val="21"/>
                <w:szCs w:val="21"/>
                <w:highlight w:val="none"/>
              </w:rPr>
              <w:t>供应商具有艺术报考类相关软件计算机软件著作权登记证书的得1分（响应文件中提供</w:t>
            </w:r>
            <w:r>
              <w:rPr>
                <w:rFonts w:hint="eastAsia"/>
                <w:sz w:val="21"/>
                <w:szCs w:val="21"/>
                <w:highlight w:val="none"/>
                <w:lang w:eastAsia="zh-CN"/>
              </w:rPr>
              <w:t>扫描件</w:t>
            </w:r>
            <w:r>
              <w:rPr>
                <w:rFonts w:hint="eastAsia"/>
                <w:sz w:val="21"/>
                <w:szCs w:val="21"/>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业绩</w:t>
            </w:r>
          </w:p>
        </w:tc>
        <w:tc>
          <w:tcPr>
            <w:tcW w:w="654" w:type="dxa"/>
            <w:vAlign w:val="center"/>
          </w:tcPr>
          <w:p>
            <w:pPr>
              <w:adjustRightInd w:val="0"/>
              <w:snapToGrid w:val="0"/>
              <w:spacing w:line="288" w:lineRule="auto"/>
              <w:jc w:val="center"/>
              <w:rPr>
                <w:b/>
                <w:bCs/>
                <w:sz w:val="21"/>
                <w:szCs w:val="21"/>
                <w:highlight w:val="none"/>
              </w:rPr>
            </w:pPr>
            <w:r>
              <w:rPr>
                <w:b/>
                <w:bCs/>
                <w:sz w:val="21"/>
                <w:szCs w:val="21"/>
                <w:highlight w:val="none"/>
              </w:rPr>
              <w:t>2</w:t>
            </w:r>
          </w:p>
        </w:tc>
        <w:tc>
          <w:tcPr>
            <w:tcW w:w="7207" w:type="dxa"/>
            <w:vAlign w:val="center"/>
          </w:tcPr>
          <w:p>
            <w:pPr>
              <w:adjustRightInd w:val="0"/>
              <w:snapToGrid w:val="0"/>
              <w:spacing w:line="288" w:lineRule="auto"/>
              <w:rPr>
                <w:sz w:val="21"/>
                <w:szCs w:val="21"/>
                <w:highlight w:val="none"/>
              </w:rPr>
            </w:pPr>
            <w:r>
              <w:rPr>
                <w:rFonts w:hint="eastAsia"/>
                <w:sz w:val="21"/>
                <w:szCs w:val="21"/>
                <w:highlight w:val="none"/>
              </w:rPr>
              <w:t>投标人自2019年1月1日以来（以合同签订时间为准）同类合同业绩（以提供的合同</w:t>
            </w:r>
            <w:r>
              <w:rPr>
                <w:rFonts w:hint="eastAsia"/>
                <w:sz w:val="21"/>
                <w:szCs w:val="21"/>
                <w:highlight w:val="none"/>
                <w:lang w:eastAsia="zh-CN"/>
              </w:rPr>
              <w:t>扫描件</w:t>
            </w:r>
            <w:r>
              <w:rPr>
                <w:rFonts w:hint="eastAsia"/>
                <w:sz w:val="21"/>
                <w:szCs w:val="21"/>
                <w:highlight w:val="none"/>
              </w:rPr>
              <w:t>、验收证明材料扫描件为准）：每提供1份合同业绩得</w:t>
            </w:r>
            <w:r>
              <w:rPr>
                <w:sz w:val="21"/>
                <w:szCs w:val="21"/>
                <w:highlight w:val="none"/>
              </w:rPr>
              <w:t>1</w:t>
            </w:r>
            <w:r>
              <w:rPr>
                <w:rFonts w:hint="eastAsia"/>
                <w:sz w:val="21"/>
                <w:szCs w:val="21"/>
                <w:highlight w:val="none"/>
              </w:rPr>
              <w:t>分，最高得</w:t>
            </w:r>
            <w:r>
              <w:rPr>
                <w:sz w:val="21"/>
                <w:szCs w:val="21"/>
                <w:highlight w:val="none"/>
              </w:rPr>
              <w:t>2</w:t>
            </w:r>
            <w:r>
              <w:rPr>
                <w:rFonts w:hint="eastAsia"/>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cs="Times New Roman"/>
                <w:b/>
                <w:bCs/>
                <w:sz w:val="21"/>
                <w:szCs w:val="21"/>
                <w:highlight w:val="none"/>
              </w:rPr>
            </w:pPr>
            <w:r>
              <w:rPr>
                <w:rFonts w:hint="eastAsia" w:cs="Times New Roman"/>
                <w:b/>
                <w:bCs/>
                <w:sz w:val="21"/>
                <w:szCs w:val="21"/>
                <w:highlight w:val="none"/>
              </w:rPr>
              <w:t>技术</w:t>
            </w:r>
            <w:r>
              <w:rPr>
                <w:rFonts w:cs="Times New Roman"/>
                <w:b/>
                <w:bCs/>
                <w:sz w:val="21"/>
                <w:szCs w:val="21"/>
                <w:highlight w:val="none"/>
              </w:rPr>
              <w:t>分</w:t>
            </w:r>
            <w:r>
              <w:rPr>
                <w:rFonts w:hint="eastAsia" w:cs="Times New Roman"/>
                <w:b/>
                <w:bCs/>
                <w:sz w:val="21"/>
                <w:szCs w:val="21"/>
                <w:highlight w:val="none"/>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技术响应程度</w:t>
            </w:r>
          </w:p>
        </w:tc>
        <w:tc>
          <w:tcPr>
            <w:tcW w:w="654" w:type="dxa"/>
            <w:vAlign w:val="center"/>
          </w:tcPr>
          <w:p>
            <w:pPr>
              <w:adjustRightInd w:val="0"/>
              <w:snapToGrid w:val="0"/>
              <w:spacing w:line="288" w:lineRule="auto"/>
              <w:jc w:val="center"/>
              <w:rPr>
                <w:rFonts w:hint="eastAsia" w:eastAsia="宋体"/>
                <w:b/>
                <w:bCs/>
                <w:sz w:val="21"/>
                <w:szCs w:val="21"/>
                <w:highlight w:val="none"/>
                <w:lang w:eastAsia="zh-CN"/>
              </w:rPr>
            </w:pPr>
            <w:r>
              <w:rPr>
                <w:rFonts w:hint="eastAsia"/>
                <w:b/>
                <w:bCs/>
                <w:sz w:val="21"/>
                <w:szCs w:val="21"/>
                <w:highlight w:val="none"/>
              </w:rPr>
              <w:t>1</w:t>
            </w:r>
            <w:r>
              <w:rPr>
                <w:rFonts w:hint="eastAsia"/>
                <w:b/>
                <w:bCs/>
                <w:sz w:val="21"/>
                <w:szCs w:val="21"/>
                <w:highlight w:val="none"/>
                <w:lang w:val="en-US" w:eastAsia="zh-CN"/>
              </w:rPr>
              <w:t>2</w:t>
            </w:r>
          </w:p>
        </w:tc>
        <w:tc>
          <w:tcPr>
            <w:tcW w:w="7207" w:type="dxa"/>
            <w:vAlign w:val="center"/>
          </w:tcPr>
          <w:p>
            <w:pPr>
              <w:adjustRightInd w:val="0"/>
              <w:snapToGrid w:val="0"/>
              <w:spacing w:line="288" w:lineRule="auto"/>
              <w:rPr>
                <w:sz w:val="21"/>
                <w:szCs w:val="21"/>
                <w:highlight w:val="none"/>
              </w:rPr>
            </w:pPr>
            <w:r>
              <w:rPr>
                <w:rFonts w:hint="eastAsia"/>
                <w:sz w:val="21"/>
                <w:szCs w:val="21"/>
                <w:highlight w:val="none"/>
              </w:rPr>
              <w:t>不符合（负偏离）技术要求中标注“▲”条款（不可偏离）的投标无效；</w:t>
            </w:r>
          </w:p>
          <w:p>
            <w:pPr>
              <w:adjustRightInd w:val="0"/>
              <w:snapToGrid w:val="0"/>
              <w:spacing w:line="288" w:lineRule="auto"/>
              <w:rPr>
                <w:sz w:val="21"/>
                <w:szCs w:val="21"/>
                <w:highlight w:val="none"/>
              </w:rPr>
            </w:pPr>
            <w:r>
              <w:rPr>
                <w:rFonts w:hint="eastAsia"/>
                <w:sz w:val="21"/>
                <w:szCs w:val="21"/>
                <w:highlight w:val="none"/>
              </w:rPr>
              <w:t>满足招标文件明确的全部技术条款要求的</w:t>
            </w:r>
            <w:r>
              <w:rPr>
                <w:rFonts w:hint="eastAsia" w:cs="Times New Roman"/>
                <w:sz w:val="21"/>
                <w:szCs w:val="21"/>
                <w:highlight w:val="none"/>
              </w:rPr>
              <w:t>该项得满分</w:t>
            </w:r>
            <w:r>
              <w:rPr>
                <w:rFonts w:hint="eastAsia"/>
                <w:sz w:val="21"/>
                <w:szCs w:val="21"/>
                <w:highlight w:val="none"/>
              </w:rPr>
              <w:t>；</w:t>
            </w:r>
          </w:p>
          <w:p>
            <w:pPr>
              <w:adjustRightInd w:val="0"/>
              <w:snapToGrid w:val="0"/>
              <w:spacing w:line="288" w:lineRule="auto"/>
              <w:rPr>
                <w:sz w:val="21"/>
                <w:szCs w:val="21"/>
                <w:highlight w:val="none"/>
              </w:rPr>
            </w:pPr>
            <w:r>
              <w:rPr>
                <w:rFonts w:hint="eastAsia"/>
                <w:sz w:val="21"/>
                <w:szCs w:val="21"/>
                <w:highlight w:val="none"/>
              </w:rPr>
              <w:t>技术条款低于技术要求（负偏离）的每项扣2分；</w:t>
            </w:r>
          </w:p>
          <w:p>
            <w:pPr>
              <w:adjustRightInd w:val="0"/>
              <w:snapToGrid w:val="0"/>
              <w:spacing w:line="288" w:lineRule="auto"/>
              <w:rPr>
                <w:sz w:val="21"/>
                <w:szCs w:val="21"/>
                <w:highlight w:val="none"/>
              </w:rPr>
            </w:pPr>
            <w:r>
              <w:rPr>
                <w:rFonts w:hint="eastAsia"/>
                <w:sz w:val="21"/>
                <w:szCs w:val="21"/>
                <w:highlight w:val="none"/>
              </w:rPr>
              <w:t>负偏离7项及以上的投标无效。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服务方案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3</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对项目总体需求的理解，包括但不仅限于工作目标、项目认知、建设背景、需求情况。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对重点、难点技术环节建议的先进性、科学性、安全性，解决方案的完整性、经济性、安全性、可行性。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6</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满足每秒50万并发连接的得6分，满足每秒30万并发连接的得4分（响应文件中提供PTS全链路压测报告</w:t>
            </w:r>
            <w:r>
              <w:rPr>
                <w:rFonts w:hint="eastAsia"/>
                <w:sz w:val="21"/>
                <w:szCs w:val="21"/>
                <w:highlight w:val="none"/>
                <w:lang w:eastAsia="zh-CN"/>
              </w:rPr>
              <w:t>扫描件</w:t>
            </w:r>
            <w:r>
              <w:rPr>
                <w:rFonts w:hint="eastAsia"/>
                <w:sz w:val="21"/>
                <w:szCs w:val="21"/>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运行保障</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eastAsia="宋体"/>
                <w:b/>
                <w:bCs/>
                <w:sz w:val="21"/>
                <w:szCs w:val="21"/>
                <w:highlight w:val="none"/>
                <w:lang w:val="en-US" w:eastAsia="zh-CN"/>
              </w:rPr>
            </w:pPr>
            <w:r>
              <w:rPr>
                <w:rFonts w:hint="eastAsia"/>
                <w:b/>
                <w:bCs/>
                <w:sz w:val="21"/>
                <w:szCs w:val="21"/>
                <w:highlight w:val="none"/>
                <w:lang w:val="en-US" w:eastAsia="zh-CN"/>
              </w:rPr>
              <w:t>17</w:t>
            </w:r>
          </w:p>
        </w:tc>
        <w:tc>
          <w:tcPr>
            <w:tcW w:w="7207" w:type="dxa"/>
            <w:tcBorders>
              <w:top w:val="single" w:color="auto" w:sz="4" w:space="0"/>
              <w:left w:val="single" w:color="auto" w:sz="4" w:space="0"/>
              <w:bottom w:val="single" w:color="auto" w:sz="4" w:space="0"/>
              <w:right w:val="single" w:color="auto" w:sz="4" w:space="0"/>
            </w:tcBorders>
            <w:vAlign w:val="center"/>
          </w:tcPr>
          <w:p>
            <w:pPr>
              <w:rPr>
                <w:sz w:val="21"/>
                <w:szCs w:val="21"/>
                <w:highlight w:val="none"/>
              </w:rPr>
            </w:pPr>
            <w:r>
              <w:rPr>
                <w:rFonts w:hint="eastAsia"/>
                <w:sz w:val="21"/>
                <w:szCs w:val="21"/>
                <w:highlight w:val="none"/>
              </w:rPr>
              <w:t>1.云服务器单台服务器规格在8核16G及以上，合同期限</w:t>
            </w:r>
            <w:r>
              <w:rPr>
                <w:rFonts w:hint="eastAsia"/>
                <w:bCs/>
                <w:sz w:val="21"/>
                <w:szCs w:val="21"/>
                <w:highlight w:val="none"/>
              </w:rPr>
              <w:t>至</w:t>
            </w:r>
            <w:r>
              <w:rPr>
                <w:rFonts w:hint="eastAsia"/>
                <w:sz w:val="21"/>
                <w:szCs w:val="21"/>
                <w:highlight w:val="none"/>
              </w:rPr>
              <w:t>2022年7月30日（提供300台以上的得5分，200台以上的得3分，200台以下的不得分）；</w:t>
            </w:r>
          </w:p>
          <w:p>
            <w:pPr>
              <w:rPr>
                <w:sz w:val="21"/>
                <w:szCs w:val="21"/>
                <w:highlight w:val="none"/>
              </w:rPr>
            </w:pPr>
            <w:r>
              <w:rPr>
                <w:rFonts w:hint="eastAsia"/>
                <w:sz w:val="21"/>
                <w:szCs w:val="21"/>
                <w:highlight w:val="none"/>
              </w:rPr>
              <w:t>2.云数据库服务器2台，单台服务器规格在32核128G及以上，合同期限</w:t>
            </w:r>
            <w:r>
              <w:rPr>
                <w:rFonts w:hint="eastAsia"/>
                <w:bCs/>
                <w:sz w:val="21"/>
                <w:szCs w:val="21"/>
                <w:highlight w:val="none"/>
              </w:rPr>
              <w:t>至</w:t>
            </w:r>
            <w:r>
              <w:rPr>
                <w:rFonts w:hint="eastAsia"/>
                <w:sz w:val="21"/>
                <w:szCs w:val="21"/>
                <w:highlight w:val="none"/>
              </w:rPr>
              <w:t>2022年7月30日（满足得3分，不满足不得分）；</w:t>
            </w:r>
          </w:p>
          <w:p>
            <w:pPr>
              <w:rPr>
                <w:sz w:val="21"/>
                <w:szCs w:val="21"/>
                <w:highlight w:val="none"/>
              </w:rPr>
            </w:pPr>
            <w:r>
              <w:rPr>
                <w:rFonts w:hint="eastAsia"/>
                <w:sz w:val="21"/>
                <w:szCs w:val="21"/>
                <w:highlight w:val="none"/>
              </w:rPr>
              <w:t>3.负载均衡（SLB）最大可以支持连接数：100万，每秒新建连接数（CPS）：10万，每秒查询数（QPS）：5万，合同期限</w:t>
            </w:r>
            <w:r>
              <w:rPr>
                <w:rFonts w:hint="eastAsia"/>
                <w:bCs/>
                <w:sz w:val="21"/>
                <w:szCs w:val="21"/>
                <w:highlight w:val="none"/>
              </w:rPr>
              <w:t>至</w:t>
            </w:r>
            <w:r>
              <w:rPr>
                <w:rFonts w:hint="eastAsia"/>
                <w:sz w:val="21"/>
                <w:szCs w:val="21"/>
                <w:highlight w:val="none"/>
              </w:rPr>
              <w:t>2022年7月30日（满足得3分，不满足不得分）；</w:t>
            </w:r>
          </w:p>
          <w:p>
            <w:pPr>
              <w:rPr>
                <w:sz w:val="21"/>
                <w:szCs w:val="21"/>
                <w:highlight w:val="none"/>
              </w:rPr>
            </w:pPr>
            <w:r>
              <w:rPr>
                <w:rFonts w:hint="eastAsia"/>
                <w:sz w:val="21"/>
                <w:szCs w:val="21"/>
                <w:highlight w:val="none"/>
              </w:rPr>
              <w:t>4.云数据库Redis实例规格256G集群（16节点）及以上，合同期限</w:t>
            </w:r>
            <w:r>
              <w:rPr>
                <w:rFonts w:hint="eastAsia"/>
                <w:bCs/>
                <w:sz w:val="21"/>
                <w:szCs w:val="21"/>
                <w:highlight w:val="none"/>
              </w:rPr>
              <w:t>至</w:t>
            </w:r>
            <w:r>
              <w:rPr>
                <w:rFonts w:hint="eastAsia"/>
                <w:sz w:val="21"/>
                <w:szCs w:val="21"/>
                <w:highlight w:val="none"/>
              </w:rPr>
              <w:t>2022年7月30日（满足得3分，不满足不得分）；</w:t>
            </w:r>
          </w:p>
          <w:p>
            <w:pPr>
              <w:rPr>
                <w:sz w:val="21"/>
                <w:szCs w:val="21"/>
                <w:highlight w:val="none"/>
              </w:rPr>
            </w:pPr>
            <w:r>
              <w:rPr>
                <w:rFonts w:hint="eastAsia"/>
                <w:sz w:val="21"/>
                <w:szCs w:val="21"/>
                <w:highlight w:val="none"/>
              </w:rPr>
              <w:t>5.WEB防火墙带宽不少于5G，合同期限</w:t>
            </w:r>
            <w:r>
              <w:rPr>
                <w:rFonts w:hint="eastAsia"/>
                <w:bCs/>
                <w:sz w:val="21"/>
                <w:szCs w:val="21"/>
                <w:highlight w:val="none"/>
              </w:rPr>
              <w:t>至</w:t>
            </w:r>
            <w:r>
              <w:rPr>
                <w:rFonts w:hint="eastAsia"/>
                <w:sz w:val="21"/>
                <w:szCs w:val="21"/>
                <w:highlight w:val="none"/>
              </w:rPr>
              <w:t>2022年7月30日（满足得3分，不满足不得分）。</w:t>
            </w:r>
          </w:p>
          <w:p>
            <w:pPr>
              <w:rPr>
                <w:sz w:val="21"/>
                <w:szCs w:val="21"/>
                <w:highlight w:val="none"/>
              </w:rPr>
            </w:pPr>
            <w:r>
              <w:rPr>
                <w:rFonts w:hint="eastAsia"/>
                <w:b/>
                <w:bCs/>
                <w:sz w:val="21"/>
                <w:szCs w:val="21"/>
                <w:highlight w:val="none"/>
              </w:rPr>
              <w:t>注：响应文件中提供相关云服务商产品的购买证明，上述内容未体现或未提供购买证明的不得分，原件备查。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项目实施</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项目实施、管理及配套措施，管理标准与规范，运行维护应急预案。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1</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运维服务商通过ISO901认证、取得CMMI3级及以上证书的得1分（响应文件中提供相关证明材料，不提供不得分）；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运维服务商具有的云服务商颁发的资质数量、等级等，最高得5分。（响应文件中提供相关证明材料，不提供不得分）。</w:t>
            </w:r>
          </w:p>
          <w:p>
            <w:pPr>
              <w:adjustRightInd w:val="0"/>
              <w:snapToGrid w:val="0"/>
              <w:spacing w:line="288" w:lineRule="auto"/>
              <w:rPr>
                <w:sz w:val="21"/>
                <w:szCs w:val="21"/>
                <w:highlight w:val="none"/>
              </w:rPr>
            </w:pPr>
            <w:r>
              <w:rPr>
                <w:rFonts w:hint="eastAsia"/>
                <w:sz w:val="21"/>
                <w:szCs w:val="21"/>
                <w:highlight w:val="none"/>
              </w:rPr>
              <w:t>注：响应文件中提供供应商与运维服务商的运维合同（合同期限包含2021年12月10日-2022年7月30日），不提供或不满足的不得分。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服务团队</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2</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团队成员具有高级信息系统项目管理师证书且在供应商处任职2年及以上的每提供1人得1分，最高得2分（响应文件中提供证书</w:t>
            </w:r>
            <w:r>
              <w:rPr>
                <w:rFonts w:hint="eastAsia"/>
                <w:sz w:val="21"/>
                <w:szCs w:val="21"/>
                <w:highlight w:val="none"/>
                <w:lang w:eastAsia="zh-CN"/>
              </w:rPr>
              <w:t>扫描件</w:t>
            </w:r>
            <w:r>
              <w:rPr>
                <w:rFonts w:hint="eastAsia"/>
                <w:sz w:val="21"/>
                <w:szCs w:val="21"/>
                <w:highlight w:val="none"/>
              </w:rPr>
              <w:t>及社保缴纳证明，缺一不可，不提供不得分）。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1</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考试期间指定至少两名工程师对接技术服务，对突发状况能及时响应（响应得1分，不响应不得分）。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3</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服务力量和服务保障，培训计划内容、培训范围，实施及针对性。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产品原型演示</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eastAsia="宋体"/>
                <w:b/>
                <w:bCs/>
                <w:sz w:val="21"/>
                <w:szCs w:val="21"/>
                <w:highlight w:val="none"/>
                <w:lang w:eastAsia="zh-CN"/>
              </w:rPr>
            </w:pPr>
            <w:r>
              <w:rPr>
                <w:rFonts w:hint="eastAsia"/>
                <w:b/>
                <w:bCs/>
                <w:sz w:val="21"/>
                <w:szCs w:val="21"/>
                <w:highlight w:val="none"/>
              </w:rPr>
              <w:t>2</w:t>
            </w:r>
            <w:r>
              <w:rPr>
                <w:rFonts w:hint="eastAsia"/>
                <w:b/>
                <w:bCs/>
                <w:sz w:val="21"/>
                <w:szCs w:val="21"/>
                <w:highlight w:val="none"/>
                <w:lang w:val="en-US" w:eastAsia="zh-CN"/>
              </w:rPr>
              <w:t>1</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投标人需针对本项目需求提供全面、合理及使用真实环境下的系统演示（所有项目演示整体时间控制在20分钟以内）,每项最高得</w:t>
            </w:r>
            <w:r>
              <w:rPr>
                <w:rFonts w:hint="eastAsia"/>
                <w:sz w:val="21"/>
                <w:szCs w:val="21"/>
                <w:highlight w:val="none"/>
                <w:lang w:val="en-US" w:eastAsia="zh-CN"/>
              </w:rPr>
              <w:t>1.5</w:t>
            </w:r>
            <w:r>
              <w:rPr>
                <w:rFonts w:hint="eastAsia"/>
                <w:sz w:val="21"/>
                <w:szCs w:val="21"/>
                <w:highlight w:val="none"/>
              </w:rPr>
              <w:t>分，其内容必须涉及以下：</w:t>
            </w:r>
          </w:p>
          <w:p>
            <w:pPr>
              <w:adjustRightInd w:val="0"/>
              <w:snapToGrid w:val="0"/>
              <w:spacing w:line="288" w:lineRule="auto"/>
              <w:rPr>
                <w:sz w:val="21"/>
                <w:szCs w:val="21"/>
                <w:highlight w:val="none"/>
              </w:rPr>
            </w:pPr>
            <w:r>
              <w:rPr>
                <w:rFonts w:hint="eastAsia"/>
                <w:sz w:val="21"/>
                <w:szCs w:val="21"/>
                <w:highlight w:val="none"/>
              </w:rPr>
              <w:t>（1）支持分考点分专业设置允许（不允许）考生报考的省份；支持设置考试是否允许报名日期冲突，是否允许跨考点报名，相同专业是否可以重复报名；支持按专业和省份设置文理科限制；支持按报考专业对考生性别和年龄限制；</w:t>
            </w:r>
          </w:p>
          <w:p>
            <w:pPr>
              <w:adjustRightInd w:val="0"/>
              <w:snapToGrid w:val="0"/>
              <w:spacing w:line="288" w:lineRule="auto"/>
              <w:rPr>
                <w:sz w:val="21"/>
                <w:szCs w:val="21"/>
                <w:highlight w:val="none"/>
              </w:rPr>
            </w:pPr>
            <w:r>
              <w:rPr>
                <w:rFonts w:hint="eastAsia"/>
                <w:sz w:val="21"/>
                <w:szCs w:val="21"/>
                <w:highlight w:val="none"/>
              </w:rPr>
              <w:t>（2）考生报考专业有误需要重新报考时，可以由考生发起已报专业的作废申请并注明原因，必须是由院校审批同意后，原报考专业方可作废；</w:t>
            </w:r>
          </w:p>
          <w:p>
            <w:pPr>
              <w:adjustRightInd w:val="0"/>
              <w:snapToGrid w:val="0"/>
              <w:spacing w:line="288" w:lineRule="auto"/>
              <w:rPr>
                <w:sz w:val="21"/>
                <w:szCs w:val="21"/>
                <w:highlight w:val="none"/>
              </w:rPr>
            </w:pPr>
            <w:r>
              <w:rPr>
                <w:rFonts w:hint="eastAsia"/>
                <w:sz w:val="21"/>
                <w:szCs w:val="21"/>
                <w:highlight w:val="none"/>
              </w:rPr>
              <w:t>（3）需支持两阶段报名模式，第一阶段依据考生需求完成考试时间段报名，第二阶段依据考点实际容量由考生自主选择考试日期及场次；</w:t>
            </w:r>
          </w:p>
          <w:p>
            <w:pPr>
              <w:adjustRightInd w:val="0"/>
              <w:snapToGrid w:val="0"/>
              <w:spacing w:line="288" w:lineRule="auto"/>
              <w:rPr>
                <w:sz w:val="21"/>
                <w:szCs w:val="21"/>
                <w:highlight w:val="none"/>
              </w:rPr>
            </w:pPr>
            <w:r>
              <w:rPr>
                <w:rFonts w:hint="eastAsia"/>
                <w:sz w:val="21"/>
                <w:szCs w:val="21"/>
                <w:highlight w:val="none"/>
              </w:rPr>
              <w:t>（4）支持多轮次报名考试（初复试）及缴费，提供实时的复试缴费查询。支持支付宝或微信交费；支持院校自行配置支付渠道，并提供测试支付渠道是否畅通的功能；</w:t>
            </w:r>
          </w:p>
          <w:p>
            <w:pPr>
              <w:adjustRightInd w:val="0"/>
              <w:snapToGrid w:val="0"/>
              <w:spacing w:line="288" w:lineRule="auto"/>
              <w:rPr>
                <w:sz w:val="21"/>
                <w:szCs w:val="21"/>
                <w:highlight w:val="none"/>
              </w:rPr>
            </w:pPr>
            <w:r>
              <w:rPr>
                <w:rFonts w:hint="eastAsia"/>
                <w:sz w:val="21"/>
                <w:szCs w:val="21"/>
                <w:highlight w:val="none"/>
              </w:rPr>
              <w:t>（5）支持考生自主确认后打印准考证；支持对考点下的专业设置不同的准考证前缀规则和准考证长度，并可根据统一规则批量生成所有考点专业的准考证规则；准考证样式支持设置预览，可以按考点、专业配置不同的考试科目说明、准考证须知。准考证具有防伪功能，采用加密的二维码、水印校验码等手段防止伪造。考生准考证号支持多段式随机取号；</w:t>
            </w:r>
          </w:p>
          <w:p>
            <w:pPr>
              <w:adjustRightInd w:val="0"/>
              <w:snapToGrid w:val="0"/>
              <w:spacing w:line="288" w:lineRule="auto"/>
              <w:rPr>
                <w:sz w:val="21"/>
                <w:szCs w:val="21"/>
                <w:highlight w:val="none"/>
              </w:rPr>
            </w:pPr>
            <w:r>
              <w:rPr>
                <w:rFonts w:hint="eastAsia"/>
                <w:sz w:val="21"/>
                <w:szCs w:val="21"/>
                <w:highlight w:val="none"/>
              </w:rPr>
              <w:t>（6）提供考生肖像、身份证、联考证(报考证)、视频拍摄及上传；提供对考生上传信息审核功能，支持A、B角色操作员审核，如果A、B角色操作员同时审核通过则该考生信息审核通过，如果A、B角色操作员同时审核不通过则该考生信息审核不通过，需要重新上传信息，如果仅有一个角色审核不通过，则转交复审操作员审核；</w:t>
            </w:r>
          </w:p>
          <w:p>
            <w:pPr>
              <w:adjustRightInd w:val="0"/>
              <w:snapToGrid w:val="0"/>
              <w:spacing w:line="288" w:lineRule="auto"/>
              <w:rPr>
                <w:sz w:val="21"/>
                <w:szCs w:val="21"/>
                <w:highlight w:val="none"/>
              </w:rPr>
            </w:pPr>
            <w:r>
              <w:rPr>
                <w:rFonts w:hint="eastAsia"/>
                <w:sz w:val="21"/>
                <w:szCs w:val="21"/>
                <w:highlight w:val="none"/>
              </w:rPr>
              <w:t>（7）支持考生在安卓和IOS移动端应用上报名及缴费；支持院校管理人员在安卓和IOS移动端应用上查询统计招生报名情况；</w:t>
            </w:r>
          </w:p>
          <w:p>
            <w:pPr>
              <w:adjustRightInd w:val="0"/>
              <w:snapToGrid w:val="0"/>
              <w:spacing w:line="288" w:lineRule="auto"/>
              <w:rPr>
                <w:sz w:val="21"/>
                <w:szCs w:val="21"/>
                <w:highlight w:val="none"/>
              </w:rPr>
            </w:pPr>
            <w:r>
              <w:rPr>
                <w:rFonts w:hint="eastAsia"/>
                <w:sz w:val="21"/>
                <w:szCs w:val="21"/>
                <w:highlight w:val="none"/>
              </w:rPr>
              <w:t>（8）提供接入在线客服管理系统功能，支持机器人自动问答回复；</w:t>
            </w:r>
          </w:p>
          <w:p>
            <w:pPr>
              <w:adjustRightInd w:val="0"/>
              <w:snapToGrid w:val="0"/>
              <w:spacing w:line="288" w:lineRule="auto"/>
              <w:rPr>
                <w:sz w:val="21"/>
                <w:szCs w:val="21"/>
                <w:highlight w:val="none"/>
              </w:rPr>
            </w:pPr>
            <w:r>
              <w:rPr>
                <w:rFonts w:hint="eastAsia"/>
                <w:sz w:val="21"/>
                <w:szCs w:val="21"/>
                <w:highlight w:val="none"/>
              </w:rPr>
              <w:t>（9）</w:t>
            </w:r>
            <w:r>
              <w:rPr>
                <w:rStyle w:val="46"/>
                <w:rFonts w:hint="default"/>
                <w:color w:val="auto"/>
                <w:sz w:val="21"/>
                <w:szCs w:val="21"/>
                <w:highlight w:val="none"/>
                <w:lang w:bidi="ar"/>
              </w:rPr>
              <w:t>支持账号分级管理，院校管理员可根据需要自行管理各考点管理员账号、财务账号、监控账号。招生敏感数据（考生联系电话和通讯地址）在数据库采用加密存储；用户（管理员和考生）连续多次登陆密码错误账号锁定；</w:t>
            </w:r>
          </w:p>
          <w:p>
            <w:pPr>
              <w:adjustRightInd w:val="0"/>
              <w:snapToGrid w:val="0"/>
              <w:spacing w:line="288" w:lineRule="auto"/>
              <w:rPr>
                <w:sz w:val="21"/>
                <w:szCs w:val="21"/>
                <w:highlight w:val="none"/>
              </w:rPr>
            </w:pPr>
            <w:r>
              <w:rPr>
                <w:rFonts w:hint="eastAsia"/>
                <w:sz w:val="21"/>
                <w:szCs w:val="21"/>
                <w:highlight w:val="none"/>
              </w:rPr>
              <w:t>（10）</w:t>
            </w:r>
            <w:r>
              <w:rPr>
                <w:rStyle w:val="46"/>
                <w:rFonts w:hint="default"/>
                <w:color w:val="auto"/>
                <w:sz w:val="21"/>
                <w:szCs w:val="21"/>
                <w:highlight w:val="none"/>
                <w:lang w:bidi="ar"/>
              </w:rPr>
              <w:t>支持考生成绩查询，考生对成绩有异议可提出成绩复核申请；支持考后志愿采集；支持录取查询；</w:t>
            </w:r>
          </w:p>
          <w:p>
            <w:pPr>
              <w:adjustRightInd w:val="0"/>
              <w:snapToGrid w:val="0"/>
              <w:spacing w:line="288" w:lineRule="auto"/>
              <w:rPr>
                <w:sz w:val="21"/>
                <w:szCs w:val="21"/>
                <w:highlight w:val="none"/>
              </w:rPr>
            </w:pPr>
            <w:r>
              <w:rPr>
                <w:rFonts w:hint="eastAsia"/>
                <w:sz w:val="21"/>
                <w:szCs w:val="21"/>
                <w:highlight w:val="none"/>
              </w:rPr>
              <w:t>（11）能通过设置报考资格库来限制考生报考，只有在资格库中的考生方可报名，资格库可以按照考点和专业灵活设置；</w:t>
            </w:r>
          </w:p>
          <w:p>
            <w:pPr>
              <w:adjustRightInd w:val="0"/>
              <w:snapToGrid w:val="0"/>
              <w:spacing w:line="288" w:lineRule="auto"/>
              <w:rPr>
                <w:sz w:val="21"/>
                <w:szCs w:val="21"/>
                <w:highlight w:val="none"/>
              </w:rPr>
            </w:pPr>
            <w:r>
              <w:rPr>
                <w:rFonts w:hint="eastAsia"/>
                <w:sz w:val="21"/>
                <w:szCs w:val="21"/>
                <w:highlight w:val="none"/>
              </w:rPr>
              <w:t>（12）提供的报名应急备用系统，其功能能够符合技术需求的各项业务指标；</w:t>
            </w:r>
          </w:p>
          <w:p>
            <w:pPr>
              <w:adjustRightInd w:val="0"/>
              <w:snapToGrid w:val="0"/>
              <w:spacing w:line="288" w:lineRule="auto"/>
              <w:rPr>
                <w:sz w:val="21"/>
                <w:szCs w:val="21"/>
                <w:highlight w:val="none"/>
              </w:rPr>
            </w:pPr>
            <w:r>
              <w:rPr>
                <w:rFonts w:hint="eastAsia"/>
                <w:sz w:val="21"/>
                <w:szCs w:val="21"/>
                <w:highlight w:val="none"/>
              </w:rPr>
              <w:t>（13）系统程序部署采用可视化自动化部署工具；</w:t>
            </w:r>
          </w:p>
          <w:p>
            <w:pPr>
              <w:adjustRightInd w:val="0"/>
              <w:snapToGrid w:val="0"/>
              <w:spacing w:line="288" w:lineRule="auto"/>
              <w:rPr>
                <w:sz w:val="21"/>
                <w:szCs w:val="21"/>
                <w:highlight w:val="none"/>
              </w:rPr>
            </w:pPr>
            <w:r>
              <w:rPr>
                <w:rFonts w:hint="eastAsia"/>
                <w:sz w:val="21"/>
                <w:szCs w:val="21"/>
                <w:highlight w:val="none"/>
              </w:rPr>
              <w:t>（14）应用服务器和数据库服务器采用可视化监控工具进行实时监控。</w:t>
            </w:r>
          </w:p>
        </w:tc>
      </w:tr>
    </w:tbl>
    <w:p>
      <w:pPr>
        <w:pStyle w:val="9"/>
        <w:snapToGrid w:val="0"/>
        <w:spacing w:line="360" w:lineRule="auto"/>
        <w:ind w:firstLine="420" w:firstLineChars="200"/>
        <w:rPr>
          <w:rFonts w:hAnsi="宋体"/>
          <w:highlight w:val="none"/>
        </w:rPr>
      </w:pPr>
    </w:p>
    <w:p>
      <w:pPr>
        <w:pStyle w:val="2"/>
        <w:rPr>
          <w:highlight w:val="none"/>
        </w:rPr>
      </w:pPr>
    </w:p>
    <w:p>
      <w:pPr>
        <w:rPr>
          <w:b/>
          <w:bCs/>
          <w:sz w:val="32"/>
          <w:szCs w:val="32"/>
          <w:highlight w:val="none"/>
        </w:rPr>
      </w:pPr>
      <w:r>
        <w:rPr>
          <w:rFonts w:hint="eastAsia"/>
          <w:b/>
          <w:bCs/>
          <w:sz w:val="32"/>
          <w:szCs w:val="32"/>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第五章  拟签订的合同文本</w:t>
      </w:r>
    </w:p>
    <w:p>
      <w:pPr>
        <w:adjustRightInd w:val="0"/>
        <w:snapToGrid w:val="0"/>
        <w:spacing w:line="288" w:lineRule="auto"/>
        <w:jc w:val="center"/>
        <w:rPr>
          <w:b/>
          <w:bCs/>
          <w:sz w:val="21"/>
          <w:szCs w:val="21"/>
          <w:highlight w:val="none"/>
        </w:rPr>
      </w:pPr>
      <w:r>
        <w:rPr>
          <w:rFonts w:hint="eastAsia"/>
          <w:b/>
          <w:bCs/>
          <w:sz w:val="21"/>
          <w:szCs w:val="21"/>
          <w:highlight w:val="none"/>
        </w:rPr>
        <w:t>中国美术学院招生系统平台信息化服务 政府采购合同</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r>
        <w:rPr>
          <w:rFonts w:hint="eastAsia"/>
          <w:sz w:val="21"/>
          <w:szCs w:val="21"/>
          <w:highlight w:val="none"/>
        </w:rPr>
        <w:t>（本合同为合同样稿，最终稿由三方协商后确定，合同实质性内容不得更改；签订合同时删除此行）</w:t>
      </w:r>
    </w:p>
    <w:p>
      <w:pPr>
        <w:adjustRightInd w:val="0"/>
        <w:snapToGrid w:val="0"/>
        <w:spacing w:line="288" w:lineRule="auto"/>
        <w:rPr>
          <w:sz w:val="21"/>
          <w:szCs w:val="21"/>
          <w:highlight w:val="none"/>
        </w:rPr>
      </w:pPr>
    </w:p>
    <w:p>
      <w:pPr>
        <w:wordWrap w:val="0"/>
        <w:spacing w:line="560" w:lineRule="exact"/>
        <w:jc w:val="right"/>
        <w:rPr>
          <w:sz w:val="21"/>
          <w:szCs w:val="21"/>
          <w:highlight w:val="none"/>
        </w:rPr>
      </w:pPr>
      <w:r>
        <w:rPr>
          <w:rFonts w:hint="eastAsia"/>
          <w:sz w:val="21"/>
          <w:szCs w:val="21"/>
          <w:highlight w:val="none"/>
        </w:rPr>
        <w:t xml:space="preserve">采购编号：             </w:t>
      </w:r>
    </w:p>
    <w:p>
      <w:pPr>
        <w:wordWrap w:val="0"/>
        <w:spacing w:line="560" w:lineRule="exact"/>
        <w:jc w:val="right"/>
        <w:rPr>
          <w:sz w:val="21"/>
          <w:szCs w:val="21"/>
          <w:highlight w:val="none"/>
        </w:rPr>
      </w:pPr>
      <w:r>
        <w:rPr>
          <w:rFonts w:hint="eastAsia"/>
          <w:sz w:val="21"/>
          <w:szCs w:val="21"/>
          <w:highlight w:val="none"/>
        </w:rPr>
        <w:t xml:space="preserve">确认书号：             </w:t>
      </w:r>
    </w:p>
    <w:p>
      <w:pPr>
        <w:spacing w:line="560" w:lineRule="exact"/>
        <w:rPr>
          <w:rFonts w:ascii="仿宋_GB2312" w:hAnsi="仿宋_GB2312" w:eastAsia="仿宋_GB2312" w:cs="仿宋_GB2312"/>
          <w:sz w:val="28"/>
          <w:szCs w:val="28"/>
          <w:highlight w:val="none"/>
        </w:rPr>
      </w:pPr>
    </w:p>
    <w:p>
      <w:pPr>
        <w:adjustRightInd w:val="0"/>
        <w:snapToGrid w:val="0"/>
        <w:spacing w:line="560" w:lineRule="exact"/>
        <w:rPr>
          <w:sz w:val="21"/>
          <w:szCs w:val="21"/>
          <w:highlight w:val="none"/>
        </w:rPr>
      </w:pPr>
      <w:r>
        <w:rPr>
          <w:rFonts w:hint="eastAsia"/>
          <w:b/>
          <w:bCs/>
          <w:sz w:val="21"/>
          <w:szCs w:val="21"/>
          <w:highlight w:val="none"/>
        </w:rPr>
        <w:t>甲方（采购人）：</w:t>
      </w:r>
      <w:r>
        <w:rPr>
          <w:rFonts w:hint="eastAsia"/>
          <w:sz w:val="21"/>
          <w:szCs w:val="21"/>
          <w:highlight w:val="none"/>
          <w:u w:val="single"/>
        </w:rPr>
        <w:t>中国美术学院</w:t>
      </w:r>
    </w:p>
    <w:p>
      <w:pPr>
        <w:adjustRightInd w:val="0"/>
        <w:snapToGrid w:val="0"/>
        <w:spacing w:line="560" w:lineRule="exact"/>
        <w:rPr>
          <w:spacing w:val="-6"/>
          <w:sz w:val="21"/>
          <w:szCs w:val="21"/>
          <w:highlight w:val="none"/>
          <w:u w:val="single"/>
        </w:rPr>
      </w:pPr>
      <w:r>
        <w:rPr>
          <w:rFonts w:hint="eastAsia"/>
          <w:b/>
          <w:bCs/>
          <w:sz w:val="21"/>
          <w:szCs w:val="21"/>
          <w:highlight w:val="none"/>
        </w:rPr>
        <w:t>乙方（供应商）：</w:t>
      </w:r>
      <w:r>
        <w:rPr>
          <w:rFonts w:hint="eastAsia"/>
          <w:sz w:val="21"/>
          <w:szCs w:val="21"/>
          <w:highlight w:val="none"/>
          <w:u w:val="single"/>
        </w:rPr>
        <w:t xml:space="preserve">                        </w:t>
      </w:r>
    </w:p>
    <w:p>
      <w:pPr>
        <w:adjustRightInd w:val="0"/>
        <w:snapToGrid w:val="0"/>
        <w:spacing w:line="560" w:lineRule="exact"/>
        <w:rPr>
          <w:sz w:val="21"/>
          <w:szCs w:val="21"/>
          <w:highlight w:val="none"/>
        </w:rPr>
      </w:pPr>
      <w:r>
        <w:rPr>
          <w:rFonts w:hint="eastAsia"/>
          <w:b/>
          <w:bCs/>
          <w:sz w:val="21"/>
          <w:szCs w:val="21"/>
          <w:highlight w:val="none"/>
        </w:rPr>
        <w:t>采购代理机构：</w:t>
      </w:r>
      <w:r>
        <w:rPr>
          <w:rFonts w:hint="eastAsia"/>
          <w:sz w:val="21"/>
          <w:szCs w:val="21"/>
          <w:highlight w:val="none"/>
          <w:u w:val="single"/>
        </w:rPr>
        <w:t>浙江求是招标代理有限公司</w:t>
      </w:r>
    </w:p>
    <w:p>
      <w:pPr>
        <w:spacing w:line="360" w:lineRule="exact"/>
        <w:ind w:firstLine="420"/>
        <w:rPr>
          <w:color w:val="000000" w:themeColor="text1"/>
          <w:spacing w:val="-6"/>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经政府采购代理机构</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通过</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方式采购，确定</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为成交单位，甲、乙双方友好协商，达成以下条款：</w:t>
      </w:r>
    </w:p>
    <w:p>
      <w:pPr>
        <w:pStyle w:val="9"/>
        <w:spacing w:line="360" w:lineRule="exact"/>
        <w:ind w:firstLine="422"/>
        <w:rPr>
          <w:rFonts w:hAnsi="宋体"/>
          <w:b/>
          <w:color w:val="000000" w:themeColor="text1"/>
          <w:szCs w:val="21"/>
          <w:highlight w:val="none"/>
          <w14:textFill>
            <w14:solidFill>
              <w14:schemeClr w14:val="tx1"/>
            </w14:solidFill>
          </w14:textFill>
        </w:rPr>
      </w:pPr>
      <w:r>
        <w:rPr>
          <w:rFonts w:hAnsi="宋体"/>
          <w:b/>
          <w:color w:val="000000" w:themeColor="text1"/>
          <w:szCs w:val="21"/>
          <w:highlight w:val="none"/>
          <w14:textFill>
            <w14:solidFill>
              <w14:schemeClr w14:val="tx1"/>
            </w14:solidFill>
          </w14:textFill>
        </w:rPr>
        <w:t>一、服务内容和要求</w:t>
      </w:r>
      <w:r>
        <w:rPr>
          <w:rFonts w:hint="eastAsia" w:hAnsi="宋体"/>
          <w:b/>
          <w:color w:val="000000" w:themeColor="text1"/>
          <w:szCs w:val="21"/>
          <w:highlight w:val="none"/>
          <w14:textFill>
            <w14:solidFill>
              <w14:schemeClr w14:val="tx1"/>
            </w14:solidFill>
          </w14:textFill>
        </w:rPr>
        <w:t>：</w:t>
      </w:r>
    </w:p>
    <w:p>
      <w:pPr>
        <w:pStyle w:val="9"/>
        <w:spacing w:line="360" w:lineRule="exact"/>
        <w:ind w:firstLine="422"/>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1、</w:t>
      </w:r>
    </w:p>
    <w:p>
      <w:pPr>
        <w:pStyle w:val="9"/>
        <w:spacing w:line="360" w:lineRule="exact"/>
        <w:ind w:firstLine="422"/>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2、</w:t>
      </w:r>
    </w:p>
    <w:p>
      <w:pPr>
        <w:pStyle w:val="9"/>
        <w:spacing w:line="360" w:lineRule="exact"/>
        <w:ind w:firstLine="422"/>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3、</w:t>
      </w:r>
    </w:p>
    <w:p>
      <w:pPr>
        <w:pStyle w:val="9"/>
        <w:spacing w:line="360" w:lineRule="exact"/>
        <w:ind w:firstLine="422"/>
        <w:rPr>
          <w:rFonts w:hAnsi="宋体"/>
          <w:b/>
          <w:color w:val="000000" w:themeColor="text1"/>
          <w:szCs w:val="21"/>
          <w:highlight w:val="none"/>
          <w14:textFill>
            <w14:solidFill>
              <w14:schemeClr w14:val="tx1"/>
            </w14:solidFill>
          </w14:textFill>
        </w:rPr>
      </w:pPr>
      <w:r>
        <w:rPr>
          <w:rFonts w:hAnsi="宋体"/>
          <w:b/>
          <w:color w:val="000000" w:themeColor="text1"/>
          <w:szCs w:val="21"/>
          <w:highlight w:val="none"/>
          <w14:textFill>
            <w14:solidFill>
              <w14:schemeClr w14:val="tx1"/>
            </w14:solidFill>
          </w14:textFill>
        </w:rPr>
        <w:t>……</w:t>
      </w:r>
    </w:p>
    <w:p>
      <w:pPr>
        <w:pStyle w:val="9"/>
        <w:spacing w:line="360" w:lineRule="exact"/>
        <w:ind w:firstLine="422"/>
        <w:rPr>
          <w:rFonts w:hAnsi="宋体"/>
          <w:b/>
          <w:color w:val="000000" w:themeColor="text1"/>
          <w:szCs w:val="21"/>
          <w:highlight w:val="none"/>
          <w14:textFill>
            <w14:solidFill>
              <w14:schemeClr w14:val="tx1"/>
            </w14:solidFill>
          </w14:textFill>
        </w:rPr>
      </w:pPr>
      <w:r>
        <w:rPr>
          <w:rFonts w:hAnsi="宋体"/>
          <w:b/>
          <w:color w:val="000000" w:themeColor="text1"/>
          <w:szCs w:val="21"/>
          <w:highlight w:val="none"/>
          <w14:textFill>
            <w14:solidFill>
              <w14:schemeClr w14:val="tx1"/>
            </w14:solidFill>
          </w14:textFill>
        </w:rPr>
        <w:t>二、合同履行时间、履行地点和合同金额</w:t>
      </w:r>
    </w:p>
    <w:p>
      <w:pPr>
        <w:pStyle w:val="9"/>
        <w:spacing w:line="360" w:lineRule="exact"/>
        <w:ind w:firstLine="420"/>
        <w:rPr>
          <w:rFonts w:hAnsi="宋体"/>
          <w:bCs/>
          <w:color w:val="000000" w:themeColor="text1"/>
          <w:szCs w:val="21"/>
          <w:highlight w:val="none"/>
          <w14:textFill>
            <w14:solidFill>
              <w14:schemeClr w14:val="tx1"/>
            </w14:solidFill>
          </w14:textFill>
        </w:rPr>
      </w:pPr>
      <w:r>
        <w:rPr>
          <w:rFonts w:hAnsi="宋体"/>
          <w:bCs/>
          <w:color w:val="000000" w:themeColor="text1"/>
          <w:szCs w:val="21"/>
          <w:highlight w:val="none"/>
          <w14:textFill>
            <w14:solidFill>
              <w14:schemeClr w14:val="tx1"/>
            </w14:solidFill>
          </w14:textFill>
        </w:rPr>
        <w:t>1</w:t>
      </w:r>
      <w:r>
        <w:rPr>
          <w:rFonts w:hint="eastAsia" w:hAnsi="宋体"/>
          <w:bCs/>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履行时间</w:t>
      </w:r>
      <w:r>
        <w:rPr>
          <w:rFonts w:hAnsi="宋体"/>
          <w:bCs/>
          <w:color w:val="000000" w:themeColor="text1"/>
          <w:szCs w:val="21"/>
          <w:highlight w:val="none"/>
          <w14:textFill>
            <w14:solidFill>
              <w14:schemeClr w14:val="tx1"/>
            </w14:solidFill>
          </w14:textFill>
        </w:rPr>
        <w:t>：</w:t>
      </w:r>
      <w:r>
        <w:rPr>
          <w:rFonts w:hint="eastAsia" w:hAnsi="宋体"/>
          <w:bCs/>
          <w:color w:val="000000" w:themeColor="text1"/>
          <w:szCs w:val="21"/>
          <w:highlight w:val="none"/>
          <w:u w:val="single"/>
          <w14:textFill>
            <w14:solidFill>
              <w14:schemeClr w14:val="tx1"/>
            </w14:solidFill>
          </w14:textFill>
        </w:rPr>
        <w:t xml:space="preserve">                       </w:t>
      </w:r>
      <w:r>
        <w:rPr>
          <w:rFonts w:hint="eastAsia" w:hAnsi="宋体"/>
          <w:bCs/>
          <w:color w:val="000000" w:themeColor="text1"/>
          <w:szCs w:val="21"/>
          <w:highlight w:val="none"/>
          <w14:textFill>
            <w14:solidFill>
              <w14:schemeClr w14:val="tx1"/>
            </w14:solidFill>
          </w14:textFill>
        </w:rPr>
        <w:t xml:space="preserve">； </w:t>
      </w:r>
    </w:p>
    <w:p>
      <w:pPr>
        <w:pStyle w:val="9"/>
        <w:spacing w:line="360" w:lineRule="exact"/>
        <w:ind w:firstLine="420"/>
        <w:rPr>
          <w:rFonts w:hAnsi="宋体"/>
          <w:bCs/>
          <w:color w:val="000000" w:themeColor="text1"/>
          <w:szCs w:val="21"/>
          <w:highlight w:val="none"/>
          <w14:textFill>
            <w14:solidFill>
              <w14:schemeClr w14:val="tx1"/>
            </w14:solidFill>
          </w14:textFill>
        </w:rPr>
      </w:pPr>
      <w:r>
        <w:rPr>
          <w:rFonts w:hAnsi="宋体"/>
          <w:bCs/>
          <w:color w:val="000000" w:themeColor="text1"/>
          <w:szCs w:val="21"/>
          <w:highlight w:val="none"/>
          <w14:textFill>
            <w14:solidFill>
              <w14:schemeClr w14:val="tx1"/>
            </w14:solidFill>
          </w14:textFill>
        </w:rPr>
        <w:t>2</w:t>
      </w:r>
      <w:r>
        <w:rPr>
          <w:rFonts w:hint="eastAsia" w:hAnsi="宋体"/>
          <w:bCs/>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履行地点</w:t>
      </w:r>
      <w:r>
        <w:rPr>
          <w:rFonts w:hAnsi="宋体"/>
          <w:bCs/>
          <w:color w:val="000000" w:themeColor="text1"/>
          <w:szCs w:val="21"/>
          <w:highlight w:val="none"/>
          <w14:textFill>
            <w14:solidFill>
              <w14:schemeClr w14:val="tx1"/>
            </w14:solidFill>
          </w14:textFill>
        </w:rPr>
        <w:t>：</w:t>
      </w:r>
      <w:r>
        <w:rPr>
          <w:rFonts w:hint="eastAsia" w:hAnsi="宋体"/>
          <w:color w:val="000000" w:themeColor="text1"/>
          <w:szCs w:val="21"/>
          <w:highlight w:val="none"/>
          <w:u w:val="singl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w:t>
      </w:r>
    </w:p>
    <w:p>
      <w:pPr>
        <w:pStyle w:val="9"/>
        <w:spacing w:line="360" w:lineRule="exact"/>
        <w:ind w:firstLine="420"/>
        <w:rPr>
          <w:rFonts w:hAnsi="宋体"/>
          <w:color w:val="000000" w:themeColor="text1"/>
          <w:szCs w:val="21"/>
          <w:highlight w:val="none"/>
          <w:u w:val="single"/>
          <w14:textFill>
            <w14:solidFill>
              <w14:schemeClr w14:val="tx1"/>
            </w14:solidFill>
          </w14:textFill>
        </w:rPr>
      </w:pPr>
      <w:r>
        <w:rPr>
          <w:rFonts w:hAnsi="宋体"/>
          <w:bCs/>
          <w:color w:val="000000" w:themeColor="text1"/>
          <w:szCs w:val="21"/>
          <w:highlight w:val="none"/>
          <w14:textFill>
            <w14:solidFill>
              <w14:schemeClr w14:val="tx1"/>
            </w14:solidFill>
          </w14:textFill>
        </w:rPr>
        <w:t>3</w:t>
      </w:r>
      <w:r>
        <w:rPr>
          <w:rFonts w:hint="eastAsia" w:hAnsi="宋体"/>
          <w:bCs/>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本合同金额为（大写）：人民币</w:t>
      </w:r>
      <w:r>
        <w:rPr>
          <w:rFonts w:hint="eastAsia"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元（￥</w:t>
      </w:r>
      <w:r>
        <w:rPr>
          <w:rFonts w:hint="eastAsia"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元）</w:t>
      </w:r>
      <w:r>
        <w:rPr>
          <w:rFonts w:hint="eastAsia" w:hAnsi="宋体"/>
          <w:color w:val="000000" w:themeColor="text1"/>
          <w:szCs w:val="21"/>
          <w:highlight w:val="none"/>
          <w14:textFill>
            <w14:solidFill>
              <w14:schemeClr w14:val="tx1"/>
            </w14:solidFill>
          </w14:textFill>
        </w:rPr>
        <w:t>。</w:t>
      </w:r>
    </w:p>
    <w:p>
      <w:pPr>
        <w:pStyle w:val="9"/>
        <w:spacing w:line="360" w:lineRule="exact"/>
        <w:ind w:firstLine="422"/>
        <w:rPr>
          <w:rFonts w:hAnsi="宋体"/>
          <w:b/>
          <w:color w:val="000000" w:themeColor="text1"/>
          <w:szCs w:val="21"/>
          <w:highlight w:val="none"/>
          <w14:textFill>
            <w14:solidFill>
              <w14:schemeClr w14:val="tx1"/>
            </w14:solidFill>
          </w14:textFill>
        </w:rPr>
      </w:pPr>
      <w:r>
        <w:rPr>
          <w:rFonts w:hAnsi="宋体"/>
          <w:b/>
          <w:color w:val="000000" w:themeColor="text1"/>
          <w:szCs w:val="21"/>
          <w:highlight w:val="none"/>
          <w14:textFill>
            <w14:solidFill>
              <w14:schemeClr w14:val="tx1"/>
            </w14:solidFill>
          </w14:textFill>
        </w:rPr>
        <w:t>三、技术资料</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乙方应按</w:t>
      </w:r>
      <w:r>
        <w:rPr>
          <w:rFonts w:hint="eastAsia"/>
          <w:color w:val="000000" w:themeColor="text1"/>
          <w:sz w:val="21"/>
          <w:szCs w:val="21"/>
          <w:highlight w:val="none"/>
          <w14:textFill>
            <w14:solidFill>
              <w14:schemeClr w14:val="tx1"/>
            </w14:solidFill>
          </w14:textFill>
        </w:rPr>
        <w:t>采购</w:t>
      </w:r>
      <w:r>
        <w:rPr>
          <w:color w:val="000000" w:themeColor="text1"/>
          <w:sz w:val="21"/>
          <w:szCs w:val="21"/>
          <w:highlight w:val="none"/>
          <w14:textFill>
            <w14:solidFill>
              <w14:schemeClr w14:val="tx1"/>
            </w14:solidFill>
          </w14:textFill>
        </w:rPr>
        <w:t>文件规定的时间向甲方提供有关技术资料。</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.未经</w:t>
      </w:r>
      <w:r>
        <w:rPr>
          <w:color w:val="000000" w:themeColor="text1"/>
          <w:sz w:val="21"/>
          <w:szCs w:val="21"/>
          <w:highlight w:val="none"/>
          <w14:textFill>
            <w14:solidFill>
              <w14:schemeClr w14:val="tx1"/>
            </w14:solidFill>
          </w14:textFill>
        </w:rPr>
        <w:t>甲方事先书面同意，乙方不得将</w:t>
      </w:r>
      <w:r>
        <w:rPr>
          <w:rFonts w:hint="eastAsia"/>
          <w:color w:val="000000" w:themeColor="text1"/>
          <w:sz w:val="21"/>
          <w:szCs w:val="21"/>
          <w:highlight w:val="none"/>
          <w14:textFill>
            <w14:solidFill>
              <w14:schemeClr w14:val="tx1"/>
            </w14:solidFill>
          </w14:textFill>
        </w:rPr>
        <w:t>与本合同及有关的</w:t>
      </w:r>
      <w:r>
        <w:rPr>
          <w:color w:val="000000" w:themeColor="text1"/>
          <w:sz w:val="21"/>
          <w:szCs w:val="21"/>
          <w:highlight w:val="none"/>
          <w14:textFill>
            <w14:solidFill>
              <w14:schemeClr w14:val="tx1"/>
            </w14:solidFill>
          </w14:textFill>
        </w:rPr>
        <w:t>任何合同条文、规格、计划、图纸、样品或资料提供给</w:t>
      </w:r>
      <w:r>
        <w:rPr>
          <w:rFonts w:hint="eastAsia"/>
          <w:color w:val="000000" w:themeColor="text1"/>
          <w:sz w:val="21"/>
          <w:szCs w:val="21"/>
          <w:highlight w:val="none"/>
          <w14:textFill>
            <w14:solidFill>
              <w14:schemeClr w14:val="tx1"/>
            </w14:solidFill>
          </w14:textFill>
        </w:rPr>
        <w:t>任何第三方</w:t>
      </w:r>
      <w:r>
        <w:rPr>
          <w:color w:val="000000" w:themeColor="text1"/>
          <w:sz w:val="21"/>
          <w:szCs w:val="21"/>
          <w:highlight w:val="none"/>
          <w14:textFill>
            <w14:solidFill>
              <w14:schemeClr w14:val="tx1"/>
            </w14:solidFill>
          </w14:textFill>
        </w:rPr>
        <w:t>。即使向履行本合同有关的人员提供，也应注意保密并限于履行合同的必需范围。</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乙方应保证提供服务过程中不会侵犯任何第三方的知识产权</w:t>
      </w:r>
      <w:r>
        <w:rPr>
          <w:rFonts w:hint="eastAsia"/>
          <w:color w:val="000000" w:themeColor="text1"/>
          <w:sz w:val="21"/>
          <w:szCs w:val="21"/>
          <w:highlight w:val="none"/>
          <w14:textFill>
            <w14:solidFill>
              <w14:schemeClr w14:val="tx1"/>
            </w14:solidFill>
          </w14:textFill>
        </w:rPr>
        <w:t>，否则甲方有权解除本合同，拒绝支付合同价款，并要求乙方赔偿所有损失。</w:t>
      </w:r>
    </w:p>
    <w:p>
      <w:pPr>
        <w:pStyle w:val="9"/>
        <w:spacing w:line="360" w:lineRule="exact"/>
        <w:ind w:firstLine="422"/>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四、转包或分包</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.本合同范围的服务，应由</w:t>
      </w:r>
      <w:r>
        <w:rPr>
          <w:color w:val="000000" w:themeColor="text1"/>
          <w:sz w:val="21"/>
          <w:szCs w:val="21"/>
          <w:highlight w:val="none"/>
          <w14:textFill>
            <w14:solidFill>
              <w14:schemeClr w14:val="tx1"/>
            </w14:solidFill>
          </w14:textFill>
        </w:rPr>
        <w:t>乙</w:t>
      </w:r>
      <w:r>
        <w:rPr>
          <w:rFonts w:hint="eastAsia"/>
          <w:color w:val="000000" w:themeColor="text1"/>
          <w:sz w:val="21"/>
          <w:szCs w:val="21"/>
          <w:highlight w:val="none"/>
          <w14:textFill>
            <w14:solidFill>
              <w14:schemeClr w14:val="tx1"/>
            </w14:solidFill>
          </w14:textFill>
        </w:rPr>
        <w:t>方直接完成，不得转让、转包、分包给任何第三方；</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.乙方转让或转包、分包的，甲方有权解除合同和拒付（或要求乙方退还）合同价款，并没收履约保证金和要求乙方支付合同价款20%的违约金。</w:t>
      </w:r>
    </w:p>
    <w:p>
      <w:pPr>
        <w:pStyle w:val="9"/>
        <w:spacing w:line="360" w:lineRule="exact"/>
        <w:ind w:firstLine="422"/>
        <w:rPr>
          <w:rFonts w:hAnsi="宋体"/>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五</w:t>
      </w:r>
      <w:r>
        <w:rPr>
          <w:rFonts w:hAnsi="宋体"/>
          <w:b/>
          <w:color w:val="000000" w:themeColor="text1"/>
          <w:szCs w:val="21"/>
          <w:highlight w:val="none"/>
          <w14:textFill>
            <w14:solidFill>
              <w14:schemeClr w14:val="tx1"/>
            </w14:solidFill>
          </w14:textFill>
        </w:rPr>
        <w:t>、</w:t>
      </w:r>
      <w:r>
        <w:rPr>
          <w:rFonts w:hint="eastAsia" w:hAnsi="宋体"/>
          <w:b/>
          <w:color w:val="000000" w:themeColor="text1"/>
          <w:szCs w:val="21"/>
          <w:highlight w:val="none"/>
          <w14:textFill>
            <w14:solidFill>
              <w14:schemeClr w14:val="tx1"/>
            </w14:solidFill>
          </w14:textFill>
        </w:rPr>
        <w:t>履约保证金</w:t>
      </w:r>
    </w:p>
    <w:p>
      <w:pPr>
        <w:pStyle w:val="9"/>
        <w:spacing w:line="360" w:lineRule="exact"/>
        <w:ind w:firstLine="396"/>
        <w:rPr>
          <w:color w:val="000000" w:themeColor="text1"/>
          <w:spacing w:val="-6"/>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乙方需在合同签订生效后10个工作日内缴纳合同金额 5%的履约保证金（或保函），履约保证金在履约结束后10个工作日内无息退还</w:t>
      </w:r>
      <w:r>
        <w:rPr>
          <w:rFonts w:hint="eastAsia"/>
          <w:color w:val="000000" w:themeColor="text1"/>
          <w:spacing w:val="-6"/>
          <w:szCs w:val="21"/>
          <w:highlight w:val="none"/>
          <w14:textFill>
            <w14:solidFill>
              <w14:schemeClr w14:val="tx1"/>
            </w14:solidFill>
          </w14:textFill>
        </w:rPr>
        <w:t>。</w:t>
      </w:r>
    </w:p>
    <w:p>
      <w:pPr>
        <w:pStyle w:val="9"/>
        <w:spacing w:line="360" w:lineRule="exact"/>
        <w:ind w:firstLine="422"/>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六</w:t>
      </w:r>
      <w:r>
        <w:rPr>
          <w:rFonts w:hAnsi="宋体"/>
          <w:b/>
          <w:color w:val="000000" w:themeColor="text1"/>
          <w:szCs w:val="21"/>
          <w:highlight w:val="none"/>
          <w14:textFill>
            <w14:solidFill>
              <w14:schemeClr w14:val="tx1"/>
            </w14:solidFill>
          </w14:textFill>
        </w:rPr>
        <w:t>、</w:t>
      </w:r>
      <w:r>
        <w:rPr>
          <w:rFonts w:hint="eastAsia" w:hAnsi="宋体"/>
          <w:b/>
          <w:color w:val="000000" w:themeColor="text1"/>
          <w:szCs w:val="21"/>
          <w:highlight w:val="none"/>
          <w14:textFill>
            <w14:solidFill>
              <w14:schemeClr w14:val="tx1"/>
            </w14:solidFill>
          </w14:textFill>
        </w:rPr>
        <w:t>付款</w:t>
      </w:r>
      <w:r>
        <w:rPr>
          <w:rFonts w:hAnsi="宋体"/>
          <w:b/>
          <w:color w:val="000000" w:themeColor="text1"/>
          <w:szCs w:val="21"/>
          <w:highlight w:val="none"/>
          <w14:textFill>
            <w14:solidFill>
              <w14:schemeClr w14:val="tx1"/>
            </w14:solidFill>
          </w14:textFill>
        </w:rPr>
        <w:t>方式</w:t>
      </w:r>
    </w:p>
    <w:p>
      <w:pPr>
        <w:pStyle w:val="9"/>
        <w:spacing w:line="360" w:lineRule="exact"/>
        <w:ind w:firstLine="420"/>
        <w:rPr>
          <w:color w:val="000000" w:themeColor="text1"/>
          <w:szCs w:val="21"/>
          <w:highlight w:val="none"/>
          <w14:textFill>
            <w14:solidFill>
              <w14:schemeClr w14:val="tx1"/>
            </w14:solidFill>
          </w14:textFill>
        </w:rPr>
      </w:pPr>
      <w:r>
        <w:rPr>
          <w:rFonts w:hint="eastAsia"/>
          <w:szCs w:val="21"/>
          <w:highlight w:val="none"/>
        </w:rPr>
        <w:t>采购合同生效且自甲方收到履约保证金</w:t>
      </w:r>
      <w:r>
        <w:rPr>
          <w:szCs w:val="21"/>
          <w:highlight w:val="none"/>
        </w:rPr>
        <w:t>7</w:t>
      </w:r>
      <w:r>
        <w:rPr>
          <w:rFonts w:hint="eastAsia"/>
          <w:szCs w:val="21"/>
          <w:highlight w:val="none"/>
        </w:rPr>
        <w:t>个工作日内，支付合同款10%，即_</w:t>
      </w:r>
      <w:r>
        <w:rPr>
          <w:szCs w:val="21"/>
          <w:highlight w:val="none"/>
        </w:rPr>
        <w:t>___________</w:t>
      </w:r>
      <w:r>
        <w:rPr>
          <w:rFonts w:hint="eastAsia"/>
          <w:szCs w:val="21"/>
          <w:highlight w:val="none"/>
        </w:rPr>
        <w:t>元。项目完成并经验收合格后十五个工作日内向乙方支付合同剩余款项，即_</w:t>
      </w:r>
      <w:r>
        <w:rPr>
          <w:szCs w:val="21"/>
          <w:highlight w:val="none"/>
        </w:rPr>
        <w:t>____________</w:t>
      </w:r>
      <w:r>
        <w:rPr>
          <w:rFonts w:hint="eastAsia"/>
          <w:szCs w:val="21"/>
          <w:highlight w:val="none"/>
        </w:rPr>
        <w:t>元。</w:t>
      </w:r>
    </w:p>
    <w:p>
      <w:pPr>
        <w:pStyle w:val="9"/>
        <w:spacing w:line="360" w:lineRule="exact"/>
        <w:ind w:firstLine="422"/>
        <w:rPr>
          <w:rFonts w:hAnsi="宋体"/>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七</w:t>
      </w:r>
      <w:r>
        <w:rPr>
          <w:rFonts w:hAnsi="宋体"/>
          <w:b/>
          <w:color w:val="000000" w:themeColor="text1"/>
          <w:szCs w:val="21"/>
          <w:highlight w:val="none"/>
          <w14:textFill>
            <w14:solidFill>
              <w14:schemeClr w14:val="tx1"/>
            </w14:solidFill>
          </w14:textFill>
        </w:rPr>
        <w:t>、质量保证及后续服务</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乙方应按</w:t>
      </w:r>
      <w:r>
        <w:rPr>
          <w:rFonts w:hint="eastAsia"/>
          <w:color w:val="000000" w:themeColor="text1"/>
          <w:sz w:val="21"/>
          <w:szCs w:val="21"/>
          <w:highlight w:val="none"/>
          <w14:textFill>
            <w14:solidFill>
              <w14:schemeClr w14:val="tx1"/>
            </w14:solidFill>
          </w14:textFill>
        </w:rPr>
        <w:t>磋商文件</w:t>
      </w:r>
      <w:r>
        <w:rPr>
          <w:color w:val="000000" w:themeColor="text1"/>
          <w:sz w:val="21"/>
          <w:szCs w:val="21"/>
          <w:highlight w:val="none"/>
          <w14:textFill>
            <w14:solidFill>
              <w14:schemeClr w14:val="tx1"/>
            </w14:solidFill>
          </w14:textFill>
        </w:rPr>
        <w:t>规定向甲方提供服务。</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乙方提供的服务成果</w:t>
      </w:r>
      <w:r>
        <w:rPr>
          <w:rFonts w:hint="eastAsia"/>
          <w:color w:val="000000" w:themeColor="text1"/>
          <w:sz w:val="21"/>
          <w:szCs w:val="21"/>
          <w:highlight w:val="none"/>
          <w14:textFill>
            <w14:solidFill>
              <w14:schemeClr w14:val="tx1"/>
            </w14:solidFill>
          </w14:textFill>
        </w:rPr>
        <w:t>验收不合格的，或在服务质量保证期内出现问题</w:t>
      </w:r>
      <w:r>
        <w:rPr>
          <w:color w:val="000000" w:themeColor="text1"/>
          <w:sz w:val="21"/>
          <w:szCs w:val="21"/>
          <w:highlight w:val="none"/>
          <w14:textFill>
            <w14:solidFill>
              <w14:schemeClr w14:val="tx1"/>
            </w14:solidFill>
          </w14:textFill>
        </w:rPr>
        <w:t>，乙方应负责免费提供后续服务。</w:t>
      </w:r>
      <w:r>
        <w:rPr>
          <w:rFonts w:hint="eastAsia"/>
          <w:color w:val="000000" w:themeColor="text1"/>
          <w:sz w:val="21"/>
          <w:szCs w:val="21"/>
          <w:highlight w:val="none"/>
          <w14:textFill>
            <w14:solidFill>
              <w14:schemeClr w14:val="tx1"/>
            </w14:solidFill>
          </w14:textFill>
        </w:rPr>
        <w:t>对达不到服务要求的，根据实际情况，甲方有权自行选择以下办法处理：</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⑴</w:t>
      </w:r>
      <w:r>
        <w:rPr>
          <w:color w:val="000000" w:themeColor="text1"/>
          <w:sz w:val="21"/>
          <w:szCs w:val="21"/>
          <w:highlight w:val="none"/>
          <w14:textFill>
            <w14:solidFill>
              <w14:schemeClr w14:val="tx1"/>
            </w14:solidFill>
          </w14:textFill>
        </w:rPr>
        <w:t>重做：由乙方承担所发生的全部费用</w:t>
      </w:r>
      <w:r>
        <w:rPr>
          <w:rFonts w:hint="eastAsia"/>
          <w:color w:val="000000" w:themeColor="text1"/>
          <w:sz w:val="21"/>
          <w:szCs w:val="21"/>
          <w:highlight w:val="none"/>
          <w14:textFill>
            <w14:solidFill>
              <w14:schemeClr w14:val="tx1"/>
            </w14:solidFill>
          </w14:textFill>
        </w:rPr>
        <w:t>，并承担所有损失</w:t>
      </w:r>
      <w:r>
        <w:rPr>
          <w:color w:val="000000" w:themeColor="text1"/>
          <w:sz w:val="21"/>
          <w:szCs w:val="21"/>
          <w:highlight w:val="none"/>
          <w14:textFill>
            <w14:solidFill>
              <w14:schemeClr w14:val="tx1"/>
            </w14:solidFill>
          </w14:textFill>
        </w:rPr>
        <w:t>。</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⑵</w:t>
      </w:r>
      <w:r>
        <w:rPr>
          <w:color w:val="000000" w:themeColor="text1"/>
          <w:sz w:val="21"/>
          <w:szCs w:val="21"/>
          <w:highlight w:val="none"/>
          <w14:textFill>
            <w14:solidFill>
              <w14:schemeClr w14:val="tx1"/>
            </w14:solidFill>
          </w14:textFill>
        </w:rPr>
        <w:t>解除合同</w:t>
      </w:r>
      <w:r>
        <w:rPr>
          <w:rFonts w:hint="eastAsia"/>
          <w:color w:val="000000" w:themeColor="text1"/>
          <w:sz w:val="21"/>
          <w:szCs w:val="21"/>
          <w:highlight w:val="none"/>
          <w14:textFill>
            <w14:solidFill>
              <w14:schemeClr w14:val="tx1"/>
            </w14:solidFill>
          </w14:textFill>
        </w:rPr>
        <w:t>：甲方拒付（或要求乙方退还）合同价款，乙方支付合同价款总额20%的违约金</w:t>
      </w:r>
      <w:r>
        <w:rPr>
          <w:color w:val="000000" w:themeColor="text1"/>
          <w:sz w:val="21"/>
          <w:szCs w:val="21"/>
          <w:highlight w:val="none"/>
          <w14:textFill>
            <w14:solidFill>
              <w14:schemeClr w14:val="tx1"/>
            </w14:solidFill>
          </w14:textFill>
        </w:rPr>
        <w:t>。</w:t>
      </w:r>
    </w:p>
    <w:p>
      <w:pPr>
        <w:pStyle w:val="9"/>
        <w:spacing w:line="360" w:lineRule="exact"/>
        <w:ind w:firstLine="420"/>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3</w:t>
      </w:r>
      <w:r>
        <w:rPr>
          <w:rFonts w:hint="eastAsia" w:hAnsi="宋体"/>
          <w:color w:val="000000" w:themeColor="text1"/>
          <w:szCs w:val="21"/>
          <w:highlight w:val="none"/>
          <w14:textFill>
            <w14:solidFill>
              <w14:schemeClr w14:val="tx1"/>
            </w14:solidFill>
          </w14:textFill>
        </w:rPr>
        <w:t>．合同履行期限内，</w:t>
      </w:r>
      <w:r>
        <w:rPr>
          <w:rFonts w:hAnsi="宋体"/>
          <w:color w:val="000000" w:themeColor="text1"/>
          <w:szCs w:val="21"/>
          <w:highlight w:val="none"/>
          <w14:textFill>
            <w14:solidFill>
              <w14:schemeClr w14:val="tx1"/>
            </w14:solidFill>
          </w14:textFill>
        </w:rPr>
        <w:t>乙方</w:t>
      </w:r>
      <w:r>
        <w:rPr>
          <w:rFonts w:hint="eastAsia" w:hAnsi="宋体"/>
          <w:color w:val="000000" w:themeColor="text1"/>
          <w:szCs w:val="21"/>
          <w:highlight w:val="none"/>
          <w14:textFill>
            <w14:solidFill>
              <w14:schemeClr w14:val="tx1"/>
            </w14:solidFill>
          </w14:textFill>
        </w:rPr>
        <w:t>接到</w:t>
      </w:r>
      <w:r>
        <w:rPr>
          <w:rFonts w:hAnsi="宋体"/>
          <w:color w:val="000000" w:themeColor="text1"/>
          <w:szCs w:val="21"/>
          <w:highlight w:val="none"/>
          <w14:textFill>
            <w14:solidFill>
              <w14:schemeClr w14:val="tx1"/>
            </w14:solidFill>
          </w14:textFill>
        </w:rPr>
        <w:t>甲方通知后</w:t>
      </w:r>
      <w:r>
        <w:rPr>
          <w:rFonts w:hint="eastAsia"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小时内到达甲方现场</w:t>
      </w:r>
      <w:r>
        <w:rPr>
          <w:rFonts w:hint="eastAsia" w:hAnsi="宋体"/>
          <w:color w:val="000000" w:themeColor="text1"/>
          <w:szCs w:val="21"/>
          <w:highlight w:val="none"/>
          <w14:textFill>
            <w14:solidFill>
              <w14:schemeClr w14:val="tx1"/>
            </w14:solidFill>
          </w14:textFill>
        </w:rPr>
        <w:t>，并在</w:t>
      </w:r>
      <w:r>
        <w:rPr>
          <w:rFonts w:hint="eastAsia" w:hAnsi="宋体"/>
          <w:color w:val="000000" w:themeColor="text1"/>
          <w:szCs w:val="21"/>
          <w:highlight w:val="none"/>
          <w:u w:val="singl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小时内</w:t>
      </w:r>
      <w:r>
        <w:rPr>
          <w:rFonts w:hint="eastAsia" w:hAnsi="宋体"/>
          <w:color w:val="000000" w:themeColor="text1"/>
          <w:szCs w:val="21"/>
          <w:highlight w:val="none"/>
          <w14:textFill>
            <w14:solidFill>
              <w14:schemeClr w14:val="tx1"/>
            </w14:solidFill>
          </w14:textFill>
        </w:rPr>
        <w:t>排除故障。</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在服务质量保证期内，乙方应对出现的质量及安全问题负责处理解决并承担一切费用。</w:t>
      </w:r>
    </w:p>
    <w:p>
      <w:pPr>
        <w:pStyle w:val="9"/>
        <w:spacing w:line="360" w:lineRule="exact"/>
        <w:ind w:firstLine="422"/>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八</w:t>
      </w:r>
      <w:r>
        <w:rPr>
          <w:rFonts w:hAnsi="宋体"/>
          <w:b/>
          <w:color w:val="000000" w:themeColor="text1"/>
          <w:szCs w:val="21"/>
          <w:highlight w:val="none"/>
          <w14:textFill>
            <w14:solidFill>
              <w14:schemeClr w14:val="tx1"/>
            </w14:solidFill>
          </w14:textFill>
        </w:rPr>
        <w:t>、违约责任</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甲方无正当理由拒</w:t>
      </w:r>
      <w:r>
        <w:rPr>
          <w:rFonts w:hint="eastAsia"/>
          <w:color w:val="000000" w:themeColor="text1"/>
          <w:sz w:val="21"/>
          <w:szCs w:val="21"/>
          <w:highlight w:val="none"/>
          <w14:textFill>
            <w14:solidFill>
              <w14:schemeClr w14:val="tx1"/>
            </w14:solidFill>
          </w14:textFill>
        </w:rPr>
        <w:t>绝</w:t>
      </w:r>
      <w:r>
        <w:rPr>
          <w:color w:val="000000" w:themeColor="text1"/>
          <w:sz w:val="21"/>
          <w:szCs w:val="21"/>
          <w:highlight w:val="none"/>
          <w14:textFill>
            <w14:solidFill>
              <w14:schemeClr w14:val="tx1"/>
            </w14:solidFill>
          </w14:textFill>
        </w:rPr>
        <w:t>接受服务的，甲方</w:t>
      </w:r>
      <w:r>
        <w:rPr>
          <w:rFonts w:hint="eastAsia"/>
          <w:color w:val="000000" w:themeColor="text1"/>
          <w:sz w:val="21"/>
          <w:szCs w:val="21"/>
          <w:highlight w:val="none"/>
          <w14:textFill>
            <w14:solidFill>
              <w14:schemeClr w14:val="tx1"/>
            </w14:solidFill>
          </w14:textFill>
        </w:rPr>
        <w:t>应</w:t>
      </w:r>
      <w:r>
        <w:rPr>
          <w:color w:val="000000" w:themeColor="text1"/>
          <w:sz w:val="21"/>
          <w:szCs w:val="21"/>
          <w:highlight w:val="none"/>
          <w14:textFill>
            <w14:solidFill>
              <w14:schemeClr w14:val="tx1"/>
            </w14:solidFill>
          </w14:textFill>
        </w:rPr>
        <w:t>向乙方</w:t>
      </w:r>
      <w:r>
        <w:rPr>
          <w:rFonts w:hint="eastAsia"/>
          <w:color w:val="000000" w:themeColor="text1"/>
          <w:sz w:val="21"/>
          <w:szCs w:val="21"/>
          <w:highlight w:val="none"/>
          <w14:textFill>
            <w14:solidFill>
              <w14:schemeClr w14:val="tx1"/>
            </w14:solidFill>
          </w14:textFill>
        </w:rPr>
        <w:t>支</w:t>
      </w:r>
      <w:r>
        <w:rPr>
          <w:color w:val="000000" w:themeColor="text1"/>
          <w:sz w:val="21"/>
          <w:szCs w:val="21"/>
          <w:highlight w:val="none"/>
          <w14:textFill>
            <w14:solidFill>
              <w14:schemeClr w14:val="tx1"/>
            </w14:solidFill>
          </w14:textFill>
        </w:rPr>
        <w:t>付合同</w:t>
      </w:r>
      <w:r>
        <w:rPr>
          <w:rFonts w:hint="eastAsia"/>
          <w:color w:val="000000" w:themeColor="text1"/>
          <w:sz w:val="21"/>
          <w:szCs w:val="21"/>
          <w:highlight w:val="none"/>
          <w14:textFill>
            <w14:solidFill>
              <w14:schemeClr w14:val="tx1"/>
            </w14:solidFill>
          </w14:textFill>
        </w:rPr>
        <w:t>总价款</w:t>
      </w:r>
      <w:r>
        <w:rPr>
          <w:color w:val="000000" w:themeColor="text1"/>
          <w:sz w:val="21"/>
          <w:szCs w:val="21"/>
          <w:highlight w:val="none"/>
          <w14:textFill>
            <w14:solidFill>
              <w14:schemeClr w14:val="tx1"/>
            </w14:solidFill>
          </w14:textFill>
        </w:rPr>
        <w:t>百分之五</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违约金。</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甲方无故</w:t>
      </w:r>
      <w:r>
        <w:rPr>
          <w:rFonts w:hint="eastAsia"/>
          <w:color w:val="000000" w:themeColor="text1"/>
          <w:sz w:val="21"/>
          <w:szCs w:val="21"/>
          <w:highlight w:val="none"/>
          <w14:textFill>
            <w14:solidFill>
              <w14:schemeClr w14:val="tx1"/>
            </w14:solidFill>
          </w14:textFill>
        </w:rPr>
        <w:t>逾期</w:t>
      </w:r>
      <w:r>
        <w:rPr>
          <w:color w:val="000000" w:themeColor="text1"/>
          <w:sz w:val="21"/>
          <w:szCs w:val="21"/>
          <w:highlight w:val="none"/>
          <w14:textFill>
            <w14:solidFill>
              <w14:schemeClr w14:val="tx1"/>
            </w14:solidFill>
          </w14:textFill>
        </w:rPr>
        <w:t>付款的</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应按逾期付款</w:t>
      </w:r>
      <w:r>
        <w:rPr>
          <w:rFonts w:hint="eastAsia"/>
          <w:color w:val="000000" w:themeColor="text1"/>
          <w:sz w:val="21"/>
          <w:szCs w:val="21"/>
          <w:highlight w:val="none"/>
          <w14:textFill>
            <w14:solidFill>
              <w14:schemeClr w14:val="tx1"/>
            </w14:solidFill>
          </w14:textFill>
        </w:rPr>
        <w:t>金</w:t>
      </w:r>
      <w:r>
        <w:rPr>
          <w:color w:val="000000" w:themeColor="text1"/>
          <w:sz w:val="21"/>
          <w:szCs w:val="21"/>
          <w:highlight w:val="none"/>
          <w14:textFill>
            <w14:solidFill>
              <w14:schemeClr w14:val="tx1"/>
            </w14:solidFill>
          </w14:textFill>
        </w:rPr>
        <w:t>额</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万分之五每</w:t>
      </w:r>
      <w:r>
        <w:rPr>
          <w:rFonts w:hint="eastAsia"/>
          <w:color w:val="000000" w:themeColor="text1"/>
          <w:sz w:val="21"/>
          <w:szCs w:val="21"/>
          <w:highlight w:val="none"/>
          <w14:textFill>
            <w14:solidFill>
              <w14:schemeClr w14:val="tx1"/>
            </w14:solidFill>
          </w14:textFill>
        </w:rPr>
        <w:t>日</w:t>
      </w:r>
      <w:r>
        <w:rPr>
          <w:color w:val="000000" w:themeColor="text1"/>
          <w:sz w:val="21"/>
          <w:szCs w:val="21"/>
          <w:highlight w:val="none"/>
          <w14:textFill>
            <w14:solidFill>
              <w14:schemeClr w14:val="tx1"/>
            </w14:solidFill>
          </w14:textFill>
        </w:rPr>
        <w:t>支付违约金。</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w:t>
      </w:r>
      <w:r>
        <w:rPr>
          <w:rFonts w:hint="eastAsia"/>
          <w:color w:val="000000" w:themeColor="text1"/>
          <w:sz w:val="21"/>
          <w:szCs w:val="21"/>
          <w:highlight w:val="none"/>
          <w14:textFill>
            <w14:solidFill>
              <w14:schemeClr w14:val="tx1"/>
            </w14:solidFill>
          </w14:textFill>
        </w:rPr>
        <w:t>逾期履行合同义务的，应按合同总价款的</w:t>
      </w:r>
      <w:r>
        <w:rPr>
          <w:color w:val="000000" w:themeColor="text1"/>
          <w:sz w:val="21"/>
          <w:szCs w:val="21"/>
          <w:highlight w:val="none"/>
          <w14:textFill>
            <w14:solidFill>
              <w14:schemeClr w14:val="tx1"/>
            </w14:solidFill>
          </w14:textFill>
        </w:rPr>
        <w:t>千分之六</w:t>
      </w:r>
      <w:r>
        <w:rPr>
          <w:rFonts w:hint="eastAsia"/>
          <w:color w:val="000000" w:themeColor="text1"/>
          <w:sz w:val="21"/>
          <w:szCs w:val="21"/>
          <w:highlight w:val="none"/>
          <w14:textFill>
            <w14:solidFill>
              <w14:schemeClr w14:val="tx1"/>
            </w14:solidFill>
          </w14:textFill>
        </w:rPr>
        <w:t>每日支付</w:t>
      </w:r>
      <w:r>
        <w:rPr>
          <w:color w:val="000000" w:themeColor="text1"/>
          <w:sz w:val="21"/>
          <w:szCs w:val="21"/>
          <w:highlight w:val="none"/>
          <w14:textFill>
            <w14:solidFill>
              <w14:schemeClr w14:val="tx1"/>
            </w14:solidFill>
          </w14:textFill>
        </w:rPr>
        <w:t>违约金。乙方</w:t>
      </w:r>
      <w:r>
        <w:rPr>
          <w:rFonts w:hint="eastAsia"/>
          <w:color w:val="000000" w:themeColor="text1"/>
          <w:sz w:val="21"/>
          <w:szCs w:val="21"/>
          <w:highlight w:val="none"/>
          <w14:textFill>
            <w14:solidFill>
              <w14:schemeClr w14:val="tx1"/>
            </w14:solidFill>
          </w14:textFill>
        </w:rPr>
        <w:t>逾期</w:t>
      </w:r>
      <w:r>
        <w:rPr>
          <w:color w:val="000000" w:themeColor="text1"/>
          <w:sz w:val="21"/>
          <w:szCs w:val="21"/>
          <w:highlight w:val="none"/>
          <w14:textFill>
            <w14:solidFill>
              <w14:schemeClr w14:val="tx1"/>
            </w14:solidFill>
          </w14:textFill>
        </w:rPr>
        <w:t>10个工作日</w:t>
      </w:r>
      <w:r>
        <w:rPr>
          <w:rFonts w:hint="eastAsia"/>
          <w:color w:val="000000" w:themeColor="text1"/>
          <w:sz w:val="21"/>
          <w:szCs w:val="21"/>
          <w:highlight w:val="none"/>
          <w14:textFill>
            <w14:solidFill>
              <w14:schemeClr w14:val="tx1"/>
            </w14:solidFill>
          </w14:textFill>
        </w:rPr>
        <w:t>及以上履行合同义务的</w:t>
      </w:r>
      <w:r>
        <w:rPr>
          <w:color w:val="000000" w:themeColor="text1"/>
          <w:sz w:val="21"/>
          <w:szCs w:val="21"/>
          <w:highlight w:val="none"/>
          <w14:textFill>
            <w14:solidFill>
              <w14:schemeClr w14:val="tx1"/>
            </w14:solidFill>
          </w14:textFill>
        </w:rPr>
        <w:t>，甲方</w:t>
      </w:r>
      <w:r>
        <w:rPr>
          <w:rFonts w:hint="eastAsia"/>
          <w:color w:val="000000" w:themeColor="text1"/>
          <w:sz w:val="21"/>
          <w:szCs w:val="21"/>
          <w:highlight w:val="none"/>
          <w14:textFill>
            <w14:solidFill>
              <w14:schemeClr w14:val="tx1"/>
            </w14:solidFill>
          </w14:textFill>
        </w:rPr>
        <w:t>有权</w:t>
      </w:r>
      <w:r>
        <w:rPr>
          <w:color w:val="000000" w:themeColor="text1"/>
          <w:sz w:val="21"/>
          <w:szCs w:val="21"/>
          <w:highlight w:val="none"/>
          <w14:textFill>
            <w14:solidFill>
              <w14:schemeClr w14:val="tx1"/>
            </w14:solidFill>
          </w14:textFill>
        </w:rPr>
        <w:t>解除本合同，</w:t>
      </w:r>
      <w:r>
        <w:rPr>
          <w:rFonts w:hint="eastAsia"/>
          <w:color w:val="000000" w:themeColor="text1"/>
          <w:sz w:val="21"/>
          <w:szCs w:val="21"/>
          <w:highlight w:val="none"/>
          <w14:textFill>
            <w14:solidFill>
              <w14:schemeClr w14:val="tx1"/>
            </w14:solidFill>
          </w14:textFill>
        </w:rPr>
        <w:t>并拒付（或要求乙方退还）合同价款，</w:t>
      </w:r>
      <w:r>
        <w:rPr>
          <w:color w:val="000000" w:themeColor="text1"/>
          <w:sz w:val="21"/>
          <w:szCs w:val="21"/>
          <w:highlight w:val="none"/>
          <w14:textFill>
            <w14:solidFill>
              <w14:schemeClr w14:val="tx1"/>
            </w14:solidFill>
          </w14:textFill>
        </w:rPr>
        <w:t>乙方应</w:t>
      </w:r>
      <w:r>
        <w:rPr>
          <w:rFonts w:hint="eastAsia"/>
          <w:color w:val="000000" w:themeColor="text1"/>
          <w:sz w:val="21"/>
          <w:szCs w:val="21"/>
          <w:highlight w:val="none"/>
          <w14:textFill>
            <w14:solidFill>
              <w14:schemeClr w14:val="tx1"/>
            </w14:solidFill>
          </w14:textFill>
        </w:rPr>
        <w:t>按</w:t>
      </w:r>
      <w:r>
        <w:rPr>
          <w:color w:val="000000" w:themeColor="text1"/>
          <w:sz w:val="21"/>
          <w:szCs w:val="21"/>
          <w:highlight w:val="none"/>
          <w14:textFill>
            <w14:solidFill>
              <w14:schemeClr w14:val="tx1"/>
            </w14:solidFill>
          </w14:textFill>
        </w:rPr>
        <w:t>合同总</w:t>
      </w:r>
      <w:r>
        <w:rPr>
          <w:rFonts w:hint="eastAsia"/>
          <w:color w:val="000000" w:themeColor="text1"/>
          <w:sz w:val="21"/>
          <w:szCs w:val="21"/>
          <w:highlight w:val="none"/>
          <w14:textFill>
            <w14:solidFill>
              <w14:schemeClr w14:val="tx1"/>
            </w14:solidFill>
          </w14:textFill>
        </w:rPr>
        <w:t>价款的20</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向甲方支付</w:t>
      </w:r>
      <w:r>
        <w:rPr>
          <w:color w:val="000000" w:themeColor="text1"/>
          <w:sz w:val="21"/>
          <w:szCs w:val="21"/>
          <w:highlight w:val="none"/>
          <w14:textFill>
            <w14:solidFill>
              <w14:schemeClr w14:val="tx1"/>
            </w14:solidFill>
          </w14:textFill>
        </w:rPr>
        <w:t>违约金，造成甲方损失的，乙方</w:t>
      </w:r>
      <w:r>
        <w:rPr>
          <w:rFonts w:hint="eastAsia"/>
          <w:color w:val="000000" w:themeColor="text1"/>
          <w:sz w:val="21"/>
          <w:szCs w:val="21"/>
          <w:highlight w:val="none"/>
          <w14:textFill>
            <w14:solidFill>
              <w14:schemeClr w14:val="tx1"/>
            </w14:solidFill>
          </w14:textFill>
        </w:rPr>
        <w:t>应</w:t>
      </w:r>
      <w:r>
        <w:rPr>
          <w:color w:val="000000" w:themeColor="text1"/>
          <w:sz w:val="21"/>
          <w:szCs w:val="21"/>
          <w:highlight w:val="none"/>
          <w14:textFill>
            <w14:solidFill>
              <w14:schemeClr w14:val="tx1"/>
            </w14:solidFill>
          </w14:textFill>
        </w:rPr>
        <w:t xml:space="preserve">承担赔偿责任。 </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r>
        <w:rPr>
          <w:color w:val="000000" w:themeColor="text1"/>
          <w:sz w:val="21"/>
          <w:szCs w:val="21"/>
          <w:highlight w:val="none"/>
          <w14:textFill>
            <w14:solidFill>
              <w14:schemeClr w14:val="tx1"/>
            </w14:solidFill>
          </w14:textFill>
        </w:rPr>
        <w:t>合同</w:t>
      </w:r>
      <w:r>
        <w:rPr>
          <w:rFonts w:hint="eastAsia"/>
          <w:color w:val="000000" w:themeColor="text1"/>
          <w:sz w:val="21"/>
          <w:szCs w:val="21"/>
          <w:highlight w:val="none"/>
          <w14:textFill>
            <w14:solidFill>
              <w14:schemeClr w14:val="tx1"/>
            </w14:solidFill>
          </w14:textFill>
        </w:rPr>
        <w:t>履行</w:t>
      </w:r>
      <w:r>
        <w:rPr>
          <w:color w:val="000000" w:themeColor="text1"/>
          <w:sz w:val="21"/>
          <w:szCs w:val="21"/>
          <w:highlight w:val="none"/>
          <w14:textFill>
            <w14:solidFill>
              <w14:schemeClr w14:val="tx1"/>
            </w14:solidFill>
          </w14:textFill>
        </w:rPr>
        <w:t>期内，任何一方因不可抗力事件不能履行合同</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，合同履行期</w:t>
      </w:r>
      <w:r>
        <w:rPr>
          <w:rFonts w:hint="eastAsia"/>
          <w:color w:val="000000" w:themeColor="text1"/>
          <w:sz w:val="21"/>
          <w:szCs w:val="21"/>
          <w:highlight w:val="none"/>
          <w14:textFill>
            <w14:solidFill>
              <w14:schemeClr w14:val="tx1"/>
            </w14:solidFill>
          </w14:textFill>
        </w:rPr>
        <w:t>限</w:t>
      </w:r>
      <w:r>
        <w:rPr>
          <w:color w:val="000000" w:themeColor="text1"/>
          <w:sz w:val="21"/>
          <w:szCs w:val="21"/>
          <w:highlight w:val="none"/>
          <w14:textFill>
            <w14:solidFill>
              <w14:schemeClr w14:val="tx1"/>
            </w14:solidFill>
          </w14:textFill>
        </w:rPr>
        <w:t>可</w:t>
      </w:r>
      <w:r>
        <w:rPr>
          <w:rFonts w:hint="eastAsia"/>
          <w:color w:val="000000" w:themeColor="text1"/>
          <w:sz w:val="21"/>
          <w:szCs w:val="21"/>
          <w:highlight w:val="none"/>
          <w14:textFill>
            <w14:solidFill>
              <w14:schemeClr w14:val="tx1"/>
            </w14:solidFill>
          </w14:textFill>
        </w:rPr>
        <w:t>相应顺延</w:t>
      </w:r>
      <w:r>
        <w:rPr>
          <w:color w:val="000000" w:themeColor="text1"/>
          <w:sz w:val="21"/>
          <w:szCs w:val="21"/>
          <w:highlight w:val="none"/>
          <w14:textFill>
            <w14:solidFill>
              <w14:schemeClr w14:val="tx1"/>
            </w14:solidFill>
          </w14:textFill>
        </w:rPr>
        <w:t>。不可抗力事件发生后，应立即通知对方，并</w:t>
      </w:r>
      <w:r>
        <w:rPr>
          <w:rFonts w:hint="eastAsia"/>
          <w:color w:val="000000" w:themeColor="text1"/>
          <w:sz w:val="21"/>
          <w:szCs w:val="21"/>
          <w:highlight w:val="none"/>
          <w14:textFill>
            <w14:solidFill>
              <w14:schemeClr w14:val="tx1"/>
            </w14:solidFill>
          </w14:textFill>
        </w:rPr>
        <w:t>邮寄或送达</w:t>
      </w:r>
      <w:r>
        <w:rPr>
          <w:color w:val="000000" w:themeColor="text1"/>
          <w:sz w:val="21"/>
          <w:szCs w:val="21"/>
          <w:highlight w:val="none"/>
          <w14:textFill>
            <w14:solidFill>
              <w14:schemeClr w14:val="tx1"/>
            </w14:solidFill>
          </w14:textFill>
        </w:rPr>
        <w:t>有关权威机构出具的证明。</w:t>
      </w:r>
    </w:p>
    <w:p>
      <w:pPr>
        <w:pStyle w:val="9"/>
        <w:spacing w:line="360" w:lineRule="exact"/>
        <w:ind w:firstLine="422"/>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九</w:t>
      </w:r>
      <w:r>
        <w:rPr>
          <w:rFonts w:hAnsi="宋体"/>
          <w:b/>
          <w:color w:val="000000" w:themeColor="text1"/>
          <w:szCs w:val="21"/>
          <w:highlight w:val="none"/>
          <w14:textFill>
            <w14:solidFill>
              <w14:schemeClr w14:val="tx1"/>
            </w14:solidFill>
          </w14:textFill>
        </w:rPr>
        <w:t>、</w:t>
      </w:r>
      <w:r>
        <w:rPr>
          <w:rFonts w:hint="eastAsia" w:hAnsi="宋体"/>
          <w:b/>
          <w:color w:val="000000" w:themeColor="text1"/>
          <w:szCs w:val="21"/>
          <w:highlight w:val="none"/>
          <w14:textFill>
            <w14:solidFill>
              <w14:schemeClr w14:val="tx1"/>
            </w14:solidFill>
          </w14:textFill>
        </w:rPr>
        <w:t>争议的解决</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本合同纠纷由双方协商解决，协商不成，由甲方所在地人民法院诉讼解决。</w:t>
      </w:r>
    </w:p>
    <w:p>
      <w:pPr>
        <w:pStyle w:val="9"/>
        <w:spacing w:line="360" w:lineRule="exact"/>
        <w:ind w:firstLine="422"/>
        <w:rPr>
          <w:rFonts w:hAnsi="宋体"/>
          <w:b/>
          <w:color w:val="000000" w:themeColor="text1"/>
          <w:szCs w:val="21"/>
          <w:highlight w:val="none"/>
          <w14:textFill>
            <w14:solidFill>
              <w14:schemeClr w14:val="tx1"/>
            </w14:solidFill>
          </w14:textFill>
        </w:rPr>
      </w:pPr>
      <w:r>
        <w:rPr>
          <w:rFonts w:hAnsi="宋体"/>
          <w:b/>
          <w:color w:val="000000" w:themeColor="text1"/>
          <w:szCs w:val="21"/>
          <w:highlight w:val="none"/>
          <w14:textFill>
            <w14:solidFill>
              <w14:schemeClr w14:val="tx1"/>
            </w14:solidFill>
          </w14:textFill>
        </w:rPr>
        <w:t>十、合同生效</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1.本合同经甲、乙双方法定代表人或其委托代理人签字并加盖单位印章后生效。</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2.本合同一式陆份，甲方执肆份，乙方和鉴证方各执壹份，具有同等法律效力。</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3.本合同附件及双方的磋商文件、响应文件、磋商记录等系本合同的组成部分。</w:t>
      </w:r>
    </w:p>
    <w:tbl>
      <w:tblPr>
        <w:tblStyle w:val="16"/>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甲方（公章）：</w:t>
            </w:r>
            <w:r>
              <w:rPr>
                <w:color w:val="000000" w:themeColor="text1"/>
                <w:spacing w:val="-6"/>
                <w:sz w:val="21"/>
                <w:szCs w:val="21"/>
                <w:highlight w:val="none"/>
                <w14:textFill>
                  <w14:solidFill>
                    <w14:schemeClr w14:val="tx1"/>
                  </w14:solidFill>
                </w14:textFill>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乙方（公章）：</w:t>
            </w:r>
            <w:r>
              <w:rPr>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法定代表人或其委托代理人：</w:t>
            </w:r>
          </w:p>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(签字）</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法定代表人或其委托代理人：</w:t>
            </w:r>
          </w:p>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地址：</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邮编：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电话： </w:t>
            </w:r>
            <w:r>
              <w:rPr>
                <w:color w:val="000000" w:themeColor="text1"/>
                <w:spacing w:val="-6"/>
                <w:sz w:val="21"/>
                <w:szCs w:val="21"/>
                <w:highlight w:val="none"/>
                <w14:textFill>
                  <w14:solidFill>
                    <w14:schemeClr w14:val="tx1"/>
                  </w14:solidFill>
                </w14:textFill>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传真：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电子邮箱：</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开户银行：</w:t>
            </w:r>
            <w:r>
              <w:rPr>
                <w:color w:val="000000" w:themeColor="text1"/>
                <w:spacing w:val="-6"/>
                <w:sz w:val="21"/>
                <w:szCs w:val="21"/>
                <w:highlight w:val="none"/>
                <w14:textFill>
                  <w14:solidFill>
                    <w14:schemeClr w14:val="tx1"/>
                  </w14:solidFill>
                </w14:textFill>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开户银行：</w:t>
            </w:r>
            <w:r>
              <w:rPr>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帐号：</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签约地点：              </w:t>
            </w:r>
            <w:r>
              <w:rPr>
                <w:color w:val="000000" w:themeColor="text1"/>
                <w:spacing w:val="-6"/>
                <w:sz w:val="21"/>
                <w:szCs w:val="21"/>
                <w:highlight w:val="none"/>
                <w14:textFill>
                  <w14:solidFill>
                    <w14:schemeClr w14:val="tx1"/>
                  </w14:solidFill>
                </w14:textFill>
              </w:rPr>
              <w:t xml:space="preserve">   </w:t>
            </w:r>
            <w:r>
              <w:rPr>
                <w:rFonts w:hint="eastAsia"/>
                <w:color w:val="000000" w:themeColor="text1"/>
                <w:spacing w:val="-6"/>
                <w:sz w:val="21"/>
                <w:szCs w:val="21"/>
                <w:highlight w:val="none"/>
                <w14:textFill>
                  <w14:solidFill>
                    <w14:schemeClr w14:val="tx1"/>
                  </w14:solidFill>
                </w14:textFill>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合同鉴证方（鉴证章）：</w:t>
            </w:r>
            <w:r>
              <w:rPr>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法定代表人或其委托代理人：</w:t>
            </w:r>
          </w:p>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电话：                                  鉴证时间：    年   月   日</w:t>
            </w:r>
          </w:p>
        </w:tc>
      </w:tr>
    </w:tbl>
    <w:p>
      <w:pPr>
        <w:snapToGrid w:val="0"/>
        <w:spacing w:line="560" w:lineRule="exact"/>
        <w:ind w:firstLine="420" w:firstLineChars="200"/>
        <w:rPr>
          <w:sz w:val="21"/>
          <w:szCs w:val="21"/>
          <w:highlight w:val="none"/>
        </w:rPr>
      </w:pPr>
    </w:p>
    <w:p>
      <w:pPr>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第六章  响应文件格式</w:t>
      </w:r>
    </w:p>
    <w:p>
      <w:pPr>
        <w:adjustRightInd w:val="0"/>
        <w:snapToGrid w:val="0"/>
        <w:spacing w:line="288" w:lineRule="auto"/>
        <w:rPr>
          <w:sz w:val="21"/>
          <w:szCs w:val="21"/>
          <w:highlight w:val="none"/>
        </w:rPr>
      </w:pPr>
    </w:p>
    <w:p>
      <w:pPr>
        <w:adjustRightInd w:val="0"/>
        <w:snapToGrid w:val="0"/>
        <w:spacing w:line="288" w:lineRule="auto"/>
        <w:jc w:val="center"/>
        <w:rPr>
          <w:b/>
          <w:bCs/>
          <w:sz w:val="21"/>
          <w:szCs w:val="21"/>
          <w:highlight w:val="none"/>
        </w:rPr>
      </w:pPr>
      <w:r>
        <w:rPr>
          <w:rFonts w:hint="eastAsia"/>
          <w:b/>
          <w:bCs/>
          <w:sz w:val="21"/>
          <w:szCs w:val="21"/>
          <w:highlight w:val="none"/>
        </w:rPr>
        <w:t>响应文件的编制应按照本项目：“第三章供应商须知”三、响应文件的编制的要求编制。</w:t>
      </w:r>
    </w:p>
    <w:p>
      <w:pPr>
        <w:rPr>
          <w:sz w:val="21"/>
          <w:szCs w:val="21"/>
          <w:highlight w:val="none"/>
        </w:rPr>
      </w:pPr>
      <w:r>
        <w:rPr>
          <w:rFonts w:hint="eastAsia"/>
          <w:sz w:val="21"/>
          <w:szCs w:val="21"/>
          <w:highlight w:val="none"/>
        </w:rPr>
        <w:br w:type="page"/>
      </w:r>
    </w:p>
    <w:p>
      <w:pPr>
        <w:adjustRightInd w:val="0"/>
        <w:snapToGrid w:val="0"/>
        <w:spacing w:line="360" w:lineRule="auto"/>
        <w:outlineLvl w:val="1"/>
        <w:rPr>
          <w:b/>
          <w:bCs/>
          <w:highlight w:val="none"/>
        </w:rPr>
      </w:pPr>
      <w:r>
        <w:rPr>
          <w:rFonts w:hint="eastAsia"/>
          <w:b/>
          <w:bCs/>
          <w:highlight w:val="none"/>
        </w:rPr>
        <w:t>响应文件封面</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rPr>
          <w:highlight w:val="none"/>
        </w:rPr>
      </w:pPr>
      <w:r>
        <w:rPr>
          <w:rFonts w:hint="eastAsia"/>
          <w:highlight w:val="none"/>
        </w:rPr>
        <w:t>____________________（供应商名称）</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rPr>
          <w:b/>
          <w:bCs/>
          <w:sz w:val="44"/>
          <w:szCs w:val="44"/>
          <w:highlight w:val="none"/>
        </w:rPr>
      </w:pPr>
      <w:r>
        <w:rPr>
          <w:rFonts w:hint="eastAsia"/>
          <w:b/>
          <w:bCs/>
          <w:sz w:val="44"/>
          <w:szCs w:val="44"/>
          <w:highlight w:val="none"/>
        </w:rPr>
        <w:t>竞争性磋商</w:t>
      </w:r>
    </w:p>
    <w:p>
      <w:pPr>
        <w:adjustRightInd w:val="0"/>
        <w:snapToGrid w:val="0"/>
        <w:spacing w:line="360" w:lineRule="auto"/>
        <w:jc w:val="center"/>
        <w:rPr>
          <w:b/>
          <w:bCs/>
          <w:sz w:val="44"/>
          <w:szCs w:val="44"/>
          <w:highlight w:val="none"/>
        </w:rPr>
      </w:pPr>
      <w:r>
        <w:rPr>
          <w:rFonts w:hint="eastAsia"/>
          <w:b/>
          <w:bCs/>
          <w:sz w:val="44"/>
          <w:szCs w:val="44"/>
          <w:highlight w:val="none"/>
        </w:rPr>
        <w:t>响应文件</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采 购 人：中国美术学院</w:t>
      </w:r>
    </w:p>
    <w:p>
      <w:pPr>
        <w:adjustRightInd w:val="0"/>
        <w:snapToGrid w:val="0"/>
        <w:spacing w:line="360" w:lineRule="auto"/>
        <w:rPr>
          <w:highlight w:val="none"/>
        </w:rPr>
      </w:pPr>
      <w:r>
        <w:rPr>
          <w:rFonts w:hint="eastAsia"/>
          <w:highlight w:val="none"/>
        </w:rPr>
        <w:t xml:space="preserve">项目名称：招生系统平台信息化服务  </w:t>
      </w:r>
    </w:p>
    <w:p>
      <w:pPr>
        <w:adjustRightInd w:val="0"/>
        <w:snapToGrid w:val="0"/>
        <w:spacing w:line="360" w:lineRule="auto"/>
        <w:rPr>
          <w:highlight w:val="none"/>
        </w:rPr>
      </w:pPr>
      <w:r>
        <w:rPr>
          <w:rFonts w:hint="eastAsia"/>
          <w:highlight w:val="none"/>
        </w:rPr>
        <w:t xml:space="preserve">项目编号：QSZB-Z(F)-H21265(CS)    </w:t>
      </w: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供应商地址：</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1"/>
        <w:rPr>
          <w:b/>
          <w:bCs/>
          <w:sz w:val="84"/>
          <w:szCs w:val="84"/>
          <w:highlight w:val="none"/>
        </w:rPr>
      </w:pPr>
      <w:r>
        <w:rPr>
          <w:rFonts w:hint="eastAsia"/>
          <w:b/>
          <w:bCs/>
          <w:sz w:val="84"/>
          <w:szCs w:val="84"/>
          <w:highlight w:val="none"/>
        </w:rPr>
        <w:t>资格文件</w:t>
      </w:r>
    </w:p>
    <w:p>
      <w:pPr>
        <w:adjustRightInd w:val="0"/>
        <w:snapToGrid w:val="0"/>
        <w:spacing w:line="360" w:lineRule="auto"/>
        <w:jc w:val="center"/>
        <w:rPr>
          <w:b/>
          <w:bCs/>
          <w:highlight w:val="none"/>
        </w:rPr>
      </w:pPr>
      <w:r>
        <w:rPr>
          <w:rFonts w:hint="eastAsia"/>
          <w:b/>
          <w:bCs/>
          <w:highlight w:val="none"/>
        </w:rPr>
        <w:t>资格审查要求的资格证明材料(均需加盖公章)</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（1）有效的法人或者其他组织的营业执照等证明文件，自然人的身份证明</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1.如供应商是企业（包括合伙企业），提供在工商部门注册的有效“企业法人营业执照”或“营业执照”；</w:t>
      </w:r>
    </w:p>
    <w:p>
      <w:pPr>
        <w:adjustRightInd w:val="0"/>
        <w:snapToGrid w:val="0"/>
        <w:spacing w:line="360" w:lineRule="auto"/>
        <w:rPr>
          <w:b/>
          <w:bCs/>
          <w:sz w:val="21"/>
          <w:szCs w:val="21"/>
          <w:highlight w:val="none"/>
        </w:rPr>
      </w:pPr>
      <w:r>
        <w:rPr>
          <w:rFonts w:hint="eastAsia"/>
          <w:b/>
          <w:bCs/>
          <w:sz w:val="21"/>
          <w:szCs w:val="21"/>
          <w:highlight w:val="none"/>
        </w:rPr>
        <w:t>2.如供应商是事业单位，提供有效的“事业单位法人证书”；</w:t>
      </w:r>
    </w:p>
    <w:p>
      <w:pPr>
        <w:adjustRightInd w:val="0"/>
        <w:snapToGrid w:val="0"/>
        <w:spacing w:line="360" w:lineRule="auto"/>
        <w:rPr>
          <w:b/>
          <w:bCs/>
          <w:sz w:val="21"/>
          <w:szCs w:val="21"/>
          <w:highlight w:val="none"/>
        </w:rPr>
      </w:pPr>
      <w:r>
        <w:rPr>
          <w:rFonts w:hint="eastAsia"/>
          <w:b/>
          <w:bCs/>
          <w:sz w:val="21"/>
          <w:szCs w:val="21"/>
          <w:highlight w:val="none"/>
        </w:rPr>
        <w:t>3.如供应商是非企业专业服务机构的，提供执业许可证等证明文件；</w:t>
      </w:r>
    </w:p>
    <w:p>
      <w:pPr>
        <w:adjustRightInd w:val="0"/>
        <w:snapToGrid w:val="0"/>
        <w:spacing w:line="360" w:lineRule="auto"/>
        <w:rPr>
          <w:b/>
          <w:bCs/>
          <w:sz w:val="21"/>
          <w:szCs w:val="21"/>
          <w:highlight w:val="none"/>
        </w:rPr>
      </w:pPr>
      <w:r>
        <w:rPr>
          <w:rFonts w:hint="eastAsia"/>
          <w:b/>
          <w:bCs/>
          <w:sz w:val="21"/>
          <w:szCs w:val="21"/>
          <w:highlight w:val="none"/>
        </w:rPr>
        <w:t>4.如供应商是个体工商户，提供有效的“个体工商户营业执照”；</w:t>
      </w:r>
    </w:p>
    <w:p>
      <w:pPr>
        <w:adjustRightInd w:val="0"/>
        <w:snapToGrid w:val="0"/>
        <w:spacing w:line="360" w:lineRule="auto"/>
        <w:rPr>
          <w:b/>
          <w:bCs/>
          <w:sz w:val="21"/>
          <w:szCs w:val="21"/>
          <w:highlight w:val="none"/>
        </w:rPr>
      </w:pPr>
      <w:r>
        <w:rPr>
          <w:rFonts w:hint="eastAsia"/>
          <w:b/>
          <w:bCs/>
          <w:sz w:val="21"/>
          <w:szCs w:val="21"/>
          <w:highlight w:val="none"/>
        </w:rPr>
        <w:t>5.如供应商是自然人，提供有效的自然人身份证明。</w:t>
      </w:r>
    </w:p>
    <w:p>
      <w:pPr>
        <w:rPr>
          <w:highlight w:val="none"/>
        </w:rPr>
      </w:pPr>
      <w:r>
        <w:rPr>
          <w:rFonts w:hint="eastAsia"/>
          <w:highlight w:val="none"/>
        </w:rPr>
        <w:br w:type="page"/>
      </w:r>
    </w:p>
    <w:p>
      <w:pPr>
        <w:adjustRightInd w:val="0"/>
        <w:snapToGrid w:val="0"/>
        <w:spacing w:line="360" w:lineRule="auto"/>
        <w:jc w:val="center"/>
        <w:outlineLvl w:val="2"/>
        <w:rPr>
          <w:rFonts w:cs="Times New Roman"/>
          <w:b/>
          <w:bCs/>
          <w:highlight w:val="none"/>
          <w:shd w:val="clear" w:color="auto" w:fill="FFFFFF"/>
        </w:rPr>
      </w:pPr>
      <w:r>
        <w:rPr>
          <w:rFonts w:hint="eastAsia" w:cs="Times New Roman"/>
          <w:b/>
          <w:spacing w:val="-6"/>
          <w:highlight w:val="none"/>
        </w:rPr>
        <w:t>（2）</w:t>
      </w:r>
      <w:r>
        <w:rPr>
          <w:rFonts w:hint="eastAsia" w:cs="Times New Roman"/>
          <w:b/>
          <w:bCs/>
          <w:highlight w:val="none"/>
        </w:rPr>
        <w:t>资格条件承诺函</w:t>
      </w:r>
    </w:p>
    <w:p>
      <w:pPr>
        <w:adjustRightInd w:val="0"/>
        <w:snapToGrid w:val="0"/>
        <w:spacing w:line="360" w:lineRule="auto"/>
        <w:rPr>
          <w:rFonts w:cs="Times New Roman"/>
          <w:highlight w:val="none"/>
          <w:shd w:val="clear" w:color="auto" w:fill="FFFFFF"/>
        </w:rPr>
      </w:pPr>
    </w:p>
    <w:p>
      <w:pPr>
        <w:adjustRightInd w:val="0"/>
        <w:snapToGrid w:val="0"/>
        <w:spacing w:line="360" w:lineRule="auto"/>
        <w:rPr>
          <w:rFonts w:cs="Times New Roman"/>
          <w:b/>
          <w:bCs/>
          <w:spacing w:val="-6"/>
          <w:highlight w:val="none"/>
        </w:rPr>
      </w:pPr>
      <w:r>
        <w:rPr>
          <w:rFonts w:hint="eastAsia" w:cs="Times New Roman"/>
          <w:b/>
          <w:bCs/>
          <w:spacing w:val="-6"/>
          <w:highlight w:val="none"/>
        </w:rPr>
        <w:t>致：中国美术学院、浙江求是招标代理有限公司</w:t>
      </w:r>
    </w:p>
    <w:p>
      <w:pPr>
        <w:adjustRightInd w:val="0"/>
        <w:snapToGrid w:val="0"/>
        <w:spacing w:line="360" w:lineRule="auto"/>
        <w:ind w:firstLine="456" w:firstLineChars="200"/>
        <w:rPr>
          <w:rFonts w:cs="Times New Roman"/>
          <w:spacing w:val="-6"/>
          <w:highlight w:val="none"/>
        </w:rPr>
      </w:pP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w:t>
      </w:r>
      <w:r>
        <w:rPr>
          <w:rFonts w:hint="eastAsia" w:cs="Times New Roman"/>
          <w:spacing w:val="-6"/>
          <w:highlight w:val="none"/>
          <w:u w:val="single"/>
        </w:rPr>
        <w:t xml:space="preserve">（供应商名称） </w:t>
      </w:r>
      <w:r>
        <w:rPr>
          <w:rFonts w:cs="Times New Roman"/>
          <w:spacing w:val="-6"/>
          <w:highlight w:val="none"/>
          <w:u w:val="single"/>
        </w:rPr>
        <w:t xml:space="preserve">     </w:t>
      </w:r>
      <w:r>
        <w:rPr>
          <w:rFonts w:hint="eastAsia" w:cs="Times New Roman"/>
          <w:spacing w:val="-6"/>
          <w:highlight w:val="none"/>
          <w:u w:val="single"/>
        </w:rPr>
        <w:t xml:space="preserve"> </w:t>
      </w:r>
      <w:r>
        <w:rPr>
          <w:rFonts w:cs="Times New Roman"/>
          <w:spacing w:val="-6"/>
          <w:highlight w:val="none"/>
          <w:u w:val="single"/>
        </w:rPr>
        <w:t xml:space="preserve"> </w:t>
      </w:r>
      <w:r>
        <w:rPr>
          <w:rFonts w:hint="eastAsia" w:cs="Times New Roman"/>
          <w:spacing w:val="-6"/>
          <w:highlight w:val="none"/>
        </w:rPr>
        <w:t>参加</w:t>
      </w:r>
      <w:r>
        <w:rPr>
          <w:rFonts w:hint="eastAsia" w:cs="Times New Roman"/>
          <w:spacing w:val="-6"/>
          <w:highlight w:val="none"/>
          <w:u w:val="single"/>
        </w:rPr>
        <w:t xml:space="preserve">（项目名称） </w:t>
      </w:r>
      <w:r>
        <w:rPr>
          <w:rFonts w:cs="Times New Roman"/>
          <w:spacing w:val="-6"/>
          <w:highlight w:val="none"/>
          <w:u w:val="single"/>
        </w:rPr>
        <w:t xml:space="preserve">      </w:t>
      </w:r>
      <w:r>
        <w:rPr>
          <w:rFonts w:hint="eastAsia" w:cs="Times New Roman"/>
          <w:spacing w:val="-6"/>
          <w:highlight w:val="none"/>
          <w:u w:val="single"/>
        </w:rPr>
        <w:t xml:space="preserve"> </w:t>
      </w:r>
      <w:r>
        <w:rPr>
          <w:rFonts w:hint="eastAsia" w:cs="Times New Roman"/>
          <w:spacing w:val="-6"/>
          <w:highlight w:val="none"/>
        </w:rPr>
        <w:t>项目的采购活动并承诺如下：</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我方满足《中华人民共和国政府采购法》第二十二条规定：</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（一）具有独立承担民事责任的能力；</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（二）具有良好的商业信誉和健全的财务会计制度；</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（三）具有履行合同所必需的设备和专业技术能力；</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（四）有依法缴纳税收和社会保障资金的良好记录；</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（五）参加本项目政府采购活动前三年内，在经营活动中</w:t>
      </w:r>
      <w:r>
        <w:rPr>
          <w:rFonts w:hint="eastAsia" w:cs="Times New Roman"/>
          <w:b/>
          <w:spacing w:val="-6"/>
          <w:highlight w:val="none"/>
          <w:u w:val="single"/>
        </w:rPr>
        <w:t xml:space="preserve">  没有  </w:t>
      </w:r>
      <w:r>
        <w:rPr>
          <w:rFonts w:hint="eastAsia" w:cs="Times New Roman"/>
          <w:spacing w:val="-6"/>
          <w:highlight w:val="none"/>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（六）法律、行政法规规定的其他条件。</w:t>
      </w:r>
    </w:p>
    <w:p>
      <w:pPr>
        <w:adjustRightInd w:val="0"/>
        <w:snapToGrid w:val="0"/>
        <w:spacing w:line="360" w:lineRule="auto"/>
        <w:ind w:firstLine="456" w:firstLineChars="200"/>
        <w:rPr>
          <w:rFonts w:cs="Times New Roman"/>
          <w:spacing w:val="-6"/>
          <w:highlight w:val="none"/>
        </w:rPr>
      </w:pPr>
      <w:r>
        <w:rPr>
          <w:rFonts w:cs="Times New Roman"/>
          <w:spacing w:val="-6"/>
          <w:highlight w:val="none"/>
        </w:rPr>
        <w:t>以上事项如有虚假或隐瞒，我方愿意承担一切后果和责任。</w:t>
      </w:r>
    </w:p>
    <w:p>
      <w:pPr>
        <w:adjustRightInd w:val="0"/>
        <w:snapToGrid w:val="0"/>
        <w:spacing w:line="360" w:lineRule="auto"/>
        <w:rPr>
          <w:rFonts w:cs="Times New Roman"/>
          <w:highlight w:val="none"/>
        </w:rPr>
      </w:pPr>
    </w:p>
    <w:p>
      <w:pPr>
        <w:adjustRightInd w:val="0"/>
        <w:snapToGrid w:val="0"/>
        <w:spacing w:line="360" w:lineRule="auto"/>
        <w:rPr>
          <w:rFonts w:cs="Times New Roman"/>
          <w:b/>
          <w:bCs/>
          <w:spacing w:val="-6"/>
          <w:highlight w:val="none"/>
        </w:rPr>
      </w:pPr>
      <w:r>
        <w:rPr>
          <w:rFonts w:hint="eastAsia" w:cs="Times New Roman"/>
          <w:b/>
          <w:bCs/>
          <w:spacing w:val="-6"/>
          <w:highlight w:val="none"/>
        </w:rPr>
        <w:t>供应商名称（盖章）：</w:t>
      </w:r>
    </w:p>
    <w:p>
      <w:pPr>
        <w:adjustRightInd w:val="0"/>
        <w:snapToGrid w:val="0"/>
        <w:spacing w:line="360" w:lineRule="auto"/>
        <w:rPr>
          <w:rFonts w:cs="Times New Roman"/>
          <w:b/>
          <w:bCs/>
          <w:spacing w:val="-6"/>
          <w:highlight w:val="none"/>
        </w:rPr>
      </w:pPr>
      <w:r>
        <w:rPr>
          <w:rFonts w:hint="eastAsia" w:cs="Times New Roman"/>
          <w:b/>
          <w:bCs/>
          <w:spacing w:val="-6"/>
          <w:highlight w:val="none"/>
        </w:rPr>
        <w:t>供应商代表签字：</w:t>
      </w:r>
    </w:p>
    <w:p>
      <w:pPr>
        <w:adjustRightInd w:val="0"/>
        <w:snapToGrid w:val="0"/>
        <w:spacing w:line="360" w:lineRule="auto"/>
        <w:rPr>
          <w:rFonts w:cs="Times New Roman"/>
          <w:b/>
          <w:bCs/>
          <w:spacing w:val="-6"/>
          <w:highlight w:val="none"/>
        </w:rPr>
      </w:pPr>
      <w:r>
        <w:rPr>
          <w:rFonts w:hint="eastAsia" w:cs="Times New Roman"/>
          <w:b/>
          <w:bCs/>
          <w:spacing w:val="-6"/>
          <w:highlight w:val="none"/>
        </w:rPr>
        <w:t>日期：     年   月   日</w:t>
      </w:r>
    </w:p>
    <w:p>
      <w:pPr>
        <w:adjustRightInd w:val="0"/>
        <w:snapToGrid w:val="0"/>
        <w:spacing w:line="360" w:lineRule="auto"/>
        <w:ind w:firstLine="566" w:firstLineChars="236"/>
        <w:jc w:val="center"/>
        <w:outlineLvl w:val="2"/>
        <w:rPr>
          <w:b/>
          <w:bCs/>
          <w:highlight w:val="none"/>
        </w:rPr>
      </w:pPr>
      <w:r>
        <w:rPr>
          <w:highlight w:val="none"/>
        </w:rPr>
        <w:br w:type="page"/>
      </w:r>
      <w:r>
        <w:rPr>
          <w:rFonts w:hint="eastAsia"/>
          <w:b/>
          <w:bCs/>
          <w:highlight w:val="none"/>
        </w:rPr>
        <w:t>（</w:t>
      </w:r>
      <w:r>
        <w:rPr>
          <w:b/>
          <w:bCs/>
          <w:highlight w:val="none"/>
        </w:rPr>
        <w:t>3</w:t>
      </w:r>
      <w:r>
        <w:rPr>
          <w:rFonts w:hint="eastAsia"/>
          <w:b/>
          <w:bCs/>
          <w:highlight w:val="none"/>
        </w:rPr>
        <w:t>）</w:t>
      </w:r>
      <w:r>
        <w:rPr>
          <w:b/>
          <w:bCs/>
          <w:highlight w:val="none"/>
        </w:rPr>
        <w:t>中小企业声明函（服务）</w:t>
      </w:r>
    </w:p>
    <w:p>
      <w:pPr>
        <w:adjustRightInd w:val="0"/>
        <w:snapToGrid w:val="0"/>
        <w:spacing w:line="360" w:lineRule="auto"/>
        <w:ind w:firstLine="569" w:firstLineChars="236"/>
        <w:rPr>
          <w:b/>
          <w:highlight w:val="none"/>
        </w:rPr>
      </w:pPr>
    </w:p>
    <w:p>
      <w:pPr>
        <w:adjustRightInd w:val="0"/>
        <w:snapToGrid w:val="0"/>
        <w:spacing w:line="360" w:lineRule="auto"/>
        <w:ind w:firstLine="566" w:firstLineChars="236"/>
        <w:rPr>
          <w:highlight w:val="none"/>
        </w:rPr>
      </w:pPr>
      <w:r>
        <w:rPr>
          <w:highlight w:val="none"/>
        </w:rPr>
        <w:t>本公司郑重声明，根据《政府采购促进中小企业发展管理办法》（财库</w:t>
      </w:r>
      <w:r>
        <w:rPr>
          <w:rFonts w:hint="eastAsia"/>
          <w:highlight w:val="none"/>
        </w:rPr>
        <w:t>﹝</w:t>
      </w:r>
      <w:r>
        <w:rPr>
          <w:highlight w:val="none"/>
        </w:rPr>
        <w:t>2020</w:t>
      </w:r>
      <w:r>
        <w:rPr>
          <w:rFonts w:hint="eastAsia"/>
          <w:highlight w:val="none"/>
        </w:rPr>
        <w:t>﹞</w:t>
      </w:r>
      <w:r>
        <w:rPr>
          <w:highlight w:val="none"/>
        </w:rPr>
        <w:t>46 号）的规定，本公司参加</w:t>
      </w:r>
      <w:r>
        <w:rPr>
          <w:rFonts w:hint="eastAsia"/>
          <w:i/>
          <w:highlight w:val="none"/>
          <w:u w:val="single"/>
        </w:rPr>
        <w:t>中国美术学院</w:t>
      </w:r>
      <w:r>
        <w:rPr>
          <w:highlight w:val="none"/>
        </w:rPr>
        <w:t>的</w:t>
      </w:r>
      <w:r>
        <w:rPr>
          <w:rFonts w:hint="eastAsia"/>
          <w:i/>
          <w:iCs/>
          <w:highlight w:val="none"/>
          <w:u w:val="single"/>
        </w:rPr>
        <w:t xml:space="preserve">招生系统平台信息化服务 </w:t>
      </w:r>
      <w:r>
        <w:rPr>
          <w:highlight w:val="none"/>
        </w:rPr>
        <w:t>采购活动，服务全部由符合政策要求的中小企业承接。相关企业的具体情况如下：</w:t>
      </w:r>
    </w:p>
    <w:p>
      <w:pPr>
        <w:adjustRightInd w:val="0"/>
        <w:snapToGrid w:val="0"/>
        <w:spacing w:line="360" w:lineRule="auto"/>
        <w:ind w:firstLine="566" w:firstLineChars="236"/>
        <w:rPr>
          <w:i/>
          <w:highlight w:val="none"/>
          <w:u w:val="single"/>
        </w:rPr>
      </w:pPr>
      <w:r>
        <w:rPr>
          <w:rFonts w:hint="eastAsia"/>
          <w:i/>
          <w:highlight w:val="none"/>
          <w:u w:val="single"/>
        </w:rPr>
        <w:t>1</w:t>
      </w:r>
      <w:r>
        <w:rPr>
          <w:i/>
          <w:highlight w:val="none"/>
          <w:u w:val="single"/>
        </w:rPr>
        <w:t>.（标的名称），属于（</w:t>
      </w:r>
      <w:r>
        <w:rPr>
          <w:rFonts w:hint="eastAsia"/>
          <w:i/>
          <w:highlight w:val="none"/>
          <w:u w:val="single"/>
        </w:rPr>
        <w:t>软件和信息技术服务业</w:t>
      </w:r>
      <w:r>
        <w:rPr>
          <w:i/>
          <w:highlight w:val="none"/>
          <w:u w:val="single"/>
        </w:rPr>
        <w:t>；</w:t>
      </w:r>
      <w:r>
        <w:rPr>
          <w:highlight w:val="none"/>
        </w:rPr>
        <w:t>承接企业为</w:t>
      </w:r>
      <w:r>
        <w:rPr>
          <w:i/>
          <w:highlight w:val="none"/>
          <w:u w:val="single"/>
        </w:rPr>
        <w:t>（企业名称）</w:t>
      </w:r>
      <w:r>
        <w:rPr>
          <w:highlight w:val="none"/>
        </w:rPr>
        <w:t>，从业人员</w:t>
      </w:r>
      <w:r>
        <w:rPr>
          <w:highlight w:val="none"/>
          <w:u w:val="single"/>
        </w:rPr>
        <w:t xml:space="preserve"> </w:t>
      </w:r>
      <w:r>
        <w:rPr>
          <w:highlight w:val="none"/>
          <w:u w:val="single"/>
        </w:rPr>
        <w:tab/>
      </w:r>
      <w:r>
        <w:rPr>
          <w:highlight w:val="none"/>
        </w:rPr>
        <w:t>人，营业收入为</w:t>
      </w:r>
      <w:r>
        <w:rPr>
          <w:highlight w:val="none"/>
          <w:u w:val="single"/>
        </w:rPr>
        <w:t xml:space="preserve"> </w:t>
      </w:r>
      <w:r>
        <w:rPr>
          <w:highlight w:val="none"/>
          <w:u w:val="single"/>
        </w:rPr>
        <w:tab/>
      </w:r>
      <w:r>
        <w:rPr>
          <w:highlight w:val="none"/>
        </w:rPr>
        <w:t>万元，资产总额为</w:t>
      </w:r>
      <w:r>
        <w:rPr>
          <w:highlight w:val="none"/>
          <w:u w:val="single"/>
        </w:rPr>
        <w:t xml:space="preserve"> </w:t>
      </w:r>
      <w:r>
        <w:rPr>
          <w:highlight w:val="none"/>
          <w:u w:val="single"/>
        </w:rPr>
        <w:tab/>
      </w:r>
      <w:r>
        <w:rPr>
          <w:highlight w:val="none"/>
        </w:rPr>
        <w:t>万元，属于</w:t>
      </w:r>
      <w:r>
        <w:rPr>
          <w:i/>
          <w:highlight w:val="none"/>
          <w:u w:val="single"/>
        </w:rPr>
        <w:t>（中型企业、小型企业、微型企业）</w:t>
      </w:r>
      <w:r>
        <w:rPr>
          <w:highlight w:val="none"/>
        </w:rPr>
        <w:t>；</w:t>
      </w:r>
    </w:p>
    <w:p>
      <w:pPr>
        <w:adjustRightInd w:val="0"/>
        <w:snapToGrid w:val="0"/>
        <w:spacing w:line="360" w:lineRule="auto"/>
        <w:ind w:firstLine="566" w:firstLineChars="236"/>
        <w:rPr>
          <w:highlight w:val="none"/>
        </w:rPr>
      </w:pPr>
    </w:p>
    <w:p>
      <w:pPr>
        <w:adjustRightInd w:val="0"/>
        <w:snapToGrid w:val="0"/>
        <w:spacing w:line="360" w:lineRule="auto"/>
        <w:ind w:firstLine="566" w:firstLineChars="236"/>
        <w:rPr>
          <w:highlight w:val="none"/>
        </w:rPr>
      </w:pPr>
      <w:r>
        <w:rPr>
          <w:highlight w:val="none"/>
        </w:rPr>
        <w:t>……</w:t>
      </w:r>
    </w:p>
    <w:p>
      <w:pPr>
        <w:adjustRightInd w:val="0"/>
        <w:snapToGrid w:val="0"/>
        <w:spacing w:line="360" w:lineRule="auto"/>
        <w:ind w:firstLine="566" w:firstLineChars="236"/>
        <w:rPr>
          <w:highlight w:val="none"/>
        </w:rPr>
      </w:pPr>
      <w:r>
        <w:rPr>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highlight w:val="none"/>
        </w:rPr>
      </w:pPr>
      <w:r>
        <w:rPr>
          <w:highlight w:val="none"/>
        </w:rPr>
        <w:t>本企业对上述声明内容的真实性负责。如有虚假，将依法承担相应责任。</w:t>
      </w:r>
    </w:p>
    <w:p>
      <w:pPr>
        <w:adjustRightInd w:val="0"/>
        <w:snapToGrid w:val="0"/>
        <w:spacing w:line="360" w:lineRule="auto"/>
        <w:ind w:firstLine="566" w:firstLineChars="236"/>
        <w:rPr>
          <w:highlight w:val="none"/>
        </w:rPr>
      </w:pPr>
      <w:r>
        <w:rPr>
          <w:highlight w:val="none"/>
        </w:rPr>
        <w:t>企业名称（盖章）：</w:t>
      </w:r>
    </w:p>
    <w:p>
      <w:pPr>
        <w:adjustRightInd w:val="0"/>
        <w:snapToGrid w:val="0"/>
        <w:spacing w:line="360" w:lineRule="auto"/>
        <w:ind w:firstLine="566" w:firstLineChars="236"/>
        <w:rPr>
          <w:highlight w:val="none"/>
        </w:rPr>
      </w:pPr>
      <w:r>
        <w:rPr>
          <w:highlight w:val="none"/>
        </w:rPr>
        <w:t>日期：</w:t>
      </w:r>
    </w:p>
    <w:p>
      <w:pPr>
        <w:adjustRightInd w:val="0"/>
        <w:snapToGrid w:val="0"/>
        <w:spacing w:line="360" w:lineRule="auto"/>
        <w:ind w:firstLine="566" w:firstLineChars="236"/>
        <w:rPr>
          <w:highlight w:val="none"/>
        </w:rPr>
      </w:pPr>
    </w:p>
    <w:p>
      <w:pPr>
        <w:adjustRightInd w:val="0"/>
        <w:snapToGrid w:val="0"/>
        <w:spacing w:line="360" w:lineRule="auto"/>
        <w:ind w:firstLine="495" w:firstLineChars="236"/>
        <w:rPr>
          <w:sz w:val="21"/>
          <w:szCs w:val="21"/>
          <w:highlight w:val="none"/>
        </w:rPr>
      </w:pPr>
      <w:r>
        <w:rPr>
          <w:rFonts w:hint="eastAsia"/>
          <w:sz w:val="21"/>
          <w:szCs w:val="21"/>
          <w:highlight w:val="none"/>
        </w:rPr>
        <w:t>注：</w:t>
      </w:r>
    </w:p>
    <w:p>
      <w:pPr>
        <w:adjustRightInd w:val="0"/>
        <w:snapToGrid w:val="0"/>
        <w:spacing w:line="360" w:lineRule="auto"/>
        <w:ind w:firstLine="495" w:firstLineChars="236"/>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sz w:val="21"/>
          <w:szCs w:val="21"/>
          <w:highlight w:val="none"/>
        </w:rPr>
      </w:pPr>
      <w:r>
        <w:rPr>
          <w:rFonts w:hint="eastAsia"/>
          <w:sz w:val="21"/>
          <w:szCs w:val="21"/>
          <w:highlight w:val="none"/>
        </w:rPr>
        <w:t>2</w:t>
      </w:r>
      <w:r>
        <w:rPr>
          <w:sz w:val="21"/>
          <w:szCs w:val="21"/>
          <w:highlight w:val="none"/>
        </w:rPr>
        <w:t>.</w:t>
      </w:r>
      <w:r>
        <w:rPr>
          <w:rFonts w:hint="eastAsia"/>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sz w:val="21"/>
          <w:szCs w:val="21"/>
          <w:highlight w:val="none"/>
        </w:rPr>
      </w:pPr>
      <w:r>
        <w:rPr>
          <w:sz w:val="21"/>
          <w:szCs w:val="21"/>
          <w:highlight w:val="none"/>
        </w:rPr>
        <w:t>3.</w:t>
      </w:r>
      <w:r>
        <w:rPr>
          <w:rFonts w:hint="eastAsia"/>
          <w:sz w:val="21"/>
          <w:szCs w:val="21"/>
          <w:highlight w:val="none"/>
        </w:rPr>
        <w:t>“中小企业声明函”填写不全的，视为未填报。</w:t>
      </w:r>
    </w:p>
    <w:p>
      <w:pPr>
        <w:adjustRightInd w:val="0"/>
        <w:snapToGrid w:val="0"/>
        <w:spacing w:line="360" w:lineRule="auto"/>
        <w:ind w:firstLine="495" w:firstLineChars="236"/>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cs="Times New Roman"/>
          <w:sz w:val="21"/>
          <w:szCs w:val="21"/>
          <w:highlight w:val="none"/>
        </w:rPr>
      </w:pPr>
      <w:r>
        <w:rPr>
          <w:rFonts w:hint="eastAsia" w:cs="Times New Roman"/>
          <w:sz w:val="21"/>
          <w:szCs w:val="21"/>
          <w:highlight w:val="none"/>
        </w:rPr>
        <w:t>5.本项目只以《中小企业声明函》作为评判供应商是否属于中小企业的唯一依据。</w:t>
      </w:r>
    </w:p>
    <w:p>
      <w:pPr>
        <w:adjustRightInd w:val="0"/>
        <w:snapToGrid w:val="0"/>
        <w:spacing w:line="360" w:lineRule="auto"/>
        <w:ind w:firstLine="495" w:firstLineChars="236"/>
        <w:rPr>
          <w:sz w:val="21"/>
          <w:szCs w:val="21"/>
          <w:highlight w:val="none"/>
        </w:rPr>
      </w:pPr>
      <w:r>
        <w:rPr>
          <w:rFonts w:hint="eastAsia"/>
          <w:sz w:val="21"/>
          <w:szCs w:val="21"/>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4</w:t>
      </w:r>
      <w:r>
        <w:rPr>
          <w:rFonts w:hint="eastAsia"/>
          <w:b/>
          <w:bCs/>
          <w:highlight w:val="none"/>
        </w:rPr>
        <w:t>）监狱企业资格证明材料</w:t>
      </w:r>
    </w:p>
    <w:p>
      <w:pPr>
        <w:adjustRightInd w:val="0"/>
        <w:snapToGrid w:val="0"/>
        <w:spacing w:line="360" w:lineRule="auto"/>
        <w:jc w:val="center"/>
        <w:rPr>
          <w:b/>
          <w:bCs/>
          <w:sz w:val="21"/>
          <w:szCs w:val="21"/>
          <w:highlight w:val="none"/>
        </w:rPr>
      </w:pPr>
      <w:r>
        <w:rPr>
          <w:rFonts w:hint="eastAsia"/>
          <w:b/>
          <w:bCs/>
          <w:sz w:val="21"/>
          <w:szCs w:val="21"/>
          <w:highlight w:val="none"/>
        </w:rPr>
        <w:t>省级以上监狱管理局、戒毒管理局（含新疆生产建设兵团）出具的属于监狱企业的证明文件</w:t>
      </w:r>
    </w:p>
    <w:p>
      <w:pPr>
        <w:rPr>
          <w:highlight w:val="none"/>
        </w:rPr>
      </w:pPr>
      <w:r>
        <w:rPr>
          <w:rFonts w:hint="eastAsia"/>
          <w:highlight w:val="none"/>
        </w:rPr>
        <w:br w:type="page"/>
      </w:r>
    </w:p>
    <w:p>
      <w:pPr>
        <w:spacing w:line="360" w:lineRule="auto"/>
        <w:jc w:val="center"/>
        <w:outlineLvl w:val="2"/>
        <w:rPr>
          <w:b/>
          <w:spacing w:val="-6"/>
          <w:highlight w:val="none"/>
        </w:rPr>
      </w:pPr>
      <w:bookmarkStart w:id="35" w:name="_Hlk79749649"/>
      <w:r>
        <w:rPr>
          <w:rFonts w:hint="eastAsia"/>
          <w:b/>
          <w:spacing w:val="-6"/>
          <w:highlight w:val="none"/>
        </w:rPr>
        <w:t>（5）残疾人福利性单位声明函</w:t>
      </w:r>
    </w:p>
    <w:bookmarkEnd w:id="35"/>
    <w:p>
      <w:pPr>
        <w:adjustRightInd w:val="0"/>
        <w:snapToGrid w:val="0"/>
        <w:spacing w:line="360" w:lineRule="auto"/>
        <w:rPr>
          <w:rFonts w:cs="Times New Roman"/>
          <w:highlight w:val="none"/>
        </w:rPr>
      </w:pPr>
    </w:p>
    <w:p>
      <w:pPr>
        <w:adjustRightInd w:val="0"/>
        <w:snapToGrid w:val="0"/>
        <w:spacing w:line="360" w:lineRule="auto"/>
        <w:ind w:firstLine="424" w:firstLineChars="177"/>
        <w:rPr>
          <w:rFonts w:cs="Times New Roman"/>
          <w:highlight w:val="none"/>
        </w:rPr>
      </w:pPr>
      <w:r>
        <w:rPr>
          <w:rFonts w:cs="Times New Roman"/>
          <w:highlight w:val="none"/>
        </w:rPr>
        <w:t>本公司（联合体）郑重声明，根据</w:t>
      </w:r>
      <w:r>
        <w:rPr>
          <w:rFonts w:hint="eastAsia" w:cs="Times New Roman"/>
          <w:spacing w:val="6"/>
          <w:highlight w:val="none"/>
        </w:rPr>
        <w:t>《财政部 民政部 中国残疾人联合会关于促进残疾人就业政府采购政策的通知》（财库</w:t>
      </w:r>
      <w:r>
        <w:rPr>
          <w:rFonts w:hint="eastAsia" w:cs="Times New Roman"/>
          <w:highlight w:val="none"/>
        </w:rPr>
        <w:t>[2017]141</w:t>
      </w:r>
      <w:r>
        <w:rPr>
          <w:rFonts w:hint="eastAsia" w:cs="Times New Roman"/>
          <w:spacing w:val="6"/>
          <w:highlight w:val="none"/>
        </w:rPr>
        <w:t>号）的规定</w:t>
      </w:r>
      <w:r>
        <w:rPr>
          <w:rFonts w:cs="Times New Roman"/>
          <w:highlight w:val="none"/>
        </w:rPr>
        <w:t>，本公司）参加</w:t>
      </w:r>
      <w:r>
        <w:rPr>
          <w:rFonts w:cs="Times New Roman"/>
          <w:i/>
          <w:highlight w:val="none"/>
          <w:u w:val="single"/>
        </w:rPr>
        <w:t>（单位名称）</w:t>
      </w:r>
      <w:r>
        <w:rPr>
          <w:rFonts w:cs="Times New Roman"/>
          <w:highlight w:val="none"/>
        </w:rPr>
        <w:t>的</w:t>
      </w:r>
      <w:r>
        <w:rPr>
          <w:rFonts w:cs="Times New Roman"/>
          <w:i/>
          <w:highlight w:val="none"/>
          <w:u w:val="single"/>
        </w:rPr>
        <w:t>（项目名称）</w:t>
      </w:r>
      <w:r>
        <w:rPr>
          <w:rFonts w:cs="Times New Roman"/>
          <w:highlight w:val="none"/>
        </w:rPr>
        <w:t>采购活动，提供的</w:t>
      </w:r>
      <w:r>
        <w:rPr>
          <w:rFonts w:hint="eastAsia" w:cs="Times New Roman"/>
          <w:highlight w:val="none"/>
        </w:rPr>
        <w:t>服务</w:t>
      </w:r>
      <w:r>
        <w:rPr>
          <w:rFonts w:cs="Times New Roman"/>
          <w:highlight w:val="none"/>
        </w:rPr>
        <w:t>全部由</w:t>
      </w:r>
      <w:r>
        <w:rPr>
          <w:rFonts w:hint="eastAsia" w:cs="Times New Roman"/>
          <w:highlight w:val="none"/>
        </w:rPr>
        <w:t>残疾人福利性单位承接</w:t>
      </w:r>
      <w:r>
        <w:rPr>
          <w:rFonts w:cs="Times New Roman"/>
          <w:highlight w:val="none"/>
        </w:rPr>
        <w:t>。相关企业的具体情况如下：</w:t>
      </w:r>
    </w:p>
    <w:p>
      <w:pPr>
        <w:spacing w:line="360" w:lineRule="auto"/>
        <w:ind w:firstLine="424" w:firstLineChars="177"/>
        <w:rPr>
          <w:rFonts w:cs="Times New Roman"/>
          <w:spacing w:val="6"/>
          <w:highlight w:val="none"/>
        </w:rPr>
      </w:pPr>
      <w:r>
        <w:rPr>
          <w:rFonts w:cs="Times New Roman"/>
          <w:i/>
          <w:highlight w:val="none"/>
          <w:u w:val="single"/>
        </w:rPr>
        <w:t>1. （标的名称）</w:t>
      </w:r>
      <w:r>
        <w:rPr>
          <w:rFonts w:cs="Times New Roman"/>
          <w:i/>
          <w:highlight w:val="none"/>
        </w:rPr>
        <w:t xml:space="preserve"> </w:t>
      </w:r>
      <w:r>
        <w:rPr>
          <w:rFonts w:cs="Times New Roman"/>
          <w:highlight w:val="none"/>
        </w:rPr>
        <w:t>，（承接企业）</w:t>
      </w:r>
      <w:r>
        <w:rPr>
          <w:rFonts w:cs="Times New Roman"/>
          <w:i/>
          <w:highlight w:val="none"/>
          <w:u w:val="single"/>
        </w:rPr>
        <w:t>（企业名称）</w:t>
      </w:r>
      <w:r>
        <w:rPr>
          <w:rFonts w:hint="eastAsia" w:cs="Times New Roman"/>
          <w:highlight w:val="none"/>
        </w:rPr>
        <w:t>，</w:t>
      </w:r>
      <w:r>
        <w:rPr>
          <w:rFonts w:cs="Times New Roman"/>
          <w:highlight w:val="none"/>
        </w:rPr>
        <w:t>属于</w:t>
      </w:r>
      <w:r>
        <w:rPr>
          <w:rFonts w:hint="eastAsia" w:cs="Times New Roman"/>
          <w:highlight w:val="none"/>
          <w:u w:val="single"/>
        </w:rPr>
        <w:t>残疾人福利性单位。</w:t>
      </w:r>
    </w:p>
    <w:p>
      <w:pPr>
        <w:spacing w:line="360" w:lineRule="auto"/>
        <w:ind w:firstLine="446" w:firstLineChars="177"/>
        <w:rPr>
          <w:rFonts w:cs="Times New Roman"/>
          <w:spacing w:val="6"/>
          <w:highlight w:val="none"/>
        </w:rPr>
      </w:pPr>
      <w:r>
        <w:rPr>
          <w:rFonts w:hint="eastAsia" w:cs="Times New Roman"/>
          <w:spacing w:val="6"/>
          <w:highlight w:val="none"/>
        </w:rPr>
        <w:t>本单位对上述声明的真实性负责。如有虚假，将依法承担相应责任。</w:t>
      </w:r>
    </w:p>
    <w:p>
      <w:pPr>
        <w:spacing w:line="360" w:lineRule="auto"/>
        <w:rPr>
          <w:rFonts w:cs="Times New Roman"/>
          <w:spacing w:val="-6"/>
          <w:highlight w:val="none"/>
        </w:rPr>
      </w:pPr>
    </w:p>
    <w:p>
      <w:pPr>
        <w:spacing w:line="360" w:lineRule="auto"/>
        <w:rPr>
          <w:rFonts w:cs="Times New Roman"/>
          <w:b/>
          <w:bCs/>
          <w:spacing w:val="-6"/>
          <w:highlight w:val="none"/>
        </w:rPr>
      </w:pPr>
      <w:r>
        <w:rPr>
          <w:rFonts w:hint="eastAsia" w:cs="Times New Roman"/>
          <w:b/>
          <w:bCs/>
          <w:spacing w:val="-6"/>
          <w:highlight w:val="none"/>
        </w:rPr>
        <w:t>供应商名称（盖章）</w:t>
      </w:r>
    </w:p>
    <w:p>
      <w:pPr>
        <w:spacing w:line="360" w:lineRule="auto"/>
        <w:rPr>
          <w:rFonts w:cs="Times New Roman"/>
          <w:b/>
          <w:bCs/>
          <w:spacing w:val="-6"/>
          <w:highlight w:val="none"/>
        </w:rPr>
      </w:pPr>
      <w:r>
        <w:rPr>
          <w:rFonts w:hint="eastAsia" w:cs="Times New Roman"/>
          <w:b/>
          <w:bCs/>
          <w:spacing w:val="-6"/>
          <w:highlight w:val="none"/>
        </w:rPr>
        <w:t>供应商代表签字：</w:t>
      </w:r>
    </w:p>
    <w:p>
      <w:pPr>
        <w:spacing w:line="360" w:lineRule="auto"/>
        <w:jc w:val="left"/>
        <w:rPr>
          <w:rFonts w:cs="Times New Roman"/>
          <w:b/>
          <w:bCs/>
          <w:sz w:val="21"/>
          <w:szCs w:val="21"/>
          <w:highlight w:val="none"/>
        </w:rPr>
      </w:pPr>
      <w:r>
        <w:rPr>
          <w:rFonts w:hint="eastAsia" w:cs="Times New Roman"/>
          <w:b/>
          <w:bCs/>
          <w:spacing w:val="-6"/>
          <w:highlight w:val="none"/>
        </w:rPr>
        <w:t>日期：     年   月   日</w:t>
      </w:r>
    </w:p>
    <w:p>
      <w:pPr>
        <w:spacing w:line="360" w:lineRule="auto"/>
        <w:rPr>
          <w:rFonts w:cs="Times New Roman"/>
          <w:b/>
          <w:bCs/>
          <w:sz w:val="21"/>
          <w:szCs w:val="21"/>
          <w:highlight w:val="none"/>
        </w:rPr>
      </w:pPr>
    </w:p>
    <w:p>
      <w:pPr>
        <w:spacing w:line="360" w:lineRule="auto"/>
        <w:rPr>
          <w:rFonts w:cs="Times New Roman"/>
          <w:b/>
          <w:bCs/>
          <w:sz w:val="21"/>
          <w:szCs w:val="21"/>
          <w:highlight w:val="none"/>
        </w:rPr>
      </w:pPr>
      <w:r>
        <w:rPr>
          <w:rFonts w:hint="eastAsia" w:cs="Times New Roman"/>
          <w:b/>
          <w:bCs/>
          <w:sz w:val="21"/>
          <w:szCs w:val="21"/>
          <w:highlight w:val="none"/>
        </w:rPr>
        <w:t>说明</w:t>
      </w:r>
      <w:r>
        <w:rPr>
          <w:rFonts w:cs="Times New Roman"/>
          <w:b/>
          <w:bCs/>
          <w:sz w:val="21"/>
          <w:szCs w:val="21"/>
          <w:highlight w:val="none"/>
        </w:rPr>
        <w:t>：</w:t>
      </w:r>
    </w:p>
    <w:p>
      <w:pPr>
        <w:ind w:firstLine="420" w:firstLineChars="200"/>
        <w:jc w:val="left"/>
        <w:rPr>
          <w:rFonts w:cs="Times New Roman"/>
          <w:spacing w:val="6"/>
          <w:sz w:val="21"/>
          <w:szCs w:val="21"/>
          <w:highlight w:val="none"/>
        </w:rPr>
      </w:pPr>
      <w:r>
        <w:rPr>
          <w:rFonts w:hint="eastAsia" w:cs="Times New Roman"/>
          <w:bCs/>
          <w:sz w:val="21"/>
          <w:szCs w:val="21"/>
          <w:highlight w:val="none"/>
        </w:rPr>
        <w:t>1</w:t>
      </w:r>
      <w:r>
        <w:rPr>
          <w:rFonts w:cs="Times New Roman"/>
          <w:bCs/>
          <w:sz w:val="21"/>
          <w:szCs w:val="21"/>
          <w:highlight w:val="none"/>
        </w:rPr>
        <w:t>.</w:t>
      </w:r>
      <w:r>
        <w:rPr>
          <w:rFonts w:hint="eastAsia" w:cs="Times New Roman"/>
          <w:spacing w:val="6"/>
          <w:sz w:val="21"/>
          <w:szCs w:val="21"/>
          <w:highlight w:val="none"/>
        </w:rPr>
        <w:t>若承接企业同时满足以下条件，则属于依法享受政府采购支持政策的残疾人福利性单位，可提供《残疾人福利性单位声明函》，并对声明的真实性负责：</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（一）安置的残疾人占本单位在职职工人数的比例不低于25%（含25%），并且安置的残疾人人数不少于10人（含10人）；</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（二）依法与安置的每位残疾人签订了一年以上（含一年）的劳动合同或服务协议；</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420" w:firstLineChars="200"/>
        <w:jc w:val="left"/>
        <w:rPr>
          <w:rFonts w:cs="Times New Roman"/>
          <w:bCs/>
          <w:sz w:val="21"/>
          <w:szCs w:val="21"/>
          <w:highlight w:val="none"/>
        </w:rPr>
      </w:pPr>
      <w:r>
        <w:rPr>
          <w:rFonts w:hint="eastAsia" w:cs="Times New Roman"/>
          <w:bCs/>
          <w:sz w:val="21"/>
          <w:szCs w:val="21"/>
          <w:highlight w:val="none"/>
        </w:rPr>
        <w:t>2.供应商提供服务为残疾人福利性单位承接的，《残疾人福利性单位声明函》随中标（成交）结果同时公告，接受社会监督。</w:t>
      </w:r>
    </w:p>
    <w:p>
      <w:pPr>
        <w:widowControl/>
        <w:shd w:val="clear" w:color="auto" w:fill="FFFFFF"/>
        <w:ind w:firstLine="446" w:firstLineChars="200"/>
        <w:jc w:val="left"/>
        <w:rPr>
          <w:rFonts w:cs="Times New Roman"/>
          <w:b/>
          <w:bCs/>
          <w:spacing w:val="6"/>
          <w:sz w:val="21"/>
          <w:szCs w:val="21"/>
          <w:highlight w:val="none"/>
        </w:rPr>
      </w:pPr>
      <w:r>
        <w:rPr>
          <w:rFonts w:hint="eastAsia" w:cs="Times New Roman"/>
          <w:b/>
          <w:bCs/>
          <w:spacing w:val="6"/>
          <w:sz w:val="21"/>
          <w:szCs w:val="21"/>
          <w:highlight w:val="none"/>
        </w:rPr>
        <w:t>供应商提供服务不是残疾人福利性单位承接的，无需提供此声明函，如提供所引起的后果由供应商承担。</w:t>
      </w:r>
    </w:p>
    <w:p>
      <w:pPr>
        <w:widowControl/>
        <w:jc w:val="left"/>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outlineLvl w:val="1"/>
        <w:rPr>
          <w:b/>
          <w:bCs/>
          <w:sz w:val="84"/>
          <w:szCs w:val="84"/>
          <w:highlight w:val="none"/>
        </w:rPr>
      </w:pPr>
      <w:r>
        <w:rPr>
          <w:rFonts w:hint="eastAsia"/>
          <w:b/>
          <w:bCs/>
          <w:sz w:val="84"/>
          <w:szCs w:val="84"/>
          <w:highlight w:val="none"/>
        </w:rPr>
        <w:t>报价文件</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（1）初次报价一览表</w:t>
      </w:r>
    </w:p>
    <w:p>
      <w:pPr>
        <w:adjustRightInd w:val="0"/>
        <w:snapToGrid w:val="0"/>
        <w:spacing w:line="360" w:lineRule="auto"/>
        <w:rPr>
          <w:highlight w:val="none"/>
        </w:rPr>
      </w:pPr>
      <w:r>
        <w:rPr>
          <w:rFonts w:hint="eastAsia"/>
          <w:highlight w:val="none"/>
        </w:rPr>
        <w:t>采 购 人：中国美术学院</w:t>
      </w:r>
    </w:p>
    <w:p>
      <w:pPr>
        <w:adjustRightInd w:val="0"/>
        <w:snapToGrid w:val="0"/>
        <w:spacing w:line="360" w:lineRule="auto"/>
        <w:rPr>
          <w:highlight w:val="none"/>
        </w:rPr>
      </w:pPr>
      <w:r>
        <w:rPr>
          <w:rFonts w:hint="eastAsia"/>
          <w:highlight w:val="none"/>
        </w:rPr>
        <w:t xml:space="preserve">项目名称：招生系统平台信息化服务  </w:t>
      </w:r>
    </w:p>
    <w:p>
      <w:pPr>
        <w:adjustRightInd w:val="0"/>
        <w:snapToGrid w:val="0"/>
        <w:spacing w:line="360" w:lineRule="auto"/>
        <w:rPr>
          <w:highlight w:val="none"/>
        </w:rPr>
      </w:pPr>
      <w:r>
        <w:rPr>
          <w:rFonts w:hint="eastAsia"/>
          <w:highlight w:val="none"/>
        </w:rPr>
        <w:t xml:space="preserve">项目编号：QSZB-Z(F)-H21265(CS)    </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jc w:val="center"/>
              <w:rPr>
                <w:highlight w:val="none"/>
              </w:rPr>
            </w:pPr>
            <w:r>
              <w:rPr>
                <w:rFonts w:hint="eastAsia"/>
                <w:b/>
                <w:bCs/>
                <w:highlight w:val="none"/>
              </w:rPr>
              <w:t>磋商响应总价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rPr>
                <w:highlight w:val="none"/>
              </w:rPr>
            </w:pPr>
          </w:p>
          <w:p>
            <w:pPr>
              <w:adjustRightInd w:val="0"/>
              <w:snapToGrid w:val="0"/>
              <w:rPr>
                <w:b/>
                <w:bCs/>
                <w:highlight w:val="none"/>
              </w:rPr>
            </w:pPr>
            <w:r>
              <w:rPr>
                <w:rFonts w:hint="eastAsia"/>
                <w:b/>
                <w:bCs/>
                <w:highlight w:val="none"/>
              </w:rPr>
              <w:t>金额大写：______________________________小写：______________________________</w:t>
            </w:r>
          </w:p>
          <w:p>
            <w:pPr>
              <w:adjustRightInd w:val="0"/>
              <w:snapToGrid w:val="0"/>
              <w:rPr>
                <w:highlight w:val="none"/>
              </w:rPr>
            </w:pPr>
          </w:p>
          <w:p>
            <w:pPr>
              <w:adjustRightInd w:val="0"/>
              <w:snapToGrid w:val="0"/>
              <w:rPr>
                <w:highlight w:val="none"/>
              </w:rPr>
            </w:pPr>
            <w:r>
              <w:rPr>
                <w:rFonts w:hint="eastAsia"/>
                <w:b/>
                <w:bCs/>
                <w:highlight w:val="none"/>
              </w:rPr>
              <w:t>单位：人民币元</w:t>
            </w: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说明：磋商响应总价是履行合同的最终价格，应包括履行所有规定服务所产生的全部税、费。</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numPr>
          <w:ilvl w:val="0"/>
          <w:numId w:val="4"/>
        </w:numPr>
        <w:adjustRightInd w:val="0"/>
        <w:snapToGrid w:val="0"/>
        <w:spacing w:line="360" w:lineRule="auto"/>
        <w:jc w:val="center"/>
        <w:outlineLvl w:val="2"/>
        <w:rPr>
          <w:b/>
          <w:bCs/>
          <w:highlight w:val="none"/>
        </w:rPr>
      </w:pPr>
      <w:r>
        <w:rPr>
          <w:rFonts w:hint="eastAsia"/>
          <w:b/>
          <w:bCs/>
          <w:highlight w:val="none"/>
        </w:rPr>
        <w:t>初次报价明细表</w:t>
      </w:r>
    </w:p>
    <w:p>
      <w:pPr>
        <w:adjustRightInd w:val="0"/>
        <w:snapToGrid w:val="0"/>
        <w:spacing w:line="360" w:lineRule="auto"/>
        <w:jc w:val="right"/>
        <w:rPr>
          <w:b/>
          <w:bCs/>
          <w:sz w:val="21"/>
          <w:szCs w:val="21"/>
          <w:highlight w:val="none"/>
        </w:rPr>
      </w:pPr>
      <w:r>
        <w:rPr>
          <w:rFonts w:hint="eastAsia"/>
          <w:b/>
          <w:bCs/>
          <w:sz w:val="21"/>
          <w:szCs w:val="21"/>
          <w:highlight w:val="none"/>
        </w:rPr>
        <w:t>金额单位：人民币元</w:t>
      </w:r>
    </w:p>
    <w:tbl>
      <w:tblPr>
        <w:tblStyle w:val="17"/>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89"/>
        <w:gridCol w:w="1202"/>
        <w:gridCol w:w="1202"/>
        <w:gridCol w:w="1202"/>
        <w:gridCol w:w="1202"/>
        <w:gridCol w:w="1202"/>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b/>
                <w:bCs/>
                <w:sz w:val="21"/>
                <w:szCs w:val="21"/>
                <w:highlight w:val="none"/>
              </w:rPr>
            </w:pPr>
            <w:r>
              <w:rPr>
                <w:rFonts w:hint="eastAsia"/>
                <w:b/>
                <w:bCs/>
                <w:sz w:val="21"/>
                <w:szCs w:val="21"/>
                <w:highlight w:val="none"/>
              </w:rPr>
              <w:t>序号</w:t>
            </w:r>
          </w:p>
        </w:tc>
        <w:tc>
          <w:tcPr>
            <w:tcW w:w="1589" w:type="dxa"/>
            <w:vAlign w:val="center"/>
          </w:tcPr>
          <w:p>
            <w:pPr>
              <w:adjustRightInd w:val="0"/>
              <w:snapToGrid w:val="0"/>
              <w:jc w:val="center"/>
              <w:rPr>
                <w:b/>
                <w:bCs/>
                <w:sz w:val="21"/>
                <w:szCs w:val="21"/>
                <w:highlight w:val="none"/>
              </w:rPr>
            </w:pPr>
            <w:r>
              <w:rPr>
                <w:rFonts w:hint="eastAsia"/>
                <w:b/>
                <w:bCs/>
                <w:sz w:val="21"/>
                <w:szCs w:val="21"/>
                <w:highlight w:val="none"/>
              </w:rPr>
              <w:t>货物名称</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品牌</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规格型号</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产地</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数量</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单价</w:t>
            </w:r>
          </w:p>
        </w:tc>
        <w:tc>
          <w:tcPr>
            <w:tcW w:w="1207" w:type="dxa"/>
            <w:vAlign w:val="center"/>
          </w:tcPr>
          <w:p>
            <w:pPr>
              <w:adjustRightInd w:val="0"/>
              <w:snapToGrid w:val="0"/>
              <w:jc w:val="center"/>
              <w:rPr>
                <w:b/>
                <w:bCs/>
                <w:sz w:val="21"/>
                <w:szCs w:val="21"/>
                <w:highlight w:val="none"/>
              </w:rPr>
            </w:pPr>
            <w:r>
              <w:rPr>
                <w:rFonts w:hint="eastAsia"/>
                <w:b/>
                <w:bCs/>
                <w:sz w:val="21"/>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8" w:type="dxa"/>
            <w:gridSpan w:val="8"/>
            <w:vAlign w:val="center"/>
          </w:tcPr>
          <w:p>
            <w:pPr>
              <w:adjustRightInd w:val="0"/>
              <w:snapToGrid w:val="0"/>
              <w:rPr>
                <w:sz w:val="21"/>
                <w:szCs w:val="21"/>
                <w:highlight w:val="none"/>
              </w:rPr>
            </w:pPr>
            <w:r>
              <w:rPr>
                <w:rFonts w:hint="eastAsia"/>
                <w:b/>
                <w:bCs/>
                <w:sz w:val="21"/>
                <w:szCs w:val="21"/>
                <w:highlight w:val="none"/>
              </w:rPr>
              <w:t>磋商响应总价：</w:t>
            </w:r>
          </w:p>
        </w:tc>
      </w:tr>
    </w:tbl>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outlineLvl w:val="1"/>
        <w:rPr>
          <w:b/>
          <w:bCs/>
          <w:sz w:val="84"/>
          <w:szCs w:val="84"/>
          <w:highlight w:val="none"/>
        </w:rPr>
      </w:pPr>
      <w:r>
        <w:rPr>
          <w:rFonts w:hint="eastAsia"/>
          <w:b/>
          <w:bCs/>
          <w:sz w:val="84"/>
          <w:szCs w:val="84"/>
          <w:highlight w:val="none"/>
        </w:rPr>
        <w:t>商务和技术文件</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（1）响应函</w:t>
      </w:r>
    </w:p>
    <w:p>
      <w:pPr>
        <w:adjustRightInd w:val="0"/>
        <w:snapToGrid w:val="0"/>
        <w:spacing w:line="360" w:lineRule="auto"/>
        <w:rPr>
          <w:highlight w:val="none"/>
        </w:rPr>
      </w:pPr>
      <w:r>
        <w:rPr>
          <w:rFonts w:hint="eastAsia"/>
          <w:highlight w:val="none"/>
        </w:rPr>
        <w:t>致：浙江求是招标代理有限公司</w:t>
      </w:r>
    </w:p>
    <w:p>
      <w:pPr>
        <w:adjustRightInd w:val="0"/>
        <w:snapToGrid w:val="0"/>
        <w:spacing w:line="360" w:lineRule="auto"/>
        <w:ind w:firstLine="480" w:firstLineChars="200"/>
        <w:rPr>
          <w:highlight w:val="none"/>
        </w:rPr>
      </w:pPr>
      <w:r>
        <w:rPr>
          <w:rFonts w:hint="eastAsia"/>
          <w:highlight w:val="none"/>
        </w:rPr>
        <w:t>根据贵方为中国美术学院招生系统平台信息化服务  的采购邀请【项目编号：QSZB-Z(F)-H21265(CS)    】，签字代表__________（全名）经正式授权并代表供应商____________________（供应商名称）提交电子加密响应文件一份、以介质（U盘）存储的数据电文形式的备份响应文件____份。</w:t>
      </w:r>
    </w:p>
    <w:p>
      <w:pPr>
        <w:adjustRightInd w:val="0"/>
        <w:snapToGrid w:val="0"/>
        <w:spacing w:line="360" w:lineRule="auto"/>
        <w:ind w:firstLine="480" w:firstLineChars="200"/>
        <w:rPr>
          <w:highlight w:val="none"/>
        </w:rPr>
      </w:pPr>
      <w:r>
        <w:rPr>
          <w:rFonts w:hint="eastAsia"/>
          <w:highlight w:val="none"/>
        </w:rPr>
        <w:t>据此函，签字代表宣布同意如下：</w:t>
      </w:r>
    </w:p>
    <w:p>
      <w:pPr>
        <w:adjustRightInd w:val="0"/>
        <w:snapToGrid w:val="0"/>
        <w:spacing w:line="360" w:lineRule="auto"/>
        <w:ind w:firstLine="480" w:firstLineChars="200"/>
        <w:rPr>
          <w:highlight w:val="none"/>
        </w:rPr>
      </w:pPr>
      <w:r>
        <w:rPr>
          <w:rFonts w:hint="eastAsia"/>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360" w:lineRule="auto"/>
        <w:ind w:firstLine="480" w:firstLineChars="200"/>
        <w:rPr>
          <w:highlight w:val="none"/>
        </w:rPr>
      </w:pPr>
      <w:r>
        <w:rPr>
          <w:rFonts w:hint="eastAsia"/>
          <w:highlight w:val="none"/>
        </w:rPr>
        <w:t>2.我方在磋商响应之前已经与贵方进行了充分的沟通，完全理解并接受磋商文件的各项规定和要求，对磋商文件的合理性、合法性不再有异议。</w:t>
      </w:r>
    </w:p>
    <w:p>
      <w:pPr>
        <w:adjustRightInd w:val="0"/>
        <w:snapToGrid w:val="0"/>
        <w:spacing w:line="360" w:lineRule="auto"/>
        <w:ind w:firstLine="480" w:firstLineChars="200"/>
        <w:rPr>
          <w:highlight w:val="none"/>
        </w:rPr>
      </w:pPr>
      <w:r>
        <w:rPr>
          <w:rFonts w:hint="eastAsia"/>
          <w:highlight w:val="none"/>
        </w:rPr>
        <w:t>3.响应有效期自提交响应文件的截止之日起</w:t>
      </w:r>
      <w:r>
        <w:rPr>
          <w:rFonts w:hint="eastAsia"/>
          <w:highlight w:val="none"/>
          <w:u w:val="single"/>
        </w:rPr>
        <w:t>90</w:t>
      </w:r>
      <w:r>
        <w:rPr>
          <w:rFonts w:hint="eastAsia"/>
          <w:highlight w:val="none"/>
        </w:rPr>
        <w:t>天。</w:t>
      </w:r>
    </w:p>
    <w:p>
      <w:pPr>
        <w:adjustRightInd w:val="0"/>
        <w:snapToGrid w:val="0"/>
        <w:spacing w:line="360" w:lineRule="auto"/>
        <w:ind w:firstLine="480" w:firstLineChars="200"/>
        <w:rPr>
          <w:highlight w:val="none"/>
        </w:rPr>
      </w:pPr>
      <w:r>
        <w:rPr>
          <w:rFonts w:hint="eastAsia"/>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360" w:lineRule="auto"/>
        <w:ind w:firstLine="480" w:firstLineChars="200"/>
        <w:rPr>
          <w:highlight w:val="none"/>
        </w:rPr>
      </w:pPr>
      <w:r>
        <w:rPr>
          <w:rFonts w:hint="eastAsia"/>
          <w:highlight w:val="none"/>
        </w:rPr>
        <w:t>5.我方同意按照贵方要求提供与磋商有关的一切数据或资料。</w:t>
      </w:r>
    </w:p>
    <w:p>
      <w:pPr>
        <w:adjustRightInd w:val="0"/>
        <w:snapToGrid w:val="0"/>
        <w:spacing w:line="360" w:lineRule="auto"/>
        <w:ind w:firstLine="480" w:firstLineChars="200"/>
        <w:rPr>
          <w:highlight w:val="none"/>
        </w:rPr>
      </w:pPr>
      <w:r>
        <w:rPr>
          <w:rFonts w:hint="eastAsia"/>
          <w:highlight w:val="none"/>
        </w:rPr>
        <w:t>6.与本磋商有关的一切正式往来信函请寄：</w:t>
      </w:r>
    </w:p>
    <w:p>
      <w:pPr>
        <w:adjustRightInd w:val="0"/>
        <w:snapToGrid w:val="0"/>
        <w:spacing w:line="360" w:lineRule="auto"/>
        <w:ind w:firstLine="480" w:firstLineChars="200"/>
        <w:rPr>
          <w:highlight w:val="none"/>
        </w:rPr>
      </w:pPr>
      <w:r>
        <w:rPr>
          <w:rFonts w:hint="eastAsia"/>
          <w:highlight w:val="none"/>
        </w:rPr>
        <w:t>地址：______________________________邮编：_________________________</w:t>
      </w:r>
    </w:p>
    <w:p>
      <w:pPr>
        <w:adjustRightInd w:val="0"/>
        <w:snapToGrid w:val="0"/>
        <w:spacing w:line="360" w:lineRule="auto"/>
        <w:ind w:firstLine="480" w:firstLineChars="200"/>
        <w:rPr>
          <w:highlight w:val="none"/>
        </w:rPr>
      </w:pPr>
      <w:r>
        <w:rPr>
          <w:rFonts w:hint="eastAsia"/>
          <w:highlight w:val="none"/>
        </w:rPr>
        <w:t>电话：______________________________传真：_________________________</w:t>
      </w:r>
    </w:p>
    <w:p>
      <w:pPr>
        <w:adjustRightInd w:val="0"/>
        <w:snapToGrid w:val="0"/>
        <w:spacing w:line="360" w:lineRule="auto"/>
        <w:ind w:firstLine="480" w:firstLineChars="200"/>
        <w:rPr>
          <w:highlight w:val="none"/>
        </w:rPr>
      </w:pPr>
      <w:r>
        <w:rPr>
          <w:rFonts w:hint="eastAsia"/>
          <w:highlight w:val="none"/>
        </w:rPr>
        <w:t>供应商代表姓名：____________________职务：_________________________</w:t>
      </w:r>
    </w:p>
    <w:p>
      <w:pPr>
        <w:adjustRightInd w:val="0"/>
        <w:snapToGrid w:val="0"/>
        <w:spacing w:line="360" w:lineRule="auto"/>
        <w:ind w:firstLine="480" w:firstLineChars="200"/>
        <w:rPr>
          <w:highlight w:val="none"/>
        </w:rPr>
      </w:pPr>
      <w:r>
        <w:rPr>
          <w:rFonts w:hint="eastAsia"/>
          <w:highlight w:val="none"/>
        </w:rPr>
        <w:t>开户银行：__________________________</w:t>
      </w:r>
    </w:p>
    <w:p>
      <w:pPr>
        <w:adjustRightInd w:val="0"/>
        <w:snapToGrid w:val="0"/>
        <w:spacing w:line="360" w:lineRule="auto"/>
        <w:ind w:firstLine="480" w:firstLineChars="200"/>
        <w:rPr>
          <w:highlight w:val="none"/>
        </w:rPr>
      </w:pPr>
      <w:r>
        <w:rPr>
          <w:rFonts w:hint="eastAsia"/>
          <w:highlight w:val="none"/>
        </w:rPr>
        <w:t>银行账号：__________________________</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widowControl/>
        <w:jc w:val="left"/>
        <w:rPr>
          <w:highlight w:val="none"/>
        </w:rPr>
      </w:pPr>
      <w:r>
        <w:rPr>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2</w:t>
      </w:r>
      <w:r>
        <w:rPr>
          <w:rFonts w:hint="eastAsia"/>
          <w:b/>
          <w:bCs/>
          <w:highlight w:val="none"/>
        </w:rPr>
        <w:t>）响应声明书</w:t>
      </w:r>
    </w:p>
    <w:p>
      <w:pPr>
        <w:adjustRightInd w:val="0"/>
        <w:snapToGrid w:val="0"/>
        <w:spacing w:line="360" w:lineRule="auto"/>
        <w:rPr>
          <w:highlight w:val="none"/>
        </w:rPr>
      </w:pPr>
      <w:r>
        <w:rPr>
          <w:rFonts w:hint="eastAsia"/>
          <w:highlight w:val="none"/>
        </w:rPr>
        <w:t>致：浙江求是招标代理有限公司</w:t>
      </w:r>
    </w:p>
    <w:p>
      <w:pPr>
        <w:adjustRightInd w:val="0"/>
        <w:snapToGrid w:val="0"/>
        <w:spacing w:line="360" w:lineRule="auto"/>
        <w:ind w:firstLine="480" w:firstLineChars="200"/>
        <w:rPr>
          <w:highlight w:val="none"/>
        </w:rPr>
      </w:pPr>
      <w:r>
        <w:rPr>
          <w:rFonts w:hint="eastAsia"/>
          <w:highlight w:val="none"/>
        </w:rPr>
        <w:t>____________________（供应商名称）系中华人民共和国合法企业，经营地址____________________。</w:t>
      </w:r>
    </w:p>
    <w:p>
      <w:pPr>
        <w:adjustRightInd w:val="0"/>
        <w:snapToGrid w:val="0"/>
        <w:spacing w:line="360" w:lineRule="auto"/>
        <w:ind w:firstLine="480" w:firstLineChars="200"/>
        <w:rPr>
          <w:highlight w:val="none"/>
        </w:rPr>
      </w:pPr>
      <w:r>
        <w:rPr>
          <w:rFonts w:hint="eastAsia"/>
          <w:highlight w:val="none"/>
        </w:rPr>
        <w:t>我方愿意参加贵方组织的中国美术学院招生系统平台信息化服务  的磋商响应，为便于贵方公正、择优地确定成交供应商及其产品和服务，我方就本次磋商有关事项郑重声明如下：</w:t>
      </w:r>
    </w:p>
    <w:p>
      <w:pPr>
        <w:adjustRightInd w:val="0"/>
        <w:snapToGrid w:val="0"/>
        <w:spacing w:line="360" w:lineRule="auto"/>
        <w:ind w:firstLine="480" w:firstLineChars="200"/>
        <w:rPr>
          <w:highlight w:val="none"/>
        </w:rPr>
      </w:pPr>
      <w:r>
        <w:rPr>
          <w:rFonts w:hint="eastAsia"/>
          <w:highlight w:val="none"/>
        </w:rPr>
        <w:t>1.我方向贵方提交的所有响应文件、资料都是准确的和真实的；</w:t>
      </w:r>
    </w:p>
    <w:p>
      <w:pPr>
        <w:adjustRightInd w:val="0"/>
        <w:snapToGrid w:val="0"/>
        <w:spacing w:line="360" w:lineRule="auto"/>
        <w:ind w:firstLine="480" w:firstLineChars="200"/>
        <w:rPr>
          <w:highlight w:val="none"/>
        </w:rPr>
      </w:pPr>
      <w:r>
        <w:rPr>
          <w:rFonts w:hint="eastAsia"/>
          <w:highlight w:val="none"/>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highlight w:val="none"/>
        </w:rPr>
      </w:pPr>
      <w:r>
        <w:rPr>
          <w:rFonts w:hint="eastAsia"/>
          <w:highlight w:val="none"/>
        </w:rPr>
        <w:t>3.我方在参加政府采购活动前3年内：__________</w:t>
      </w:r>
      <w:r>
        <w:rPr>
          <w:rFonts w:hint="eastAsia"/>
          <w:b/>
          <w:bCs/>
          <w:highlight w:val="none"/>
        </w:rPr>
        <w:t>（填写“有”或“没有”，如实填写，如不填写视同未按要求填写）</w:t>
      </w:r>
      <w:r>
        <w:rPr>
          <w:rFonts w:hint="eastAsia"/>
          <w:highlight w:val="none"/>
        </w:rPr>
        <w:t>因违法经营被禁止在一定期限内参加政府采购活动，且期限未满的情形。</w:t>
      </w:r>
    </w:p>
    <w:p>
      <w:pPr>
        <w:adjustRightInd w:val="0"/>
        <w:snapToGrid w:val="0"/>
        <w:spacing w:line="360" w:lineRule="auto"/>
        <w:ind w:firstLine="480" w:firstLineChars="200"/>
        <w:rPr>
          <w:highlight w:val="none"/>
        </w:rPr>
      </w:pPr>
      <w:r>
        <w:rPr>
          <w:rFonts w:hint="eastAsia"/>
          <w:highlight w:val="none"/>
        </w:rPr>
        <w:t>4.以上事项如有虚假或隐瞒，我方愿意承担一切后果和责任。</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3</w:t>
      </w:r>
      <w:r>
        <w:rPr>
          <w:rFonts w:hint="eastAsia"/>
          <w:b/>
          <w:bCs/>
          <w:highlight w:val="none"/>
        </w:rPr>
        <w:t>）法定代表人资格证明书</w:t>
      </w:r>
    </w:p>
    <w:p>
      <w:pPr>
        <w:adjustRightInd w:val="0"/>
        <w:snapToGrid w:val="0"/>
        <w:spacing w:line="360" w:lineRule="auto"/>
        <w:rPr>
          <w:highlight w:val="none"/>
        </w:rPr>
      </w:pPr>
      <w:r>
        <w:rPr>
          <w:rFonts w:hint="eastAsia"/>
          <w:highlight w:val="none"/>
        </w:rPr>
        <w:t>致：中国美术学院、浙江求是招标代理有限公司</w:t>
      </w:r>
    </w:p>
    <w:p>
      <w:pPr>
        <w:adjustRightInd w:val="0"/>
        <w:snapToGrid w:val="0"/>
        <w:spacing w:line="360" w:lineRule="auto"/>
        <w:ind w:firstLine="480" w:firstLineChars="200"/>
        <w:rPr>
          <w:highlight w:val="none"/>
        </w:rPr>
      </w:pPr>
      <w:r>
        <w:rPr>
          <w:rFonts w:hint="eastAsia"/>
          <w:highlight w:val="none"/>
        </w:rPr>
        <w:t>我__________（姓名）系____________________（供应商名称）的法定代表人，身份证号码：____________________。</w:t>
      </w:r>
    </w:p>
    <w:p>
      <w:pPr>
        <w:adjustRightInd w:val="0"/>
        <w:snapToGrid w:val="0"/>
        <w:spacing w:line="360" w:lineRule="auto"/>
        <w:ind w:firstLine="480" w:firstLineChars="200"/>
        <w:rPr>
          <w:highlight w:val="none"/>
        </w:rPr>
      </w:pPr>
      <w:r>
        <w:rPr>
          <w:rFonts w:hint="eastAsia"/>
          <w:highlight w:val="none"/>
        </w:rPr>
        <w:t>特此证明。</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highlight w:val="none"/>
              </w:rPr>
            </w:pPr>
            <w:r>
              <w:rPr>
                <w:rFonts w:hint="eastAsia"/>
                <w:highlight w:val="none"/>
              </w:rPr>
              <w:t>法定代表人身份证：</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扫描件粘贴处</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tc>
      </w:tr>
    </w:tbl>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3</w:t>
      </w:r>
      <w:r>
        <w:rPr>
          <w:rFonts w:hint="eastAsia"/>
          <w:b/>
          <w:bCs/>
          <w:highlight w:val="none"/>
        </w:rPr>
        <w:t>）法定代表人授权委托书</w:t>
      </w:r>
    </w:p>
    <w:p>
      <w:pPr>
        <w:adjustRightInd w:val="0"/>
        <w:snapToGrid w:val="0"/>
        <w:spacing w:line="360" w:lineRule="auto"/>
        <w:rPr>
          <w:highlight w:val="none"/>
        </w:rPr>
      </w:pPr>
      <w:r>
        <w:rPr>
          <w:rFonts w:hint="eastAsia"/>
          <w:highlight w:val="none"/>
        </w:rPr>
        <w:t>致：中国美术学院、浙江求是招标代理有限公司</w:t>
      </w:r>
    </w:p>
    <w:p>
      <w:pPr>
        <w:adjustRightInd w:val="0"/>
        <w:snapToGrid w:val="0"/>
        <w:spacing w:line="360" w:lineRule="auto"/>
        <w:ind w:firstLine="480" w:firstLineChars="200"/>
        <w:rPr>
          <w:highlight w:val="none"/>
        </w:rPr>
      </w:pPr>
      <w:r>
        <w:rPr>
          <w:rFonts w:hint="eastAsia"/>
          <w:highlight w:val="none"/>
        </w:rPr>
        <w:t>我__________（姓名）系____________________（供应商名称）的法定代表人，现授权委托本单位在职职工：__________（姓名），身份证号码：____________________以我方的名义参加中国美术学院招生系统平台信息化服务项目标项</w:t>
      </w:r>
      <w:r>
        <w:rPr>
          <w:rFonts w:hint="eastAsia"/>
          <w:highlight w:val="none"/>
          <w:u w:val="single"/>
        </w:rPr>
        <w:t xml:space="preserve">  </w:t>
      </w:r>
      <w:r>
        <w:rPr>
          <w:rFonts w:hint="eastAsia"/>
          <w:highlight w:val="none"/>
        </w:rPr>
        <w:t>的磋商响应活动，并代表我方全权办理针对上述项目的磋商响应、磋商文件开启、评审、签约等具体事务和签署相关文件。</w:t>
      </w:r>
    </w:p>
    <w:p>
      <w:pPr>
        <w:adjustRightInd w:val="0"/>
        <w:snapToGrid w:val="0"/>
        <w:spacing w:line="360" w:lineRule="auto"/>
        <w:ind w:firstLine="480" w:firstLineChars="200"/>
        <w:rPr>
          <w:highlight w:val="none"/>
        </w:rPr>
      </w:pPr>
      <w:r>
        <w:rPr>
          <w:rFonts w:hint="eastAsia"/>
          <w:highlight w:val="none"/>
        </w:rPr>
        <w:t>我方对被授权人的签名负全部责任。</w:t>
      </w:r>
    </w:p>
    <w:p>
      <w:pPr>
        <w:adjustRightInd w:val="0"/>
        <w:snapToGrid w:val="0"/>
        <w:spacing w:line="360" w:lineRule="auto"/>
        <w:ind w:firstLine="480" w:firstLineChars="200"/>
        <w:rPr>
          <w:highlight w:val="none"/>
        </w:rPr>
      </w:pPr>
      <w:r>
        <w:rPr>
          <w:rFonts w:hint="eastAsia"/>
          <w:highlight w:val="none"/>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rPr>
          <w:highlight w:val="none"/>
        </w:rPr>
      </w:pPr>
      <w:r>
        <w:rPr>
          <w:rFonts w:hint="eastAsia"/>
          <w:highlight w:val="none"/>
        </w:rPr>
        <w:t>被授权人无转委托权，特此委托。</w:t>
      </w:r>
    </w:p>
    <w:p>
      <w:pPr>
        <w:adjustRightInd w:val="0"/>
        <w:snapToGrid w:val="0"/>
        <w:spacing w:line="360" w:lineRule="auto"/>
        <w:ind w:firstLine="480" w:firstLineChars="200"/>
        <w:rPr>
          <w:highlight w:val="none"/>
          <w:u w:val="single"/>
        </w:rPr>
      </w:pPr>
      <w:r>
        <w:rPr>
          <w:rFonts w:hint="eastAsia"/>
          <w:highlight w:val="none"/>
          <w:u w:val="single"/>
        </w:rPr>
        <w:t>▲供应商授权代表必须为供应商本单位在职职工，并提供</w:t>
      </w:r>
      <w:r>
        <w:rPr>
          <w:highlight w:val="none"/>
          <w:u w:val="single"/>
        </w:rPr>
        <w:t>2020年12月（含）以后任意一月社保缴纳证明</w:t>
      </w:r>
      <w:r>
        <w:rPr>
          <w:rFonts w:hint="eastAsia"/>
          <w:highlight w:val="none"/>
          <w:u w:val="single"/>
        </w:rPr>
        <w:t>。</w:t>
      </w:r>
    </w:p>
    <w:p>
      <w:pPr>
        <w:adjustRightInd w:val="0"/>
        <w:snapToGrid w:val="0"/>
        <w:spacing w:line="360" w:lineRule="auto"/>
        <w:ind w:firstLine="480" w:firstLineChars="200"/>
        <w:rPr>
          <w:highlight w:val="none"/>
        </w:rPr>
      </w:pPr>
      <w:r>
        <w:rPr>
          <w:rFonts w:hint="eastAsia"/>
          <w:highlight w:val="none"/>
        </w:rPr>
        <w:t>法定代表人（签字或盖章）：</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highlight w:val="none"/>
              </w:rPr>
            </w:pPr>
            <w:r>
              <w:rPr>
                <w:rFonts w:hint="eastAsia"/>
                <w:highlight w:val="none"/>
              </w:rPr>
              <w:t>授权代表身份证：</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扫描件粘贴处</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tc>
      </w:tr>
    </w:tbl>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日期：________年____月____日</w:t>
      </w:r>
    </w:p>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1.供应商的法定代表人参加磋商响应，须在响应文件中提供：法定代表人资格证明书；</w:t>
      </w:r>
    </w:p>
    <w:p>
      <w:pPr>
        <w:adjustRightInd w:val="0"/>
        <w:snapToGrid w:val="0"/>
        <w:spacing w:line="360" w:lineRule="auto"/>
        <w:rPr>
          <w:b/>
          <w:bCs/>
          <w:sz w:val="21"/>
          <w:szCs w:val="21"/>
          <w:highlight w:val="none"/>
        </w:rPr>
      </w:pPr>
      <w:r>
        <w:rPr>
          <w:rFonts w:hint="eastAsia"/>
          <w:b/>
          <w:bCs/>
          <w:sz w:val="21"/>
          <w:szCs w:val="21"/>
          <w:highlight w:val="none"/>
        </w:rPr>
        <w:t>2.供应商的法定代表人委托授权代表参加磋商响应，须在响应文件中提供：法定代表人资格证明书和法定代表人授权委托书。</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4</w:t>
      </w:r>
      <w:r>
        <w:rPr>
          <w:rFonts w:hint="eastAsia"/>
          <w:b/>
          <w:bCs/>
          <w:highlight w:val="none"/>
        </w:rPr>
        <w:t>）2020年12月（含）以后任意一月的供应商授权代表社保缴纳证明</w:t>
      </w:r>
    </w:p>
    <w:p>
      <w:pPr>
        <w:adjustRightInd w:val="0"/>
        <w:snapToGrid w:val="0"/>
        <w:spacing w:line="360" w:lineRule="auto"/>
        <w:jc w:val="center"/>
        <w:rPr>
          <w:b/>
          <w:bCs/>
          <w:sz w:val="21"/>
          <w:szCs w:val="21"/>
          <w:highlight w:val="none"/>
        </w:rPr>
      </w:pPr>
      <w:r>
        <w:rPr>
          <w:rFonts w:hint="eastAsia"/>
          <w:b/>
          <w:bCs/>
          <w:sz w:val="21"/>
          <w:szCs w:val="21"/>
          <w:highlight w:val="none"/>
        </w:rPr>
        <w:t>（授权代表为法定代表人可不提供）</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5</w:t>
      </w:r>
      <w:r>
        <w:rPr>
          <w:rFonts w:hint="eastAsia"/>
          <w:b/>
          <w:bCs/>
          <w:highlight w:val="none"/>
        </w:rPr>
        <w:t>）供应商情况介绍</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917"/>
        <w:gridCol w:w="1392"/>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1</w:t>
            </w:r>
          </w:p>
        </w:tc>
        <w:tc>
          <w:tcPr>
            <w:tcW w:w="8618" w:type="dxa"/>
            <w:gridSpan w:val="3"/>
            <w:vAlign w:val="center"/>
          </w:tcPr>
          <w:p>
            <w:pPr>
              <w:adjustRightInd w:val="0"/>
              <w:snapToGrid w:val="0"/>
              <w:rPr>
                <w:highlight w:val="none"/>
              </w:rPr>
            </w:pPr>
            <w:r>
              <w:rPr>
                <w:rFonts w:hint="eastAsia"/>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2</w:t>
            </w:r>
          </w:p>
        </w:tc>
        <w:tc>
          <w:tcPr>
            <w:tcW w:w="8618" w:type="dxa"/>
            <w:gridSpan w:val="3"/>
            <w:vAlign w:val="center"/>
          </w:tcPr>
          <w:p>
            <w:pPr>
              <w:adjustRightInd w:val="0"/>
              <w:snapToGrid w:val="0"/>
              <w:rPr>
                <w:highlight w:val="none"/>
              </w:rPr>
            </w:pPr>
            <w:r>
              <w:rPr>
                <w:rFonts w:hint="eastAsia"/>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3</w:t>
            </w:r>
          </w:p>
        </w:tc>
        <w:tc>
          <w:tcPr>
            <w:tcW w:w="8618" w:type="dxa"/>
            <w:gridSpan w:val="3"/>
            <w:vAlign w:val="center"/>
          </w:tcPr>
          <w:p>
            <w:pPr>
              <w:adjustRightInd w:val="0"/>
              <w:snapToGrid w:val="0"/>
              <w:rPr>
                <w:highlight w:val="none"/>
              </w:rPr>
            </w:pPr>
            <w:r>
              <w:rPr>
                <w:rFonts w:hint="eastAsia"/>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4</w:t>
            </w:r>
          </w:p>
        </w:tc>
        <w:tc>
          <w:tcPr>
            <w:tcW w:w="4309" w:type="dxa"/>
            <w:gridSpan w:val="2"/>
            <w:vAlign w:val="center"/>
          </w:tcPr>
          <w:p>
            <w:pPr>
              <w:adjustRightInd w:val="0"/>
              <w:snapToGrid w:val="0"/>
              <w:rPr>
                <w:highlight w:val="none"/>
              </w:rPr>
            </w:pPr>
            <w:r>
              <w:rPr>
                <w:rFonts w:hint="eastAsia"/>
                <w:highlight w:val="none"/>
              </w:rPr>
              <w:t>电话：</w:t>
            </w:r>
          </w:p>
        </w:tc>
        <w:tc>
          <w:tcPr>
            <w:tcW w:w="4309" w:type="dxa"/>
            <w:vAlign w:val="center"/>
          </w:tcPr>
          <w:p>
            <w:pPr>
              <w:adjustRightInd w:val="0"/>
              <w:snapToGrid w:val="0"/>
              <w:rPr>
                <w:highlight w:val="none"/>
              </w:rPr>
            </w:pPr>
            <w:r>
              <w:rPr>
                <w:rFonts w:hint="eastAsia"/>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5</w:t>
            </w:r>
          </w:p>
        </w:tc>
        <w:tc>
          <w:tcPr>
            <w:tcW w:w="4309" w:type="dxa"/>
            <w:gridSpan w:val="2"/>
            <w:vAlign w:val="center"/>
          </w:tcPr>
          <w:p>
            <w:pPr>
              <w:adjustRightInd w:val="0"/>
              <w:snapToGrid w:val="0"/>
              <w:rPr>
                <w:highlight w:val="none"/>
              </w:rPr>
            </w:pPr>
            <w:r>
              <w:rPr>
                <w:rFonts w:hint="eastAsia"/>
                <w:highlight w:val="none"/>
              </w:rPr>
              <w:t>传真：</w:t>
            </w:r>
          </w:p>
        </w:tc>
        <w:tc>
          <w:tcPr>
            <w:tcW w:w="4309" w:type="dxa"/>
            <w:vAlign w:val="center"/>
          </w:tcPr>
          <w:p>
            <w:pPr>
              <w:adjustRightInd w:val="0"/>
              <w:snapToGrid w:val="0"/>
              <w:rPr>
                <w:highlight w:val="none"/>
              </w:rPr>
            </w:pPr>
            <w:r>
              <w:rPr>
                <w:rFonts w:hint="eastAsia"/>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6</w:t>
            </w:r>
          </w:p>
        </w:tc>
        <w:tc>
          <w:tcPr>
            <w:tcW w:w="4309" w:type="dxa"/>
            <w:gridSpan w:val="2"/>
            <w:vAlign w:val="center"/>
          </w:tcPr>
          <w:p>
            <w:pPr>
              <w:adjustRightInd w:val="0"/>
              <w:snapToGrid w:val="0"/>
              <w:rPr>
                <w:highlight w:val="none"/>
              </w:rPr>
            </w:pPr>
            <w:r>
              <w:rPr>
                <w:rFonts w:hint="eastAsia"/>
                <w:highlight w:val="none"/>
              </w:rPr>
              <w:t>注册地：</w:t>
            </w:r>
          </w:p>
        </w:tc>
        <w:tc>
          <w:tcPr>
            <w:tcW w:w="4309" w:type="dxa"/>
            <w:vAlign w:val="center"/>
          </w:tcPr>
          <w:p>
            <w:pPr>
              <w:adjustRightInd w:val="0"/>
              <w:snapToGrid w:val="0"/>
              <w:rPr>
                <w:highlight w:val="none"/>
              </w:rPr>
            </w:pPr>
            <w:r>
              <w:rPr>
                <w:rFonts w:hint="eastAsia"/>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7</w:t>
            </w:r>
          </w:p>
        </w:tc>
        <w:tc>
          <w:tcPr>
            <w:tcW w:w="8618" w:type="dxa"/>
            <w:gridSpan w:val="3"/>
            <w:vAlign w:val="center"/>
          </w:tcPr>
          <w:p>
            <w:pPr>
              <w:adjustRightInd w:val="0"/>
              <w:snapToGrid w:val="0"/>
              <w:rPr>
                <w:highlight w:val="none"/>
              </w:rPr>
            </w:pPr>
            <w:r>
              <w:rPr>
                <w:rFonts w:hint="eastAsia"/>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10" w:type="dxa"/>
            <w:vAlign w:val="center"/>
          </w:tcPr>
          <w:p>
            <w:pPr>
              <w:adjustRightInd w:val="0"/>
              <w:snapToGrid w:val="0"/>
              <w:jc w:val="center"/>
              <w:rPr>
                <w:highlight w:val="none"/>
              </w:rPr>
            </w:pPr>
            <w:r>
              <w:rPr>
                <w:rFonts w:hint="eastAsia"/>
                <w:highlight w:val="none"/>
              </w:rPr>
              <w:t>8</w:t>
            </w:r>
          </w:p>
        </w:tc>
        <w:tc>
          <w:tcPr>
            <w:tcW w:w="2917" w:type="dxa"/>
            <w:vAlign w:val="center"/>
          </w:tcPr>
          <w:p>
            <w:pPr>
              <w:adjustRightInd w:val="0"/>
              <w:snapToGrid w:val="0"/>
              <w:rPr>
                <w:highlight w:val="none"/>
              </w:rPr>
            </w:pPr>
            <w:r>
              <w:rPr>
                <w:rFonts w:hint="eastAsia"/>
                <w:highlight w:val="none"/>
              </w:rPr>
              <w:t>其他需要说明的情况</w:t>
            </w:r>
          </w:p>
        </w:tc>
        <w:tc>
          <w:tcPr>
            <w:tcW w:w="5701" w:type="dxa"/>
            <w:gridSpan w:val="2"/>
            <w:vAlign w:val="center"/>
          </w:tcPr>
          <w:p>
            <w:pPr>
              <w:adjustRightInd w:val="0"/>
              <w:snapToGrid w:val="0"/>
              <w:rPr>
                <w:highlight w:val="none"/>
              </w:rPr>
            </w:pP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说明：所有供应商都须填写此表。</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numPr>
          <w:ilvl w:val="0"/>
          <w:numId w:val="5"/>
        </w:numPr>
        <w:adjustRightInd w:val="0"/>
        <w:snapToGrid w:val="0"/>
        <w:spacing w:line="360" w:lineRule="auto"/>
        <w:jc w:val="center"/>
        <w:outlineLvl w:val="2"/>
        <w:rPr>
          <w:b/>
          <w:bCs/>
          <w:highlight w:val="none"/>
        </w:rPr>
      </w:pPr>
      <w:r>
        <w:rPr>
          <w:rFonts w:hint="eastAsia"/>
          <w:b/>
          <w:bCs/>
          <w:highlight w:val="none"/>
        </w:rPr>
        <w:t>供应商同类项目实施情况一览表</w:t>
      </w:r>
    </w:p>
    <w:p>
      <w:pPr>
        <w:pStyle w:val="6"/>
        <w:rPr>
          <w:highlight w:val="none"/>
        </w:rPr>
      </w:pPr>
      <w:r>
        <w:rPr>
          <w:rFonts w:hint="eastAsia"/>
          <w:highlight w:val="none"/>
        </w:rPr>
        <w:t>标项：</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b/>
                <w:bCs/>
                <w:highlight w:val="none"/>
              </w:rPr>
            </w:pPr>
            <w:r>
              <w:rPr>
                <w:rFonts w:hint="eastAsia"/>
                <w:b/>
                <w:bCs/>
                <w:highlight w:val="none"/>
              </w:rPr>
              <w:t>序号</w:t>
            </w:r>
          </w:p>
        </w:tc>
        <w:tc>
          <w:tcPr>
            <w:tcW w:w="1268" w:type="dxa"/>
            <w:vAlign w:val="center"/>
          </w:tcPr>
          <w:p>
            <w:pPr>
              <w:adjustRightInd w:val="0"/>
              <w:snapToGrid w:val="0"/>
              <w:jc w:val="center"/>
              <w:rPr>
                <w:b/>
                <w:bCs/>
                <w:highlight w:val="none"/>
              </w:rPr>
            </w:pPr>
            <w:r>
              <w:rPr>
                <w:rFonts w:hint="eastAsia"/>
                <w:b/>
                <w:bCs/>
                <w:highlight w:val="none"/>
              </w:rPr>
              <w:t>采购人</w:t>
            </w:r>
          </w:p>
        </w:tc>
        <w:tc>
          <w:tcPr>
            <w:tcW w:w="1282" w:type="dxa"/>
            <w:vAlign w:val="center"/>
          </w:tcPr>
          <w:p>
            <w:pPr>
              <w:adjustRightInd w:val="0"/>
              <w:snapToGrid w:val="0"/>
              <w:jc w:val="center"/>
              <w:rPr>
                <w:b/>
                <w:bCs/>
                <w:highlight w:val="none"/>
              </w:rPr>
            </w:pPr>
            <w:r>
              <w:rPr>
                <w:rFonts w:hint="eastAsia"/>
                <w:b/>
                <w:bCs/>
                <w:highlight w:val="none"/>
              </w:rPr>
              <w:t>项目名称</w:t>
            </w:r>
          </w:p>
        </w:tc>
        <w:tc>
          <w:tcPr>
            <w:tcW w:w="1432" w:type="dxa"/>
            <w:vAlign w:val="center"/>
          </w:tcPr>
          <w:p>
            <w:pPr>
              <w:adjustRightInd w:val="0"/>
              <w:snapToGrid w:val="0"/>
              <w:jc w:val="center"/>
              <w:rPr>
                <w:b/>
                <w:bCs/>
                <w:highlight w:val="none"/>
              </w:rPr>
            </w:pPr>
            <w:r>
              <w:rPr>
                <w:rFonts w:hint="eastAsia"/>
                <w:b/>
                <w:bCs/>
                <w:highlight w:val="none"/>
              </w:rPr>
              <w:t>数量</w:t>
            </w:r>
          </w:p>
        </w:tc>
        <w:tc>
          <w:tcPr>
            <w:tcW w:w="1256" w:type="dxa"/>
            <w:vAlign w:val="center"/>
          </w:tcPr>
          <w:p>
            <w:pPr>
              <w:adjustRightInd w:val="0"/>
              <w:snapToGrid w:val="0"/>
              <w:jc w:val="center"/>
              <w:rPr>
                <w:b/>
                <w:bCs/>
                <w:highlight w:val="none"/>
              </w:rPr>
            </w:pPr>
            <w:r>
              <w:rPr>
                <w:rFonts w:hint="eastAsia"/>
                <w:b/>
                <w:bCs/>
                <w:highlight w:val="none"/>
              </w:rPr>
              <w:t>合同金额</w:t>
            </w:r>
          </w:p>
          <w:p>
            <w:pPr>
              <w:adjustRightInd w:val="0"/>
              <w:snapToGrid w:val="0"/>
              <w:jc w:val="center"/>
              <w:rPr>
                <w:b/>
                <w:bCs/>
                <w:highlight w:val="none"/>
              </w:rPr>
            </w:pPr>
            <w:r>
              <w:rPr>
                <w:rFonts w:hint="eastAsia"/>
                <w:b/>
                <w:bCs/>
                <w:highlight w:val="none"/>
              </w:rPr>
              <w:t>（万元）</w:t>
            </w:r>
          </w:p>
        </w:tc>
        <w:tc>
          <w:tcPr>
            <w:tcW w:w="899" w:type="dxa"/>
            <w:vAlign w:val="center"/>
          </w:tcPr>
          <w:p>
            <w:pPr>
              <w:adjustRightInd w:val="0"/>
              <w:snapToGrid w:val="0"/>
              <w:jc w:val="center"/>
              <w:rPr>
                <w:b/>
                <w:bCs/>
                <w:highlight w:val="none"/>
              </w:rPr>
            </w:pPr>
            <w:r>
              <w:rPr>
                <w:rFonts w:hint="eastAsia"/>
                <w:b/>
                <w:bCs/>
                <w:highlight w:val="none"/>
              </w:rPr>
              <w:t>附件页码</w:t>
            </w:r>
          </w:p>
        </w:tc>
        <w:tc>
          <w:tcPr>
            <w:tcW w:w="995" w:type="dxa"/>
            <w:vAlign w:val="center"/>
          </w:tcPr>
          <w:p>
            <w:pPr>
              <w:adjustRightInd w:val="0"/>
              <w:snapToGrid w:val="0"/>
              <w:jc w:val="center"/>
              <w:rPr>
                <w:b/>
                <w:bCs/>
                <w:highlight w:val="none"/>
              </w:rPr>
            </w:pPr>
            <w:r>
              <w:rPr>
                <w:rFonts w:hint="eastAsia"/>
                <w:b/>
                <w:bCs/>
                <w:highlight w:val="none"/>
              </w:rPr>
              <w:t>合同签订时间</w:t>
            </w:r>
          </w:p>
        </w:tc>
        <w:tc>
          <w:tcPr>
            <w:tcW w:w="1718" w:type="dxa"/>
            <w:vAlign w:val="center"/>
          </w:tcPr>
          <w:p>
            <w:pPr>
              <w:adjustRightInd w:val="0"/>
              <w:snapToGrid w:val="0"/>
              <w:jc w:val="center"/>
              <w:rPr>
                <w:b/>
                <w:bCs/>
                <w:highlight w:val="none"/>
              </w:rPr>
            </w:pPr>
            <w:r>
              <w:rPr>
                <w:rFonts w:hint="eastAsia"/>
                <w:b/>
                <w:bCs/>
                <w:highlight w:val="none"/>
              </w:rPr>
              <w:t>采购人联系人</w:t>
            </w:r>
          </w:p>
          <w:p>
            <w:pPr>
              <w:adjustRightInd w:val="0"/>
              <w:snapToGrid w:val="0"/>
              <w:jc w:val="center"/>
              <w:rPr>
                <w:b/>
                <w:bCs/>
                <w:highlight w:val="none"/>
              </w:rPr>
            </w:pPr>
            <w:r>
              <w:rPr>
                <w:rFonts w:hint="eastAsia"/>
                <w:b/>
                <w:bCs/>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1.供应商须提供上述业绩合同扫描件；</w:t>
      </w:r>
    </w:p>
    <w:p>
      <w:pPr>
        <w:adjustRightInd w:val="0"/>
        <w:snapToGrid w:val="0"/>
        <w:spacing w:line="360" w:lineRule="auto"/>
        <w:rPr>
          <w:b/>
          <w:bCs/>
          <w:sz w:val="21"/>
          <w:szCs w:val="21"/>
          <w:highlight w:val="none"/>
        </w:rPr>
      </w:pPr>
      <w:r>
        <w:rPr>
          <w:rFonts w:hint="eastAsia"/>
          <w:b/>
          <w:bCs/>
          <w:sz w:val="21"/>
          <w:szCs w:val="21"/>
          <w:highlight w:val="none"/>
        </w:rPr>
        <w:t>2.所有合同扫描件应清晰，应能体现合同签订时间、双方签字盖章等内容；</w:t>
      </w:r>
    </w:p>
    <w:p>
      <w:pPr>
        <w:adjustRightInd w:val="0"/>
        <w:snapToGrid w:val="0"/>
        <w:spacing w:line="360" w:lineRule="auto"/>
        <w:rPr>
          <w:b/>
          <w:bCs/>
          <w:sz w:val="21"/>
          <w:szCs w:val="21"/>
          <w:highlight w:val="none"/>
        </w:rPr>
      </w:pPr>
      <w:r>
        <w:rPr>
          <w:rFonts w:hint="eastAsia"/>
          <w:b/>
          <w:bCs/>
          <w:sz w:val="21"/>
          <w:szCs w:val="21"/>
          <w:highlight w:val="none"/>
        </w:rPr>
        <w:t>3.供应商应在不涉及商业秘密的前提下尽可能提供详细的合同扫描件内容。</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（7）采购需求偏离表</w:t>
      </w:r>
    </w:p>
    <w:p>
      <w:pPr>
        <w:adjustRightInd w:val="0"/>
        <w:snapToGrid w:val="0"/>
        <w:spacing w:line="360" w:lineRule="auto"/>
        <w:rPr>
          <w:highlight w:val="none"/>
        </w:rPr>
      </w:pPr>
      <w:r>
        <w:rPr>
          <w:rFonts w:hint="eastAsia"/>
          <w:highlight w:val="none"/>
        </w:rPr>
        <w:t>采 购 人：中国美术学院</w:t>
      </w:r>
    </w:p>
    <w:p>
      <w:pPr>
        <w:adjustRightInd w:val="0"/>
        <w:snapToGrid w:val="0"/>
        <w:spacing w:line="360" w:lineRule="auto"/>
        <w:rPr>
          <w:highlight w:val="none"/>
        </w:rPr>
      </w:pPr>
      <w:r>
        <w:rPr>
          <w:rFonts w:hint="eastAsia"/>
          <w:highlight w:val="none"/>
        </w:rPr>
        <w:t xml:space="preserve">项目名称：招生系统平台信息化服务  </w:t>
      </w:r>
    </w:p>
    <w:p>
      <w:pPr>
        <w:adjustRightInd w:val="0"/>
        <w:snapToGrid w:val="0"/>
        <w:spacing w:line="360" w:lineRule="auto"/>
        <w:rPr>
          <w:highlight w:val="none"/>
        </w:rPr>
      </w:pPr>
      <w:r>
        <w:rPr>
          <w:rFonts w:hint="eastAsia"/>
          <w:highlight w:val="none"/>
        </w:rPr>
        <w:t>项目编号：QSZB-Z(F)-H21243(CS)</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b/>
                <w:bCs/>
                <w:sz w:val="21"/>
                <w:szCs w:val="21"/>
                <w:highlight w:val="none"/>
              </w:rPr>
            </w:pPr>
            <w:r>
              <w:rPr>
                <w:rFonts w:hint="eastAsia"/>
                <w:b/>
                <w:bCs/>
                <w:sz w:val="21"/>
                <w:szCs w:val="21"/>
                <w:highlight w:val="none"/>
              </w:rPr>
              <w:t>序号</w:t>
            </w:r>
          </w:p>
        </w:tc>
        <w:tc>
          <w:tcPr>
            <w:tcW w:w="3286" w:type="dxa"/>
            <w:vAlign w:val="center"/>
          </w:tcPr>
          <w:p>
            <w:pPr>
              <w:adjustRightInd w:val="0"/>
              <w:snapToGrid w:val="0"/>
              <w:jc w:val="center"/>
              <w:rPr>
                <w:b/>
                <w:bCs/>
                <w:sz w:val="21"/>
                <w:szCs w:val="21"/>
                <w:highlight w:val="none"/>
              </w:rPr>
            </w:pPr>
            <w:r>
              <w:rPr>
                <w:rFonts w:hint="eastAsia"/>
                <w:b/>
                <w:bCs/>
                <w:sz w:val="21"/>
                <w:szCs w:val="21"/>
                <w:highlight w:val="none"/>
              </w:rPr>
              <w:t>磋商文件要求</w:t>
            </w:r>
          </w:p>
        </w:tc>
        <w:tc>
          <w:tcPr>
            <w:tcW w:w="2911" w:type="dxa"/>
            <w:vAlign w:val="center"/>
          </w:tcPr>
          <w:p>
            <w:pPr>
              <w:adjustRightInd w:val="0"/>
              <w:snapToGrid w:val="0"/>
              <w:jc w:val="center"/>
              <w:rPr>
                <w:b/>
                <w:bCs/>
                <w:sz w:val="21"/>
                <w:szCs w:val="21"/>
                <w:highlight w:val="none"/>
              </w:rPr>
            </w:pPr>
            <w:r>
              <w:rPr>
                <w:rFonts w:hint="eastAsia"/>
                <w:b/>
                <w:bCs/>
                <w:sz w:val="21"/>
                <w:szCs w:val="21"/>
                <w:highlight w:val="none"/>
              </w:rPr>
              <w:t>响应规格</w:t>
            </w:r>
          </w:p>
        </w:tc>
        <w:tc>
          <w:tcPr>
            <w:tcW w:w="2407" w:type="dxa"/>
            <w:vAlign w:val="center"/>
          </w:tcPr>
          <w:p>
            <w:pPr>
              <w:adjustRightInd w:val="0"/>
              <w:snapToGrid w:val="0"/>
              <w:jc w:val="center"/>
              <w:rPr>
                <w:b/>
                <w:bCs/>
                <w:sz w:val="21"/>
                <w:szCs w:val="21"/>
                <w:highlight w:val="none"/>
              </w:rPr>
            </w:pPr>
            <w:r>
              <w:rPr>
                <w:rFonts w:hint="eastAsia"/>
                <w:b/>
                <w:bCs/>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b/>
                <w:bCs/>
                <w:sz w:val="21"/>
                <w:szCs w:val="21"/>
                <w:highlight w:val="none"/>
              </w:rPr>
            </w:pPr>
            <w:r>
              <w:rPr>
                <w:rFonts w:hint="eastAsia"/>
                <w:b/>
                <w:bCs/>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1</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2</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sz w:val="21"/>
                <w:szCs w:val="21"/>
                <w:highlight w:val="none"/>
              </w:rPr>
            </w:pPr>
            <w:r>
              <w:rPr>
                <w:rFonts w:hint="eastAsia"/>
                <w:b/>
                <w:bCs/>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1</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2</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1.逐项按照磋商文件要求填写响应规格；</w:t>
      </w:r>
    </w:p>
    <w:p>
      <w:pPr>
        <w:adjustRightInd w:val="0"/>
        <w:snapToGrid w:val="0"/>
        <w:spacing w:line="360"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360" w:lineRule="auto"/>
        <w:rPr>
          <w:b/>
          <w:bCs/>
          <w:sz w:val="21"/>
          <w:szCs w:val="21"/>
          <w:highlight w:val="none"/>
        </w:rPr>
      </w:pPr>
      <w:r>
        <w:rPr>
          <w:rFonts w:hint="eastAsia"/>
          <w:b/>
          <w:bCs/>
          <w:sz w:val="21"/>
          <w:szCs w:val="21"/>
          <w:highlight w:val="none"/>
        </w:rPr>
        <w:t>3.如不填写或未如实填写，自行承担磋商响应风险。</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color w:val="000000" w:themeColor="text1"/>
          <w:highlight w:val="none"/>
          <w14:textFill>
            <w14:solidFill>
              <w14:schemeClr w14:val="tx1"/>
            </w14:solidFill>
          </w14:textFill>
        </w:rPr>
        <w:t>其余</w:t>
      </w:r>
      <w:r>
        <w:rPr>
          <w:b/>
          <w:bCs/>
          <w:color w:val="000000" w:themeColor="text1"/>
          <w:highlight w:val="none"/>
          <w14:textFill>
            <w14:solidFill>
              <w14:schemeClr w14:val="tx1"/>
            </w14:solidFill>
          </w14:textFill>
        </w:rPr>
        <w:t>内容格式自拟</w:t>
      </w:r>
    </w:p>
    <w:p>
      <w:pPr>
        <w:adjustRightInd w:val="0"/>
        <w:snapToGrid w:val="0"/>
        <w:spacing w:line="288" w:lineRule="auto"/>
        <w:ind w:firstLine="562" w:firstLineChars="200"/>
        <w:rPr>
          <w:b/>
          <w:bCs/>
          <w:sz w:val="28"/>
          <w:szCs w:val="28"/>
          <w:highlight w:val="none"/>
        </w:rPr>
      </w:pPr>
    </w:p>
    <w:p>
      <w:pPr>
        <w:spacing w:line="360" w:lineRule="auto"/>
        <w:outlineLvl w:val="2"/>
        <w:rPr>
          <w:b/>
          <w:spacing w:val="-6"/>
          <w:highlight w:val="none"/>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03758"/>
    <w:multiLevelType w:val="singleLevel"/>
    <w:tmpl w:val="94E03758"/>
    <w:lvl w:ilvl="0" w:tentative="0">
      <w:start w:val="2"/>
      <w:numFmt w:val="chineseCounting"/>
      <w:suff w:val="nothing"/>
      <w:lvlText w:val="%1、"/>
      <w:lvlJc w:val="left"/>
      <w:rPr>
        <w:rFonts w:hint="eastAsia"/>
      </w:rPr>
    </w:lvl>
  </w:abstractNum>
  <w:abstractNum w:abstractNumId="1">
    <w:nsid w:val="C26B9202"/>
    <w:multiLevelType w:val="singleLevel"/>
    <w:tmpl w:val="C26B9202"/>
    <w:lvl w:ilvl="0" w:tentative="0">
      <w:start w:val="2"/>
      <w:numFmt w:val="decimal"/>
      <w:suff w:val="nothing"/>
      <w:lvlText w:val="（%1）"/>
      <w:lvlJc w:val="left"/>
    </w:lvl>
  </w:abstractNum>
  <w:abstractNum w:abstractNumId="2">
    <w:nsid w:val="C4C59CBC"/>
    <w:multiLevelType w:val="singleLevel"/>
    <w:tmpl w:val="C4C59CBC"/>
    <w:lvl w:ilvl="0" w:tentative="0">
      <w:start w:val="1"/>
      <w:numFmt w:val="decimal"/>
      <w:suff w:val="nothing"/>
      <w:lvlText w:val="%1）"/>
      <w:lvlJc w:val="left"/>
    </w:lvl>
  </w:abstractNum>
  <w:abstractNum w:abstractNumId="3">
    <w:nsid w:val="EC47E0A5"/>
    <w:multiLevelType w:val="singleLevel"/>
    <w:tmpl w:val="EC47E0A5"/>
    <w:lvl w:ilvl="0" w:tentative="0">
      <w:start w:val="2"/>
      <w:numFmt w:val="chineseCounting"/>
      <w:suff w:val="nothing"/>
      <w:lvlText w:val="%1、"/>
      <w:lvlJc w:val="left"/>
      <w:rPr>
        <w:rFonts w:hint="eastAsia"/>
      </w:rPr>
    </w:lvl>
  </w:abstractNum>
  <w:abstractNum w:abstractNumId="4">
    <w:nsid w:val="5BDDFB03"/>
    <w:multiLevelType w:val="singleLevel"/>
    <w:tmpl w:val="5BDDFB03"/>
    <w:lvl w:ilvl="0" w:tentative="0">
      <w:start w:val="6"/>
      <w:numFmt w:val="decimal"/>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0E20"/>
    <w:rsid w:val="00003692"/>
    <w:rsid w:val="00003FFC"/>
    <w:rsid w:val="0000672B"/>
    <w:rsid w:val="00017F85"/>
    <w:rsid w:val="00020F6F"/>
    <w:rsid w:val="00021B54"/>
    <w:rsid w:val="00021E52"/>
    <w:rsid w:val="0002527B"/>
    <w:rsid w:val="00031B39"/>
    <w:rsid w:val="000430AC"/>
    <w:rsid w:val="00081FB8"/>
    <w:rsid w:val="00087AA4"/>
    <w:rsid w:val="000908FB"/>
    <w:rsid w:val="000B0AFC"/>
    <w:rsid w:val="000B2063"/>
    <w:rsid w:val="000B22A6"/>
    <w:rsid w:val="000B6DC3"/>
    <w:rsid w:val="000C5B13"/>
    <w:rsid w:val="000D75D9"/>
    <w:rsid w:val="000E6023"/>
    <w:rsid w:val="000E7236"/>
    <w:rsid w:val="000F74F6"/>
    <w:rsid w:val="00110E4C"/>
    <w:rsid w:val="0012475B"/>
    <w:rsid w:val="00127812"/>
    <w:rsid w:val="0013073F"/>
    <w:rsid w:val="001407E0"/>
    <w:rsid w:val="00142487"/>
    <w:rsid w:val="00145F4F"/>
    <w:rsid w:val="001629F2"/>
    <w:rsid w:val="0016331E"/>
    <w:rsid w:val="001705C9"/>
    <w:rsid w:val="001803E7"/>
    <w:rsid w:val="001848A0"/>
    <w:rsid w:val="00187B77"/>
    <w:rsid w:val="00190468"/>
    <w:rsid w:val="001929A5"/>
    <w:rsid w:val="0019560E"/>
    <w:rsid w:val="001A3239"/>
    <w:rsid w:val="001A44F4"/>
    <w:rsid w:val="001A4AFF"/>
    <w:rsid w:val="001B65D4"/>
    <w:rsid w:val="001C0122"/>
    <w:rsid w:val="001C5E97"/>
    <w:rsid w:val="001C7942"/>
    <w:rsid w:val="001D0286"/>
    <w:rsid w:val="001D1E2A"/>
    <w:rsid w:val="001D3848"/>
    <w:rsid w:val="001E5FFC"/>
    <w:rsid w:val="001F4C52"/>
    <w:rsid w:val="00203B7E"/>
    <w:rsid w:val="0020567E"/>
    <w:rsid w:val="00223344"/>
    <w:rsid w:val="002244D1"/>
    <w:rsid w:val="002365FC"/>
    <w:rsid w:val="00257623"/>
    <w:rsid w:val="00260A9F"/>
    <w:rsid w:val="0026201F"/>
    <w:rsid w:val="00271655"/>
    <w:rsid w:val="00271BC7"/>
    <w:rsid w:val="0027404F"/>
    <w:rsid w:val="002847E2"/>
    <w:rsid w:val="00294B8C"/>
    <w:rsid w:val="002A07B5"/>
    <w:rsid w:val="002A0D65"/>
    <w:rsid w:val="002A143E"/>
    <w:rsid w:val="002A2B06"/>
    <w:rsid w:val="002A497A"/>
    <w:rsid w:val="002B00EC"/>
    <w:rsid w:val="002B14E5"/>
    <w:rsid w:val="002C24AC"/>
    <w:rsid w:val="002C2F5D"/>
    <w:rsid w:val="002D5B1A"/>
    <w:rsid w:val="002E4A55"/>
    <w:rsid w:val="002E77E1"/>
    <w:rsid w:val="002F39B2"/>
    <w:rsid w:val="00300188"/>
    <w:rsid w:val="00304C7E"/>
    <w:rsid w:val="003218CB"/>
    <w:rsid w:val="0032347B"/>
    <w:rsid w:val="00324DBF"/>
    <w:rsid w:val="00326414"/>
    <w:rsid w:val="003277CE"/>
    <w:rsid w:val="003321D8"/>
    <w:rsid w:val="00332365"/>
    <w:rsid w:val="00333ECD"/>
    <w:rsid w:val="00347DC5"/>
    <w:rsid w:val="003544E6"/>
    <w:rsid w:val="003574D9"/>
    <w:rsid w:val="0036448F"/>
    <w:rsid w:val="003715FC"/>
    <w:rsid w:val="0037467E"/>
    <w:rsid w:val="003875B9"/>
    <w:rsid w:val="00391308"/>
    <w:rsid w:val="00393A98"/>
    <w:rsid w:val="00395B34"/>
    <w:rsid w:val="00396158"/>
    <w:rsid w:val="00396C6A"/>
    <w:rsid w:val="003C00F7"/>
    <w:rsid w:val="003D5900"/>
    <w:rsid w:val="003E0C7F"/>
    <w:rsid w:val="003E3619"/>
    <w:rsid w:val="003F3A4E"/>
    <w:rsid w:val="0040087E"/>
    <w:rsid w:val="00403DFF"/>
    <w:rsid w:val="0040692C"/>
    <w:rsid w:val="00411C4F"/>
    <w:rsid w:val="00414B48"/>
    <w:rsid w:val="004235BA"/>
    <w:rsid w:val="00437E88"/>
    <w:rsid w:val="0044631C"/>
    <w:rsid w:val="00453482"/>
    <w:rsid w:val="00460410"/>
    <w:rsid w:val="00462F48"/>
    <w:rsid w:val="00467FA3"/>
    <w:rsid w:val="00477C08"/>
    <w:rsid w:val="004B27EF"/>
    <w:rsid w:val="004C28D6"/>
    <w:rsid w:val="004C5538"/>
    <w:rsid w:val="004C63FA"/>
    <w:rsid w:val="004E0163"/>
    <w:rsid w:val="004E1987"/>
    <w:rsid w:val="005114AB"/>
    <w:rsid w:val="00515035"/>
    <w:rsid w:val="005160C5"/>
    <w:rsid w:val="00516685"/>
    <w:rsid w:val="005203F2"/>
    <w:rsid w:val="0052060B"/>
    <w:rsid w:val="00521326"/>
    <w:rsid w:val="00530769"/>
    <w:rsid w:val="00531406"/>
    <w:rsid w:val="005314FF"/>
    <w:rsid w:val="00535E5B"/>
    <w:rsid w:val="00537039"/>
    <w:rsid w:val="00537ABC"/>
    <w:rsid w:val="00540291"/>
    <w:rsid w:val="00542553"/>
    <w:rsid w:val="00542E27"/>
    <w:rsid w:val="00553EFE"/>
    <w:rsid w:val="0056288C"/>
    <w:rsid w:val="005660A0"/>
    <w:rsid w:val="00567E90"/>
    <w:rsid w:val="00572430"/>
    <w:rsid w:val="00572A91"/>
    <w:rsid w:val="00576CC0"/>
    <w:rsid w:val="00577E18"/>
    <w:rsid w:val="00585872"/>
    <w:rsid w:val="005961BC"/>
    <w:rsid w:val="005A7876"/>
    <w:rsid w:val="005B2FD9"/>
    <w:rsid w:val="005C26DC"/>
    <w:rsid w:val="005C76EF"/>
    <w:rsid w:val="005E541A"/>
    <w:rsid w:val="005E606B"/>
    <w:rsid w:val="005F1491"/>
    <w:rsid w:val="006049A2"/>
    <w:rsid w:val="00604B99"/>
    <w:rsid w:val="00605A26"/>
    <w:rsid w:val="006102B4"/>
    <w:rsid w:val="00623375"/>
    <w:rsid w:val="00631899"/>
    <w:rsid w:val="00632793"/>
    <w:rsid w:val="00632E94"/>
    <w:rsid w:val="006366F0"/>
    <w:rsid w:val="00647F07"/>
    <w:rsid w:val="00676C52"/>
    <w:rsid w:val="00680911"/>
    <w:rsid w:val="00680A5B"/>
    <w:rsid w:val="006A5A5D"/>
    <w:rsid w:val="006B4656"/>
    <w:rsid w:val="006C3481"/>
    <w:rsid w:val="006D3AA2"/>
    <w:rsid w:val="006D3BAA"/>
    <w:rsid w:val="006D7283"/>
    <w:rsid w:val="006E5749"/>
    <w:rsid w:val="006F46B6"/>
    <w:rsid w:val="00707602"/>
    <w:rsid w:val="00707B60"/>
    <w:rsid w:val="0071637C"/>
    <w:rsid w:val="007325CF"/>
    <w:rsid w:val="00732CDB"/>
    <w:rsid w:val="00733FDD"/>
    <w:rsid w:val="0073538E"/>
    <w:rsid w:val="007426A5"/>
    <w:rsid w:val="00742B0C"/>
    <w:rsid w:val="007453F9"/>
    <w:rsid w:val="00757AD3"/>
    <w:rsid w:val="00757B26"/>
    <w:rsid w:val="00761FCE"/>
    <w:rsid w:val="00766D5A"/>
    <w:rsid w:val="007674CC"/>
    <w:rsid w:val="007809F5"/>
    <w:rsid w:val="00783DE5"/>
    <w:rsid w:val="007904D7"/>
    <w:rsid w:val="00791767"/>
    <w:rsid w:val="007952A9"/>
    <w:rsid w:val="007952CD"/>
    <w:rsid w:val="007A2CA3"/>
    <w:rsid w:val="007B160C"/>
    <w:rsid w:val="007C2F9C"/>
    <w:rsid w:val="007D1444"/>
    <w:rsid w:val="007D2661"/>
    <w:rsid w:val="007E37B9"/>
    <w:rsid w:val="007E681D"/>
    <w:rsid w:val="007F2E8B"/>
    <w:rsid w:val="00800ABA"/>
    <w:rsid w:val="00800FCE"/>
    <w:rsid w:val="00810FA6"/>
    <w:rsid w:val="00814C63"/>
    <w:rsid w:val="00831053"/>
    <w:rsid w:val="00840FE7"/>
    <w:rsid w:val="00841ADD"/>
    <w:rsid w:val="00843675"/>
    <w:rsid w:val="008639D0"/>
    <w:rsid w:val="00882EE8"/>
    <w:rsid w:val="0088596D"/>
    <w:rsid w:val="008A34A6"/>
    <w:rsid w:val="008A4292"/>
    <w:rsid w:val="008B218D"/>
    <w:rsid w:val="008B6837"/>
    <w:rsid w:val="008C688F"/>
    <w:rsid w:val="008D5940"/>
    <w:rsid w:val="008D741F"/>
    <w:rsid w:val="008E0CE8"/>
    <w:rsid w:val="008E337A"/>
    <w:rsid w:val="008E4BFF"/>
    <w:rsid w:val="008F22D6"/>
    <w:rsid w:val="009132BA"/>
    <w:rsid w:val="00915C23"/>
    <w:rsid w:val="00920D1A"/>
    <w:rsid w:val="0092726D"/>
    <w:rsid w:val="00937430"/>
    <w:rsid w:val="00946CA8"/>
    <w:rsid w:val="009637F6"/>
    <w:rsid w:val="009653D9"/>
    <w:rsid w:val="00966E9D"/>
    <w:rsid w:val="00967418"/>
    <w:rsid w:val="00981D3A"/>
    <w:rsid w:val="009B2D3E"/>
    <w:rsid w:val="009B35EF"/>
    <w:rsid w:val="009B750B"/>
    <w:rsid w:val="009C5AF9"/>
    <w:rsid w:val="009D4F43"/>
    <w:rsid w:val="009E3823"/>
    <w:rsid w:val="00A021D6"/>
    <w:rsid w:val="00A0297C"/>
    <w:rsid w:val="00A142D1"/>
    <w:rsid w:val="00A22CF0"/>
    <w:rsid w:val="00A2408D"/>
    <w:rsid w:val="00A249C0"/>
    <w:rsid w:val="00A30675"/>
    <w:rsid w:val="00A33906"/>
    <w:rsid w:val="00A42750"/>
    <w:rsid w:val="00A47B9A"/>
    <w:rsid w:val="00A549DF"/>
    <w:rsid w:val="00A6088B"/>
    <w:rsid w:val="00A732F4"/>
    <w:rsid w:val="00A76EBE"/>
    <w:rsid w:val="00A8034A"/>
    <w:rsid w:val="00A819DE"/>
    <w:rsid w:val="00A81A32"/>
    <w:rsid w:val="00A86E0A"/>
    <w:rsid w:val="00A92F31"/>
    <w:rsid w:val="00A9606B"/>
    <w:rsid w:val="00A97B61"/>
    <w:rsid w:val="00AA0EF3"/>
    <w:rsid w:val="00AA31FE"/>
    <w:rsid w:val="00AA3A8D"/>
    <w:rsid w:val="00AA6460"/>
    <w:rsid w:val="00AB05B7"/>
    <w:rsid w:val="00AB2659"/>
    <w:rsid w:val="00AB4295"/>
    <w:rsid w:val="00AC2671"/>
    <w:rsid w:val="00AC606E"/>
    <w:rsid w:val="00AC6923"/>
    <w:rsid w:val="00AD3EB3"/>
    <w:rsid w:val="00AE7769"/>
    <w:rsid w:val="00AE786C"/>
    <w:rsid w:val="00AF26F2"/>
    <w:rsid w:val="00B02F83"/>
    <w:rsid w:val="00B04CC6"/>
    <w:rsid w:val="00B04DD0"/>
    <w:rsid w:val="00B058CE"/>
    <w:rsid w:val="00B13329"/>
    <w:rsid w:val="00B13F59"/>
    <w:rsid w:val="00B145EA"/>
    <w:rsid w:val="00B273E5"/>
    <w:rsid w:val="00B27D5F"/>
    <w:rsid w:val="00B3599C"/>
    <w:rsid w:val="00B368F7"/>
    <w:rsid w:val="00B43EB1"/>
    <w:rsid w:val="00B44156"/>
    <w:rsid w:val="00B461A3"/>
    <w:rsid w:val="00B46901"/>
    <w:rsid w:val="00B60372"/>
    <w:rsid w:val="00B75F72"/>
    <w:rsid w:val="00B8265D"/>
    <w:rsid w:val="00BA1344"/>
    <w:rsid w:val="00BA20EE"/>
    <w:rsid w:val="00BA5B33"/>
    <w:rsid w:val="00BB537B"/>
    <w:rsid w:val="00BC0C37"/>
    <w:rsid w:val="00BC271F"/>
    <w:rsid w:val="00BC69B9"/>
    <w:rsid w:val="00BD1071"/>
    <w:rsid w:val="00BD48DF"/>
    <w:rsid w:val="00BF12A4"/>
    <w:rsid w:val="00BF7858"/>
    <w:rsid w:val="00C028E1"/>
    <w:rsid w:val="00C06714"/>
    <w:rsid w:val="00C127D1"/>
    <w:rsid w:val="00C16A0C"/>
    <w:rsid w:val="00C23F1B"/>
    <w:rsid w:val="00C31136"/>
    <w:rsid w:val="00C329AC"/>
    <w:rsid w:val="00C41755"/>
    <w:rsid w:val="00C419D0"/>
    <w:rsid w:val="00C43452"/>
    <w:rsid w:val="00C51E77"/>
    <w:rsid w:val="00C57C91"/>
    <w:rsid w:val="00C679DC"/>
    <w:rsid w:val="00C739AF"/>
    <w:rsid w:val="00C7549F"/>
    <w:rsid w:val="00C8122C"/>
    <w:rsid w:val="00C86AE4"/>
    <w:rsid w:val="00C87810"/>
    <w:rsid w:val="00C91A0B"/>
    <w:rsid w:val="00CA65D5"/>
    <w:rsid w:val="00CA68BB"/>
    <w:rsid w:val="00CA714D"/>
    <w:rsid w:val="00CC4BB4"/>
    <w:rsid w:val="00CD13BC"/>
    <w:rsid w:val="00CE55AB"/>
    <w:rsid w:val="00CF0526"/>
    <w:rsid w:val="00CF0F1A"/>
    <w:rsid w:val="00CF3679"/>
    <w:rsid w:val="00CF6ADF"/>
    <w:rsid w:val="00D10578"/>
    <w:rsid w:val="00D1097C"/>
    <w:rsid w:val="00D150C5"/>
    <w:rsid w:val="00D15194"/>
    <w:rsid w:val="00D15F6A"/>
    <w:rsid w:val="00D1799B"/>
    <w:rsid w:val="00D32C35"/>
    <w:rsid w:val="00D3372B"/>
    <w:rsid w:val="00D37F05"/>
    <w:rsid w:val="00D5473A"/>
    <w:rsid w:val="00D549C3"/>
    <w:rsid w:val="00D6455C"/>
    <w:rsid w:val="00D66B50"/>
    <w:rsid w:val="00D70BAD"/>
    <w:rsid w:val="00D722AC"/>
    <w:rsid w:val="00D85144"/>
    <w:rsid w:val="00D87236"/>
    <w:rsid w:val="00D91A7B"/>
    <w:rsid w:val="00D92F42"/>
    <w:rsid w:val="00D930C1"/>
    <w:rsid w:val="00D938F4"/>
    <w:rsid w:val="00D93E8F"/>
    <w:rsid w:val="00DA38EB"/>
    <w:rsid w:val="00DA50A3"/>
    <w:rsid w:val="00DA6115"/>
    <w:rsid w:val="00DB6D80"/>
    <w:rsid w:val="00DB7001"/>
    <w:rsid w:val="00DB7522"/>
    <w:rsid w:val="00DD03A9"/>
    <w:rsid w:val="00DD08CA"/>
    <w:rsid w:val="00DD2AFA"/>
    <w:rsid w:val="00DD3361"/>
    <w:rsid w:val="00DD6C5E"/>
    <w:rsid w:val="00DE0018"/>
    <w:rsid w:val="00DE5110"/>
    <w:rsid w:val="00DF205A"/>
    <w:rsid w:val="00DF5142"/>
    <w:rsid w:val="00E0209F"/>
    <w:rsid w:val="00E02718"/>
    <w:rsid w:val="00E03F07"/>
    <w:rsid w:val="00E05310"/>
    <w:rsid w:val="00E054D6"/>
    <w:rsid w:val="00E07963"/>
    <w:rsid w:val="00E07C2D"/>
    <w:rsid w:val="00E12310"/>
    <w:rsid w:val="00E30E42"/>
    <w:rsid w:val="00E32ADE"/>
    <w:rsid w:val="00E36D93"/>
    <w:rsid w:val="00E565AC"/>
    <w:rsid w:val="00E60376"/>
    <w:rsid w:val="00E66BFD"/>
    <w:rsid w:val="00E702BC"/>
    <w:rsid w:val="00E9083B"/>
    <w:rsid w:val="00E9327B"/>
    <w:rsid w:val="00EC0E91"/>
    <w:rsid w:val="00EC2506"/>
    <w:rsid w:val="00EC4E8C"/>
    <w:rsid w:val="00EC5481"/>
    <w:rsid w:val="00ED5C3B"/>
    <w:rsid w:val="00EF12FE"/>
    <w:rsid w:val="00F018F6"/>
    <w:rsid w:val="00F04D51"/>
    <w:rsid w:val="00F05A5D"/>
    <w:rsid w:val="00F0780F"/>
    <w:rsid w:val="00F171A7"/>
    <w:rsid w:val="00F31217"/>
    <w:rsid w:val="00F31415"/>
    <w:rsid w:val="00F40CB5"/>
    <w:rsid w:val="00F43B53"/>
    <w:rsid w:val="00F54B3E"/>
    <w:rsid w:val="00F5586F"/>
    <w:rsid w:val="00F70BE8"/>
    <w:rsid w:val="00F742BF"/>
    <w:rsid w:val="00F75E1B"/>
    <w:rsid w:val="00F80268"/>
    <w:rsid w:val="00F80F99"/>
    <w:rsid w:val="00F90E35"/>
    <w:rsid w:val="00F9106A"/>
    <w:rsid w:val="00FA1F1C"/>
    <w:rsid w:val="00FB1975"/>
    <w:rsid w:val="00FC28D7"/>
    <w:rsid w:val="00FD3491"/>
    <w:rsid w:val="00FE036D"/>
    <w:rsid w:val="00FE23A5"/>
    <w:rsid w:val="00FE35AF"/>
    <w:rsid w:val="00FE36E0"/>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44A3FF6"/>
    <w:rsid w:val="05186D7A"/>
    <w:rsid w:val="05530297"/>
    <w:rsid w:val="05921E89"/>
    <w:rsid w:val="059B7960"/>
    <w:rsid w:val="06073472"/>
    <w:rsid w:val="06124752"/>
    <w:rsid w:val="06155FB9"/>
    <w:rsid w:val="062C0EFB"/>
    <w:rsid w:val="063A4A7C"/>
    <w:rsid w:val="063F01A6"/>
    <w:rsid w:val="063F4856"/>
    <w:rsid w:val="064D026E"/>
    <w:rsid w:val="065D4FEB"/>
    <w:rsid w:val="06806222"/>
    <w:rsid w:val="07002843"/>
    <w:rsid w:val="070D5CB2"/>
    <w:rsid w:val="0720236C"/>
    <w:rsid w:val="07274707"/>
    <w:rsid w:val="07292075"/>
    <w:rsid w:val="072A4D68"/>
    <w:rsid w:val="07402809"/>
    <w:rsid w:val="074513B1"/>
    <w:rsid w:val="074A76B8"/>
    <w:rsid w:val="07530F64"/>
    <w:rsid w:val="07D91574"/>
    <w:rsid w:val="07DD2110"/>
    <w:rsid w:val="08407E9B"/>
    <w:rsid w:val="08A66635"/>
    <w:rsid w:val="08C10B5F"/>
    <w:rsid w:val="08D10BEF"/>
    <w:rsid w:val="08D246C8"/>
    <w:rsid w:val="094474E0"/>
    <w:rsid w:val="0949141E"/>
    <w:rsid w:val="095639A6"/>
    <w:rsid w:val="09592BB8"/>
    <w:rsid w:val="095A626C"/>
    <w:rsid w:val="09D842F7"/>
    <w:rsid w:val="0A621094"/>
    <w:rsid w:val="0A84444E"/>
    <w:rsid w:val="0AB0203D"/>
    <w:rsid w:val="0AB84F29"/>
    <w:rsid w:val="0AC6684F"/>
    <w:rsid w:val="0AF721E9"/>
    <w:rsid w:val="0AFA33F2"/>
    <w:rsid w:val="0B091E63"/>
    <w:rsid w:val="0B164A29"/>
    <w:rsid w:val="0B1B034D"/>
    <w:rsid w:val="0B9D7C1B"/>
    <w:rsid w:val="0BB34A54"/>
    <w:rsid w:val="0BE07CB5"/>
    <w:rsid w:val="0C065496"/>
    <w:rsid w:val="0C0C5636"/>
    <w:rsid w:val="0C121233"/>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0FED1509"/>
    <w:rsid w:val="10210889"/>
    <w:rsid w:val="10356A35"/>
    <w:rsid w:val="10AC3582"/>
    <w:rsid w:val="10D1632A"/>
    <w:rsid w:val="11070506"/>
    <w:rsid w:val="11275087"/>
    <w:rsid w:val="1148776A"/>
    <w:rsid w:val="114B36EF"/>
    <w:rsid w:val="118B24F5"/>
    <w:rsid w:val="120A2A2A"/>
    <w:rsid w:val="12364575"/>
    <w:rsid w:val="12393FEB"/>
    <w:rsid w:val="125777B2"/>
    <w:rsid w:val="1272668F"/>
    <w:rsid w:val="12957D69"/>
    <w:rsid w:val="12AB15B0"/>
    <w:rsid w:val="12EC0C50"/>
    <w:rsid w:val="12F05A2A"/>
    <w:rsid w:val="1300503C"/>
    <w:rsid w:val="131F199E"/>
    <w:rsid w:val="13247991"/>
    <w:rsid w:val="13295189"/>
    <w:rsid w:val="13515A7F"/>
    <w:rsid w:val="135B3AAF"/>
    <w:rsid w:val="1394170F"/>
    <w:rsid w:val="13A76668"/>
    <w:rsid w:val="13B02B2B"/>
    <w:rsid w:val="13D7695B"/>
    <w:rsid w:val="13DF2B58"/>
    <w:rsid w:val="14087B4A"/>
    <w:rsid w:val="1443162A"/>
    <w:rsid w:val="145E0D0D"/>
    <w:rsid w:val="1484023A"/>
    <w:rsid w:val="148C7CEF"/>
    <w:rsid w:val="14A75DDC"/>
    <w:rsid w:val="14B51D57"/>
    <w:rsid w:val="14E4152A"/>
    <w:rsid w:val="14F36739"/>
    <w:rsid w:val="150C105C"/>
    <w:rsid w:val="15335CBD"/>
    <w:rsid w:val="154B5D0D"/>
    <w:rsid w:val="155E366F"/>
    <w:rsid w:val="15671077"/>
    <w:rsid w:val="15756EE5"/>
    <w:rsid w:val="157A2AB5"/>
    <w:rsid w:val="15957336"/>
    <w:rsid w:val="15AC74D8"/>
    <w:rsid w:val="15FF501D"/>
    <w:rsid w:val="162008E1"/>
    <w:rsid w:val="16423BED"/>
    <w:rsid w:val="165019B8"/>
    <w:rsid w:val="166334CF"/>
    <w:rsid w:val="168E16B6"/>
    <w:rsid w:val="16B10DCA"/>
    <w:rsid w:val="16B7295A"/>
    <w:rsid w:val="16C9249F"/>
    <w:rsid w:val="16CB56F4"/>
    <w:rsid w:val="16D452A9"/>
    <w:rsid w:val="16F20125"/>
    <w:rsid w:val="17597D27"/>
    <w:rsid w:val="178C7602"/>
    <w:rsid w:val="17C43569"/>
    <w:rsid w:val="18172C34"/>
    <w:rsid w:val="18185598"/>
    <w:rsid w:val="184451C8"/>
    <w:rsid w:val="184C58D3"/>
    <w:rsid w:val="187175DA"/>
    <w:rsid w:val="189A68D7"/>
    <w:rsid w:val="18C97D82"/>
    <w:rsid w:val="18F37C5C"/>
    <w:rsid w:val="18FB643D"/>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1E57ED"/>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38388E"/>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63A8F"/>
    <w:rsid w:val="23C80CC2"/>
    <w:rsid w:val="23CA2360"/>
    <w:rsid w:val="23FE376C"/>
    <w:rsid w:val="240B7B52"/>
    <w:rsid w:val="24116F34"/>
    <w:rsid w:val="24227489"/>
    <w:rsid w:val="24635A3A"/>
    <w:rsid w:val="249B62E9"/>
    <w:rsid w:val="24EC117C"/>
    <w:rsid w:val="250C4BB6"/>
    <w:rsid w:val="251D778B"/>
    <w:rsid w:val="252549CA"/>
    <w:rsid w:val="255D204D"/>
    <w:rsid w:val="2595460B"/>
    <w:rsid w:val="26035BEC"/>
    <w:rsid w:val="26043654"/>
    <w:rsid w:val="26091EBB"/>
    <w:rsid w:val="262B40F9"/>
    <w:rsid w:val="26547AE8"/>
    <w:rsid w:val="269A2C67"/>
    <w:rsid w:val="26CA23E9"/>
    <w:rsid w:val="26E525E4"/>
    <w:rsid w:val="26E60A65"/>
    <w:rsid w:val="2724134C"/>
    <w:rsid w:val="273E0805"/>
    <w:rsid w:val="274507F1"/>
    <w:rsid w:val="27474FA8"/>
    <w:rsid w:val="27497C9D"/>
    <w:rsid w:val="27C450A3"/>
    <w:rsid w:val="27C72C22"/>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05831"/>
    <w:rsid w:val="2B8175A1"/>
    <w:rsid w:val="2BFF5D0E"/>
    <w:rsid w:val="2C45590B"/>
    <w:rsid w:val="2C665C52"/>
    <w:rsid w:val="2C691ECA"/>
    <w:rsid w:val="2C77101E"/>
    <w:rsid w:val="2C7F3A5D"/>
    <w:rsid w:val="2CDC7231"/>
    <w:rsid w:val="2CDC7E42"/>
    <w:rsid w:val="2CF652E7"/>
    <w:rsid w:val="2D1153A4"/>
    <w:rsid w:val="2D614DC2"/>
    <w:rsid w:val="2DA22BE2"/>
    <w:rsid w:val="2DB27727"/>
    <w:rsid w:val="2DDC65C4"/>
    <w:rsid w:val="2E2758AF"/>
    <w:rsid w:val="2E3F744B"/>
    <w:rsid w:val="2E7942E2"/>
    <w:rsid w:val="2F0F13BF"/>
    <w:rsid w:val="2F0F2FF0"/>
    <w:rsid w:val="2F0F3ED9"/>
    <w:rsid w:val="2F5D35AA"/>
    <w:rsid w:val="2F713FC3"/>
    <w:rsid w:val="30116C8D"/>
    <w:rsid w:val="302B091D"/>
    <w:rsid w:val="302F07D9"/>
    <w:rsid w:val="30376BB9"/>
    <w:rsid w:val="307A6BF4"/>
    <w:rsid w:val="31186EB7"/>
    <w:rsid w:val="315F34A6"/>
    <w:rsid w:val="3179376A"/>
    <w:rsid w:val="31A353BC"/>
    <w:rsid w:val="31B10509"/>
    <w:rsid w:val="31BD5198"/>
    <w:rsid w:val="31C169C5"/>
    <w:rsid w:val="31DB0F40"/>
    <w:rsid w:val="31F57CCE"/>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B23D47"/>
    <w:rsid w:val="34D978D3"/>
    <w:rsid w:val="34E75F40"/>
    <w:rsid w:val="34EF4ACA"/>
    <w:rsid w:val="34FD3DC3"/>
    <w:rsid w:val="357E28FB"/>
    <w:rsid w:val="35A66274"/>
    <w:rsid w:val="35AF2F94"/>
    <w:rsid w:val="35D76993"/>
    <w:rsid w:val="35EB4CF7"/>
    <w:rsid w:val="35F425D5"/>
    <w:rsid w:val="35FF42F7"/>
    <w:rsid w:val="36553987"/>
    <w:rsid w:val="36D8252C"/>
    <w:rsid w:val="36E466D7"/>
    <w:rsid w:val="371840E5"/>
    <w:rsid w:val="375062A7"/>
    <w:rsid w:val="37551903"/>
    <w:rsid w:val="37A25A49"/>
    <w:rsid w:val="37C41E89"/>
    <w:rsid w:val="380C4385"/>
    <w:rsid w:val="388D2882"/>
    <w:rsid w:val="38981BA0"/>
    <w:rsid w:val="38D9238C"/>
    <w:rsid w:val="39661F6A"/>
    <w:rsid w:val="39773CF9"/>
    <w:rsid w:val="39AC1200"/>
    <w:rsid w:val="39D85EA6"/>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667394"/>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9F75FE"/>
    <w:rsid w:val="43A246D5"/>
    <w:rsid w:val="43C27A16"/>
    <w:rsid w:val="442B1667"/>
    <w:rsid w:val="4456358B"/>
    <w:rsid w:val="446D5132"/>
    <w:rsid w:val="44711592"/>
    <w:rsid w:val="448955E3"/>
    <w:rsid w:val="44AA53F4"/>
    <w:rsid w:val="44B86C03"/>
    <w:rsid w:val="44DB13AA"/>
    <w:rsid w:val="452457AE"/>
    <w:rsid w:val="453647EA"/>
    <w:rsid w:val="455333C3"/>
    <w:rsid w:val="45540B2A"/>
    <w:rsid w:val="45687E76"/>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895084"/>
    <w:rsid w:val="4798537B"/>
    <w:rsid w:val="479E69C8"/>
    <w:rsid w:val="47A3367E"/>
    <w:rsid w:val="47D04B77"/>
    <w:rsid w:val="47DB22A9"/>
    <w:rsid w:val="48310E8E"/>
    <w:rsid w:val="48655DAA"/>
    <w:rsid w:val="4869212F"/>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961682"/>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032AC"/>
    <w:rsid w:val="4EFE5BE2"/>
    <w:rsid w:val="4EFE6728"/>
    <w:rsid w:val="4F05236E"/>
    <w:rsid w:val="4F0B787A"/>
    <w:rsid w:val="4F1203F1"/>
    <w:rsid w:val="4F187DE9"/>
    <w:rsid w:val="4F210F21"/>
    <w:rsid w:val="4F3718E3"/>
    <w:rsid w:val="4F7B269C"/>
    <w:rsid w:val="4F894C61"/>
    <w:rsid w:val="4FDA0DAB"/>
    <w:rsid w:val="4FEC3BFA"/>
    <w:rsid w:val="507239EE"/>
    <w:rsid w:val="5088341F"/>
    <w:rsid w:val="50AD2A54"/>
    <w:rsid w:val="50BA7E57"/>
    <w:rsid w:val="50D81BF7"/>
    <w:rsid w:val="50E9335E"/>
    <w:rsid w:val="51013988"/>
    <w:rsid w:val="51190415"/>
    <w:rsid w:val="51230E0B"/>
    <w:rsid w:val="513738A4"/>
    <w:rsid w:val="513F7897"/>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4A14AE"/>
    <w:rsid w:val="54A83322"/>
    <w:rsid w:val="54A9021D"/>
    <w:rsid w:val="54C066C6"/>
    <w:rsid w:val="54C80C1B"/>
    <w:rsid w:val="54E7165D"/>
    <w:rsid w:val="55066D76"/>
    <w:rsid w:val="552D710B"/>
    <w:rsid w:val="556A04AF"/>
    <w:rsid w:val="556C38AA"/>
    <w:rsid w:val="557766E3"/>
    <w:rsid w:val="557B0739"/>
    <w:rsid w:val="558E66C9"/>
    <w:rsid w:val="55A5332F"/>
    <w:rsid w:val="55CC5ACC"/>
    <w:rsid w:val="55E36449"/>
    <w:rsid w:val="55F05BDD"/>
    <w:rsid w:val="56226A5D"/>
    <w:rsid w:val="5630006B"/>
    <w:rsid w:val="566136B8"/>
    <w:rsid w:val="569D7FEE"/>
    <w:rsid w:val="56C52FDC"/>
    <w:rsid w:val="56CE0A80"/>
    <w:rsid w:val="56D5788D"/>
    <w:rsid w:val="56D65896"/>
    <w:rsid w:val="56F13E4B"/>
    <w:rsid w:val="57063CE5"/>
    <w:rsid w:val="57193C7A"/>
    <w:rsid w:val="573C36F1"/>
    <w:rsid w:val="57575FE6"/>
    <w:rsid w:val="581731F5"/>
    <w:rsid w:val="5818649C"/>
    <w:rsid w:val="5875284A"/>
    <w:rsid w:val="587C6933"/>
    <w:rsid w:val="58B24F2D"/>
    <w:rsid w:val="58B6757E"/>
    <w:rsid w:val="59427DB3"/>
    <w:rsid w:val="597E6AEA"/>
    <w:rsid w:val="59DA4DF8"/>
    <w:rsid w:val="5A8848BE"/>
    <w:rsid w:val="5ABB33A6"/>
    <w:rsid w:val="5ACE76BA"/>
    <w:rsid w:val="5AF4242B"/>
    <w:rsid w:val="5B17128C"/>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4C405E"/>
    <w:rsid w:val="5E58304E"/>
    <w:rsid w:val="5E8C73C5"/>
    <w:rsid w:val="5EF26512"/>
    <w:rsid w:val="5F333DDF"/>
    <w:rsid w:val="5F653280"/>
    <w:rsid w:val="5F6D6CA9"/>
    <w:rsid w:val="60122100"/>
    <w:rsid w:val="60BF4EDB"/>
    <w:rsid w:val="60DD499A"/>
    <w:rsid w:val="61667655"/>
    <w:rsid w:val="618A71D9"/>
    <w:rsid w:val="61F5057D"/>
    <w:rsid w:val="620D493E"/>
    <w:rsid w:val="620E31A7"/>
    <w:rsid w:val="62227941"/>
    <w:rsid w:val="622E2FB0"/>
    <w:rsid w:val="627243D7"/>
    <w:rsid w:val="6281362B"/>
    <w:rsid w:val="62BB7314"/>
    <w:rsid w:val="62D073C1"/>
    <w:rsid w:val="63646BCD"/>
    <w:rsid w:val="637E0365"/>
    <w:rsid w:val="63B42B2D"/>
    <w:rsid w:val="63F818AF"/>
    <w:rsid w:val="64097F81"/>
    <w:rsid w:val="642928A3"/>
    <w:rsid w:val="643F5712"/>
    <w:rsid w:val="64474946"/>
    <w:rsid w:val="648864C8"/>
    <w:rsid w:val="64AC0F65"/>
    <w:rsid w:val="64AC4D21"/>
    <w:rsid w:val="64DE5C6F"/>
    <w:rsid w:val="64DE6188"/>
    <w:rsid w:val="64EA3740"/>
    <w:rsid w:val="65237F12"/>
    <w:rsid w:val="6563017D"/>
    <w:rsid w:val="65A93B6B"/>
    <w:rsid w:val="65DE0C76"/>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4568F7"/>
    <w:rsid w:val="6A705A68"/>
    <w:rsid w:val="6AAE07D9"/>
    <w:rsid w:val="6AB662D5"/>
    <w:rsid w:val="6AC87B09"/>
    <w:rsid w:val="6B080012"/>
    <w:rsid w:val="6B475E3A"/>
    <w:rsid w:val="6B6A57BF"/>
    <w:rsid w:val="6B9078C4"/>
    <w:rsid w:val="6BAB28CC"/>
    <w:rsid w:val="6BC327F3"/>
    <w:rsid w:val="6C0E63BA"/>
    <w:rsid w:val="6C1B4A26"/>
    <w:rsid w:val="6C3124B6"/>
    <w:rsid w:val="6CFC400F"/>
    <w:rsid w:val="6D0118C6"/>
    <w:rsid w:val="6D313AF2"/>
    <w:rsid w:val="6D680F11"/>
    <w:rsid w:val="6D9B6FED"/>
    <w:rsid w:val="6DAB31AB"/>
    <w:rsid w:val="6DD17321"/>
    <w:rsid w:val="6DD55516"/>
    <w:rsid w:val="6E642ECA"/>
    <w:rsid w:val="6E981498"/>
    <w:rsid w:val="6EB66249"/>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2D5DF8"/>
    <w:rsid w:val="73734FD6"/>
    <w:rsid w:val="73A83D47"/>
    <w:rsid w:val="73AF252F"/>
    <w:rsid w:val="73EE04C5"/>
    <w:rsid w:val="740E4978"/>
    <w:rsid w:val="745844E5"/>
    <w:rsid w:val="746570D6"/>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56D1F"/>
    <w:rsid w:val="7789074F"/>
    <w:rsid w:val="778C06EC"/>
    <w:rsid w:val="77AB5374"/>
    <w:rsid w:val="77B72B1A"/>
    <w:rsid w:val="780B47A1"/>
    <w:rsid w:val="783953F6"/>
    <w:rsid w:val="78703381"/>
    <w:rsid w:val="78855B94"/>
    <w:rsid w:val="788C2A25"/>
    <w:rsid w:val="78A55C9A"/>
    <w:rsid w:val="78CB1A27"/>
    <w:rsid w:val="78F146F6"/>
    <w:rsid w:val="793C1D1A"/>
    <w:rsid w:val="797A57B3"/>
    <w:rsid w:val="797F07F8"/>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 w:val="BCB3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5">
    <w:name w:val="annotation text"/>
    <w:basedOn w:val="1"/>
    <w:link w:val="27"/>
    <w:unhideWhenUsed/>
    <w:qFormat/>
    <w:uiPriority w:val="99"/>
    <w:pPr>
      <w:jc w:val="left"/>
    </w:pPr>
    <w:rPr>
      <w:rFonts w:ascii="Times New Roman" w:hAnsi="Times New Roman" w:cs="Times New Roman"/>
      <w:sz w:val="28"/>
    </w:rPr>
  </w:style>
  <w:style w:type="paragraph" w:styleId="6">
    <w:name w:val="Body Text"/>
    <w:basedOn w:val="1"/>
    <w:next w:val="1"/>
    <w:qFormat/>
    <w:uiPriority w:val="0"/>
    <w:pPr>
      <w:spacing w:after="120"/>
    </w:pPr>
  </w:style>
  <w:style w:type="paragraph" w:styleId="7">
    <w:name w:val="Body Text Indent"/>
    <w:basedOn w:val="1"/>
    <w:next w:val="8"/>
    <w:link w:val="28"/>
    <w:qFormat/>
    <w:uiPriority w:val="0"/>
    <w:pPr>
      <w:spacing w:line="200" w:lineRule="atLeast"/>
      <w:ind w:firstLine="301"/>
    </w:pPr>
    <w:rPr>
      <w:rFonts w:hAnsi="Courier New" w:cs="Times New Roman"/>
      <w:spacing w:val="-4"/>
      <w:sz w:val="18"/>
      <w:szCs w:val="20"/>
    </w:rPr>
  </w:style>
  <w:style w:type="paragraph" w:styleId="8">
    <w:name w:val="Body Text First Indent 2"/>
    <w:basedOn w:val="7"/>
    <w:unhideWhenUsed/>
    <w:qFormat/>
    <w:uiPriority w:val="99"/>
    <w:pPr>
      <w:ind w:firstLine="420"/>
    </w:pPr>
  </w:style>
  <w:style w:type="paragraph" w:styleId="9">
    <w:name w:val="Plain Text"/>
    <w:basedOn w:val="1"/>
    <w:link w:val="47"/>
    <w:qFormat/>
    <w:uiPriority w:val="0"/>
    <w:pPr>
      <w:widowControl/>
      <w:overflowPunct w:val="0"/>
      <w:autoSpaceDE w:val="0"/>
      <w:autoSpaceDN w:val="0"/>
      <w:adjustRightInd w:val="0"/>
      <w:jc w:val="left"/>
      <w:textAlignment w:val="baseline"/>
    </w:pPr>
    <w:rPr>
      <w:rFonts w:hAnsi="Courier New"/>
      <w:sz w:val="21"/>
    </w:rPr>
  </w:style>
  <w:style w:type="paragraph" w:styleId="10">
    <w:name w:val="Balloon Text"/>
    <w:basedOn w:val="1"/>
    <w:link w:val="26"/>
    <w:qFormat/>
    <w:uiPriority w:val="0"/>
    <w:rPr>
      <w:sz w:val="18"/>
      <w:szCs w:val="18"/>
    </w:rPr>
  </w:style>
  <w:style w:type="paragraph" w:styleId="11">
    <w:name w:val="footer"/>
    <w:basedOn w:val="1"/>
    <w:link w:val="33"/>
    <w:qFormat/>
    <w:uiPriority w:val="99"/>
    <w:pPr>
      <w:tabs>
        <w:tab w:val="center" w:pos="4153"/>
        <w:tab w:val="right" w:pos="8306"/>
      </w:tabs>
      <w:snapToGrid w:val="0"/>
      <w:jc w:val="left"/>
    </w:pPr>
    <w:rPr>
      <w:sz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widowControl/>
      <w:spacing w:before="214" w:after="214"/>
      <w:jc w:val="left"/>
    </w:pPr>
    <w:rPr>
      <w:kern w:val="0"/>
    </w:rPr>
  </w:style>
  <w:style w:type="paragraph" w:styleId="15">
    <w:name w:val="annotation subject"/>
    <w:basedOn w:val="5"/>
    <w:next w:val="5"/>
    <w:link w:val="42"/>
    <w:unhideWhenUsed/>
    <w:qFormat/>
    <w:uiPriority w:val="0"/>
    <w:rPr>
      <w:rFonts w:ascii="宋体" w:hAnsi="宋体" w:cs="宋体"/>
      <w:b/>
      <w:bCs/>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5579A7"/>
      <w:u w:val="none"/>
    </w:rPr>
  </w:style>
  <w:style w:type="character" w:styleId="20">
    <w:name w:val="Hyperlink"/>
    <w:basedOn w:val="18"/>
    <w:unhideWhenUsed/>
    <w:qFormat/>
    <w:uiPriority w:val="99"/>
    <w:rPr>
      <w:color w:val="0000FF"/>
      <w:u w:val="single"/>
    </w:rPr>
  </w:style>
  <w:style w:type="character" w:styleId="21">
    <w:name w:val="annotation reference"/>
    <w:unhideWhenUsed/>
    <w:qFormat/>
    <w:uiPriority w:val="99"/>
    <w:rPr>
      <w:sz w:val="21"/>
      <w:szCs w:val="21"/>
    </w:rPr>
  </w:style>
  <w:style w:type="paragraph" w:customStyle="1" w:styleId="22">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2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5">
    <w:name w:val="[Normal]"/>
    <w:qFormat/>
    <w:uiPriority w:val="99"/>
    <w:rPr>
      <w:rFonts w:ascii="宋体" w:hAnsi="宋体" w:eastAsia="宋体" w:cs="Times New Roman"/>
      <w:sz w:val="24"/>
      <w:szCs w:val="22"/>
      <w:lang w:val="zh-CN" w:eastAsia="zh-CN" w:bidi="ar-SA"/>
    </w:rPr>
  </w:style>
  <w:style w:type="character" w:customStyle="1" w:styleId="26">
    <w:name w:val="批注框文本 Char"/>
    <w:basedOn w:val="18"/>
    <w:link w:val="10"/>
    <w:qFormat/>
    <w:uiPriority w:val="0"/>
    <w:rPr>
      <w:rFonts w:ascii="宋体" w:hAnsi="宋体" w:cs="宋体"/>
      <w:kern w:val="2"/>
      <w:sz w:val="18"/>
      <w:szCs w:val="18"/>
    </w:rPr>
  </w:style>
  <w:style w:type="character" w:customStyle="1" w:styleId="27">
    <w:name w:val="批注文字 Char"/>
    <w:basedOn w:val="18"/>
    <w:link w:val="5"/>
    <w:qFormat/>
    <w:uiPriority w:val="99"/>
    <w:rPr>
      <w:kern w:val="2"/>
      <w:sz w:val="28"/>
      <w:szCs w:val="24"/>
    </w:rPr>
  </w:style>
  <w:style w:type="character" w:customStyle="1" w:styleId="28">
    <w:name w:val="正文文本缩进 Char"/>
    <w:link w:val="7"/>
    <w:qFormat/>
    <w:uiPriority w:val="0"/>
    <w:rPr>
      <w:rFonts w:ascii="宋体" w:hAnsi="Courier New"/>
      <w:spacing w:val="-4"/>
      <w:kern w:val="2"/>
      <w:sz w:val="18"/>
    </w:rPr>
  </w:style>
  <w:style w:type="character" w:customStyle="1" w:styleId="29">
    <w:name w:val="正文文本缩进 字符"/>
    <w:basedOn w:val="18"/>
    <w:qFormat/>
    <w:uiPriority w:val="0"/>
    <w:rPr>
      <w:rFonts w:ascii="宋体" w:hAnsi="宋体" w:cs="宋体"/>
      <w:kern w:val="2"/>
      <w:sz w:val="24"/>
      <w:szCs w:val="24"/>
    </w:rPr>
  </w:style>
  <w:style w:type="character" w:customStyle="1" w:styleId="30">
    <w:name w:val="正文文本缩进 字符2"/>
    <w:qFormat/>
    <w:uiPriority w:val="0"/>
    <w:rPr>
      <w:rFonts w:ascii="宋体" w:hAnsi="Courier New"/>
      <w:spacing w:val="-4"/>
      <w:kern w:val="2"/>
      <w:sz w:val="18"/>
    </w:rPr>
  </w:style>
  <w:style w:type="character" w:customStyle="1" w:styleId="31">
    <w:name w:val="未处理的提及1"/>
    <w:basedOn w:val="18"/>
    <w:unhideWhenUsed/>
    <w:qFormat/>
    <w:uiPriority w:val="99"/>
    <w:rPr>
      <w:color w:val="605E5C"/>
      <w:shd w:val="clear" w:color="auto" w:fill="E1DFDD"/>
    </w:rPr>
  </w:style>
  <w:style w:type="paragraph" w:customStyle="1" w:styleId="32">
    <w:name w:val="列出段落1"/>
    <w:basedOn w:val="1"/>
    <w:qFormat/>
    <w:uiPriority w:val="99"/>
    <w:pPr>
      <w:ind w:firstLine="420" w:firstLineChars="200"/>
    </w:pPr>
  </w:style>
  <w:style w:type="character" w:customStyle="1" w:styleId="33">
    <w:name w:val="页脚 Char"/>
    <w:basedOn w:val="18"/>
    <w:link w:val="11"/>
    <w:qFormat/>
    <w:uiPriority w:val="99"/>
    <w:rPr>
      <w:rFonts w:ascii="宋体" w:hAnsi="宋体" w:cs="宋体"/>
      <w:kern w:val="2"/>
      <w:sz w:val="18"/>
      <w:szCs w:val="24"/>
    </w:rPr>
  </w:style>
  <w:style w:type="character" w:customStyle="1" w:styleId="34">
    <w:name w:val="jbox-icon-warning"/>
    <w:basedOn w:val="18"/>
    <w:qFormat/>
    <w:uiPriority w:val="0"/>
  </w:style>
  <w:style w:type="character" w:customStyle="1" w:styleId="35">
    <w:name w:val="jbox-icon"/>
    <w:basedOn w:val="18"/>
    <w:qFormat/>
    <w:uiPriority w:val="0"/>
  </w:style>
  <w:style w:type="character" w:customStyle="1" w:styleId="36">
    <w:name w:val="jbox-icon-info"/>
    <w:basedOn w:val="18"/>
    <w:qFormat/>
    <w:uiPriority w:val="0"/>
  </w:style>
  <w:style w:type="character" w:customStyle="1" w:styleId="37">
    <w:name w:val="jbox-icon-success"/>
    <w:basedOn w:val="18"/>
    <w:qFormat/>
    <w:uiPriority w:val="0"/>
  </w:style>
  <w:style w:type="character" w:customStyle="1" w:styleId="38">
    <w:name w:val="jbox-icon-question"/>
    <w:basedOn w:val="18"/>
    <w:qFormat/>
    <w:uiPriority w:val="0"/>
  </w:style>
  <w:style w:type="character" w:customStyle="1" w:styleId="39">
    <w:name w:val="jbox-icon-error"/>
    <w:basedOn w:val="18"/>
    <w:qFormat/>
    <w:uiPriority w:val="0"/>
  </w:style>
  <w:style w:type="character" w:customStyle="1" w:styleId="40">
    <w:name w:val="jbox-icon-none"/>
    <w:basedOn w:val="18"/>
    <w:qFormat/>
    <w:uiPriority w:val="0"/>
    <w:rPr>
      <w:vanish/>
    </w:rPr>
  </w:style>
  <w:style w:type="character" w:customStyle="1" w:styleId="41">
    <w:name w:val="jbox-icon-loading"/>
    <w:basedOn w:val="18"/>
    <w:qFormat/>
    <w:uiPriority w:val="0"/>
  </w:style>
  <w:style w:type="character" w:customStyle="1" w:styleId="42">
    <w:name w:val="批注主题 Char"/>
    <w:basedOn w:val="27"/>
    <w:link w:val="15"/>
    <w:semiHidden/>
    <w:qFormat/>
    <w:uiPriority w:val="0"/>
    <w:rPr>
      <w:rFonts w:ascii="宋体" w:hAnsi="宋体" w:cs="宋体"/>
      <w:b/>
      <w:bCs/>
      <w:kern w:val="2"/>
      <w:sz w:val="24"/>
      <w:szCs w:val="24"/>
    </w:rPr>
  </w:style>
  <w:style w:type="paragraph" w:customStyle="1" w:styleId="43">
    <w:name w:val="A 正文内容"/>
    <w:basedOn w:val="1"/>
    <w:qFormat/>
    <w:uiPriority w:val="0"/>
    <w:pPr>
      <w:ind w:firstLine="480"/>
    </w:pPr>
  </w:style>
  <w:style w:type="paragraph" w:customStyle="1" w:styleId="44">
    <w:name w:val="Proposals body"/>
    <w:basedOn w:val="1"/>
    <w:next w:val="1"/>
    <w:qFormat/>
    <w:uiPriority w:val="0"/>
    <w:pPr>
      <w:widowControl/>
      <w:spacing w:line="460" w:lineRule="exact"/>
      <w:jc w:val="left"/>
    </w:pPr>
    <w:rPr>
      <w:rFonts w:ascii="仿宋_GB2312" w:eastAsia="仿宋_GB2312"/>
      <w:snapToGrid w:val="0"/>
      <w:kern w:val="0"/>
    </w:rPr>
  </w:style>
  <w:style w:type="paragraph" w:customStyle="1" w:styleId="45">
    <w:name w:val="Table Paragraph"/>
    <w:basedOn w:val="1"/>
    <w:qFormat/>
    <w:uiPriority w:val="1"/>
    <w:rPr>
      <w:lang w:val="zh-CN" w:bidi="zh-CN"/>
    </w:rPr>
  </w:style>
  <w:style w:type="character" w:customStyle="1" w:styleId="46">
    <w:name w:val="font21"/>
    <w:basedOn w:val="18"/>
    <w:qFormat/>
    <w:uiPriority w:val="0"/>
    <w:rPr>
      <w:rFonts w:hint="eastAsia" w:ascii="宋体" w:hAnsi="宋体" w:eastAsia="宋体" w:cs="宋体"/>
      <w:color w:val="000000"/>
      <w:sz w:val="20"/>
      <w:szCs w:val="20"/>
      <w:u w:val="none"/>
    </w:rPr>
  </w:style>
  <w:style w:type="character" w:customStyle="1" w:styleId="47">
    <w:name w:val="纯文本 Char"/>
    <w:link w:val="9"/>
    <w:qFormat/>
    <w:uiPriority w:val="0"/>
    <w:rPr>
      <w:rFonts w:ascii="宋体" w:hAnsi="Courier New" w:cs="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51</Pages>
  <Words>4519</Words>
  <Characters>25763</Characters>
  <Lines>214</Lines>
  <Paragraphs>60</Paragraphs>
  <TotalTime>1</TotalTime>
  <ScaleCrop>false</ScaleCrop>
  <LinksUpToDate>false</LinksUpToDate>
  <CharactersWithSpaces>30222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2020-03-27T15:28:00Z</dcterms:created>
  <dc:creator>Administrator</dc:creator>
  <cp:lastModifiedBy>A-day</cp:lastModifiedBy>
  <cp:lastPrinted>2020-04-01T13:56:00Z</cp:lastPrinted>
  <dcterms:modified xsi:type="dcterms:W3CDTF">2021-10-28T06:09:52Z</dcterms:modified>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1FEA08D6CC1646EA9AB55F3690B74F08</vt:lpwstr>
  </property>
</Properties>
</file>