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 w:eastAsia="仿宋_GB2312" w:cs="仿宋_GB2312"/>
          <w:b/>
          <w:sz w:val="24"/>
        </w:rPr>
      </w:pPr>
    </w:p>
    <w:p>
      <w:pPr>
        <w:spacing w:line="360" w:lineRule="auto"/>
        <w:jc w:val="center"/>
        <w:rPr>
          <w:rFonts w:ascii="仿宋_GB2312" w:hAnsi="仿宋" w:eastAsia="仿宋_GB2312" w:cs="仿宋_GB2312"/>
          <w:b/>
          <w:sz w:val="24"/>
        </w:rPr>
      </w:pPr>
    </w:p>
    <w:p>
      <w:pPr>
        <w:adjustRightInd/>
        <w:spacing w:line="360" w:lineRule="auto"/>
        <w:jc w:val="center"/>
        <w:rPr>
          <w:rFonts w:ascii="仿宋_GB2312" w:hAnsi="仿宋" w:eastAsia="仿宋_GB2312" w:cs="仿宋_GB2312"/>
          <w:b/>
          <w:sz w:val="44"/>
          <w:szCs w:val="44"/>
        </w:rPr>
      </w:pPr>
    </w:p>
    <w:p>
      <w:pPr>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jc w:val="center"/>
        <w:rPr>
          <w:rFonts w:ascii="方正小标宋简体" w:hAnsi="方正小标宋简体" w:eastAsia="方正小标宋简体" w:cs="方正小标宋简体"/>
          <w:bCs/>
          <w:sz w:val="52"/>
          <w:szCs w:val="52"/>
        </w:rPr>
      </w:pPr>
      <w:bookmarkStart w:id="0" w:name="_Hlk80564258"/>
      <w:r>
        <w:rPr>
          <w:rFonts w:hint="eastAsia" w:ascii="方正小标宋简体" w:hAnsi="方正小标宋简体" w:eastAsia="方正小标宋简体" w:cs="方正小标宋简体"/>
          <w:bCs/>
          <w:sz w:val="52"/>
          <w:szCs w:val="52"/>
        </w:rPr>
        <w:t>2021拱墅区信息化综合运维</w:t>
      </w:r>
    </w:p>
    <w:p>
      <w:pPr>
        <w:adjustRightInd/>
        <w:jc w:val="center"/>
        <w:rPr>
          <w:rFonts w:ascii="仿宋_GB2312" w:hAnsi="仿宋" w:eastAsia="仿宋_GB2312" w:cs="仿宋_GB2312"/>
          <w:b/>
          <w:sz w:val="52"/>
          <w:szCs w:val="52"/>
        </w:rPr>
      </w:pPr>
      <w:r>
        <w:rPr>
          <w:rFonts w:hint="eastAsia" w:ascii="方正小标宋简体" w:hAnsi="方正小标宋简体" w:eastAsia="方正小标宋简体" w:cs="方正小标宋简体"/>
          <w:bCs/>
          <w:sz w:val="52"/>
          <w:szCs w:val="52"/>
        </w:rPr>
        <w:t>与服务</w:t>
      </w:r>
      <w:bookmarkEnd w:id="0"/>
      <w:r>
        <w:rPr>
          <w:rFonts w:hint="eastAsia" w:ascii="方正小标宋简体" w:hAnsi="方正小标宋简体" w:eastAsia="方正小标宋简体" w:cs="方正小标宋简体"/>
          <w:bCs/>
          <w:sz w:val="52"/>
          <w:szCs w:val="52"/>
        </w:rPr>
        <w:t>项目公开招标文件</w:t>
      </w:r>
    </w:p>
    <w:p>
      <w:pPr>
        <w:adjustRightInd/>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（电子招投标）</w:t>
      </w:r>
    </w:p>
    <w:p>
      <w:pPr>
        <w:spacing w:line="360" w:lineRule="auto"/>
        <w:jc w:val="center"/>
        <w:rPr>
          <w:rFonts w:ascii="仿宋_GB2312" w:hAnsi="仿宋" w:eastAsia="仿宋_GB2312" w:cs="仿宋_GB2312"/>
          <w:b/>
          <w:sz w:val="24"/>
        </w:rPr>
      </w:pPr>
    </w:p>
    <w:p>
      <w:pPr>
        <w:snapToGrid w:val="0"/>
        <w:spacing w:line="360" w:lineRule="auto"/>
        <w:jc w:val="center"/>
        <w:rPr>
          <w:rFonts w:ascii="仿宋_GB2312" w:hAnsi="仿宋" w:eastAsia="仿宋_GB2312" w:cs="仿宋_GB2312"/>
          <w:sz w:val="30"/>
          <w:szCs w:val="30"/>
        </w:rPr>
      </w:pPr>
      <w:r>
        <w:rPr>
          <w:rFonts w:hint="eastAsia" w:ascii="仿宋_GB2312" w:hAnsi="仿宋" w:eastAsia="仿宋_GB2312" w:cs="仿宋_GB2312"/>
          <w:sz w:val="30"/>
          <w:szCs w:val="30"/>
        </w:rPr>
        <w:t>编号:DLZB2021D-GK-C038</w:t>
      </w:r>
    </w:p>
    <w:p>
      <w:pPr>
        <w:adjustRightInd/>
        <w:spacing w:line="360" w:lineRule="auto"/>
        <w:rPr>
          <w:rFonts w:ascii="仿宋_GB2312" w:hAnsi="仿宋" w:eastAsia="仿宋_GB2312" w:cs="仿宋_GB2312"/>
          <w:sz w:val="28"/>
          <w:szCs w:val="20"/>
        </w:rPr>
      </w:pPr>
    </w:p>
    <w:p>
      <w:pPr>
        <w:spacing w:line="360" w:lineRule="auto"/>
        <w:jc w:val="center"/>
        <w:rPr>
          <w:rFonts w:ascii="仿宋_GB2312" w:hAnsi="仿宋" w:eastAsia="仿宋_GB2312" w:cs="仿宋_GB2312"/>
          <w:sz w:val="24"/>
        </w:rPr>
      </w:pPr>
    </w:p>
    <w:p>
      <w:pPr>
        <w:spacing w:line="360" w:lineRule="auto"/>
        <w:jc w:val="center"/>
        <w:rPr>
          <w:rFonts w:ascii="仿宋_GB2312" w:hAnsi="仿宋" w:eastAsia="仿宋_GB2312" w:cs="仿宋_GB2312"/>
          <w:sz w:val="24"/>
        </w:rPr>
      </w:pPr>
    </w:p>
    <w:p>
      <w:pPr>
        <w:pStyle w:val="78"/>
        <w:rPr>
          <w:rFonts w:ascii="仿宋_GB2312" w:hAnsi="仿宋" w:eastAsia="仿宋_GB2312" w:cs="仿宋_GB2312"/>
          <w:sz w:val="24"/>
        </w:rPr>
      </w:pPr>
    </w:p>
    <w:p>
      <w:pPr>
        <w:pStyle w:val="78"/>
        <w:rPr>
          <w:rFonts w:ascii="仿宋_GB2312" w:hAnsi="仿宋" w:eastAsia="仿宋_GB2312" w:cs="仿宋_GB2312"/>
          <w:sz w:val="24"/>
        </w:rPr>
      </w:pPr>
    </w:p>
    <w:p>
      <w:pPr>
        <w:pStyle w:val="78"/>
        <w:rPr>
          <w:rFonts w:ascii="仿宋_GB2312" w:hAnsi="仿宋" w:eastAsia="仿宋_GB2312" w:cs="仿宋_GB2312"/>
          <w:sz w:val="24"/>
        </w:rPr>
      </w:pPr>
    </w:p>
    <w:p>
      <w:pPr>
        <w:pStyle w:val="78"/>
        <w:rPr>
          <w:rFonts w:ascii="仿宋_GB2312" w:hAnsi="仿宋" w:eastAsia="仿宋_GB2312" w:cs="仿宋_GB2312"/>
          <w:sz w:val="24"/>
        </w:rPr>
      </w:pPr>
    </w:p>
    <w:p>
      <w:pPr>
        <w:pStyle w:val="78"/>
        <w:rPr>
          <w:rFonts w:ascii="仿宋_GB2312" w:hAnsi="仿宋" w:eastAsia="仿宋_GB2312" w:cs="仿宋_GB2312"/>
          <w:sz w:val="24"/>
        </w:rPr>
      </w:pPr>
    </w:p>
    <w:p>
      <w:pPr>
        <w:pStyle w:val="78"/>
        <w:rPr>
          <w:rFonts w:ascii="仿宋_GB2312" w:hAnsi="仿宋" w:eastAsia="仿宋_GB2312" w:cs="仿宋_GB2312"/>
          <w:sz w:val="24"/>
        </w:rPr>
      </w:pPr>
    </w:p>
    <w:p>
      <w:pPr>
        <w:pStyle w:val="78"/>
        <w:rPr>
          <w:rFonts w:ascii="仿宋_GB2312" w:hAnsi="仿宋" w:eastAsia="仿宋_GB2312" w:cs="仿宋_GB2312"/>
          <w:sz w:val="24"/>
        </w:rPr>
      </w:pPr>
    </w:p>
    <w:p>
      <w:pPr>
        <w:spacing w:line="360" w:lineRule="auto"/>
        <w:jc w:val="center"/>
        <w:rPr>
          <w:rFonts w:ascii="仿宋_GB2312" w:hAnsi="仿宋" w:eastAsia="仿宋_GB2312" w:cs="仿宋_GB2312"/>
          <w:sz w:val="24"/>
        </w:rPr>
      </w:pPr>
    </w:p>
    <w:p>
      <w:pPr>
        <w:spacing w:line="360" w:lineRule="auto"/>
        <w:rPr>
          <w:rFonts w:ascii="仿宋_GB2312" w:hAnsi="仿宋" w:eastAsia="仿宋_GB2312" w:cs="仿宋_GB2312"/>
          <w:sz w:val="24"/>
        </w:rPr>
      </w:pPr>
      <w:r>
        <w:rPr>
          <w:rFonts w:hint="eastAsia" w:ascii="仿宋_GB2312" w:hAnsi="仿宋" w:eastAsia="仿宋_GB2312" w:cs="仿宋_GB2312"/>
          <w:sz w:val="24"/>
        </w:rPr>
        <w:t xml:space="preserve">                                      </w:t>
      </w:r>
    </w:p>
    <w:p>
      <w:pPr>
        <w:spacing w:line="360" w:lineRule="auto"/>
        <w:ind w:firstLine="1897" w:firstLineChars="593"/>
        <w:rPr>
          <w:rFonts w:ascii="仿宋_GB2312" w:hAnsi="仿宋" w:eastAsia="仿宋_GB2312" w:cs="仿宋_GB2312"/>
          <w:bCs/>
          <w:sz w:val="32"/>
          <w:szCs w:val="32"/>
        </w:rPr>
      </w:pPr>
      <w:r>
        <w:rPr>
          <w:rFonts w:hint="eastAsia" w:ascii="仿宋_GB2312" w:hAnsi="仿宋" w:eastAsia="仿宋_GB2312" w:cs="仿宋_GB2312"/>
          <w:bCs/>
          <w:sz w:val="32"/>
          <w:szCs w:val="32"/>
        </w:rPr>
        <w:t>采购单位：拱墅区数据资源管理局</w:t>
      </w:r>
    </w:p>
    <w:p>
      <w:pPr>
        <w:spacing w:line="360" w:lineRule="auto"/>
        <w:ind w:firstLine="1897" w:firstLineChars="593"/>
        <w:rPr>
          <w:rFonts w:ascii="仿宋_GB2312" w:hAnsi="仿宋" w:eastAsia="仿宋_GB2312" w:cs="仿宋_GB2312"/>
          <w:bCs/>
          <w:sz w:val="32"/>
          <w:szCs w:val="32"/>
        </w:rPr>
      </w:pPr>
      <w:r>
        <w:rPr>
          <w:rFonts w:hint="eastAsia" w:ascii="仿宋_GB2312" w:hAnsi="仿宋" w:eastAsia="仿宋_GB2312" w:cs="仿宋_GB2312"/>
          <w:bCs/>
          <w:sz w:val="32"/>
          <w:szCs w:val="32"/>
        </w:rPr>
        <w:t>代理机构：杭州鼎廉招标代理有限公司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cs="宋体"/>
          <w:bCs/>
          <w:sz w:val="32"/>
          <w:szCs w:val="32"/>
        </w:rPr>
        <w:t>一</w:t>
      </w:r>
      <w:r>
        <w:rPr>
          <w:rFonts w:hint="eastAsia" w:ascii="仿宋_GB2312" w:hAnsi="仿宋_GB2312" w:eastAsia="仿宋_GB2312" w:cs="仿宋_GB2312"/>
          <w:bCs/>
          <w:sz w:val="32"/>
          <w:szCs w:val="32"/>
        </w:rPr>
        <w:t>年九月</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br w:type="page"/>
      </w:r>
      <w:bookmarkStart w:id="1" w:name="_Hlt67893495"/>
      <w:bookmarkEnd w:id="1"/>
    </w:p>
    <w:p>
      <w:pPr>
        <w:spacing w:line="360" w:lineRule="auto"/>
        <w:jc w:val="center"/>
        <w:rPr>
          <w:rFonts w:ascii="仿宋_GB2312" w:hAnsi="仿宋" w:eastAsia="仿宋_GB2312" w:cs="仿宋_GB2312"/>
          <w:sz w:val="24"/>
        </w:rPr>
      </w:pPr>
    </w:p>
    <w:p>
      <w:pPr>
        <w:spacing w:line="360" w:lineRule="auto"/>
        <w:jc w:val="center"/>
        <w:rPr>
          <w:rFonts w:ascii="仿宋_GB2312" w:hAnsi="仿宋" w:eastAsia="仿宋_GB2312" w:cs="仿宋_GB2312"/>
          <w:b/>
          <w:sz w:val="48"/>
          <w:szCs w:val="48"/>
        </w:rPr>
      </w:pPr>
      <w:r>
        <w:rPr>
          <w:rFonts w:hint="eastAsia" w:ascii="仿宋_GB2312" w:hAnsi="仿宋" w:eastAsia="仿宋_GB2312" w:cs="仿宋_GB2312"/>
          <w:b/>
          <w:sz w:val="48"/>
          <w:szCs w:val="48"/>
        </w:rPr>
        <w:t>目  录</w:t>
      </w:r>
    </w:p>
    <w:p>
      <w:pPr>
        <w:spacing w:line="360" w:lineRule="auto"/>
        <w:rPr>
          <w:rFonts w:ascii="仿宋_GB2312" w:hAnsi="仿宋" w:eastAsia="仿宋_GB2312" w:cs="仿宋_GB2312"/>
          <w:sz w:val="32"/>
          <w:szCs w:val="32"/>
        </w:rPr>
      </w:pPr>
    </w:p>
    <w:p>
      <w:pPr>
        <w:spacing w:line="360" w:lineRule="auto"/>
        <w:rPr>
          <w:rFonts w:ascii="仿宋_GB2312" w:hAnsi="仿宋" w:eastAsia="仿宋_GB2312" w:cs="仿宋_GB2312"/>
          <w:sz w:val="32"/>
          <w:szCs w:val="32"/>
        </w:rPr>
      </w:pPr>
    </w:p>
    <w:p>
      <w:pPr>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评标方法及评分标准</w:t>
      </w:r>
    </w:p>
    <w:p>
      <w:pPr>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政府采购合同指引</w:t>
      </w:r>
    </w:p>
    <w:p>
      <w:pPr>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spacing w:line="360" w:lineRule="auto"/>
        <w:ind w:firstLine="549" w:firstLineChars="229"/>
        <w:rPr>
          <w:rFonts w:ascii="仿宋_GB2312" w:hAnsi="仿宋" w:eastAsia="仿宋_GB2312" w:cs="仿宋_GB2312"/>
          <w:sz w:val="24"/>
        </w:rPr>
      </w:pPr>
      <w:bookmarkStart w:id="2" w:name="_Hlt91233176"/>
      <w:bookmarkEnd w:id="2"/>
      <w:bookmarkStart w:id="3" w:name="_Toc91899869"/>
    </w:p>
    <w:p>
      <w:pPr>
        <w:spacing w:line="360" w:lineRule="auto"/>
        <w:ind w:firstLine="549" w:firstLineChars="229"/>
        <w:rPr>
          <w:rFonts w:ascii="仿宋_GB2312" w:hAnsi="仿宋" w:eastAsia="仿宋_GB2312" w:cs="仿宋_GB2312"/>
          <w:sz w:val="24"/>
        </w:rPr>
      </w:pPr>
    </w:p>
    <w:p>
      <w:pPr>
        <w:spacing w:line="360" w:lineRule="auto"/>
        <w:ind w:firstLine="549" w:firstLineChars="229"/>
        <w:rPr>
          <w:rFonts w:ascii="仿宋_GB2312" w:hAnsi="仿宋" w:eastAsia="仿宋_GB2312" w:cs="仿宋_GB2312"/>
          <w:sz w:val="24"/>
        </w:rPr>
      </w:pPr>
    </w:p>
    <w:p>
      <w:pPr>
        <w:spacing w:line="360" w:lineRule="auto"/>
        <w:ind w:firstLine="549" w:firstLineChars="229"/>
        <w:rPr>
          <w:rFonts w:ascii="仿宋_GB2312" w:hAnsi="仿宋" w:eastAsia="仿宋_GB2312" w:cs="仿宋_GB2312"/>
          <w:sz w:val="24"/>
        </w:rPr>
      </w:pPr>
    </w:p>
    <w:p>
      <w:pPr>
        <w:spacing w:line="360" w:lineRule="auto"/>
        <w:ind w:firstLine="549" w:firstLineChars="229"/>
        <w:rPr>
          <w:rFonts w:ascii="仿宋_GB2312" w:hAnsi="仿宋" w:eastAsia="仿宋_GB2312" w:cs="仿宋_GB2312"/>
          <w:sz w:val="24"/>
        </w:rPr>
      </w:pPr>
    </w:p>
    <w:p>
      <w:pPr>
        <w:spacing w:line="360" w:lineRule="auto"/>
        <w:ind w:firstLine="549" w:firstLineChars="229"/>
        <w:rPr>
          <w:rFonts w:ascii="仿宋_GB2312" w:hAnsi="仿宋" w:eastAsia="仿宋_GB2312" w:cs="仿宋_GB2312"/>
          <w:sz w:val="24"/>
        </w:rPr>
      </w:pPr>
    </w:p>
    <w:p>
      <w:pPr>
        <w:spacing w:line="360" w:lineRule="auto"/>
        <w:ind w:firstLine="549" w:firstLineChars="229"/>
        <w:rPr>
          <w:rFonts w:ascii="仿宋_GB2312" w:hAnsi="仿宋" w:eastAsia="仿宋_GB2312" w:cs="仿宋_GB2312"/>
          <w:sz w:val="24"/>
        </w:rPr>
      </w:pPr>
    </w:p>
    <w:p>
      <w:pPr>
        <w:spacing w:line="360" w:lineRule="auto"/>
        <w:ind w:firstLine="549" w:firstLineChars="229"/>
        <w:rPr>
          <w:rFonts w:ascii="仿宋_GB2312" w:hAnsi="仿宋" w:eastAsia="仿宋_GB2312" w:cs="仿宋_GB2312"/>
          <w:sz w:val="24"/>
        </w:rPr>
      </w:pPr>
    </w:p>
    <w:p>
      <w:pPr>
        <w:spacing w:line="360" w:lineRule="auto"/>
        <w:ind w:firstLine="549" w:firstLineChars="229"/>
        <w:rPr>
          <w:rFonts w:ascii="仿宋_GB2312" w:hAnsi="仿宋" w:eastAsia="仿宋_GB2312" w:cs="仿宋_GB2312"/>
          <w:sz w:val="24"/>
        </w:rPr>
      </w:pPr>
    </w:p>
    <w:p>
      <w:pPr>
        <w:spacing w:line="360" w:lineRule="auto"/>
        <w:ind w:firstLine="549" w:firstLineChars="229"/>
        <w:rPr>
          <w:rFonts w:ascii="仿宋_GB2312" w:hAnsi="仿宋" w:eastAsia="仿宋_GB2312" w:cs="仿宋_GB2312"/>
          <w:sz w:val="24"/>
        </w:rPr>
      </w:pPr>
    </w:p>
    <w:p>
      <w:pPr>
        <w:spacing w:line="360" w:lineRule="auto"/>
        <w:ind w:firstLine="549" w:firstLineChars="229"/>
        <w:rPr>
          <w:rFonts w:ascii="仿宋_GB2312" w:hAnsi="仿宋" w:eastAsia="仿宋_GB2312" w:cs="仿宋_GB2312"/>
          <w:sz w:val="24"/>
        </w:rPr>
      </w:pPr>
    </w:p>
    <w:p>
      <w:pPr>
        <w:spacing w:line="360" w:lineRule="auto"/>
        <w:ind w:firstLine="549" w:firstLineChars="229"/>
        <w:rPr>
          <w:rFonts w:ascii="仿宋_GB2312" w:hAnsi="仿宋" w:eastAsia="仿宋_GB2312" w:cs="仿宋_GB2312"/>
          <w:sz w:val="24"/>
        </w:rPr>
      </w:pPr>
    </w:p>
    <w:p>
      <w:pPr>
        <w:spacing w:line="360" w:lineRule="auto"/>
        <w:ind w:firstLine="549" w:firstLineChars="229"/>
        <w:rPr>
          <w:rFonts w:ascii="仿宋_GB2312" w:hAnsi="仿宋" w:eastAsia="仿宋_GB2312" w:cs="仿宋_GB2312"/>
          <w:sz w:val="24"/>
        </w:rPr>
      </w:pPr>
    </w:p>
    <w:p>
      <w:pPr>
        <w:spacing w:line="360" w:lineRule="auto"/>
        <w:rPr>
          <w:rFonts w:ascii="仿宋_GB2312" w:hAnsi="仿宋" w:eastAsia="仿宋_GB2312" w:cs="仿宋_GB2312"/>
          <w:sz w:val="24"/>
        </w:rPr>
      </w:pPr>
    </w:p>
    <w:p>
      <w:pPr>
        <w:adjustRightInd/>
        <w:spacing w:line="360" w:lineRule="auto"/>
        <w:jc w:val="center"/>
        <w:outlineLvl w:val="0"/>
        <w:rPr>
          <w:rFonts w:ascii="仿宋_GB2312" w:hAnsi="仿宋" w:eastAsia="仿宋_GB2312" w:cs="仿宋_GB2312"/>
          <w:b/>
          <w:sz w:val="36"/>
          <w:szCs w:val="20"/>
        </w:rPr>
      </w:pPr>
      <w:bookmarkStart w:id="4" w:name="第一部分"/>
      <w:r>
        <w:rPr>
          <w:rFonts w:hint="eastAsia" w:ascii="仿宋_GB2312" w:hAnsi="仿宋" w:eastAsia="仿宋_GB2312" w:cs="仿宋_GB2312"/>
          <w:b/>
          <w:sz w:val="36"/>
          <w:szCs w:val="36"/>
        </w:rPr>
        <w:br w:type="page"/>
      </w:r>
      <w:bookmarkEnd w:id="3"/>
      <w:bookmarkEnd w:id="4"/>
      <w:bookmarkStart w:id="5" w:name="_Hlt74649545"/>
      <w:bookmarkEnd w:id="5"/>
      <w:bookmarkStart w:id="6" w:name="_Hlt74728647"/>
      <w:bookmarkEnd w:id="6"/>
      <w:bookmarkStart w:id="7" w:name="_Hlt74729822"/>
      <w:bookmarkEnd w:id="7"/>
      <w:bookmarkStart w:id="8" w:name="_Hlt74707423"/>
      <w:bookmarkEnd w:id="8"/>
      <w:bookmarkStart w:id="9" w:name="第二部分"/>
      <w:bookmarkStart w:id="10" w:name="_Toc91899870"/>
      <w:bookmarkStart w:id="11" w:name="_Toc91899871"/>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lang w:val="en-US" w:eastAsia="zh-CN"/>
        </w:rPr>
        <w:t>2021</w:t>
      </w:r>
      <w:r>
        <w:rPr>
          <w:rFonts w:hint="eastAsia" w:ascii="仿宋_GB2312" w:hAnsi="仿宋" w:eastAsia="仿宋_GB2312"/>
          <w:sz w:val="24"/>
        </w:rPr>
        <w:t>拱墅区信息化综合运维与服务招标项目的潜在投标人应在政采云平台（</w:t>
      </w:r>
      <w:r>
        <w:fldChar w:fldCharType="begin"/>
      </w:r>
      <w:r>
        <w:instrText xml:space="preserve"> HYPERLINK "https://www.zcygov.cn/）获取（下载）招标文件，并于2021年9月" </w:instrText>
      </w:r>
      <w:r>
        <w:fldChar w:fldCharType="separate"/>
      </w:r>
      <w:r>
        <w:rPr>
          <w:rStyle w:val="75"/>
          <w:rFonts w:hint="eastAsia" w:ascii="仿宋_GB2312" w:hAnsi="仿宋" w:eastAsia="仿宋_GB2312" w:cs="Times New Roman"/>
          <w:snapToGrid/>
          <w:color w:val="auto"/>
          <w:kern w:val="2"/>
          <w:sz w:val="24"/>
          <w:szCs w:val="24"/>
        </w:rPr>
        <w:t>https://www.zcygov.cn/）获取（下载）招标文件，并于2021年</w:t>
      </w:r>
      <w:r>
        <w:rPr>
          <w:rStyle w:val="75"/>
          <w:rFonts w:hint="eastAsia" w:ascii="仿宋_GB2312" w:hAnsi="仿宋" w:eastAsia="仿宋_GB2312" w:cs="Times New Roman"/>
          <w:snapToGrid/>
          <w:color w:val="auto"/>
          <w:kern w:val="2"/>
          <w:sz w:val="24"/>
          <w:szCs w:val="24"/>
          <w:lang w:val="en-US" w:eastAsia="zh-CN"/>
        </w:rPr>
        <w:t>10</w:t>
      </w:r>
      <w:r>
        <w:rPr>
          <w:rStyle w:val="75"/>
          <w:rFonts w:hint="eastAsia" w:ascii="仿宋_GB2312" w:hAnsi="仿宋" w:eastAsia="仿宋_GB2312" w:cs="Times New Roman"/>
          <w:snapToGrid/>
          <w:color w:val="auto"/>
          <w:kern w:val="2"/>
          <w:sz w:val="24"/>
          <w:szCs w:val="24"/>
        </w:rPr>
        <w:t>月</w:t>
      </w:r>
      <w:r>
        <w:rPr>
          <w:rStyle w:val="75"/>
          <w:rFonts w:hint="eastAsia" w:ascii="仿宋_GB2312" w:hAnsi="仿宋" w:eastAsia="仿宋_GB2312" w:cs="Times New Roman"/>
          <w:snapToGrid/>
          <w:color w:val="auto"/>
          <w:kern w:val="2"/>
          <w:sz w:val="24"/>
          <w:szCs w:val="24"/>
        </w:rPr>
        <w:fldChar w:fldCharType="end"/>
      </w:r>
      <w:r>
        <w:rPr>
          <w:rFonts w:ascii="仿宋_GB2312" w:hAnsi="仿宋" w:eastAsia="仿宋_GB2312"/>
          <w:sz w:val="24"/>
          <w:u w:val="single"/>
        </w:rPr>
        <w:t xml:space="preserve"> </w:t>
      </w:r>
      <w:r>
        <w:rPr>
          <w:rFonts w:hint="eastAsia" w:ascii="仿宋_GB2312" w:hAnsi="仿宋" w:eastAsia="仿宋_GB2312"/>
          <w:sz w:val="24"/>
          <w:u w:val="single"/>
          <w:lang w:val="en-US" w:eastAsia="zh-CN"/>
        </w:rPr>
        <w:t>11</w:t>
      </w:r>
      <w:r>
        <w:rPr>
          <w:rFonts w:ascii="仿宋_GB2312" w:hAnsi="仿宋" w:eastAsia="仿宋_GB2312"/>
          <w:sz w:val="24"/>
          <w:u w:val="single"/>
        </w:rPr>
        <w:t xml:space="preserve"> </w:t>
      </w:r>
      <w:r>
        <w:rPr>
          <w:rFonts w:hint="eastAsia" w:ascii="仿宋_GB2312" w:hAnsi="仿宋" w:eastAsia="仿宋_GB2312"/>
          <w:sz w:val="24"/>
          <w:u w:val="single"/>
        </w:rPr>
        <w:t>日</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14</w:t>
      </w:r>
      <w:r>
        <w:rPr>
          <w:rFonts w:ascii="仿宋_GB2312" w:hAnsi="仿宋" w:eastAsia="仿宋_GB2312"/>
          <w:sz w:val="24"/>
          <w:u w:val="single"/>
        </w:rPr>
        <w:t xml:space="preserve"> </w:t>
      </w:r>
      <w:r>
        <w:rPr>
          <w:rFonts w:hint="eastAsia" w:ascii="仿宋_GB2312" w:hAnsi="仿宋" w:eastAsia="仿宋_GB2312"/>
          <w:bCs/>
          <w:sz w:val="24"/>
          <w:u w:val="single"/>
        </w:rPr>
        <w:t>点</w:t>
      </w:r>
      <w:r>
        <w:rPr>
          <w:rFonts w:hint="eastAsia" w:ascii="仿宋_GB2312" w:hAnsi="仿宋" w:eastAsia="仿宋_GB2312"/>
          <w:bCs/>
          <w:sz w:val="24"/>
          <w:u w:val="single"/>
          <w:lang w:val="en-US" w:eastAsia="zh-CN"/>
        </w:rPr>
        <w:t>00</w:t>
      </w:r>
      <w:r>
        <w:rPr>
          <w:rFonts w:ascii="仿宋_GB2312" w:hAnsi="仿宋" w:eastAsia="仿宋_GB2312"/>
          <w:bCs/>
          <w:sz w:val="24"/>
          <w:u w:val="single"/>
        </w:rPr>
        <w:t xml:space="preserve">  </w:t>
      </w:r>
      <w:r>
        <w:rPr>
          <w:rFonts w:hint="eastAsia" w:ascii="仿宋_GB2312" w:hAnsi="仿宋" w:eastAsia="仿宋_GB2312"/>
          <w:bCs/>
          <w:sz w:val="24"/>
          <w:u w:val="single"/>
        </w:rPr>
        <w:t>分00秒</w:t>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 xml:space="preserve">一、项目基本情况                                            </w:t>
      </w:r>
    </w:p>
    <w:p>
      <w:pPr>
        <w:spacing w:line="360" w:lineRule="auto"/>
        <w:rPr>
          <w:rFonts w:ascii="仿宋_GB2312" w:hAnsi="仿宋" w:eastAsia="仿宋_GB2312"/>
          <w:sz w:val="24"/>
        </w:rPr>
      </w:pPr>
      <w:r>
        <w:rPr>
          <w:rFonts w:hint="eastAsia"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cs="仿宋_GB2312"/>
          <w:sz w:val="24"/>
        </w:rPr>
        <w:t>DLZB2021D-GK-C038</w:t>
      </w:r>
    </w:p>
    <w:p>
      <w:pPr>
        <w:spacing w:line="360" w:lineRule="auto"/>
        <w:rPr>
          <w:rFonts w:ascii="仿宋_GB2312" w:hAnsi="仿宋" w:eastAsia="仿宋_GB2312"/>
          <w:bCs/>
          <w:sz w:val="24"/>
        </w:rPr>
      </w:pPr>
      <w:r>
        <w:rPr>
          <w:rFonts w:hint="eastAsia" w:ascii="仿宋_GB2312" w:hAnsi="仿宋" w:eastAsia="仿宋_GB2312"/>
          <w:sz w:val="24"/>
        </w:rPr>
        <w:t xml:space="preserve">    </w:t>
      </w:r>
      <w:r>
        <w:rPr>
          <w:rFonts w:hint="eastAsia" w:ascii="仿宋_GB2312" w:hAnsi="仿宋" w:eastAsia="仿宋_GB2312"/>
          <w:b/>
          <w:sz w:val="24"/>
        </w:rPr>
        <w:t>项目名称：</w:t>
      </w:r>
      <w:r>
        <w:rPr>
          <w:rFonts w:hint="eastAsia" w:ascii="仿宋_GB2312" w:hAnsi="仿宋" w:eastAsia="仿宋_GB2312"/>
          <w:bCs/>
          <w:sz w:val="24"/>
        </w:rPr>
        <w:t>2021年拱墅区信息化综合运维与服务项目（标项1、标项2）</w:t>
      </w:r>
    </w:p>
    <w:p>
      <w:pPr>
        <w:spacing w:line="360" w:lineRule="auto"/>
        <w:ind w:firstLine="481" w:firstLineChars="200"/>
        <w:rPr>
          <w:rFonts w:ascii="仿宋_GB2312" w:hAnsi="仿宋" w:eastAsia="仿宋_GB2312"/>
          <w:sz w:val="24"/>
        </w:rPr>
      </w:pPr>
      <w:r>
        <w:rPr>
          <w:rFonts w:hint="eastAsia" w:ascii="仿宋_GB2312" w:hAnsi="仿宋" w:eastAsia="仿宋_GB2312"/>
          <w:b/>
          <w:sz w:val="24"/>
        </w:rPr>
        <w:t>预算金额（万元）：</w:t>
      </w:r>
      <w:r>
        <w:rPr>
          <w:rFonts w:ascii="仿宋_GB2312" w:hAnsi="仿宋" w:eastAsia="仿宋_GB2312"/>
          <w:b/>
          <w:sz w:val="24"/>
        </w:rPr>
        <w:t xml:space="preserve"> </w:t>
      </w:r>
      <w:r>
        <w:rPr>
          <w:rFonts w:hint="eastAsia" w:ascii="仿宋_GB2312" w:hAnsi="仿宋" w:eastAsia="仿宋_GB2312"/>
          <w:b/>
          <w:sz w:val="24"/>
        </w:rPr>
        <w:t>748.865</w:t>
      </w:r>
      <w:r>
        <w:rPr>
          <w:rFonts w:ascii="仿宋_GB2312" w:hAnsi="仿宋" w:eastAsia="仿宋_GB2312"/>
          <w:b/>
          <w:sz w:val="24"/>
        </w:rPr>
        <w:t xml:space="preserve"> </w:t>
      </w:r>
    </w:p>
    <w:p>
      <w:pPr>
        <w:spacing w:line="360" w:lineRule="auto"/>
        <w:ind w:firstLine="480"/>
        <w:rPr>
          <w:rFonts w:ascii="仿宋_GB2312" w:hAnsi="仿宋" w:eastAsia="仿宋_GB2312"/>
          <w:b/>
        </w:rPr>
      </w:pPr>
      <w:r>
        <w:rPr>
          <w:rFonts w:hint="eastAsia" w:ascii="仿宋_GB2312" w:hAnsi="仿宋" w:eastAsia="仿宋_GB2312"/>
          <w:b/>
          <w:sz w:val="24"/>
        </w:rPr>
        <w:t>最高限价（万元）：</w:t>
      </w:r>
      <w:r>
        <w:rPr>
          <w:rFonts w:ascii="仿宋_GB2312" w:hAnsi="仿宋" w:eastAsia="仿宋_GB2312"/>
          <w:b/>
          <w:sz w:val="24"/>
        </w:rPr>
        <w:t xml:space="preserve"> </w:t>
      </w:r>
      <w:r>
        <w:rPr>
          <w:rFonts w:hint="eastAsia" w:ascii="仿宋_GB2312" w:hAnsi="仿宋" w:eastAsia="仿宋_GB2312"/>
          <w:b/>
          <w:sz w:val="24"/>
        </w:rPr>
        <w:t>748.865</w:t>
      </w:r>
      <w:r>
        <w:rPr>
          <w:rFonts w:ascii="仿宋_GB2312" w:hAnsi="仿宋" w:eastAsia="仿宋_GB2312"/>
          <w:b/>
          <w:sz w:val="24"/>
        </w:rPr>
        <w:t xml:space="preserve"> </w:t>
      </w:r>
    </w:p>
    <w:p>
      <w:pPr>
        <w:spacing w:line="360" w:lineRule="auto"/>
        <w:ind w:firstLine="480"/>
        <w:rPr>
          <w:rFonts w:ascii="仿宋_GB2312" w:hAnsi="仿宋" w:eastAsia="仿宋_GB2312"/>
          <w:bCs/>
          <w:sz w:val="24"/>
        </w:rPr>
      </w:pPr>
      <w:r>
        <w:rPr>
          <w:rFonts w:hint="eastAsia" w:ascii="仿宋_GB2312" w:hAnsi="仿宋" w:eastAsia="仿宋_GB2312"/>
          <w:b/>
          <w:sz w:val="24"/>
        </w:rPr>
        <w:t>采购方式：</w:t>
      </w:r>
      <w:r>
        <w:rPr>
          <w:rFonts w:hint="eastAsia" w:ascii="仿宋_GB2312" w:hAnsi="仿宋" w:eastAsia="仿宋_GB2312"/>
          <w:bCs/>
          <w:sz w:val="24"/>
        </w:rPr>
        <w:t>公开招标</w:t>
      </w:r>
    </w:p>
    <w:p>
      <w:pPr>
        <w:spacing w:line="360" w:lineRule="auto"/>
        <w:ind w:firstLine="480"/>
        <w:rPr>
          <w:rFonts w:ascii="仿宋_GB2312" w:hAnsi="仿宋" w:eastAsia="仿宋_GB2312"/>
          <w:b/>
          <w:sz w:val="24"/>
        </w:rPr>
      </w:pPr>
    </w:p>
    <w:p>
      <w:pPr>
        <w:spacing w:line="360" w:lineRule="auto"/>
        <w:ind w:firstLine="480"/>
        <w:rPr>
          <w:rFonts w:ascii="仿宋_GB2312" w:hAnsi="仿宋" w:eastAsia="仿宋_GB2312"/>
          <w:b/>
          <w:sz w:val="24"/>
        </w:rPr>
      </w:pPr>
      <w:r>
        <w:rPr>
          <w:rFonts w:hint="eastAsia" w:ascii="仿宋_GB2312" w:hAnsi="仿宋" w:eastAsia="仿宋_GB2312"/>
          <w:b/>
          <w:sz w:val="24"/>
        </w:rPr>
        <w:t>标项1：</w:t>
      </w:r>
    </w:p>
    <w:p>
      <w:pPr>
        <w:spacing w:line="360" w:lineRule="auto"/>
        <w:ind w:firstLine="480"/>
        <w:rPr>
          <w:rFonts w:ascii="仿宋_GB2312" w:hAnsi="仿宋" w:eastAsia="仿宋_GB2312"/>
          <w:bCs/>
          <w:color w:val="auto"/>
          <w:sz w:val="24"/>
        </w:rPr>
      </w:pPr>
      <w:r>
        <w:rPr>
          <w:rFonts w:hint="eastAsia" w:ascii="仿宋_GB2312" w:hAnsi="仿宋" w:eastAsia="仿宋_GB2312"/>
          <w:b/>
          <w:sz w:val="24"/>
        </w:rPr>
        <w:t>标项名称：</w:t>
      </w:r>
      <w:r>
        <w:rPr>
          <w:rFonts w:hint="eastAsia" w:ascii="仿宋_GB2312" w:hAnsi="仿宋" w:eastAsia="仿宋_GB2312"/>
          <w:bCs/>
          <w:sz w:val="24"/>
        </w:rPr>
        <w:t>2021年</w:t>
      </w:r>
      <w:r>
        <w:rPr>
          <w:rFonts w:hint="eastAsia" w:ascii="仿宋_GB2312" w:hAnsi="仿宋" w:eastAsia="仿宋_GB2312"/>
          <w:bCs/>
          <w:color w:val="auto"/>
          <w:sz w:val="24"/>
        </w:rPr>
        <w:t>拱墅区智慧电子政务综合运维服务</w:t>
      </w:r>
    </w:p>
    <w:p>
      <w:pPr>
        <w:spacing w:line="360" w:lineRule="auto"/>
        <w:ind w:firstLine="480"/>
        <w:rPr>
          <w:rFonts w:hint="default" w:ascii="仿宋_GB2312" w:hAnsi="仿宋" w:eastAsia="仿宋_GB2312"/>
          <w:b/>
          <w:color w:val="auto"/>
          <w:sz w:val="24"/>
          <w:lang w:val="en-US" w:eastAsia="zh-CN"/>
        </w:rPr>
      </w:pPr>
      <w:r>
        <w:rPr>
          <w:rFonts w:hint="eastAsia" w:ascii="仿宋_GB2312" w:hAnsi="仿宋" w:eastAsia="仿宋_GB2312"/>
          <w:b/>
          <w:color w:val="auto"/>
          <w:sz w:val="24"/>
        </w:rPr>
        <w:t>预算金额（万元）：</w:t>
      </w:r>
      <w:r>
        <w:rPr>
          <w:rFonts w:hint="eastAsia" w:ascii="仿宋_GB2312" w:hAnsi="仿宋" w:eastAsia="仿宋_GB2312"/>
          <w:b/>
          <w:color w:val="auto"/>
          <w:sz w:val="24"/>
          <w:lang w:val="en-US" w:eastAsia="zh-CN"/>
        </w:rPr>
        <w:t>327</w:t>
      </w:r>
    </w:p>
    <w:p>
      <w:pPr>
        <w:spacing w:line="360" w:lineRule="auto"/>
        <w:ind w:firstLine="480"/>
        <w:rPr>
          <w:rFonts w:ascii="仿宋_GB2312" w:hAnsi="仿宋" w:eastAsia="仿宋_GB2312"/>
          <w:color w:val="auto"/>
          <w:sz w:val="24"/>
        </w:rPr>
      </w:pPr>
    </w:p>
    <w:p>
      <w:pPr>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标项2：</w:t>
      </w:r>
    </w:p>
    <w:p>
      <w:pPr>
        <w:spacing w:line="360" w:lineRule="auto"/>
        <w:ind w:firstLine="480"/>
        <w:rPr>
          <w:rFonts w:ascii="仿宋_GB2312" w:hAnsi="仿宋" w:eastAsia="仿宋_GB2312"/>
          <w:bCs/>
          <w:color w:val="auto"/>
          <w:sz w:val="24"/>
        </w:rPr>
      </w:pPr>
      <w:r>
        <w:rPr>
          <w:rFonts w:hint="eastAsia" w:ascii="仿宋_GB2312" w:hAnsi="仿宋" w:eastAsia="仿宋_GB2312"/>
          <w:b/>
          <w:color w:val="auto"/>
          <w:sz w:val="24"/>
        </w:rPr>
        <w:t>标项名称：</w:t>
      </w:r>
      <w:r>
        <w:rPr>
          <w:rFonts w:hint="eastAsia" w:ascii="仿宋_GB2312" w:hAnsi="仿宋" w:eastAsia="仿宋_GB2312"/>
          <w:bCs/>
          <w:color w:val="auto"/>
          <w:sz w:val="24"/>
        </w:rPr>
        <w:t>2021年拱墅区网络机房运维和设备维保服务</w:t>
      </w:r>
    </w:p>
    <w:p>
      <w:pPr>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预算金额（万元）：</w:t>
      </w:r>
      <w:r>
        <w:rPr>
          <w:rFonts w:hint="eastAsia" w:ascii="仿宋_GB2312" w:hAnsi="仿宋" w:eastAsia="仿宋_GB2312"/>
          <w:b/>
          <w:color w:val="auto"/>
          <w:sz w:val="24"/>
          <w:lang w:val="en-US" w:eastAsia="zh-CN"/>
        </w:rPr>
        <w:t>421</w:t>
      </w:r>
      <w:r>
        <w:rPr>
          <w:rFonts w:hint="eastAsia" w:ascii="仿宋_GB2312" w:hAnsi="仿宋" w:eastAsia="仿宋_GB2312"/>
          <w:b/>
          <w:color w:val="auto"/>
          <w:sz w:val="24"/>
        </w:rPr>
        <w:t>.865</w:t>
      </w:r>
    </w:p>
    <w:p>
      <w:pPr>
        <w:pStyle w:val="78"/>
      </w:pPr>
    </w:p>
    <w:p>
      <w:pPr>
        <w:spacing w:line="360" w:lineRule="auto"/>
        <w:ind w:firstLine="480"/>
        <w:rPr>
          <w:rFonts w:ascii="仿宋_GB2312" w:hAnsi="仿宋" w:eastAsia="仿宋_GB2312"/>
          <w:sz w:val="24"/>
        </w:rPr>
      </w:pPr>
      <w:r>
        <w:rPr>
          <w:rFonts w:hint="eastAsia" w:ascii="仿宋_GB2312" w:hAnsi="仿宋" w:eastAsia="仿宋_GB2312"/>
          <w:b/>
          <w:sz w:val="24"/>
        </w:rPr>
        <w:t>采购需求：</w:t>
      </w:r>
      <w:r>
        <w:rPr>
          <w:rFonts w:hint="eastAsia" w:ascii="仿宋_GB2312" w:hAnsi="仿宋" w:eastAsia="仿宋_GB2312"/>
          <w:sz w:val="24"/>
        </w:rPr>
        <w:t>标项1、2采购需求详见招标文件第三部分</w:t>
      </w:r>
    </w:p>
    <w:p>
      <w:pPr>
        <w:spacing w:line="360" w:lineRule="auto"/>
        <w:ind w:firstLine="480"/>
        <w:rPr>
          <w:rFonts w:ascii="仿宋_GB2312" w:hAnsi="仿宋" w:eastAsia="仿宋_GB2312"/>
          <w:sz w:val="24"/>
        </w:rPr>
      </w:pPr>
      <w:r>
        <w:rPr>
          <w:rFonts w:hint="eastAsia" w:ascii="仿宋_GB2312" w:hAnsi="仿宋" w:eastAsia="仿宋_GB2312"/>
          <w:b/>
          <w:sz w:val="24"/>
        </w:rPr>
        <w:t>合同履约期限：</w:t>
      </w:r>
      <w:r>
        <w:rPr>
          <w:rFonts w:hint="eastAsia" w:ascii="仿宋_GB2312" w:hAnsi="仿宋" w:eastAsia="仿宋_GB2312"/>
          <w:sz w:val="24"/>
        </w:rPr>
        <w:t>标项1、2履约期限详见招标文件</w:t>
      </w:r>
    </w:p>
    <w:p>
      <w:pPr>
        <w:spacing w:line="360" w:lineRule="auto"/>
        <w:ind w:firstLine="480"/>
        <w:rPr>
          <w:rFonts w:ascii="仿宋_GB2312" w:hAnsi="仿宋" w:eastAsia="仿宋_GB2312"/>
          <w:b/>
          <w:sz w:val="24"/>
        </w:rPr>
      </w:pPr>
      <w:r>
        <w:rPr>
          <w:rFonts w:hint="eastAsia" w:ascii="仿宋_GB2312" w:hAnsi="仿宋" w:eastAsia="仿宋_GB2312"/>
          <w:b/>
          <w:sz w:val="24"/>
        </w:rPr>
        <w:t>本项目不接受联合体投标。</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1.满足《中华人民共和国政府采购法》第二十二条规定；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2.落实政府采购政策需满足的资格要求：无。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3.本项目的特定资格要求：无 </w:t>
      </w:r>
    </w:p>
    <w:p>
      <w:pPr>
        <w:spacing w:line="360" w:lineRule="auto"/>
        <w:rPr>
          <w:rFonts w:ascii="仿宋_GB2312" w:hAnsi="仿宋" w:eastAsia="仿宋_GB2312"/>
          <w:b/>
          <w:sz w:val="24"/>
        </w:rPr>
      </w:pPr>
      <w:r>
        <w:rPr>
          <w:rFonts w:hint="eastAsia" w:ascii="仿宋_GB2312" w:hAnsi="仿宋" w:eastAsia="仿宋_GB2312"/>
          <w:b/>
          <w:sz w:val="24"/>
        </w:rPr>
        <w:t xml:space="preserve">三、获取招标文件 </w:t>
      </w:r>
    </w:p>
    <w:p>
      <w:pPr>
        <w:spacing w:line="360" w:lineRule="auto"/>
        <w:ind w:firstLine="481" w:firstLineChars="200"/>
        <w:rPr>
          <w:rFonts w:hint="eastAsia" w:ascii="仿宋_GB2312" w:hAnsi="仿宋" w:eastAsia="仿宋_GB2312"/>
          <w:sz w:val="24"/>
          <w:lang w:eastAsia="zh-CN"/>
        </w:rPr>
      </w:pPr>
      <w:r>
        <w:rPr>
          <w:rFonts w:hint="eastAsia" w:ascii="仿宋_GB2312" w:hAnsi="仿宋" w:eastAsia="仿宋_GB2312"/>
          <w:b/>
          <w:sz w:val="24"/>
        </w:rPr>
        <w:t>时间：</w:t>
      </w:r>
      <w:r>
        <w:rPr>
          <w:rFonts w:hint="eastAsia" w:ascii="仿宋_GB2312" w:hAnsi="仿宋" w:eastAsia="仿宋_GB2312"/>
          <w:sz w:val="24"/>
        </w:rPr>
        <w:t>/至2021年</w:t>
      </w:r>
      <w:r>
        <w:rPr>
          <w:rFonts w:hint="eastAsia" w:ascii="仿宋_GB2312" w:hAnsi="仿宋" w:eastAsia="仿宋_GB2312"/>
          <w:sz w:val="24"/>
          <w:lang w:eastAsia="zh-CN"/>
        </w:rPr>
        <w:t>10月11日</w:t>
      </w:r>
      <w:r>
        <w:rPr>
          <w:rFonts w:hint="eastAsia" w:ascii="仿宋_GB2312" w:hAnsi="仿宋" w:eastAsia="仿宋_GB2312"/>
          <w:sz w:val="24"/>
        </w:rPr>
        <w:t>14</w:t>
      </w:r>
      <w:r>
        <w:rPr>
          <w:rFonts w:hint="eastAsia" w:ascii="仿宋_GB2312" w:hAnsi="仿宋" w:eastAsia="仿宋_GB2312"/>
          <w:bCs/>
          <w:sz w:val="24"/>
        </w:rPr>
        <w:t>点00分00秒</w:t>
      </w:r>
      <w:r>
        <w:rPr>
          <w:rFonts w:hint="eastAsia" w:ascii="仿宋_GB2312" w:hAnsi="仿宋" w:eastAsia="仿宋_GB2312"/>
          <w:sz w:val="24"/>
        </w:rPr>
        <w:t>（北京时间） ，每天上午00:00至12:00 ，下午12:00至23:59（北京时间，线上获取法定节假日均可，线下获取文件法定节假日除外）</w:t>
      </w:r>
      <w:ins w:id="0" w:author="user" w:date="2021-09-18T11:38:51Z">
        <w:r>
          <w:rPr>
            <w:rFonts w:hint="eastAsia" w:ascii="仿宋_GB2312" w:hAnsi="仿宋" w:eastAsia="仿宋_GB2312"/>
            <w:sz w:val="24"/>
            <w:lang w:eastAsia="zh-CN"/>
          </w:rPr>
          <w:t>。</w:t>
        </w:r>
      </w:ins>
      <w:bookmarkStart w:id="421" w:name="_GoBack"/>
      <w:bookmarkEnd w:id="421"/>
    </w:p>
    <w:p>
      <w:pPr>
        <w:spacing w:line="360" w:lineRule="auto"/>
        <w:ind w:firstLine="481"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 xml:space="preserve">政采云平台（https://www.zcygov.cn/） </w:t>
      </w:r>
    </w:p>
    <w:p>
      <w:pPr>
        <w:spacing w:line="360" w:lineRule="auto"/>
        <w:ind w:firstLine="481"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ind w:firstLine="481" w:firstLineChars="200"/>
        <w:rPr>
          <w:rFonts w:ascii="仿宋_GB2312" w:hAnsi="仿宋" w:eastAsia="仿宋_GB2312"/>
          <w:sz w:val="24"/>
        </w:rPr>
      </w:pPr>
      <w:r>
        <w:rPr>
          <w:rFonts w:hint="eastAsia" w:ascii="仿宋_GB2312" w:hAnsi="仿宋" w:eastAsia="仿宋_GB2312"/>
          <w:b/>
          <w:sz w:val="24"/>
        </w:rPr>
        <w:t>售价（元）：</w:t>
      </w:r>
      <w:r>
        <w:rPr>
          <w:rFonts w:hint="eastAsia" w:ascii="仿宋_GB2312" w:hAnsi="仿宋" w:eastAsia="仿宋_GB2312"/>
          <w:sz w:val="24"/>
        </w:rPr>
        <w:t xml:space="preserve">0 </w:t>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1"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rPr>
        <w:t>2021年</w:t>
      </w:r>
      <w:r>
        <w:rPr>
          <w:rFonts w:hint="eastAsia" w:ascii="仿宋_GB2312" w:hAnsi="仿宋" w:eastAsia="仿宋_GB2312"/>
          <w:sz w:val="24"/>
          <w:lang w:val="en-US" w:eastAsia="zh-CN"/>
        </w:rPr>
        <w:t>10</w:t>
      </w:r>
      <w:r>
        <w:rPr>
          <w:rFonts w:hint="eastAsia" w:ascii="仿宋_GB2312" w:hAnsi="仿宋" w:eastAsia="仿宋_GB2312"/>
          <w:sz w:val="24"/>
        </w:rPr>
        <w:t>月</w:t>
      </w:r>
      <w:r>
        <w:rPr>
          <w:rFonts w:hint="eastAsia" w:ascii="仿宋_GB2312" w:hAnsi="仿宋" w:eastAsia="仿宋_GB2312"/>
          <w:sz w:val="24"/>
          <w:lang w:val="en-US" w:eastAsia="zh-CN"/>
        </w:rPr>
        <w:t>11</w:t>
      </w:r>
      <w:r>
        <w:rPr>
          <w:rFonts w:hint="eastAsia" w:ascii="仿宋_GB2312" w:hAnsi="仿宋" w:eastAsia="仿宋_GB2312"/>
          <w:sz w:val="24"/>
        </w:rPr>
        <w:t>日14</w:t>
      </w:r>
      <w:r>
        <w:rPr>
          <w:rFonts w:hint="eastAsia" w:ascii="仿宋_GB2312" w:hAnsi="仿宋" w:eastAsia="仿宋_GB2312"/>
          <w:bCs/>
          <w:sz w:val="24"/>
        </w:rPr>
        <w:t>点00分00秒</w:t>
      </w:r>
      <w:r>
        <w:rPr>
          <w:rFonts w:hint="eastAsia" w:ascii="仿宋_GB2312" w:hAnsi="仿宋" w:eastAsia="仿宋_GB2312"/>
          <w:sz w:val="24"/>
        </w:rPr>
        <w:t>（北京时间）</w:t>
      </w:r>
    </w:p>
    <w:p>
      <w:pPr>
        <w:spacing w:line="360" w:lineRule="auto"/>
        <w:ind w:firstLine="481"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 xml:space="preserve">政采云平台 </w:t>
      </w:r>
    </w:p>
    <w:p>
      <w:pPr>
        <w:spacing w:line="360" w:lineRule="auto"/>
        <w:ind w:firstLine="481" w:firstLineChars="200"/>
        <w:rPr>
          <w:rFonts w:ascii="仿宋_GB2312" w:hAnsi="仿宋" w:eastAsia="仿宋_GB2312"/>
          <w:bCs/>
          <w:sz w:val="24"/>
        </w:rPr>
      </w:pPr>
      <w:r>
        <w:rPr>
          <w:rFonts w:hint="eastAsia" w:ascii="仿宋_GB2312" w:hAnsi="仿宋" w:eastAsia="仿宋_GB2312"/>
          <w:b/>
          <w:sz w:val="24"/>
        </w:rPr>
        <w:t>开标时间：</w:t>
      </w:r>
      <w:r>
        <w:rPr>
          <w:rFonts w:hint="eastAsia" w:ascii="仿宋_GB2312" w:hAnsi="仿宋" w:eastAsia="仿宋_GB2312"/>
          <w:sz w:val="24"/>
        </w:rPr>
        <w:t>2021年</w:t>
      </w:r>
      <w:r>
        <w:rPr>
          <w:rFonts w:hint="eastAsia" w:ascii="仿宋_GB2312" w:hAnsi="仿宋" w:eastAsia="仿宋_GB2312"/>
          <w:sz w:val="24"/>
          <w:lang w:eastAsia="zh-CN"/>
        </w:rPr>
        <w:t>10月11日</w:t>
      </w:r>
      <w:r>
        <w:rPr>
          <w:rFonts w:hint="eastAsia" w:ascii="仿宋_GB2312" w:hAnsi="仿宋" w:eastAsia="仿宋_GB2312"/>
          <w:sz w:val="24"/>
        </w:rPr>
        <w:t>14</w:t>
      </w:r>
      <w:r>
        <w:rPr>
          <w:rFonts w:hint="eastAsia" w:ascii="仿宋_GB2312" w:hAnsi="仿宋" w:eastAsia="仿宋_GB2312"/>
          <w:bCs/>
          <w:sz w:val="24"/>
        </w:rPr>
        <w:t>点00分00秒</w:t>
      </w:r>
      <w:r>
        <w:rPr>
          <w:rFonts w:hint="eastAsia" w:ascii="仿宋_GB2312" w:hAnsi="仿宋" w:eastAsia="仿宋_GB2312"/>
          <w:sz w:val="24"/>
        </w:rPr>
        <w:t>（北京时间）</w:t>
      </w:r>
    </w:p>
    <w:p>
      <w:pPr>
        <w:spacing w:line="360" w:lineRule="auto"/>
        <w:ind w:firstLine="481" w:firstLineChars="200"/>
        <w:rPr>
          <w:rFonts w:ascii="仿宋_GB2312" w:hAnsi="仿宋" w:eastAsia="仿宋_GB2312"/>
          <w:sz w:val="24"/>
        </w:rPr>
      </w:pPr>
      <w:r>
        <w:rPr>
          <w:rFonts w:hint="eastAsia" w:ascii="仿宋_GB2312" w:hAnsi="仿宋" w:eastAsia="仿宋_GB2312"/>
          <w:b/>
          <w:sz w:val="24"/>
        </w:rPr>
        <w:t>开标地点：</w:t>
      </w:r>
      <w:r>
        <w:rPr>
          <w:rFonts w:hint="eastAsia" w:ascii="仿宋_GB2312" w:hAnsi="仿宋" w:eastAsia="仿宋_GB2312"/>
          <w:sz w:val="24"/>
        </w:rPr>
        <w:t>杭州鼎廉招标代理有限公司（杭州市凤起东路358号五福天星龙大厦A座170</w:t>
      </w:r>
      <w:r>
        <w:rPr>
          <w:rFonts w:ascii="仿宋_GB2312" w:hAnsi="仿宋" w:eastAsia="仿宋_GB2312"/>
          <w:sz w:val="24"/>
        </w:rPr>
        <w:t>3</w:t>
      </w:r>
      <w:r>
        <w:rPr>
          <w:rFonts w:hint="eastAsia" w:ascii="仿宋_GB2312" w:hAnsi="仿宋" w:eastAsia="仿宋_GB2312"/>
          <w:sz w:val="24"/>
        </w:rPr>
        <w:t>）1号开标室 开标时间后30分钟内，供应商须登录“政采云”平台，用“项目采购-开标评标”功能解密投标文件。</w:t>
      </w:r>
    </w:p>
    <w:p>
      <w:pPr>
        <w:spacing w:line="360" w:lineRule="auto"/>
        <w:rPr>
          <w:rFonts w:ascii="仿宋_GB2312" w:hAnsi="仿宋" w:eastAsia="仿宋_GB2312"/>
          <w:b/>
          <w:sz w:val="24"/>
        </w:rPr>
      </w:pPr>
      <w:r>
        <w:rPr>
          <w:rFonts w:hint="eastAsia" w:ascii="仿宋_GB2312" w:hAnsi="仿宋" w:eastAsia="仿宋_GB2312"/>
          <w:b/>
          <w:sz w:val="24"/>
        </w:rPr>
        <w:t xml:space="preserve">五、公告期限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 需要落实的政府采购政策：包括保护环境、节约能源、促进中小企业发展等。详见招标文件的第二部分总则。为支持和促进中小企业发展，杭州市财政局出台了政府采购信用融资政策，供应商可凭中标合同申请贷款，</w:t>
      </w:r>
      <w:r>
        <w:rPr>
          <w:rFonts w:hint="eastAsia" w:ascii="仿宋_GB2312" w:hAnsi="仿宋" w:eastAsia="仿宋_GB2312" w:cs="宋体"/>
          <w:kern w:val="0"/>
          <w:sz w:val="24"/>
        </w:rPr>
        <w:t>利率一般不超过基准利率上浮10%。</w:t>
      </w:r>
      <w:r>
        <w:rPr>
          <w:rFonts w:hint="eastAsia" w:ascii="仿宋_GB2312" w:hAnsi="仿宋" w:eastAsia="仿宋_GB2312"/>
          <w:sz w:val="24"/>
        </w:rPr>
        <w:t>。具体可登录http://220.191.208.230/login.do办理业务。</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3.电子招投标的说明：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名”、“生成电子标书”等操作。</w:t>
      </w:r>
      <w:r>
        <w:rPr>
          <w:rFonts w:hint="eastAsia" w:ascii="仿宋_GB2312" w:hAnsi="仿宋" w:eastAsia="仿宋_GB2312"/>
          <w:sz w:val="24"/>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sz w:val="24"/>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hint="eastAsia" w:ascii="仿宋_GB2312" w:hAnsi="仿宋" w:eastAsia="仿宋_GB2312"/>
          <w:sz w:val="24"/>
        </w:rPr>
        <w:t xml:space="preserve">    1.采购人信息</w:t>
      </w:r>
    </w:p>
    <w:p>
      <w:pPr>
        <w:spacing w:line="360" w:lineRule="auto"/>
        <w:rPr>
          <w:rFonts w:ascii="仿宋_GB2312" w:hAnsi="仿宋" w:eastAsia="仿宋_GB2312"/>
          <w:sz w:val="24"/>
        </w:rPr>
      </w:pPr>
      <w:r>
        <w:rPr>
          <w:rFonts w:hint="eastAsia" w:ascii="仿宋_GB2312" w:hAnsi="仿宋" w:eastAsia="仿宋_GB2312"/>
          <w:sz w:val="24"/>
        </w:rPr>
        <w:t xml:space="preserve">    名    称：拱墅区数据资源局</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地    址：杭州市拱墅区台州路1号</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项目联系人：侯女士         联系电话：0571-86815887</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质疑联系人：于女士         联系电话：0571-86815887</w:t>
      </w:r>
    </w:p>
    <w:p>
      <w:pPr>
        <w:spacing w:line="360" w:lineRule="auto"/>
        <w:rPr>
          <w:rFonts w:ascii="仿宋_GB2312" w:hAnsi="仿宋" w:eastAsia="仿宋_GB2312"/>
          <w:sz w:val="24"/>
        </w:rPr>
      </w:pPr>
      <w:r>
        <w:rPr>
          <w:rFonts w:hint="eastAsia" w:ascii="仿宋_GB2312" w:hAnsi="仿宋" w:eastAsia="仿宋_GB2312"/>
          <w:sz w:val="24"/>
        </w:rPr>
        <w:t xml:space="preserve">    2.采购代理机构信息            </w:t>
      </w:r>
    </w:p>
    <w:p>
      <w:pPr>
        <w:spacing w:line="360" w:lineRule="auto"/>
        <w:rPr>
          <w:rFonts w:ascii="仿宋_GB2312" w:hAnsi="仿宋" w:eastAsia="仿宋_GB2312"/>
          <w:sz w:val="24"/>
        </w:rPr>
      </w:pPr>
      <w:r>
        <w:rPr>
          <w:rFonts w:hint="eastAsia" w:ascii="仿宋_GB2312" w:hAnsi="仿宋" w:eastAsia="仿宋_GB2312"/>
          <w:sz w:val="24"/>
        </w:rPr>
        <w:t xml:space="preserve">    名    称：杭州鼎廉招标代理有限公司 </w:t>
      </w:r>
    </w:p>
    <w:p>
      <w:pPr>
        <w:spacing w:line="360" w:lineRule="auto"/>
        <w:rPr>
          <w:rFonts w:ascii="仿宋_GB2312" w:hAnsi="仿宋" w:eastAsia="仿宋_GB2312"/>
          <w:sz w:val="24"/>
        </w:rPr>
      </w:pPr>
      <w:r>
        <w:rPr>
          <w:rFonts w:hint="eastAsia" w:ascii="仿宋_GB2312" w:hAnsi="仿宋" w:eastAsia="仿宋_GB2312"/>
          <w:sz w:val="24"/>
        </w:rPr>
        <w:t xml:space="preserve">    地    址：杭州市凤起东路358号五福天星龙大厦A座1703-1705  </w:t>
      </w:r>
    </w:p>
    <w:p>
      <w:pPr>
        <w:spacing w:line="360" w:lineRule="auto"/>
        <w:rPr>
          <w:rFonts w:ascii="仿宋_GB2312" w:hAnsi="仿宋" w:eastAsia="仿宋_GB2312"/>
          <w:sz w:val="24"/>
        </w:rPr>
      </w:pPr>
      <w:r>
        <w:rPr>
          <w:rFonts w:hint="eastAsia" w:ascii="仿宋_GB2312" w:hAnsi="仿宋" w:eastAsia="仿宋_GB2312"/>
          <w:sz w:val="24"/>
        </w:rPr>
        <w:t xml:space="preserve">    传    真：/             </w:t>
      </w:r>
    </w:p>
    <w:p>
      <w:pPr>
        <w:spacing w:line="360" w:lineRule="auto"/>
        <w:rPr>
          <w:rFonts w:ascii="仿宋_GB2312" w:hAnsi="仿宋" w:eastAsia="仿宋_GB2312"/>
          <w:sz w:val="24"/>
        </w:rPr>
      </w:pPr>
      <w:r>
        <w:rPr>
          <w:rFonts w:hint="eastAsia" w:ascii="仿宋_GB2312" w:hAnsi="仿宋" w:eastAsia="仿宋_GB2312"/>
          <w:sz w:val="24"/>
        </w:rPr>
        <w:t xml:space="preserve">    项目联系人（询问）：刘永明              </w:t>
      </w:r>
    </w:p>
    <w:p>
      <w:pPr>
        <w:spacing w:line="360" w:lineRule="auto"/>
        <w:rPr>
          <w:rFonts w:ascii="仿宋_GB2312" w:hAnsi="仿宋" w:eastAsia="仿宋_GB2312"/>
          <w:sz w:val="24"/>
        </w:rPr>
      </w:pPr>
      <w:r>
        <w:rPr>
          <w:rFonts w:hint="eastAsia" w:ascii="仿宋_GB2312" w:hAnsi="仿宋" w:eastAsia="仿宋_GB2312"/>
          <w:sz w:val="24"/>
        </w:rPr>
        <w:t xml:space="preserve">    项目联系方式（询问）：0571-87609627</w:t>
      </w:r>
    </w:p>
    <w:p>
      <w:pPr>
        <w:spacing w:line="360" w:lineRule="auto"/>
        <w:rPr>
          <w:rFonts w:ascii="仿宋_GB2312" w:hAnsi="仿宋" w:eastAsia="仿宋_GB2312"/>
          <w:sz w:val="24"/>
        </w:rPr>
      </w:pPr>
      <w:r>
        <w:rPr>
          <w:rFonts w:hint="eastAsia" w:ascii="仿宋_GB2312" w:hAnsi="仿宋" w:eastAsia="仿宋_GB2312"/>
          <w:sz w:val="24"/>
        </w:rPr>
        <w:t xml:space="preserve">    质疑联系人：张云帆      </w:t>
      </w:r>
    </w:p>
    <w:p>
      <w:pPr>
        <w:spacing w:line="360" w:lineRule="auto"/>
        <w:rPr>
          <w:rFonts w:ascii="仿宋_GB2312" w:hAnsi="仿宋" w:eastAsia="仿宋_GB2312"/>
          <w:sz w:val="24"/>
        </w:rPr>
      </w:pPr>
      <w:r>
        <w:rPr>
          <w:rFonts w:hint="eastAsia" w:ascii="仿宋_GB2312" w:hAnsi="仿宋" w:eastAsia="仿宋_GB2312"/>
          <w:sz w:val="24"/>
        </w:rPr>
        <w:t xml:space="preserve">    质疑联系方式：0571-87609630　　　     </w:t>
      </w:r>
    </w:p>
    <w:p>
      <w:pPr>
        <w:spacing w:line="360" w:lineRule="auto"/>
        <w:rPr>
          <w:rFonts w:ascii="仿宋_GB2312" w:hAnsi="仿宋" w:eastAsia="仿宋_GB2312"/>
          <w:sz w:val="24"/>
        </w:rPr>
      </w:pPr>
      <w:r>
        <w:rPr>
          <w:rFonts w:hint="eastAsia"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hint="eastAsia" w:ascii="仿宋_GB2312" w:hAnsi="仿宋" w:eastAsia="仿宋_GB2312"/>
          <w:sz w:val="24"/>
        </w:rPr>
        <w:t xml:space="preserve">    名    称：杭州市拱墅区财政局政府采购办公室 </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地    址：杭州市霞湾巷杭办大厦2号楼6楼</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联 系 人 ：王老师</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监督投诉电话：0571-88355203</w:t>
      </w:r>
    </w:p>
    <w:p>
      <w:pPr>
        <w:spacing w:line="360" w:lineRule="auto"/>
        <w:rPr>
          <w:rFonts w:ascii="仿宋_GB2312" w:hAnsi="仿宋" w:eastAsia="仿宋_GB2312"/>
          <w:sz w:val="24"/>
        </w:rPr>
      </w:pPr>
      <w:r>
        <w:rPr>
          <w:rFonts w:hint="eastAsia" w:ascii="仿宋_GB2312" w:hAnsi="仿宋" w:eastAsia="仿宋_GB2312"/>
          <w:sz w:val="24"/>
        </w:rPr>
        <w:t xml:space="preserve">    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CA问题联系电话（人工）：汇信CA 400-888-4636；天谷CA 400-087-8198。</w:t>
      </w:r>
    </w:p>
    <w:p>
      <w:pPr>
        <w:pStyle w:val="33"/>
        <w:spacing w:line="360" w:lineRule="auto"/>
        <w:ind w:firstLine="472" w:firstLineChars="196"/>
        <w:rPr>
          <w:rFonts w:ascii="仿宋_GB2312" w:hAnsi="仿宋" w:eastAsia="仿宋_GB2312" w:cs="仿宋_GB2312"/>
          <w:b/>
          <w:sz w:val="24"/>
          <w:szCs w:val="24"/>
        </w:rPr>
      </w:pPr>
    </w:p>
    <w:p>
      <w:pPr>
        <w:spacing w:line="360" w:lineRule="auto"/>
        <w:ind w:firstLine="200"/>
        <w:jc w:val="center"/>
        <w:rPr>
          <w:rFonts w:ascii="仿宋_GB2312" w:hAnsi="仿宋" w:eastAsia="仿宋_GB2312" w:cs="仿宋_GB2312"/>
          <w:sz w:val="24"/>
        </w:rPr>
      </w:pPr>
      <w:r>
        <w:rPr>
          <w:rFonts w:hint="eastAsia" w:ascii="仿宋_GB2312" w:hAnsi="仿宋" w:eastAsia="仿宋_GB2312" w:cs="仿宋_GB2312"/>
          <w:sz w:val="24"/>
        </w:rPr>
        <w:t xml:space="preserve">                    </w:t>
      </w:r>
    </w:p>
    <w:p>
      <w:pPr>
        <w:spacing w:line="360" w:lineRule="auto"/>
        <w:ind w:firstLine="200"/>
        <w:jc w:val="center"/>
        <w:rPr>
          <w:rFonts w:ascii="仿宋_GB2312" w:hAnsi="仿宋" w:eastAsia="仿宋_GB2312" w:cs="仿宋_GB2312"/>
          <w:sz w:val="24"/>
        </w:rPr>
      </w:pPr>
      <w:r>
        <w:rPr>
          <w:rFonts w:hint="eastAsia" w:ascii="仿宋_GB2312" w:hAnsi="仿宋" w:eastAsia="仿宋_GB2312" w:cs="仿宋_GB2312"/>
          <w:sz w:val="24"/>
        </w:rPr>
        <w:t xml:space="preserve">                               杭州鼎廉招标代理有限公司</w:t>
      </w:r>
    </w:p>
    <w:p>
      <w:pPr>
        <w:pStyle w:val="33"/>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 xml:space="preserve">                                         二○二一年九月X</w:t>
      </w:r>
      <w:r>
        <w:rPr>
          <w:rFonts w:ascii="仿宋_GB2312" w:hAnsi="仿宋" w:eastAsia="仿宋_GB2312" w:cs="仿宋_GB2312"/>
          <w:sz w:val="24"/>
          <w:szCs w:val="24"/>
        </w:rPr>
        <w:t>XX</w:t>
      </w:r>
      <w:r>
        <w:rPr>
          <w:rFonts w:hint="eastAsia" w:ascii="仿宋_GB2312" w:hAnsi="仿宋" w:eastAsia="仿宋_GB2312" w:cs="仿宋_GB2312"/>
          <w:sz w:val="24"/>
          <w:szCs w:val="24"/>
        </w:rPr>
        <w:t>日</w:t>
      </w:r>
    </w:p>
    <w:p>
      <w:pPr>
        <w:adjustRightInd/>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9"/>
      <w:r>
        <w:rPr>
          <w:rFonts w:hint="eastAsia" w:ascii="仿宋_GB2312" w:hAnsi="仿宋" w:eastAsia="仿宋_GB2312" w:cs="仿宋_GB2312"/>
          <w:b/>
          <w:sz w:val="36"/>
          <w:szCs w:val="20"/>
        </w:rPr>
        <w:t xml:space="preserve"> </w:t>
      </w:r>
      <w:r>
        <w:rPr>
          <w:rFonts w:ascii="仿宋_GB2312" w:hAnsi="仿宋" w:eastAsia="仿宋_GB2312" w:cs="仿宋_GB2312"/>
          <w:b/>
          <w:sz w:val="36"/>
          <w:szCs w:val="20"/>
        </w:rPr>
        <w:t xml:space="preserve"> </w:t>
      </w:r>
      <w:r>
        <w:rPr>
          <w:rFonts w:hint="eastAsia" w:ascii="仿宋_GB2312" w:hAnsi="仿宋" w:eastAsia="仿宋_GB2312" w:cs="仿宋_GB2312"/>
          <w:b/>
          <w:sz w:val="36"/>
          <w:szCs w:val="20"/>
        </w:rPr>
        <w:t>投标人须知</w:t>
      </w:r>
      <w:bookmarkEnd w:id="10"/>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79"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18"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79" w:type="dxa"/>
            <w:vAlign w:val="center"/>
          </w:tcPr>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kern w:val="0"/>
                <w:sz w:val="24"/>
                <w:lang w:val="zh-CN"/>
              </w:rPr>
              <w:t>有关本项目建设所需的技术方案编写、验收、质保期运行维护、技术支持、测试费、培训费、售后服务和税金等费用均计入报价。</w:t>
            </w:r>
            <w:r>
              <w:rPr>
                <w:rFonts w:hint="eastAsia" w:ascii="仿宋_GB2312" w:hAnsi="仿宋" w:eastAsia="仿宋_GB2312"/>
                <w:sz w:val="24"/>
              </w:rPr>
              <w:t>《投标（开标）一览表》是报价的唯一载体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w:t>
            </w:r>
            <w:r>
              <w:rPr>
                <w:rFonts w:hint="eastAsia" w:ascii="仿宋_GB2312" w:hAnsi="宋体" w:eastAsia="仿宋_GB2312"/>
                <w:b/>
                <w:sz w:val="24"/>
              </w:rPr>
              <w:t>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b/>
                <w:sz w:val="24"/>
              </w:rPr>
              <w:t>▲</w:t>
            </w:r>
            <w:r>
              <w:rPr>
                <w:rFonts w:hint="eastAsia" w:ascii="仿宋_GB2312" w:hAnsi="仿宋" w:eastAsia="仿宋_GB2312" w:cs="仿宋_GB2312"/>
                <w:b/>
                <w:sz w:val="24"/>
              </w:rPr>
              <w:t>投标报价高于本项目采购预算或者最高限价的;</w:t>
            </w:r>
          </w:p>
          <w:p>
            <w:pPr>
              <w:spacing w:line="360" w:lineRule="auto"/>
              <w:rPr>
                <w:rFonts w:ascii="仿宋_GB2312" w:hAnsi="仿宋" w:eastAsia="仿宋_GB2312" w:cs="仿宋_GB2312"/>
                <w:b/>
                <w:sz w:val="24"/>
              </w:rPr>
            </w:pPr>
            <w:r>
              <w:rPr>
                <w:rFonts w:hint="eastAsia" w:ascii="仿宋_GB2312" w:hAnsi="仿宋" w:eastAsia="仿宋_GB2312"/>
                <w:b/>
                <w:sz w:val="24"/>
              </w:rPr>
              <w:t>▲</w:t>
            </w: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仿宋_GB2312"/>
                <w:b/>
                <w:sz w:val="24"/>
                <w:szCs w:val="21"/>
              </w:rPr>
              <w:t>;</w:t>
            </w:r>
          </w:p>
          <w:p>
            <w:pPr>
              <w:spacing w:line="360" w:lineRule="auto"/>
              <w:rPr>
                <w:rFonts w:ascii="仿宋_GB2312" w:hAnsi="仿宋" w:eastAsia="仿宋_GB2312" w:cs="仿宋_GB2312"/>
                <w:sz w:val="24"/>
                <w:szCs w:val="21"/>
              </w:rPr>
            </w:pPr>
            <w:r>
              <w:rPr>
                <w:rFonts w:hint="eastAsia" w:ascii="仿宋_GB2312" w:hAnsi="仿宋" w:eastAsia="仿宋_GB2312"/>
                <w:b/>
                <w:sz w:val="24"/>
              </w:rPr>
              <w:t>▲《投标（开标）一览表》填写不完整或字迹不能辨认或有漏项的；</w:t>
            </w:r>
          </w:p>
          <w:p>
            <w:pPr>
              <w:spacing w:line="360" w:lineRule="auto"/>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2"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分包或转包</w:t>
            </w:r>
          </w:p>
        </w:tc>
        <w:tc>
          <w:tcPr>
            <w:tcW w:w="6079" w:type="dxa"/>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本项目允许分包。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57"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79" w:type="dxa"/>
            <w:vAlign w:val="center"/>
          </w:tcPr>
          <w:p>
            <w:pPr>
              <w:spacing w:line="360" w:lineRule="auto"/>
              <w:rPr>
                <w:rFonts w:ascii="仿宋_GB2312" w:hAnsi="仿宋" w:eastAsia="仿宋_GB2312"/>
                <w:sz w:val="24"/>
              </w:rPr>
            </w:pPr>
            <w:r>
              <w:rPr>
                <w:rFonts w:hint="eastAsia" w:ascii="仿宋_GB2312" w:hAnsi="仿宋" w:eastAsia="仿宋_GB2312"/>
                <w:sz w:val="24"/>
              </w:rPr>
              <w:t>（1）资格证明文件：见招标文件第二部分</w:t>
            </w:r>
            <w:r>
              <w:rPr>
                <w:rFonts w:hint="eastAsia" w:ascii="仿宋_GB2312" w:hAnsi="仿宋" w:eastAsia="仿宋_GB2312" w:cs="仿宋_GB2312"/>
                <w:sz w:val="24"/>
              </w:rPr>
              <w:t>11.1。</w:t>
            </w:r>
          </w:p>
          <w:p>
            <w:pPr>
              <w:spacing w:line="360" w:lineRule="auto"/>
              <w:rPr>
                <w:rFonts w:ascii="仿宋_GB2312" w:hAnsi="仿宋" w:eastAsia="仿宋_GB2312"/>
                <w:sz w:val="24"/>
              </w:rPr>
            </w:pPr>
            <w:r>
              <w:rPr>
                <w:rFonts w:hint="eastAsia" w:ascii="仿宋_GB2312" w:hAnsi="仿宋" w:eastAsia="仿宋_GB2312"/>
                <w:sz w:val="24"/>
              </w:rPr>
              <w:t>（2）资信证明文件：根据招标文件第四部分具体评标标准提供。</w:t>
            </w:r>
          </w:p>
          <w:p>
            <w:pPr>
              <w:spacing w:line="360" w:lineRule="auto"/>
              <w:rPr>
                <w:rFonts w:ascii="仿宋_GB2312" w:hAnsi="仿宋" w:eastAsia="仿宋_GB2312"/>
                <w:kern w:val="0"/>
                <w:sz w:val="24"/>
              </w:rPr>
            </w:pPr>
            <w:r>
              <w:rPr>
                <w:rFonts w:hint="eastAsia" w:ascii="仿宋_GB2312" w:hAnsi="仿宋" w:eastAsia="仿宋_GB2312"/>
                <w:sz w:val="24"/>
              </w:rPr>
              <w:t>▲</w:t>
            </w:r>
            <w:r>
              <w:rPr>
                <w:rFonts w:hint="eastAsia" w:ascii="仿宋_GB2312" w:hAnsi="仿宋" w:eastAsia="仿宋_GB2312" w:cs="仿宋_GB2312"/>
                <w:b/>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79" w:type="dxa"/>
            <w:vAlign w:val="center"/>
          </w:tcPr>
          <w:p>
            <w:pPr>
              <w:pStyle w:val="33"/>
              <w:spacing w:line="360" w:lineRule="auto"/>
              <w:rPr>
                <w:rFonts w:ascii="仿宋_GB2312" w:hAnsi="仿宋" w:eastAsia="仿宋_GB2312" w:cs="Times New Roman"/>
                <w:snapToGrid/>
                <w:sz w:val="24"/>
                <w:szCs w:val="20"/>
              </w:rPr>
            </w:pPr>
            <w:r>
              <w:rPr>
                <w:rFonts w:hint="eastAsia" w:ascii="仿宋_GB2312" w:hAnsi="仿宋" w:eastAsia="仿宋_GB2312" w:cs="Times New Roman"/>
                <w:snapToGrid/>
                <w:sz w:val="24"/>
                <w:szCs w:val="20"/>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79" w:type="dxa"/>
            <w:vAlign w:val="center"/>
          </w:tcPr>
          <w:p>
            <w:pPr>
              <w:widowControl/>
              <w:spacing w:before="100" w:beforeAutospacing="1" w:after="240" w:line="360" w:lineRule="auto"/>
              <w:rPr>
                <w:rFonts w:ascii="仿宋_GB2312" w:hAnsi="仿宋" w:eastAsia="仿宋_GB2312"/>
                <w:b/>
                <w:sz w:val="24"/>
              </w:rPr>
            </w:pPr>
            <w:r>
              <w:rPr>
                <w:rFonts w:hint="eastAsia" w:ascii="仿宋_GB2312" w:hAnsi="仿宋" w:eastAsia="仿宋_GB2312"/>
                <w:sz w:val="24"/>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w:t>
            </w:r>
          </w:p>
        </w:tc>
        <w:tc>
          <w:tcPr>
            <w:tcW w:w="6079"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79" w:type="dxa"/>
            <w:vAlign w:val="center"/>
          </w:tcPr>
          <w:p>
            <w:pPr>
              <w:snapToGrid w:val="0"/>
              <w:spacing w:line="360" w:lineRule="auto"/>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79" w:type="dxa"/>
            <w:vAlign w:val="center"/>
          </w:tcPr>
          <w:p>
            <w:pPr>
              <w:snapToGrid w:val="0"/>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 xml:space="preserve">1．本项目代理服务费按计价格[2002]1980号文件标准的收取，包含在投标总价中。由中标供应商在发放成交通知书时向代理机构一次性支付。  </w:t>
            </w:r>
          </w:p>
          <w:p>
            <w:pPr>
              <w:snapToGrid w:val="0"/>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2．代理服务费支付：</w:t>
            </w:r>
          </w:p>
          <w:p>
            <w:pPr>
              <w:snapToGrid w:val="0"/>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缴纳形式：转账/电汇</w:t>
            </w:r>
          </w:p>
          <w:p>
            <w:pPr>
              <w:snapToGrid w:val="0"/>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 xml:space="preserve">收款单位（户名）：杭州鼎廉招标代理有限公司 </w:t>
            </w:r>
          </w:p>
          <w:p>
            <w:pPr>
              <w:snapToGrid w:val="0"/>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开户银行：杭州银行股份有限公司丰潭支行</w:t>
            </w:r>
          </w:p>
          <w:p>
            <w:pPr>
              <w:snapToGrid w:val="0"/>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银行账号：3301040160004672906</w:t>
            </w:r>
          </w:p>
          <w:p>
            <w:pPr>
              <w:snapToGrid w:val="0"/>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税号：91330106MA27XCMBX5</w:t>
            </w:r>
          </w:p>
          <w:p>
            <w:pPr>
              <w:spacing w:line="360" w:lineRule="auto"/>
              <w:rPr>
                <w:rFonts w:ascii="仿宋_GB2312" w:hAnsi="仿宋" w:eastAsia="仿宋_GB2312"/>
                <w:sz w:val="24"/>
              </w:rPr>
            </w:pPr>
            <w:r>
              <w:rPr>
                <w:rFonts w:hint="eastAsia" w:ascii="仿宋_GB2312" w:hAnsi="仿宋_GB2312" w:eastAsia="仿宋_GB2312" w:cs="仿宋_GB2312"/>
                <w:sz w:val="24"/>
              </w:rPr>
              <w:t>地址、电话：杭州市江干区凤起东路358号五福天星龙大厦A座1703室 17767095869</w:t>
            </w:r>
          </w:p>
        </w:tc>
      </w:tr>
    </w:tbl>
    <w:p>
      <w:pPr>
        <w:snapToGrid w:val="0"/>
        <w:spacing w:line="360" w:lineRule="auto"/>
        <w:jc w:val="center"/>
        <w:rPr>
          <w:rFonts w:ascii="仿宋_GB2312" w:hAnsi="仿宋" w:eastAsia="仿宋_GB2312" w:cs="仿宋_GB2312"/>
          <w:b/>
          <w:sz w:val="32"/>
          <w:szCs w:val="20"/>
        </w:rPr>
      </w:pP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一、总则</w:t>
      </w:r>
      <w:bookmarkEnd w:id="11"/>
    </w:p>
    <w:p>
      <w:pPr>
        <w:spacing w:line="360" w:lineRule="auto"/>
        <w:rPr>
          <w:rFonts w:ascii="仿宋_GB2312" w:hAnsi="仿宋" w:eastAsia="仿宋_GB2312"/>
          <w:b/>
          <w:sz w:val="24"/>
        </w:rPr>
      </w:pPr>
      <w:r>
        <w:rPr>
          <w:rFonts w:hint="eastAsia" w:ascii="仿宋_GB2312" w:hAnsi="仿宋" w:eastAsia="仿宋_GB2312"/>
          <w:b/>
          <w:sz w:val="24"/>
        </w:rPr>
        <w:t>1. 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spacing w:line="360" w:lineRule="auto"/>
        <w:rPr>
          <w:rFonts w:ascii="仿宋_GB2312" w:hAnsi="仿宋" w:eastAsia="仿宋_GB2312"/>
          <w:b/>
          <w:sz w:val="24"/>
        </w:rPr>
      </w:pPr>
      <w:r>
        <w:rPr>
          <w:rFonts w:hint="eastAsia" w:ascii="仿宋_GB2312" w:hAnsi="仿宋" w:eastAsia="仿宋_GB2312"/>
          <w:b/>
          <w:sz w:val="24"/>
        </w:rPr>
        <w:t>2.定义</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 “采购人”系指招标公告中载明的本项目的采购人。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2.2 “采购机构”系指招标公告中载明的本项目的采购机构。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2.3 “投标人”系指是指响应招标、参加投标竞争的法人、其他组织或者自然人。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2.5“电子签名”系指数据电文中以电子形式所含、所附用于识别签名人身份并表明签名人认可其中内容的数据。</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2.7 “▲” 系指实质性要求条款，“★”系产品采购项目中单一产品或核心产品。</w:t>
      </w:r>
    </w:p>
    <w:p>
      <w:pPr>
        <w:spacing w:line="360" w:lineRule="auto"/>
        <w:rPr>
          <w:rFonts w:ascii="仿宋_GB2312" w:hAnsi="仿宋" w:eastAsia="仿宋_GB2312"/>
          <w:b/>
          <w:sz w:val="24"/>
        </w:rPr>
      </w:pPr>
      <w:r>
        <w:rPr>
          <w:rFonts w:hint="eastAsia" w:ascii="仿宋_GB2312" w:hAnsi="仿宋" w:eastAsia="仿宋_GB2312"/>
          <w:b/>
          <w:sz w:val="24"/>
        </w:rPr>
        <w:t>3. 采购项目需要落实的政府采购政策</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3.2 节能环保要求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_GB2312" w:hAnsi="仿宋" w:eastAsia="仿宋_GB2312"/>
          <w:b/>
          <w:sz w:val="24"/>
        </w:rPr>
      </w:pPr>
      <w:r>
        <w:rPr>
          <w:rFonts w:hint="eastAsia" w:ascii="仿宋_GB2312" w:hAnsi="仿宋" w:eastAsia="仿宋_GB2312"/>
          <w:sz w:val="24"/>
        </w:rPr>
        <w:t>3.2.2</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w:t>
      </w:r>
      <w:r>
        <w:rPr>
          <w:rFonts w:hint="eastAsia" w:ascii="仿宋_GB2312" w:eastAsia="仿宋_GB2312"/>
          <w:bCs/>
          <w:sz w:val="24"/>
        </w:rPr>
        <w:t>支持中小企业发展</w:t>
      </w:r>
      <w:r>
        <w:rPr>
          <w:rFonts w:hint="eastAsia" w:ascii="仿宋_GB2312" w:hAnsi="仿宋" w:eastAsia="仿宋_GB2312"/>
          <w:sz w:val="24"/>
        </w:rPr>
        <w:t>。</w:t>
      </w:r>
    </w:p>
    <w:p>
      <w:pPr>
        <w:spacing w:line="360" w:lineRule="auto"/>
        <w:ind w:firstLine="480" w:firstLineChars="200"/>
        <w:rPr>
          <w:rFonts w:ascii="仿宋_GB2312" w:eastAsia="仿宋_GB2312"/>
          <w:bCs/>
          <w:sz w:val="24"/>
        </w:rPr>
      </w:pPr>
      <w:r>
        <w:rPr>
          <w:rFonts w:hint="eastAsia" w:ascii="仿宋_GB2312" w:hAnsi="仿宋" w:eastAsia="仿宋_GB2312"/>
          <w:sz w:val="24"/>
        </w:rPr>
        <w:t>3.3.1</w:t>
      </w:r>
      <w:r>
        <w:rPr>
          <w:rFonts w:hint="eastAsia" w:ascii="仿宋_GB2312" w:eastAsia="仿宋_GB2312"/>
          <w:bCs/>
          <w:sz w:val="24"/>
        </w:rPr>
        <w:t>小型、微型企业应当同时符合以下条件：</w:t>
      </w:r>
    </w:p>
    <w:p>
      <w:pPr>
        <w:spacing w:line="360" w:lineRule="auto"/>
        <w:ind w:firstLine="480" w:firstLineChars="200"/>
        <w:rPr>
          <w:rFonts w:ascii="仿宋_GB2312" w:eastAsia="仿宋_GB2312"/>
          <w:bCs/>
          <w:sz w:val="24"/>
        </w:rPr>
      </w:pPr>
      <w:r>
        <w:rPr>
          <w:rFonts w:hint="eastAsia" w:ascii="仿宋_GB2312" w:eastAsia="仿宋_GB2312"/>
          <w:bCs/>
          <w:sz w:val="24"/>
        </w:rPr>
        <w:t>（1）符合中小企业划分标准；</w:t>
      </w:r>
    </w:p>
    <w:p>
      <w:pPr>
        <w:spacing w:line="360" w:lineRule="auto"/>
        <w:ind w:firstLine="480" w:firstLineChars="200"/>
        <w:rPr>
          <w:rFonts w:ascii="仿宋_GB2312" w:eastAsia="仿宋_GB2312"/>
          <w:bCs/>
          <w:sz w:val="24"/>
        </w:rPr>
      </w:pPr>
      <w:r>
        <w:rPr>
          <w:rFonts w:hint="eastAsia" w:ascii="仿宋_GB2312" w:eastAsia="仿宋_GB2312"/>
          <w:bCs/>
          <w:sz w:val="24"/>
        </w:rPr>
        <w:t>（2）</w:t>
      </w:r>
      <w:r>
        <w:rPr>
          <w:rFonts w:hint="eastAsia" w:ascii="仿宋_GB2312" w:eastAsia="仿宋_GB2312"/>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3.3.2小型、微型企业应按照招标文件格式要求提供《中小企业声明函》。</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3.3.3对于非专门面向此类企业的项目，对小型和微型企业产品的投标价格给予10%的扣除，用扣除后的价格参与评审。</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联合体各方均为小型、微型企业的，联合体视同为小型、微型企业。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b/>
          <w:sz w:val="24"/>
        </w:rPr>
      </w:pPr>
      <w:r>
        <w:rPr>
          <w:rFonts w:hint="eastAsia" w:ascii="仿宋_GB2312" w:hAnsi="仿宋" w:eastAsia="仿宋_GB2312"/>
          <w:sz w:val="24"/>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Pr>
          <w:rFonts w:hint="eastAsia" w:ascii="仿宋_GB2312" w:hAnsi="仿宋" w:eastAsia="仿宋_GB2312"/>
          <w:sz w:val="24"/>
        </w:rPr>
        <w:cr/>
      </w:r>
      <w:r>
        <w:rPr>
          <w:rFonts w:hint="eastAsia" w:ascii="仿宋_GB2312" w:hAnsi="仿宋" w:eastAsia="仿宋_GB2312"/>
          <w:b/>
          <w:sz w:val="24"/>
        </w:rPr>
        <w:t>4. 询问、质疑、投诉</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4.1供应商询问</w:t>
      </w:r>
    </w:p>
    <w:p>
      <w:pPr>
        <w:pStyle w:val="33"/>
        <w:spacing w:line="360" w:lineRule="auto"/>
        <w:ind w:firstLine="480" w:firstLineChars="200"/>
        <w:rPr>
          <w:rFonts w:ascii="仿宋_GB2312" w:hAnsi="仿宋" w:eastAsia="仿宋_GB2312"/>
          <w:sz w:val="24"/>
        </w:rPr>
      </w:pPr>
      <w:r>
        <w:rPr>
          <w:rFonts w:hint="eastAsia" w:ascii="仿宋_GB2312" w:hAnsi="仿宋" w:eastAsia="仿宋_GB2312"/>
          <w:sz w:val="24"/>
        </w:rPr>
        <w:t>根据采购人与采购机构签订的《杭州市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hint="eastAsia" w:ascii="仿宋_GB2312" w:hAnsi="仿宋" w:eastAsia="仿宋_GB2312" w:cs="微软雅黑"/>
          <w:kern w:val="0"/>
          <w:sz w:val="24"/>
          <w:lang w:val="zh-CN"/>
        </w:rPr>
        <w:t>4.2</w:t>
      </w:r>
      <w:r>
        <w:rPr>
          <w:rFonts w:hint="eastAsia" w:ascii="仿宋_GB2312" w:hAnsi="仿宋" w:eastAsia="仿宋_GB2312"/>
          <w:sz w:val="24"/>
        </w:rPr>
        <w:t>.1提出质疑的供应商应当是参与所质疑项目采购活动的供应商。潜在供应商已依法获取其可质疑的采购文件的，可以对该文件提出质疑。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仿宋_GB2312" w:hAnsi="仿宋" w:eastAsia="仿宋_GB2312"/>
          <w:sz w:val="24"/>
        </w:rPr>
      </w:pPr>
      <w:r>
        <w:rPr>
          <w:rFonts w:hint="eastAsia" w:ascii="仿宋_GB2312" w:hAnsi="仿宋" w:eastAsia="仿宋_GB2312" w:cs="微软雅黑"/>
          <w:kern w:val="0"/>
          <w:sz w:val="24"/>
          <w:lang w:val="zh-CN"/>
        </w:rPr>
        <w:t>4.2</w:t>
      </w:r>
      <w:r>
        <w:rPr>
          <w:rFonts w:hint="eastAsia" w:ascii="仿宋_GB2312" w:hAnsi="仿宋" w:eastAsia="仿宋_GB2312"/>
          <w:sz w:val="24"/>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_GB2312" w:hAnsi="仿宋" w:eastAsia="仿宋_GB2312"/>
          <w:snapToGrid/>
          <w:color w:val="auto"/>
          <w:kern w:val="2"/>
          <w:sz w:val="24"/>
        </w:rPr>
      </w:pPr>
      <w:r>
        <w:rPr>
          <w:rFonts w:hint="eastAsia" w:ascii="仿宋_GB2312" w:hAnsi="仿宋" w:eastAsia="仿宋_GB2312"/>
          <w:snapToGrid/>
          <w:color w:val="auto"/>
          <w:kern w:val="2"/>
          <w:sz w:val="24"/>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杭州市集中采购年度委托协议》的规定：对采购文件中特定资格条件、采购需求、评分办法提出的质疑，原则上由采购人负责答复；对采购文件中其他内容提出的质疑，原则上由采购机构负责答复。</w:t>
      </w:r>
    </w:p>
    <w:p>
      <w:pPr>
        <w:pStyle w:val="33"/>
        <w:spacing w:line="360" w:lineRule="auto"/>
        <w:ind w:firstLine="480" w:firstLineChars="200"/>
        <w:rPr>
          <w:rFonts w:ascii="仿宋_GB2312" w:hAnsi="仿宋" w:eastAsia="仿宋_GB2312"/>
          <w:sz w:val="24"/>
        </w:rPr>
      </w:pPr>
      <w:r>
        <w:rPr>
          <w:rFonts w:hint="eastAsia" w:ascii="仿宋_GB2312" w:hAnsi="仿宋" w:eastAsia="仿宋_GB2312"/>
          <w:sz w:val="24"/>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pPr>
        <w:pStyle w:val="33"/>
        <w:spacing w:line="360" w:lineRule="auto"/>
        <w:ind w:firstLine="480" w:firstLineChars="200"/>
        <w:rPr>
          <w:rFonts w:ascii="仿宋_GB2312" w:hAnsi="仿宋" w:eastAsia="仿宋_GB2312"/>
          <w:sz w:val="24"/>
        </w:rPr>
      </w:pPr>
      <w:r>
        <w:rPr>
          <w:rFonts w:hint="eastAsia" w:ascii="仿宋_GB2312" w:hAnsi="仿宋" w:eastAsia="仿宋_GB2312"/>
          <w:sz w:val="24"/>
        </w:rPr>
        <w:t>4.2.2.3对采购结果提出质疑的，质疑期限自采购结果公告期限届满之日起计算。对采购结果提出质疑的，采购机构负责答复。</w:t>
      </w:r>
    </w:p>
    <w:p>
      <w:pPr>
        <w:pStyle w:val="33"/>
        <w:snapToGrid w:val="0"/>
        <w:spacing w:line="360" w:lineRule="auto"/>
        <w:ind w:firstLine="480" w:firstLineChars="200"/>
        <w:contextualSpacing/>
        <w:rPr>
          <w:rFonts w:ascii="仿宋_GB2312" w:hAnsi="仿宋" w:eastAsia="仿宋_GB2312"/>
          <w:sz w:val="24"/>
        </w:rPr>
      </w:pPr>
      <w:r>
        <w:rPr>
          <w:rFonts w:hint="eastAsia"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cs="Arial"/>
          <w:snapToGrid w:val="0"/>
          <w:kern w:val="2"/>
          <w:szCs w:val="21"/>
        </w:rPr>
      </w:pPr>
      <w:r>
        <w:rPr>
          <w:rFonts w:hint="eastAsia" w:ascii="仿宋_GB2312" w:hAnsi="仿宋" w:eastAsia="仿宋_GB2312" w:cs="微软雅黑"/>
          <w:lang w:val="zh-CN"/>
        </w:rPr>
        <w:t>4.2.3.1</w:t>
      </w:r>
      <w:r>
        <w:rPr>
          <w:rFonts w:hint="eastAsia" w:ascii="仿宋_GB2312" w:hAnsi="仿宋" w:eastAsia="仿宋_GB2312" w:cs="Arial"/>
          <w:snapToGrid w:val="0"/>
          <w:kern w:val="2"/>
          <w:szCs w:val="21"/>
        </w:rPr>
        <w:t>供应商的姓名或者名称、地址、邮编、联系人及联系电话；</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cs="Arial"/>
          <w:snapToGrid w:val="0"/>
          <w:kern w:val="2"/>
          <w:szCs w:val="21"/>
        </w:rPr>
      </w:pPr>
      <w:r>
        <w:rPr>
          <w:rFonts w:hint="eastAsia" w:ascii="仿宋_GB2312" w:hAnsi="仿宋" w:eastAsia="仿宋_GB2312" w:cs="微软雅黑"/>
          <w:lang w:val="zh-CN"/>
        </w:rPr>
        <w:t>4.2.3.2</w:t>
      </w:r>
      <w:r>
        <w:rPr>
          <w:rFonts w:hint="eastAsia" w:ascii="仿宋_GB2312" w:hAnsi="仿宋" w:eastAsia="仿宋_GB2312" w:cs="Arial"/>
          <w:snapToGrid w:val="0"/>
          <w:kern w:val="2"/>
          <w:szCs w:val="21"/>
        </w:rPr>
        <w:t>质疑项目的名称、编号；</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cs="Arial"/>
          <w:snapToGrid w:val="0"/>
          <w:kern w:val="2"/>
          <w:szCs w:val="21"/>
        </w:rPr>
      </w:pPr>
      <w:r>
        <w:rPr>
          <w:rFonts w:hint="eastAsia" w:ascii="仿宋_GB2312" w:hAnsi="仿宋" w:eastAsia="仿宋_GB2312" w:cs="微软雅黑"/>
          <w:lang w:val="zh-CN"/>
        </w:rPr>
        <w:t>4.2.3.3</w:t>
      </w:r>
      <w:r>
        <w:rPr>
          <w:rFonts w:hint="eastAsia" w:ascii="仿宋_GB2312" w:hAnsi="仿宋" w:eastAsia="仿宋_GB2312" w:cs="Arial"/>
          <w:snapToGrid w:val="0"/>
          <w:kern w:val="2"/>
          <w:szCs w:val="21"/>
        </w:rPr>
        <w:t>具体、明确的质疑事项和与质疑事项相关的请求；</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cs="Arial"/>
          <w:snapToGrid w:val="0"/>
          <w:kern w:val="2"/>
          <w:szCs w:val="21"/>
        </w:rPr>
      </w:pPr>
      <w:r>
        <w:rPr>
          <w:rFonts w:hint="eastAsia" w:ascii="仿宋_GB2312" w:hAnsi="仿宋" w:eastAsia="仿宋_GB2312" w:cs="微软雅黑"/>
          <w:lang w:val="zh-CN"/>
        </w:rPr>
        <w:t>4.2.3.4</w:t>
      </w:r>
      <w:r>
        <w:rPr>
          <w:rFonts w:hint="eastAsia" w:ascii="仿宋_GB2312" w:hAnsi="仿宋" w:eastAsia="仿宋_GB2312" w:cs="Arial"/>
          <w:snapToGrid w:val="0"/>
          <w:kern w:val="2"/>
          <w:szCs w:val="21"/>
        </w:rPr>
        <w:t>事实依据；</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cs="Arial"/>
          <w:snapToGrid w:val="0"/>
          <w:kern w:val="2"/>
          <w:szCs w:val="21"/>
        </w:rPr>
      </w:pPr>
      <w:r>
        <w:rPr>
          <w:rFonts w:hint="eastAsia" w:ascii="仿宋_GB2312" w:hAnsi="仿宋" w:eastAsia="仿宋_GB2312" w:cs="微软雅黑"/>
          <w:lang w:val="zh-CN"/>
        </w:rPr>
        <w:t>4.2.3.5</w:t>
      </w:r>
      <w:r>
        <w:rPr>
          <w:rFonts w:hint="eastAsia" w:ascii="仿宋_GB2312" w:hAnsi="仿宋" w:eastAsia="仿宋_GB2312" w:cs="Arial"/>
          <w:snapToGrid w:val="0"/>
          <w:kern w:val="2"/>
          <w:szCs w:val="21"/>
        </w:rPr>
        <w:t>必要的法律依据；</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cs="Arial"/>
          <w:snapToGrid w:val="0"/>
          <w:kern w:val="2"/>
          <w:szCs w:val="21"/>
        </w:rPr>
      </w:pPr>
      <w:r>
        <w:rPr>
          <w:rFonts w:hint="eastAsia" w:ascii="仿宋_GB2312" w:hAnsi="仿宋" w:eastAsia="仿宋_GB2312" w:cs="微软雅黑"/>
          <w:lang w:val="zh-CN"/>
        </w:rPr>
        <w:t>4.2.3.6</w:t>
      </w:r>
      <w:r>
        <w:rPr>
          <w:rFonts w:hint="eastAsia" w:ascii="仿宋_GB2312" w:hAnsi="仿宋" w:eastAsia="仿宋_GB2312" w:cs="Arial"/>
          <w:snapToGrid w:val="0"/>
          <w:kern w:val="2"/>
          <w:szCs w:val="21"/>
        </w:rPr>
        <w:t>提出质疑的日期。</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rPr>
      </w:pPr>
      <w:r>
        <w:rPr>
          <w:rFonts w:hint="eastAsia" w:ascii="仿宋_GB2312" w:hAnsi="仿宋" w:eastAsia="仿宋_GB2312"/>
        </w:rPr>
        <w:t>质疑函范本及制作说明详见附件2。</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rPr>
      </w:pPr>
      <w:r>
        <w:rPr>
          <w:rFonts w:hint="eastAsia" w:ascii="仿宋_GB2312" w:hAnsi="仿宋" w:eastAsia="仿宋_GB2312" w:cs="微软雅黑"/>
          <w:lang w:val="zh-CN"/>
        </w:rPr>
        <w:t>4.2</w:t>
      </w:r>
      <w:r>
        <w:rPr>
          <w:rFonts w:hint="eastAsia" w:ascii="仿宋_GB2312" w:hAnsi="仿宋" w:eastAsia="仿宋_GB2312"/>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rPr>
      </w:pPr>
      <w:r>
        <w:rPr>
          <w:rFonts w:hint="eastAsia" w:ascii="仿宋_GB2312" w:hAnsi="仿宋" w:eastAsia="仿宋_GB2312" w:cs="微软雅黑"/>
          <w:lang w:val="zh-CN"/>
        </w:rPr>
        <w:t>4.2</w:t>
      </w:r>
      <w:r>
        <w:rPr>
          <w:rFonts w:hint="eastAsia" w:ascii="仿宋_GB2312" w:hAnsi="仿宋" w:eastAsia="仿宋_GB2312"/>
        </w:rPr>
        <w:t>.5询问或者质疑事项可能影响采购结果的，采购人应当暂停签订合同，已经签订合同的，应当中止履行合同。</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cs="微软雅黑"/>
          <w:lang w:val="zh-CN"/>
        </w:rPr>
      </w:pPr>
      <w:r>
        <w:rPr>
          <w:rFonts w:hint="eastAsia" w:ascii="仿宋_GB2312" w:hAnsi="仿宋" w:eastAsia="仿宋_GB2312" w:cs="微软雅黑"/>
          <w:lang w:val="zh-CN"/>
        </w:rPr>
        <w:t>4.3供应商投诉</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rPr>
      </w:pPr>
      <w:r>
        <w:rPr>
          <w:rFonts w:hint="eastAsia" w:ascii="仿宋_GB2312" w:hAnsi="仿宋" w:eastAsia="仿宋_GB2312"/>
        </w:rPr>
        <w:t>4.3.1质疑供应商对采购人、采购机构的答复不满意或者采购人、采购机构未在规定的时间内作出答复的，可以在答复期满后十五个工作日内向同级政府采购监督管理部门提出投诉。</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rPr>
      </w:pPr>
      <w:r>
        <w:rPr>
          <w:rFonts w:hint="eastAsia" w:ascii="仿宋_GB2312" w:hAnsi="仿宋" w:eastAsia="仿宋_GB2312"/>
        </w:rPr>
        <w:t>4.3.</w:t>
      </w:r>
      <w:r>
        <w:rPr>
          <w:rFonts w:hint="eastAsia"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rPr>
      </w:pPr>
      <w:r>
        <w:rPr>
          <w:rFonts w:hint="eastAsia" w:ascii="仿宋_GB2312" w:hAnsi="仿宋" w:eastAsia="仿宋_GB2312"/>
        </w:rPr>
        <w:t>4.3.3供应商投诉应当有明确的请求和必要的证明材料。</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rPr>
      </w:pPr>
      <w:r>
        <w:rPr>
          <w:rFonts w:hint="eastAsia" w:ascii="仿宋_GB2312" w:hAnsi="仿宋" w:eastAsia="仿宋_GB2312"/>
        </w:rPr>
        <w:t>4.3.5 以联合体形式参加政府采购活动的，其投诉应当由组成联合体的所有供应商共同提出。</w:t>
      </w:r>
    </w:p>
    <w:p>
      <w:pPr>
        <w:pStyle w:val="722"/>
        <w:shd w:val="clear" w:color="auto" w:fill="FFFFFF"/>
        <w:snapToGrid w:val="0"/>
        <w:spacing w:before="0" w:beforeAutospacing="0" w:after="0" w:afterAutospacing="0" w:line="360" w:lineRule="auto"/>
        <w:ind w:firstLine="480" w:firstLineChars="200"/>
        <w:contextualSpacing/>
        <w:rPr>
          <w:rFonts w:ascii="仿宋_GB2312" w:hAnsi="仿宋" w:eastAsia="仿宋_GB2312"/>
        </w:rPr>
      </w:pPr>
      <w:r>
        <w:rPr>
          <w:rFonts w:hint="eastAsia" w:ascii="仿宋_GB2312" w:hAnsi="仿宋" w:eastAsia="仿宋_GB2312"/>
        </w:rPr>
        <w:t>投诉书范本及制作说明详见附件3。</w:t>
      </w:r>
    </w:p>
    <w:p>
      <w:pPr>
        <w:pStyle w:val="264"/>
        <w:snapToGrid w:val="0"/>
        <w:spacing w:before="0"/>
        <w:ind w:firstLine="360"/>
        <w:rPr>
          <w:rFonts w:ascii="仿宋_GB2312" w:hAnsi="仿宋" w:eastAsia="仿宋_GB2312" w:cs="仿宋_GB2312"/>
          <w:sz w:val="18"/>
          <w:szCs w:val="18"/>
        </w:rPr>
      </w:pPr>
    </w:p>
    <w:p>
      <w:pPr>
        <w:adjustRightInd/>
        <w:spacing w:line="360" w:lineRule="auto"/>
        <w:jc w:val="center"/>
        <w:outlineLvl w:val="1"/>
        <w:rPr>
          <w:rFonts w:ascii="仿宋_GB2312" w:hAnsi="仿宋" w:eastAsia="仿宋_GB2312" w:cs="仿宋_GB2312"/>
          <w:b/>
          <w:sz w:val="32"/>
          <w:szCs w:val="20"/>
        </w:rPr>
      </w:pPr>
      <w:bookmarkStart w:id="12" w:name="_Hlt75236290"/>
      <w:bookmarkEnd w:id="12"/>
      <w:bookmarkStart w:id="13" w:name="_Hlt68057669"/>
      <w:bookmarkEnd w:id="13"/>
      <w:bookmarkStart w:id="14" w:name="_Hlt74730295"/>
      <w:bookmarkEnd w:id="14"/>
      <w:bookmarkStart w:id="15" w:name="_Hlt74707468"/>
      <w:bookmarkEnd w:id="15"/>
      <w:bookmarkStart w:id="16" w:name="_Hlt74729768"/>
      <w:bookmarkEnd w:id="16"/>
      <w:bookmarkStart w:id="17" w:name="_Hlt68072990"/>
      <w:bookmarkEnd w:id="17"/>
      <w:bookmarkStart w:id="18" w:name="_Hlt74714665"/>
      <w:bookmarkEnd w:id="18"/>
      <w:bookmarkStart w:id="19" w:name="_Toc91899879"/>
      <w:r>
        <w:rPr>
          <w:rFonts w:hint="eastAsia" w:ascii="仿宋_GB2312" w:hAnsi="仿宋" w:eastAsia="仿宋_GB2312" w:cs="仿宋_GB2312"/>
          <w:b/>
          <w:sz w:val="32"/>
          <w:szCs w:val="20"/>
        </w:rPr>
        <w:t>二、招标文件</w:t>
      </w:r>
      <w:bookmarkEnd w:id="19"/>
      <w:r>
        <w:rPr>
          <w:rFonts w:hint="eastAsia" w:ascii="仿宋_GB2312" w:hAnsi="仿宋" w:eastAsia="仿宋_GB2312" w:cs="仿宋_GB2312"/>
          <w:b/>
          <w:sz w:val="32"/>
          <w:szCs w:val="20"/>
        </w:rPr>
        <w:t>的构成、澄清、修改</w:t>
      </w:r>
    </w:p>
    <w:p>
      <w:pPr>
        <w:pStyle w:val="33"/>
        <w:spacing w:line="360" w:lineRule="auto"/>
        <w:rPr>
          <w:rFonts w:ascii="仿宋_GB2312" w:hAnsi="仿宋" w:eastAsia="仿宋_GB2312" w:cs="仿宋_GB2312"/>
          <w:b/>
          <w:sz w:val="24"/>
          <w:szCs w:val="24"/>
        </w:rPr>
      </w:pPr>
      <w:bookmarkStart w:id="20" w:name="_Toc91899880"/>
      <w:bookmarkStart w:id="21" w:name="_Hlt74730307"/>
      <w:r>
        <w:rPr>
          <w:rFonts w:hint="eastAsia" w:ascii="仿宋_GB2312" w:hAnsi="仿宋" w:eastAsia="仿宋_GB2312" w:cs="仿宋_GB2312"/>
          <w:b/>
          <w:sz w:val="24"/>
          <w:szCs w:val="24"/>
        </w:rPr>
        <w:t>5．招标文件的构成</w:t>
      </w:r>
      <w:bookmarkEnd w:id="20"/>
    </w:p>
    <w:bookmarkEnd w:id="21"/>
    <w:p>
      <w:pPr>
        <w:pStyle w:val="33"/>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5.1 招标文件包括下列文件及附件</w:t>
      </w:r>
    </w:p>
    <w:p>
      <w:pPr>
        <w:pStyle w:val="33"/>
        <w:numPr>
          <w:ilvl w:val="0"/>
          <w:numId w:val="5"/>
        </w:numPr>
        <w:spacing w:line="360" w:lineRule="auto"/>
        <w:ind w:left="839"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第一部分 招标公告</w:t>
      </w:r>
    </w:p>
    <w:p>
      <w:pPr>
        <w:pStyle w:val="33"/>
        <w:numPr>
          <w:ilvl w:val="0"/>
          <w:numId w:val="5"/>
        </w:numPr>
        <w:spacing w:line="360" w:lineRule="auto"/>
        <w:ind w:left="839"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第二部分 投标人须知</w:t>
      </w:r>
    </w:p>
    <w:p>
      <w:pPr>
        <w:pStyle w:val="33"/>
        <w:numPr>
          <w:ilvl w:val="0"/>
          <w:numId w:val="5"/>
        </w:numPr>
        <w:spacing w:line="360" w:lineRule="auto"/>
        <w:ind w:left="839"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第三部分 采购需求</w:t>
      </w:r>
    </w:p>
    <w:p>
      <w:pPr>
        <w:pStyle w:val="33"/>
        <w:numPr>
          <w:ilvl w:val="0"/>
          <w:numId w:val="5"/>
        </w:numPr>
        <w:spacing w:line="360" w:lineRule="auto"/>
        <w:ind w:left="839"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第四部分 评标方法及评分标准</w:t>
      </w:r>
    </w:p>
    <w:p>
      <w:pPr>
        <w:pStyle w:val="33"/>
        <w:numPr>
          <w:ilvl w:val="0"/>
          <w:numId w:val="5"/>
        </w:numPr>
        <w:spacing w:line="360" w:lineRule="auto"/>
        <w:ind w:left="839"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第五部分 政府采购合同指引</w:t>
      </w:r>
    </w:p>
    <w:p>
      <w:pPr>
        <w:pStyle w:val="33"/>
        <w:numPr>
          <w:ilvl w:val="0"/>
          <w:numId w:val="5"/>
        </w:numPr>
        <w:spacing w:line="360" w:lineRule="auto"/>
        <w:ind w:left="839"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第六部分 应提交的有关格式范例</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3"/>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6. 招标文件的澄清、修改</w:t>
      </w:r>
    </w:p>
    <w:p>
      <w:pPr>
        <w:pStyle w:val="264"/>
        <w:snapToGrid w:val="0"/>
        <w:spacing w:before="0"/>
        <w:ind w:firstLine="480"/>
        <w:rPr>
          <w:rFonts w:ascii="仿宋_GB2312" w:hAnsi="仿宋" w:eastAsia="仿宋_GB2312" w:cs="仿宋_GB2312"/>
        </w:rPr>
      </w:pPr>
      <w:r>
        <w:rPr>
          <w:rFonts w:hint="eastAsia" w:ascii="仿宋_GB2312" w:hAnsi="仿宋" w:eastAsia="仿宋_GB2312" w:cs="仿宋_GB2312"/>
        </w:rPr>
        <w:t>6.1已获取招标文件的潜在投标人，若有问题需要澄清，应于投标截止时间前，以书面形式向采购机构提出。</w:t>
      </w:r>
    </w:p>
    <w:p>
      <w:pPr>
        <w:pStyle w:val="264"/>
        <w:snapToGrid w:val="0"/>
        <w:spacing w:before="0"/>
        <w:ind w:firstLine="480"/>
        <w:rPr>
          <w:rFonts w:ascii="仿宋_GB2312" w:hAnsi="仿宋" w:eastAsia="仿宋_GB2312"/>
        </w:rPr>
      </w:pPr>
      <w:r>
        <w:rPr>
          <w:rFonts w:hint="eastAsia" w:ascii="仿宋_GB2312" w:hAnsi="仿宋" w:eastAsia="仿宋_GB2312"/>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1" w:firstLineChars="200"/>
        <w:rPr>
          <w:rFonts w:ascii="仿宋_GB2312" w:hAnsi="仿宋" w:eastAsia="仿宋_GB2312" w:cs="仿宋_GB2312"/>
          <w:b/>
          <w:sz w:val="24"/>
          <w:szCs w:val="21"/>
        </w:rPr>
      </w:pPr>
      <w:r>
        <w:rPr>
          <w:rFonts w:hint="eastAsia" w:ascii="仿宋_GB2312" w:hAnsi="仿宋" w:eastAsia="仿宋_GB2312"/>
          <w:b/>
          <w:sz w:val="24"/>
        </w:rPr>
        <w:t>▲</w:t>
      </w:r>
      <w:r>
        <w:rPr>
          <w:rFonts w:hint="eastAsia" w:ascii="仿宋_GB2312" w:hAnsi="仿宋" w:eastAsia="仿宋_GB2312" w:cs="仿宋_GB2312"/>
          <w:b/>
          <w:sz w:val="24"/>
          <w:szCs w:val="21"/>
        </w:rPr>
        <w:t>投标文件未按招标文件的澄清、修改的内容编制，又不符合实质性要求的，投标无效。</w:t>
      </w:r>
    </w:p>
    <w:p>
      <w:pPr>
        <w:pStyle w:val="24"/>
        <w:rPr>
          <w:rFonts w:ascii="仿宋_GB2312" w:hAnsi="仿宋" w:eastAsia="仿宋_GB2312" w:cs="仿宋_GB2312"/>
          <w:sz w:val="18"/>
          <w:szCs w:val="18"/>
          <w:lang w:val="en-US"/>
        </w:rPr>
      </w:pPr>
      <w:r>
        <w:rPr>
          <w:rFonts w:hint="eastAsia" w:ascii="仿宋_GB2312" w:hAnsi="仿宋" w:eastAsia="仿宋_GB2312" w:cs="仿宋_GB2312"/>
          <w:szCs w:val="24"/>
          <w:lang w:val="en-US"/>
        </w:rPr>
        <w:t xml:space="preserve">    </w:t>
      </w:r>
    </w:p>
    <w:p>
      <w:pPr>
        <w:adjustRightInd/>
        <w:spacing w:line="360" w:lineRule="auto"/>
        <w:jc w:val="center"/>
        <w:outlineLvl w:val="1"/>
        <w:rPr>
          <w:rFonts w:ascii="仿宋_GB2312" w:hAnsi="仿宋" w:eastAsia="仿宋_GB2312" w:cs="仿宋_GB2312"/>
          <w:b/>
          <w:sz w:val="32"/>
          <w:szCs w:val="20"/>
        </w:rPr>
      </w:pPr>
      <w:bookmarkStart w:id="22" w:name="_Hlt75236011"/>
      <w:bookmarkEnd w:id="22"/>
      <w:bookmarkStart w:id="23" w:name="_Toc91899884"/>
      <w:r>
        <w:rPr>
          <w:rFonts w:hint="eastAsia" w:ascii="仿宋_GB2312" w:hAnsi="仿宋" w:eastAsia="仿宋_GB2312" w:cs="仿宋_GB2312"/>
          <w:b/>
          <w:sz w:val="32"/>
          <w:szCs w:val="20"/>
        </w:rPr>
        <w:t>三、投标</w:t>
      </w:r>
      <w:bookmarkEnd w:id="23"/>
    </w:p>
    <w:p>
      <w:pPr>
        <w:pStyle w:val="33"/>
        <w:spacing w:line="360" w:lineRule="auto"/>
        <w:rPr>
          <w:rFonts w:ascii="仿宋_GB2312" w:hAnsi="仿宋" w:eastAsia="仿宋_GB2312" w:cs="仿宋_GB2312"/>
          <w:b/>
          <w:sz w:val="24"/>
          <w:szCs w:val="24"/>
        </w:rPr>
      </w:pPr>
      <w:bookmarkStart w:id="24" w:name="_Toc86216991"/>
      <w:bookmarkStart w:id="25" w:name="_Toc91899892"/>
      <w:r>
        <w:rPr>
          <w:rFonts w:hint="eastAsia" w:ascii="仿宋_GB2312" w:hAnsi="仿宋" w:eastAsia="仿宋_GB2312" w:cs="仿宋_GB2312"/>
          <w:b/>
          <w:sz w:val="24"/>
          <w:szCs w:val="24"/>
        </w:rPr>
        <w:t>7. 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3"/>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采购人组织潜在投标人现场考察或者召开开标前答疑会的，潜在投标人按前附表的规定参加现场考察或者开标前答疑会。</w:t>
      </w:r>
      <w:r>
        <w:rPr>
          <w:rFonts w:hint="eastAsia" w:ascii="仿宋_GB2312" w:hAnsi="仿宋" w:eastAsia="仿宋_GB2312"/>
          <w:b/>
          <w:sz w:val="24"/>
          <w:szCs w:val="24"/>
        </w:rPr>
        <w:t>采购人不单独或分别组织只有一个供应商参加的现场考察和答疑会。</w:t>
      </w:r>
    </w:p>
    <w:p>
      <w:pPr>
        <w:pStyle w:val="33"/>
        <w:spacing w:line="360" w:lineRule="auto"/>
        <w:rPr>
          <w:rFonts w:ascii="仿宋_GB2312" w:hAnsi="仿宋" w:eastAsia="仿宋_GB2312" w:cs="仿宋_GB2312"/>
          <w:b/>
          <w:szCs w:val="24"/>
        </w:rPr>
      </w:pPr>
      <w:r>
        <w:rPr>
          <w:rFonts w:hint="eastAsia" w:ascii="仿宋_GB2312" w:hAnsi="仿宋" w:eastAsia="仿宋_GB2312"/>
          <w:b/>
          <w:kern w:val="28"/>
          <w:sz w:val="24"/>
          <w:szCs w:val="24"/>
        </w:rPr>
        <w:t>9.投标保证金</w:t>
      </w:r>
    </w:p>
    <w:p>
      <w:pPr>
        <w:pStyle w:val="1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本项目不需要交纳投标保证金。</w:t>
      </w:r>
    </w:p>
    <w:p>
      <w:pPr>
        <w:pStyle w:val="33"/>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10. 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11. 投标文件的组成</w:t>
      </w:r>
    </w:p>
    <w:p>
      <w:pPr>
        <w:pStyle w:val="33"/>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kern w:val="0"/>
          <w:sz w:val="24"/>
          <w:szCs w:val="24"/>
        </w:rPr>
        <w:t>投标文件应当包括以下主要内容：</w:t>
      </w:r>
      <w:r>
        <w:rPr>
          <w:rFonts w:hint="eastAsia" w:ascii="仿宋_GB2312" w:hAnsi="仿宋" w:eastAsia="仿宋_GB2312" w:cs="仿宋_GB2312"/>
          <w:b/>
          <w:sz w:val="24"/>
          <w:szCs w:val="24"/>
        </w:rPr>
        <w:t>资格文件、报价文件、商务技术文件</w:t>
      </w:r>
      <w:r>
        <w:rPr>
          <w:rFonts w:hint="eastAsia" w:ascii="仿宋_GB2312" w:hAnsi="仿宋" w:eastAsia="仿宋_GB2312" w:cs="仿宋_GB2312"/>
          <w:sz w:val="24"/>
          <w:szCs w:val="24"/>
        </w:rPr>
        <w:t>。投标文件应当对招标文件提出的要求和条件作出明确响应。</w:t>
      </w:r>
    </w:p>
    <w:p>
      <w:pPr>
        <w:snapToGrid w:val="0"/>
        <w:spacing w:line="360" w:lineRule="auto"/>
        <w:ind w:firstLine="480" w:firstLineChars="200"/>
        <w:rPr>
          <w:rFonts w:ascii="仿宋_GB2312" w:hAnsi="仿宋" w:eastAsia="仿宋_GB2312" w:cs="仿宋_GB2312"/>
          <w:b/>
          <w:kern w:val="0"/>
          <w:sz w:val="24"/>
        </w:rPr>
      </w:pPr>
      <w:r>
        <w:rPr>
          <w:rFonts w:hint="eastAsia"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应包括以下内容（均需使用电子签名）：</w:t>
      </w:r>
      <w:r>
        <w:rPr>
          <w:rFonts w:hint="eastAsia" w:ascii="仿宋_GB2312" w:hAnsi="仿宋" w:eastAsia="仿宋_GB2312" w:cs="仿宋_GB2312"/>
          <w:kern w:val="0"/>
          <w:sz w:val="24"/>
        </w:rPr>
        <w:t>证明其符合《中华人民共和国政府采购法》</w:t>
      </w:r>
      <w:r>
        <w:rPr>
          <w:rFonts w:hint="eastAsia" w:ascii="仿宋_GB2312" w:hAnsi="仿宋" w:eastAsia="仿宋_GB2312" w:cs="Arial"/>
          <w:kern w:val="0"/>
          <w:sz w:val="24"/>
        </w:rPr>
        <w:t>规定的供应商基本条件和采购项目对供应商的特定条件</w:t>
      </w:r>
      <w:r>
        <w:rPr>
          <w:rFonts w:hint="eastAsia" w:ascii="仿宋_GB2312" w:hAnsi="仿宋" w:eastAsia="仿宋_GB2312" w:cs="仿宋_GB2312"/>
          <w:sz w:val="24"/>
        </w:rPr>
        <w:t>（如果项目要求）</w:t>
      </w:r>
      <w:r>
        <w:rPr>
          <w:rFonts w:hint="eastAsia" w:ascii="仿宋_GB2312" w:hAnsi="仿宋" w:eastAsia="仿宋_GB2312" w:cs="仿宋_GB2312"/>
          <w:kern w:val="0"/>
          <w:sz w:val="24"/>
        </w:rPr>
        <w:t>的有关资格证明文件。</w:t>
      </w:r>
      <w:r>
        <w:rPr>
          <w:rFonts w:hint="eastAsia" w:ascii="仿宋_GB2312" w:hAnsi="仿宋" w:eastAsia="仿宋_GB2312" w:cs="仿宋_GB2312"/>
          <w:b/>
          <w:kern w:val="0"/>
          <w:sz w:val="24"/>
        </w:rPr>
        <w:t>（以联合体形式进行政府采购的，参加联合体的供应商均应当提供）</w:t>
      </w:r>
    </w:p>
    <w:p>
      <w:pPr>
        <w:pStyle w:val="33"/>
        <w:spacing w:line="360" w:lineRule="auto"/>
        <w:ind w:firstLine="480" w:firstLineChars="200"/>
        <w:rPr>
          <w:rFonts w:ascii="仿宋_GB2312" w:hAnsi="仿宋" w:eastAsia="仿宋_GB2312"/>
          <w:sz w:val="24"/>
        </w:rPr>
      </w:pPr>
      <w:bookmarkStart w:id="26" w:name="_Hlt68403820"/>
      <w:bookmarkEnd w:id="26"/>
      <w:bookmarkStart w:id="27" w:name="_Hlt68073093"/>
      <w:bookmarkEnd w:id="27"/>
      <w:bookmarkStart w:id="28" w:name="_Hlt68072998"/>
      <w:bookmarkEnd w:id="28"/>
      <w:r>
        <w:rPr>
          <w:rFonts w:hint="eastAsia" w:ascii="仿宋_GB2312" w:hAnsi="仿宋" w:eastAsia="仿宋_GB2312" w:cs="仿宋_GB2312"/>
          <w:sz w:val="24"/>
        </w:rPr>
        <w:t>11.1.1</w:t>
      </w:r>
      <w:r>
        <w:rPr>
          <w:rFonts w:hint="eastAsia" w:ascii="仿宋_GB2312" w:hAnsi="仿宋" w:eastAsia="仿宋_GB2312"/>
          <w:sz w:val="24"/>
        </w:rPr>
        <w:t>营业执照(或事业法人登记证或其他工商等登记证明材料)复印件（投标人为自然人的，提供</w:t>
      </w:r>
      <w:r>
        <w:rPr>
          <w:rFonts w:hint="eastAsia" w:ascii="仿宋_GB2312" w:hAnsi="Helvetica" w:eastAsia="仿宋_GB2312" w:cs="Helvetica"/>
          <w:kern w:val="0"/>
          <w:sz w:val="24"/>
        </w:rPr>
        <w:t>自然人的身份证明</w:t>
      </w:r>
      <w:r>
        <w:rPr>
          <w:rFonts w:hint="eastAsia" w:ascii="仿宋_GB2312" w:hAnsi="仿宋" w:eastAsia="仿宋_GB2312"/>
          <w:sz w:val="24"/>
        </w:rPr>
        <w:t>）、税务登记证(</w:t>
      </w:r>
      <w:r>
        <w:rPr>
          <w:rFonts w:hint="eastAsia" w:ascii="仿宋_GB2312" w:hAnsi="Helvetica" w:eastAsia="仿宋_GB2312" w:cs="Helvetica"/>
          <w:kern w:val="0"/>
          <w:sz w:val="24"/>
        </w:rPr>
        <w:t>或其它依法缴纳税收的相关材料</w:t>
      </w:r>
      <w:r>
        <w:rPr>
          <w:rFonts w:hint="eastAsia" w:ascii="仿宋_GB2312" w:hAnsi="仿宋" w:eastAsia="仿宋_GB2312"/>
          <w:sz w:val="24"/>
        </w:rPr>
        <w:t>)复印件、社保登记证（</w:t>
      </w:r>
      <w:r>
        <w:rPr>
          <w:rFonts w:hint="eastAsia" w:ascii="仿宋_GB2312" w:hAnsi="Helvetica" w:eastAsia="仿宋_GB2312" w:cs="Helvetica"/>
          <w:kern w:val="0"/>
          <w:sz w:val="24"/>
        </w:rPr>
        <w:t>或其它依法缴纳社会保障资金的相关材料</w:t>
      </w:r>
      <w:r>
        <w:rPr>
          <w:rFonts w:hint="eastAsia" w:ascii="仿宋_GB2312" w:hAnsi="仿宋" w:eastAsia="仿宋_GB2312"/>
          <w:sz w:val="24"/>
        </w:rPr>
        <w:t>）复印件；实施“多证合一、一照一码”登记制度改革的，只需提供改革后取得的营业执照复印件；</w:t>
      </w:r>
    </w:p>
    <w:p>
      <w:pPr>
        <w:pStyle w:val="33"/>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11.1.2</w:t>
      </w:r>
      <w:r>
        <w:rPr>
          <w:rFonts w:hint="eastAsia" w:ascii="仿宋_GB2312" w:hAnsi="仿宋" w:eastAsia="仿宋_GB2312"/>
          <w:sz w:val="24"/>
        </w:rPr>
        <w:t>法人授权书（如法定代表人直接参加投标并对相应文件签字的，只需提供其身份证复印件正反面；如以联合体形式参加政府采购活动的，按招标文件有关格式范例提供联合体投标授权书）；▲</w:t>
      </w:r>
      <w:r>
        <w:rPr>
          <w:rFonts w:hint="eastAsia" w:ascii="仿宋_GB2312" w:hAnsi="仿宋" w:eastAsia="仿宋_GB2312" w:cs="仿宋_GB2312"/>
          <w:b/>
          <w:sz w:val="24"/>
        </w:rPr>
        <w:t>投标文件中法人授权书所载内容与本项目内容有异的，投标无效</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cs="仿宋_GB2312"/>
          <w:sz w:val="24"/>
        </w:rPr>
        <w:t>11.1.3</w:t>
      </w:r>
      <w:r>
        <w:rPr>
          <w:rFonts w:hint="eastAsia" w:ascii="仿宋_GB2312" w:hAnsi="仿宋" w:eastAsia="仿宋_GB2312"/>
          <w:sz w:val="24"/>
        </w:rPr>
        <w:t>授权代表的身份证（复印件）；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11.1.4 2020年度资产负债表等财务报表资料文件 (或其它</w:t>
      </w:r>
      <w:r>
        <w:rPr>
          <w:rFonts w:hint="eastAsia" w:ascii="仿宋_GB2312" w:hAnsi="Helvetica" w:eastAsia="仿宋_GB2312" w:cs="Helvetica"/>
          <w:kern w:val="0"/>
          <w:sz w:val="24"/>
        </w:rPr>
        <w:t>财务状况报告，</w:t>
      </w:r>
      <w:r>
        <w:rPr>
          <w:rFonts w:hint="eastAsia" w:ascii="仿宋_GB2312" w:hAnsi="仿宋" w:eastAsia="仿宋_GB2312" w:cs="仿宋_GB2312"/>
          <w:sz w:val="24"/>
        </w:rPr>
        <w:t>新成立的公司，必须提供情况说明)；</w:t>
      </w:r>
    </w:p>
    <w:p>
      <w:pPr>
        <w:pStyle w:val="33"/>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11.1.5具有履行合同所必需的设备和专业技术能力的承诺函；</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11.1.6参加政府采购活动前三年内，在经营活动中没有重大违法记录的声明；</w:t>
      </w:r>
    </w:p>
    <w:p>
      <w:pPr>
        <w:spacing w:line="360" w:lineRule="auto"/>
        <w:ind w:firstLine="480" w:firstLineChars="200"/>
        <w:rPr>
          <w:rFonts w:ascii="仿宋_GB2312" w:hAnsi="仿宋" w:eastAsia="仿宋_GB2312" w:cs="仿宋_GB2312"/>
          <w:sz w:val="24"/>
          <w:szCs w:val="20"/>
        </w:rPr>
      </w:pPr>
      <w:r>
        <w:rPr>
          <w:rFonts w:hint="eastAsia" w:ascii="仿宋_GB2312" w:hAnsi="仿宋" w:eastAsia="仿宋_GB2312" w:cs="仿宋_GB2312"/>
          <w:sz w:val="24"/>
        </w:rPr>
        <w:t>11.1.7</w:t>
      </w:r>
      <w:r>
        <w:rPr>
          <w:rFonts w:hint="eastAsia" w:ascii="仿宋_GB2312" w:hAnsi="仿宋" w:eastAsia="仿宋_GB2312" w:cs="仿宋_GB2312"/>
          <w:sz w:val="24"/>
          <w:szCs w:val="20"/>
        </w:rPr>
        <w:t xml:space="preserve">具有良好商业信誉的特别声明；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11.1.8符合特定资格条件（如果项目要求）的有关证明材料（复印件）；</w:t>
      </w:r>
    </w:p>
    <w:p>
      <w:pPr>
        <w:snapToGrid w:val="0"/>
        <w:spacing w:line="360" w:lineRule="auto"/>
        <w:ind w:firstLine="480" w:firstLineChars="200"/>
        <w:rPr>
          <w:rFonts w:ascii="仿宋_GB2312" w:hAnsi="仿宋" w:eastAsia="仿宋_GB2312" w:cs="仿宋_GB2312"/>
          <w:sz w:val="24"/>
          <w:u w:val="single"/>
          <w:lang w:val="zh-CN"/>
        </w:rPr>
      </w:pPr>
      <w:r>
        <w:rPr>
          <w:rFonts w:hint="eastAsia" w:ascii="仿宋_GB2312" w:hAnsi="仿宋" w:eastAsia="仿宋_GB2312" w:cs="仿宋_GB2312"/>
          <w:kern w:val="0"/>
          <w:sz w:val="24"/>
          <w:lang w:val="zh-CN"/>
        </w:rPr>
        <w:t xml:space="preserve">11.2 </w:t>
      </w:r>
      <w:r>
        <w:rPr>
          <w:rFonts w:hint="eastAsia" w:ascii="仿宋_GB2312" w:hAnsi="仿宋" w:eastAsia="仿宋_GB2312" w:cs="仿宋_GB2312"/>
          <w:sz w:val="24"/>
        </w:rPr>
        <w:t>投标人的</w:t>
      </w:r>
      <w:r>
        <w:rPr>
          <w:rFonts w:hint="eastAsia" w:ascii="仿宋_GB2312" w:hAnsi="仿宋" w:eastAsia="仿宋_GB2312" w:cs="仿宋_GB2312"/>
          <w:b/>
          <w:sz w:val="24"/>
        </w:rPr>
        <w:t>报价文件</w:t>
      </w:r>
      <w:r>
        <w:rPr>
          <w:rFonts w:hint="eastAsia" w:ascii="仿宋_GB2312" w:hAnsi="仿宋" w:eastAsia="仿宋_GB2312" w:cs="仿宋_GB2312"/>
          <w:sz w:val="24"/>
        </w:rPr>
        <w:t>应包括以下内容（均需使用电子签名）：</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11.2.1</w:t>
      </w:r>
      <w:r>
        <w:rPr>
          <w:rFonts w:hint="eastAsia" w:ascii="仿宋_GB2312" w:hAnsi="仿宋" w:eastAsia="仿宋_GB2312" w:cs="仿宋_GB2312"/>
          <w:kern w:val="0"/>
          <w:sz w:val="24"/>
        </w:rPr>
        <w:t>投标响应函</w:t>
      </w:r>
      <w:r>
        <w:rPr>
          <w:rFonts w:hint="eastAsia" w:ascii="仿宋_GB2312" w:hAnsi="仿宋" w:eastAsia="仿宋_GB2312" w:cs="仿宋_GB2312"/>
          <w:sz w:val="24"/>
        </w:rPr>
        <w:t>；</w:t>
      </w:r>
    </w:p>
    <w:p>
      <w:pPr>
        <w:pStyle w:val="33"/>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11.2.2投标(开标)一览表；</w:t>
      </w:r>
    </w:p>
    <w:p>
      <w:pPr>
        <w:pStyle w:val="33"/>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11.2.3中小企业声明函。</w:t>
      </w:r>
    </w:p>
    <w:p>
      <w:pPr>
        <w:pStyle w:val="33"/>
        <w:spacing w:line="360" w:lineRule="auto"/>
        <w:ind w:firstLine="480" w:firstLineChars="200"/>
        <w:rPr>
          <w:rFonts w:ascii="仿宋_GB2312" w:hAnsi="仿宋" w:eastAsia="仿宋_GB2312" w:cs="仿宋_GB2312"/>
          <w:sz w:val="24"/>
          <w:szCs w:val="24"/>
          <w:lang w:val="zh-CN"/>
        </w:rPr>
      </w:pPr>
      <w:r>
        <w:rPr>
          <w:rFonts w:hint="eastAsia" w:ascii="仿宋_GB2312" w:hAnsi="仿宋" w:eastAsia="仿宋_GB2312" w:cs="仿宋_GB2312"/>
          <w:kern w:val="0"/>
          <w:sz w:val="24"/>
          <w:szCs w:val="24"/>
          <w:lang w:val="zh-CN"/>
        </w:rPr>
        <w:t>11.3  投标人的</w:t>
      </w:r>
      <w:r>
        <w:rPr>
          <w:rFonts w:hint="eastAsia" w:ascii="仿宋_GB2312" w:hAnsi="仿宋" w:eastAsia="仿宋_GB2312" w:cs="仿宋_GB2312"/>
          <w:b/>
          <w:sz w:val="24"/>
          <w:szCs w:val="24"/>
        </w:rPr>
        <w:t>商务技术</w:t>
      </w:r>
      <w:r>
        <w:rPr>
          <w:rFonts w:hint="eastAsia" w:ascii="仿宋_GB2312" w:hAnsi="仿宋" w:eastAsia="仿宋_GB2312" w:cs="仿宋_GB2312"/>
          <w:b/>
          <w:kern w:val="0"/>
          <w:sz w:val="24"/>
          <w:szCs w:val="24"/>
          <w:lang w:val="zh-CN"/>
        </w:rPr>
        <w:t>文件应</w:t>
      </w:r>
      <w:r>
        <w:rPr>
          <w:rFonts w:hint="eastAsia" w:ascii="仿宋_GB2312" w:hAnsi="仿宋" w:eastAsia="仿宋_GB2312" w:cs="仿宋_GB2312"/>
          <w:kern w:val="0"/>
          <w:sz w:val="24"/>
          <w:szCs w:val="24"/>
          <w:lang w:val="zh-CN"/>
        </w:rPr>
        <w:t>包括以下内容</w:t>
      </w:r>
      <w:r>
        <w:rPr>
          <w:rFonts w:hint="eastAsia" w:ascii="仿宋_GB2312" w:hAnsi="仿宋" w:eastAsia="仿宋_GB2312" w:cs="仿宋_GB2312"/>
          <w:sz w:val="24"/>
          <w:szCs w:val="24"/>
        </w:rPr>
        <w:t>（均需使用电子签名）</w:t>
      </w:r>
      <w:r>
        <w:rPr>
          <w:rFonts w:hint="eastAsia" w:ascii="仿宋_GB2312" w:hAnsi="仿宋" w:eastAsia="仿宋_GB2312" w:cs="仿宋_GB2312"/>
          <w:kern w:val="0"/>
          <w:sz w:val="24"/>
          <w:szCs w:val="24"/>
          <w:lang w:val="zh-CN"/>
        </w:rPr>
        <w:t>：</w:t>
      </w:r>
      <w:r>
        <w:rPr>
          <w:rFonts w:hint="eastAsia" w:ascii="仿宋_GB2312" w:hAnsi="仿宋" w:eastAsia="仿宋_GB2312" w:cs="仿宋_GB2312"/>
          <w:sz w:val="24"/>
          <w:szCs w:val="24"/>
          <w:lang w:val="zh-CN"/>
        </w:rPr>
        <w:t xml:space="preserve">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lang w:val="zh-CN"/>
        </w:rPr>
        <w:t>11.3.1</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Helvetica"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sz w:val="24"/>
        </w:rPr>
        <w:t>；</w:t>
      </w:r>
    </w:p>
    <w:p>
      <w:pPr>
        <w:pStyle w:val="33"/>
        <w:spacing w:line="360" w:lineRule="auto"/>
        <w:ind w:firstLine="480" w:firstLineChars="200"/>
        <w:rPr>
          <w:rFonts w:ascii="仿宋_GB2312" w:hAnsi="仿宋" w:eastAsia="仿宋_GB2312"/>
          <w:sz w:val="24"/>
        </w:rPr>
      </w:pPr>
      <w:r>
        <w:rPr>
          <w:rFonts w:hint="eastAsia" w:ascii="仿宋_GB2312" w:hAnsi="仿宋" w:eastAsia="仿宋_GB2312" w:cs="仿宋_GB2312"/>
          <w:sz w:val="24"/>
          <w:lang w:val="zh-CN"/>
        </w:rPr>
        <w:t>11.3.2</w:t>
      </w:r>
      <w:r>
        <w:rPr>
          <w:rFonts w:hint="eastAsia" w:ascii="仿宋_GB2312" w:hAnsi="仿宋" w:eastAsia="仿宋_GB2312"/>
          <w:sz w:val="24"/>
        </w:rPr>
        <w:t>如以联合体形式参加政府采购活动的，</w:t>
      </w:r>
      <w:r>
        <w:rPr>
          <w:rFonts w:hint="eastAsia" w:ascii="仿宋_GB2312" w:hAnsi="仿宋" w:eastAsia="仿宋_GB2312"/>
          <w:sz w:val="24"/>
          <w:szCs w:val="24"/>
        </w:rPr>
        <w:t>联合体各方应当指定牵头人，授权其代表所有联合体成员负责投标和合同实施阶段的主办、协调工作，并应当向采购机构提交由所有联合体成员各方签署的授权书，同时</w:t>
      </w:r>
      <w:r>
        <w:rPr>
          <w:rFonts w:hint="eastAsia" w:ascii="仿宋_GB2312" w:hAnsi="仿宋" w:eastAsia="仿宋_GB2312"/>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_GB2312" w:hAnsi="仿宋" w:eastAsia="仿宋_GB2312"/>
          <w:b/>
          <w:sz w:val="24"/>
        </w:rPr>
        <w:t>▲如以联合体形式参加政府采购活动的，联合体协议不符合招标文件规定的联合体协议要求的，投标无效。</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lang w:val="zh-CN"/>
        </w:rPr>
        <w:t>11.3.3</w:t>
      </w:r>
      <w:r>
        <w:rPr>
          <w:rFonts w:hint="eastAsia" w:ascii="仿宋_GB2312" w:hAnsi="仿宋" w:eastAsia="仿宋_GB2312" w:cs="仿宋_GB2312"/>
          <w:sz w:val="24"/>
        </w:rPr>
        <w:t>资信文件：</w:t>
      </w:r>
      <w:r>
        <w:rPr>
          <w:rFonts w:hint="eastAsia" w:ascii="仿宋_GB2312" w:hAnsi="仿宋" w:eastAsia="仿宋_GB2312" w:cs="仿宋_GB2312"/>
          <w:kern w:val="0"/>
          <w:sz w:val="24"/>
          <w:szCs w:val="20"/>
        </w:rPr>
        <w:t>见投标须知前附表所述；</w:t>
      </w:r>
    </w:p>
    <w:p>
      <w:pPr>
        <w:pStyle w:val="264"/>
        <w:snapToGrid w:val="0"/>
        <w:spacing w:before="0"/>
        <w:ind w:firstLine="480"/>
        <w:rPr>
          <w:rFonts w:ascii="仿宋_GB2312" w:hAnsi="仿宋" w:eastAsia="仿宋_GB2312"/>
          <w:kern w:val="0"/>
          <w:lang w:val="zh-CN"/>
        </w:rPr>
      </w:pPr>
      <w:r>
        <w:rPr>
          <w:rFonts w:hint="eastAsia" w:ascii="仿宋_GB2312" w:hAnsi="仿宋" w:eastAsia="仿宋_GB2312" w:cs="仿宋_GB2312"/>
          <w:lang w:val="zh-CN"/>
        </w:rPr>
        <w:t>11.3.4</w:t>
      </w:r>
      <w:r>
        <w:rPr>
          <w:rFonts w:hint="eastAsia" w:ascii="仿宋_GB2312" w:hAnsi="仿宋" w:eastAsia="仿宋_GB2312" w:cs="宋体"/>
          <w:kern w:val="0"/>
        </w:rPr>
        <w:t>投标截止时间前三年投标人的主要业绩证明材料即</w:t>
      </w:r>
      <w:r>
        <w:rPr>
          <w:rFonts w:hint="eastAsia" w:ascii="仿宋_GB2312" w:hAnsi="仿宋" w:eastAsia="仿宋_GB2312"/>
          <w:lang w:val="zh-CN"/>
        </w:rPr>
        <w:t>合同</w:t>
      </w:r>
      <w:r>
        <w:rPr>
          <w:rFonts w:hint="eastAsia" w:ascii="仿宋_GB2312" w:hAnsi="仿宋" w:eastAsia="仿宋_GB2312"/>
        </w:rPr>
        <w:t>和用户验收报告</w:t>
      </w:r>
      <w:r>
        <w:rPr>
          <w:rFonts w:hint="eastAsia" w:ascii="仿宋_GB2312" w:hAnsi="仿宋" w:eastAsia="仿宋_GB2312"/>
          <w:szCs w:val="24"/>
        </w:rPr>
        <w:t>（</w:t>
      </w:r>
      <w:r>
        <w:rPr>
          <w:rFonts w:hint="eastAsia" w:ascii="仿宋_GB2312" w:hAnsi="仿宋" w:eastAsia="仿宋_GB2312" w:cs="Arial"/>
        </w:rPr>
        <w:t>联合体投标的，联合体各方</w:t>
      </w:r>
      <w:r>
        <w:rPr>
          <w:rFonts w:hint="eastAsia" w:ascii="仿宋_GB2312" w:hAnsi="仿宋" w:eastAsia="仿宋_GB2312" w:cs="Helvetica"/>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_GB2312" w:hAnsi="仿宋" w:eastAsia="仿宋_GB2312"/>
          <w:szCs w:val="24"/>
        </w:rPr>
        <w:t>)</w:t>
      </w:r>
      <w:r>
        <w:rPr>
          <w:rFonts w:hint="eastAsia" w:ascii="仿宋_GB2312" w:hAnsi="仿宋" w:eastAsia="仿宋_GB2312" w:cs="宋体"/>
          <w:kern w:val="0"/>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lang w:val="zh-CN"/>
        </w:rPr>
        <w:t>11.3.5</w:t>
      </w:r>
      <w:r>
        <w:rPr>
          <w:rFonts w:hint="eastAsia" w:ascii="仿宋_GB2312" w:hAnsi="仿宋" w:eastAsia="仿宋_GB2312" w:cs="仿宋_GB2312"/>
          <w:kern w:val="0"/>
          <w:sz w:val="24"/>
          <w:lang w:val="zh-CN"/>
        </w:rPr>
        <w:t>投标人认为需要的其他商务文件或说明；</w:t>
      </w:r>
      <w:r>
        <w:rPr>
          <w:rFonts w:hint="eastAsia" w:ascii="仿宋_GB2312" w:hAnsi="仿宋" w:eastAsia="仿宋_GB2312" w:cs="仿宋_GB2312"/>
          <w:sz w:val="24"/>
        </w:rPr>
        <w:t xml:space="preserve"> </w:t>
      </w:r>
    </w:p>
    <w:p>
      <w:pPr>
        <w:pStyle w:val="33"/>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lang w:val="zh-CN"/>
        </w:rPr>
        <w:t>11.3.6投标人应提供针对项目的完整技术解决方案；</w:t>
      </w:r>
    </w:p>
    <w:p>
      <w:pPr>
        <w:snapToGrid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sz w:val="24"/>
          <w:lang w:val="zh-CN"/>
        </w:rPr>
        <w:t>针对本项目的完整技术解决方案和实施方案；详细阐述项目方案的实现思路及关键技术；符合本项目对当前和未来发展的要求；以及对功能设计和实施计划的建议；</w:t>
      </w:r>
    </w:p>
    <w:p>
      <w:pPr>
        <w:pStyle w:val="33"/>
        <w:snapToGrid w:val="0"/>
        <w:spacing w:line="360" w:lineRule="auto"/>
        <w:ind w:firstLine="481" w:firstLineChars="200"/>
        <w:rPr>
          <w:rFonts w:ascii="仿宋_GB2312" w:hAnsi="仿宋" w:eastAsia="仿宋_GB2312" w:cs="仿宋_GB2312"/>
          <w:sz w:val="24"/>
        </w:rPr>
      </w:pPr>
      <w:r>
        <w:rPr>
          <w:rFonts w:hint="eastAsia" w:ascii="仿宋_GB2312" w:hAnsi="仿宋" w:eastAsia="仿宋_GB2312" w:cs="仿宋_GB2312"/>
          <w:b/>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仿宋_GB2312" w:hAnsi="仿宋" w:eastAsia="仿宋_GB2312" w:cs="仿宋_GB2312"/>
          <w:b/>
          <w:kern w:val="0"/>
          <w:sz w:val="24"/>
          <w:lang w:val="zh-CN"/>
        </w:rPr>
        <w:t>任何含糊不清的</w:t>
      </w:r>
      <w:r>
        <w:rPr>
          <w:rFonts w:hint="eastAsia" w:ascii="仿宋_GB2312" w:hAnsi="仿宋" w:eastAsia="仿宋_GB2312" w:cs="仿宋_GB2312"/>
          <w:b/>
          <w:sz w:val="24"/>
        </w:rPr>
        <w:t>表述导致</w:t>
      </w:r>
      <w:r>
        <w:rPr>
          <w:rFonts w:hint="eastAsia" w:ascii="仿宋_GB2312" w:hAnsi="仿宋" w:eastAsia="仿宋_GB2312" w:cs="仿宋_GB2312"/>
          <w:b/>
          <w:kern w:val="0"/>
          <w:sz w:val="24"/>
          <w:lang w:val="zh-CN"/>
        </w:rPr>
        <w:t>评标委员会技术扣分直至认定为投标无效都将是投标人的责任</w:t>
      </w:r>
      <w:r>
        <w:rPr>
          <w:rFonts w:hint="eastAsia" w:ascii="仿宋_GB2312" w:hAnsi="仿宋" w:eastAsia="仿宋_GB2312" w:cs="仿宋_GB2312"/>
          <w:sz w:val="24"/>
        </w:rPr>
        <w:t>。</w:t>
      </w:r>
    </w:p>
    <w:p>
      <w:pPr>
        <w:pStyle w:val="33"/>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本项目如需采购政府强制采购的节能产品的或</w:t>
      </w:r>
      <w:r>
        <w:rPr>
          <w:rFonts w:hint="eastAsia" w:ascii="仿宋_GB2312" w:hAnsi="仿宋" w:eastAsia="仿宋_GB2312"/>
          <w:sz w:val="24"/>
        </w:rPr>
        <w:t>投标人提供的产品是环境标志产品，</w:t>
      </w:r>
      <w:r>
        <w:rPr>
          <w:rFonts w:hint="eastAsia" w:ascii="仿宋_GB2312" w:hAnsi="仿宋" w:eastAsia="仿宋_GB2312" w:cs="仿宋_GB2312"/>
          <w:sz w:val="24"/>
        </w:rPr>
        <w:t>投标人按格式提供节能产品、环境标志产品认证证书复印件；</w:t>
      </w:r>
    </w:p>
    <w:p>
      <w:pPr>
        <w:pStyle w:val="33"/>
        <w:snapToGrid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sz w:val="24"/>
          <w:lang w:val="zh-CN"/>
        </w:rPr>
        <w:t>11.3.7</w:t>
      </w:r>
      <w:r>
        <w:rPr>
          <w:rFonts w:hint="eastAsia" w:ascii="仿宋_GB2312" w:hAnsi="仿宋" w:eastAsia="仿宋_GB2312" w:cs="仿宋_GB2312"/>
          <w:sz w:val="24"/>
        </w:rPr>
        <w:t>投标人在投标文件技术偏离说明表中，</w:t>
      </w:r>
      <w:r>
        <w:rPr>
          <w:rFonts w:hint="eastAsia" w:ascii="仿宋_GB2312" w:hAnsi="仿宋" w:eastAsia="仿宋_GB2312" w:cs="仿宋_GB2312"/>
          <w:kern w:val="0"/>
          <w:sz w:val="24"/>
          <w:lang w:val="zh-CN"/>
        </w:rPr>
        <w:t>应对</w:t>
      </w:r>
      <w:r>
        <w:rPr>
          <w:rFonts w:hint="eastAsia" w:ascii="仿宋_GB2312" w:hAnsi="仿宋" w:eastAsia="仿宋_GB2312" w:cs="仿宋_GB2312"/>
          <w:sz w:val="24"/>
        </w:rPr>
        <w:t>采购需求</w:t>
      </w:r>
      <w:r>
        <w:rPr>
          <w:rFonts w:hint="eastAsia" w:ascii="仿宋_GB2312" w:hAnsi="仿宋" w:eastAsia="仿宋_GB2312" w:cs="仿宋_GB2312"/>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sz w:val="24"/>
          <w:lang w:val="zh-CN"/>
        </w:rPr>
        <w:t>11.3.8</w:t>
      </w:r>
      <w:r>
        <w:rPr>
          <w:rFonts w:hint="eastAsia" w:ascii="仿宋_GB2312" w:hAnsi="仿宋" w:eastAsia="仿宋_GB2312" w:cs="仿宋_GB2312"/>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sz w:val="24"/>
          <w:lang w:val="zh-CN"/>
        </w:rPr>
        <w:t>11.3.9</w:t>
      </w:r>
      <w:r>
        <w:rPr>
          <w:rFonts w:hint="eastAsia" w:ascii="仿宋_GB2312" w:hAnsi="仿宋" w:eastAsia="仿宋_GB2312" w:cs="仿宋_GB2312"/>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sz w:val="24"/>
          <w:lang w:val="zh-CN"/>
        </w:rPr>
        <w:t>11.3.10</w:t>
      </w:r>
      <w:r>
        <w:rPr>
          <w:rFonts w:hint="eastAsia" w:ascii="仿宋_GB2312" w:hAnsi="仿宋" w:eastAsia="仿宋_GB2312" w:cs="仿宋_GB2312"/>
          <w:kern w:val="0"/>
          <w:sz w:val="24"/>
          <w:lang w:val="zh-CN"/>
        </w:rPr>
        <w:t>投标人为完成本项目组建的工作小组名单，每个专业人员的情况和人员数应该明确表示，明确各阶段投入人数；每个参加项目人员的履历表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sz w:val="24"/>
          <w:lang w:val="zh-CN"/>
        </w:rPr>
        <w:t>11.3.11</w:t>
      </w:r>
      <w:r>
        <w:rPr>
          <w:rFonts w:hint="eastAsia" w:ascii="仿宋_GB2312" w:hAnsi="仿宋" w:eastAsia="仿宋_GB2312" w:cs="仿宋_GB2312"/>
          <w:kern w:val="0"/>
          <w:sz w:val="24"/>
          <w:lang w:val="zh-CN"/>
        </w:rPr>
        <w:t>优惠条件及特殊承诺；</w:t>
      </w:r>
    </w:p>
    <w:p>
      <w:pPr>
        <w:tabs>
          <w:tab w:val="left" w:pos="0"/>
          <w:tab w:val="left" w:pos="840"/>
        </w:tabs>
        <w:autoSpaceDE w:val="0"/>
        <w:autoSpaceDN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sz w:val="24"/>
          <w:lang w:val="zh-CN"/>
        </w:rPr>
        <w:t>11.3.12</w:t>
      </w:r>
      <w:r>
        <w:rPr>
          <w:rFonts w:hint="eastAsia" w:ascii="仿宋_GB2312" w:hAnsi="仿宋" w:eastAsia="仿宋_GB2312" w:cs="仿宋_GB2312"/>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sz w:val="24"/>
          <w:lang w:val="zh-CN"/>
        </w:rPr>
        <w:t>11.3.13</w:t>
      </w:r>
      <w:r>
        <w:rPr>
          <w:rFonts w:hint="eastAsia" w:ascii="仿宋_GB2312" w:hAnsi="仿宋" w:eastAsia="仿宋_GB2312" w:cs="仿宋_GB2312"/>
          <w:kern w:val="0"/>
          <w:sz w:val="24"/>
          <w:lang w:val="zh-CN"/>
        </w:rPr>
        <w:t>培训计划；（如果有）</w:t>
      </w:r>
    </w:p>
    <w:p>
      <w:pPr>
        <w:pStyle w:val="33"/>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sz w:val="24"/>
          <w:lang w:val="zh-CN"/>
        </w:rPr>
        <w:t>11.3.14</w:t>
      </w:r>
      <w:r>
        <w:rPr>
          <w:rFonts w:hint="eastAsia" w:ascii="仿宋_GB2312" w:hAnsi="仿宋" w:eastAsia="仿宋_GB2312" w:cs="仿宋_GB2312"/>
          <w:kern w:val="0"/>
          <w:sz w:val="24"/>
          <w:szCs w:val="24"/>
          <w:lang w:val="zh-CN"/>
        </w:rPr>
        <w:t>投标人认为需要的其他技术文件或说明；</w:t>
      </w:r>
    </w:p>
    <w:p>
      <w:pPr>
        <w:tabs>
          <w:tab w:val="left" w:pos="0"/>
        </w:tabs>
        <w:autoSpaceDE w:val="0"/>
        <w:autoSpaceDN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sz w:val="24"/>
          <w:lang w:val="zh-CN"/>
        </w:rPr>
        <w:t>11.3.15</w:t>
      </w:r>
      <w:r>
        <w:rPr>
          <w:rFonts w:hint="eastAsia" w:ascii="仿宋_GB2312" w:hAnsi="仿宋" w:eastAsia="仿宋_GB2312" w:cs="仿宋_GB2312"/>
          <w:kern w:val="0"/>
          <w:sz w:val="24"/>
          <w:lang w:val="zh-CN"/>
        </w:rPr>
        <w:t>关于对招标文件商务、合同中有关条款的拒绝声明。（如果有）</w:t>
      </w:r>
    </w:p>
    <w:p>
      <w:pPr>
        <w:spacing w:line="360" w:lineRule="auto"/>
        <w:ind w:firstLine="481" w:firstLineChars="200"/>
        <w:rPr>
          <w:rFonts w:ascii="仿宋_GB2312" w:hAnsi="仿宋" w:eastAsia="仿宋_GB2312" w:cs="仿宋_GB2312"/>
          <w:b/>
          <w:sz w:val="24"/>
        </w:rPr>
      </w:pPr>
      <w:r>
        <w:rPr>
          <w:rFonts w:hint="eastAsia" w:ascii="仿宋_GB2312" w:hAnsi="仿宋" w:eastAsia="仿宋_GB2312"/>
          <w:b/>
          <w:sz w:val="24"/>
        </w:rPr>
        <w:t>▲</w:t>
      </w:r>
      <w:r>
        <w:rPr>
          <w:rFonts w:hint="eastAsia" w:ascii="仿宋_GB2312" w:hAnsi="仿宋" w:eastAsia="仿宋_GB2312" w:cs="仿宋_GB2312"/>
          <w:b/>
          <w:sz w:val="24"/>
        </w:rPr>
        <w:t>投标文件组成漏项，内容不全或内容字迹模糊辨认不清的，投标无效；</w:t>
      </w:r>
    </w:p>
    <w:p>
      <w:pPr>
        <w:spacing w:line="360" w:lineRule="auto"/>
        <w:ind w:firstLine="481" w:firstLineChars="2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481" w:firstLineChars="2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snapToGrid w:val="0"/>
        <w:spacing w:line="360" w:lineRule="auto"/>
        <w:rPr>
          <w:rFonts w:ascii="仿宋_GB2312" w:hAnsi="仿宋" w:eastAsia="仿宋_GB2312"/>
          <w:b/>
          <w:sz w:val="24"/>
        </w:rPr>
      </w:pPr>
      <w:bookmarkStart w:id="29" w:name="_Toc91899887"/>
      <w:r>
        <w:rPr>
          <w:rFonts w:hint="eastAsia" w:ascii="仿宋_GB2312" w:hAnsi="仿宋" w:eastAsia="仿宋_GB2312"/>
          <w:b/>
          <w:sz w:val="24"/>
        </w:rPr>
        <w:t>12. 投标文件的编制</w:t>
      </w:r>
    </w:p>
    <w:p>
      <w:pPr>
        <w:spacing w:line="360" w:lineRule="auto"/>
        <w:ind w:firstLine="480" w:firstLineChars="200"/>
        <w:rPr>
          <w:rFonts w:ascii="仿宋_GB2312" w:hAnsi="仿宋" w:eastAsia="仿宋_GB2312" w:cs="仿宋_GB2312"/>
          <w:b/>
          <w:sz w:val="24"/>
        </w:rPr>
      </w:pPr>
      <w:r>
        <w:rPr>
          <w:rFonts w:hint="eastAsia" w:ascii="仿宋_GB2312" w:hAnsi="仿宋" w:eastAsia="仿宋_GB2312"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12.3使用“政采云电子交易客户端”需要提前申领CA数字证书，申领流程请自行前往“浙江政府采购网-下载专区-电子交易客户端-CA驱动和申领流程”进行查阅。</w:t>
      </w:r>
    </w:p>
    <w:bookmarkEnd w:id="29"/>
    <w:p>
      <w:pPr>
        <w:snapToGrid w:val="0"/>
        <w:spacing w:line="360" w:lineRule="auto"/>
        <w:rPr>
          <w:rFonts w:ascii="仿宋_GB2312" w:hAnsi="仿宋" w:eastAsia="仿宋_GB2312"/>
          <w:b/>
          <w:sz w:val="24"/>
        </w:rPr>
      </w:pPr>
      <w:r>
        <w:rPr>
          <w:rFonts w:hint="eastAsia" w:ascii="仿宋_GB2312" w:hAnsi="仿宋" w:eastAsia="仿宋_GB2312"/>
          <w:b/>
          <w:sz w:val="24"/>
        </w:rPr>
        <w:t>13.投标文件的签署、盖章</w:t>
      </w:r>
    </w:p>
    <w:p>
      <w:pPr>
        <w:pStyle w:val="264"/>
        <w:snapToGrid w:val="0"/>
        <w:spacing w:before="0"/>
        <w:ind w:firstLine="480"/>
        <w:rPr>
          <w:rFonts w:ascii="仿宋_GB2312" w:hAnsi="仿宋" w:eastAsia="仿宋_GB2312" w:cs="仿宋_GB2312"/>
          <w:b/>
        </w:rPr>
      </w:pPr>
      <w:r>
        <w:rPr>
          <w:rFonts w:hint="eastAsia"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264"/>
        <w:snapToGrid w:val="0"/>
        <w:spacing w:before="0"/>
        <w:ind w:firstLine="482"/>
        <w:rPr>
          <w:rFonts w:ascii="仿宋_GB2312" w:hAnsi="仿宋" w:eastAsia="仿宋_GB2312" w:cs="仿宋_GB2312"/>
          <w:szCs w:val="24"/>
        </w:rPr>
      </w:pPr>
      <w:r>
        <w:rPr>
          <w:rFonts w:hint="eastAsia" w:ascii="仿宋_GB2312" w:hAnsi="仿宋" w:eastAsia="仿宋_GB2312" w:cs="仿宋_GB2312"/>
          <w:b/>
        </w:rPr>
        <w:t>13.2</w:t>
      </w:r>
      <w:r>
        <w:rPr>
          <w:rFonts w:hint="eastAsia" w:ascii="仿宋_GB2312" w:hAnsi="仿宋" w:eastAsia="仿宋_GB2312" w:cs="仿宋_GB2312"/>
        </w:rPr>
        <w:t>为确保网上操作合法、有效和安全，投标人应当在投标截止时间前完成在“政府采购云平台”的身份认证，确保在电子投标过程中能够对相关数据电文进行加密和使用电子签名。</w:t>
      </w:r>
    </w:p>
    <w:p>
      <w:pPr>
        <w:pStyle w:val="264"/>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14. 投标文件的提交、补充、修改、撤回</w:t>
      </w:r>
    </w:p>
    <w:p>
      <w:pPr>
        <w:pStyle w:val="264"/>
        <w:ind w:firstLine="480"/>
        <w:rPr>
          <w:rFonts w:ascii="仿宋_GB2312" w:hAnsi="仿宋" w:eastAsia="仿宋_GB2312" w:cs="仿宋_GB2312"/>
          <w:szCs w:val="24"/>
        </w:rPr>
      </w:pPr>
      <w:r>
        <w:rPr>
          <w:rFonts w:hint="eastAsia" w:ascii="仿宋_GB2312" w:hAnsi="仿宋" w:eastAsia="仿宋_GB2312"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64"/>
        <w:spacing w:before="0"/>
        <w:ind w:firstLine="480"/>
        <w:rPr>
          <w:rFonts w:ascii="仿宋_GB2312" w:hAnsi="仿宋" w:eastAsia="仿宋_GB2312" w:cs="仿宋_GB2312"/>
          <w:szCs w:val="24"/>
        </w:rPr>
      </w:pPr>
      <w:r>
        <w:rPr>
          <w:rFonts w:hint="eastAsia"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264"/>
        <w:spacing w:before="0"/>
        <w:ind w:firstLine="480"/>
        <w:rPr>
          <w:rFonts w:ascii="仿宋_GB2312" w:hAnsi="仿宋" w:eastAsia="仿宋_GB2312" w:cs="仿宋_GB2312"/>
          <w:szCs w:val="24"/>
        </w:rPr>
      </w:pPr>
      <w:r>
        <w:rPr>
          <w:rFonts w:hint="eastAsia" w:ascii="仿宋_GB2312" w:hAnsi="仿宋" w:eastAsia="仿宋_GB2312" w:cs="仿宋_GB2312"/>
          <w:szCs w:val="24"/>
        </w:rPr>
        <w:t>14.3采购机构可以视情况延长投标文件提交的截止时间。在上述情况下，采购机构与投标人以前在投标截止期方面的全部权利、责任和义务，将适用于延长至新的投标截止期。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15.备份投标文件</w:t>
      </w:r>
    </w:p>
    <w:p>
      <w:pPr>
        <w:pStyle w:val="33"/>
        <w:spacing w:line="360" w:lineRule="auto"/>
        <w:ind w:firstLine="360" w:firstLineChars="150"/>
        <w:rPr>
          <w:rFonts w:ascii="仿宋_GB2312" w:hAnsi="仿宋" w:eastAsia="仿宋_GB2312" w:cs="仿宋_GB2312"/>
          <w:b/>
          <w:sz w:val="24"/>
          <w:szCs w:val="24"/>
        </w:rPr>
      </w:pPr>
      <w:r>
        <w:rPr>
          <w:rFonts w:hint="eastAsia"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sz w:val="24"/>
          <w:szCs w:val="24"/>
        </w:rPr>
      </w:pPr>
      <w:r>
        <w:rPr>
          <w:rFonts w:hint="eastAsia" w:ascii="仿宋_GB2312" w:hAnsi="仿宋" w:eastAsia="仿宋_GB2312" w:cs="仿宋_GB2312"/>
          <w:sz w:val="24"/>
          <w:szCs w:val="24"/>
        </w:rPr>
        <w:t>15.2备份投标文件须在“政采云投标客户端”制作生成，并储存在</w:t>
      </w:r>
      <w:r>
        <w:rPr>
          <w:rFonts w:ascii="仿宋_GB2312" w:hAnsi="仿宋" w:eastAsia="仿宋_GB2312"/>
          <w:sz w:val="24"/>
        </w:rPr>
        <w:t>U</w:t>
      </w:r>
      <w:r>
        <w:rPr>
          <w:rFonts w:hint="eastAsia" w:ascii="仿宋_GB2312" w:hAnsi="仿宋" w:eastAsia="仿宋_GB2312"/>
          <w:sz w:val="24"/>
        </w:rPr>
        <w:t>盘</w:t>
      </w:r>
      <w:r>
        <w:rPr>
          <w:rFonts w:hint="eastAsia" w:ascii="仿宋_GB2312" w:hAnsi="仿宋" w:eastAsia="仿宋_GB2312" w:cs="仿宋_GB2312"/>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3"/>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Times New Roman"/>
          <w:sz w:val="24"/>
          <w:szCs w:val="24"/>
        </w:rPr>
        <w:t>杭州鼎廉招标代理有限公司（杭州市凤起东路358号五福天星龙大厦A座170</w:t>
      </w:r>
      <w:r>
        <w:rPr>
          <w:rFonts w:ascii="仿宋_GB2312" w:hAnsi="仿宋" w:eastAsia="仿宋_GB2312"/>
          <w:sz w:val="24"/>
        </w:rPr>
        <w:t>3）</w:t>
      </w:r>
      <w:r>
        <w:rPr>
          <w:rFonts w:hint="eastAsia" w:ascii="仿宋_GB2312" w:hAnsi="仿宋" w:eastAsia="仿宋_GB2312" w:cs="仿宋_GB2312"/>
          <w:sz w:val="24"/>
          <w:szCs w:val="24"/>
        </w:rPr>
        <w:t>；送达时间以签收人签收时间为准（签收人：刘永明， 联系电话：0571-</w:t>
      </w:r>
      <w:r>
        <w:rPr>
          <w:rFonts w:hint="eastAsia" w:hAnsi="宋体" w:cs="宋体"/>
          <w:kern w:val="0"/>
          <w:sz w:val="24"/>
          <w:szCs w:val="24"/>
          <w:lang w:bidi="ar"/>
        </w:rPr>
        <w:t xml:space="preserve"> 87609627</w:t>
      </w:r>
      <w:r>
        <w:rPr>
          <w:rFonts w:hint="eastAsia" w:ascii="仿宋_GB2312" w:hAnsi="仿宋" w:eastAsia="仿宋_GB2312" w:cs="仿宋_GB2312"/>
          <w:sz w:val="24"/>
          <w:szCs w:val="24"/>
        </w:rPr>
        <w:t>）。采购机构将拒绝接受逾期送达的备份投标文件。邮寄过程中，电子备份投标文件发生泄露、遗失、损坏或延期送达等情况的，由投标人自行负责。</w:t>
      </w:r>
    </w:p>
    <w:p>
      <w:pPr>
        <w:pStyle w:val="33"/>
        <w:spacing w:line="360" w:lineRule="auto"/>
        <w:ind w:firstLine="481" w:firstLineChars="200"/>
        <w:rPr>
          <w:rFonts w:ascii="仿宋_GB2312" w:hAnsi="仿宋" w:eastAsia="仿宋_GB2312" w:cs="仿宋_GB2312"/>
          <w:b/>
          <w:sz w:val="24"/>
          <w:szCs w:val="24"/>
        </w:rPr>
      </w:pPr>
      <w:r>
        <w:rPr>
          <w:rFonts w:hint="eastAsia" w:ascii="仿宋_GB2312" w:hAnsi="仿宋" w:eastAsia="仿宋_GB2312" w:cs="仿宋_GB2312"/>
          <w:b/>
          <w:sz w:val="24"/>
          <w:szCs w:val="24"/>
        </w:rPr>
        <w:t>15.5投标人仅提交备份投标文件，没有在电子交易平台传输递交投标文件的，投标无效。</w:t>
      </w:r>
    </w:p>
    <w:bookmarkEnd w:id="24"/>
    <w:bookmarkEnd w:id="25"/>
    <w:p>
      <w:pPr>
        <w:pStyle w:val="264"/>
        <w:spacing w:before="0"/>
        <w:ind w:firstLine="0" w:firstLineChars="0"/>
        <w:rPr>
          <w:rFonts w:ascii="仿宋_GB2312" w:hAnsi="仿宋" w:eastAsia="仿宋_GB2312" w:cs="仿宋_GB2312"/>
          <w:b/>
          <w:szCs w:val="24"/>
        </w:rPr>
      </w:pPr>
      <w:bookmarkStart w:id="30" w:name="第三部分"/>
      <w:bookmarkStart w:id="31" w:name="_Toc164416483"/>
      <w:r>
        <w:rPr>
          <w:rFonts w:hint="eastAsia" w:ascii="仿宋_GB2312" w:hAnsi="仿宋" w:eastAsia="仿宋_GB2312" w:cs="仿宋_GB2312"/>
          <w:b/>
          <w:szCs w:val="24"/>
        </w:rPr>
        <w:t>16.投标文件的无效处理</w:t>
      </w:r>
    </w:p>
    <w:p>
      <w:pPr>
        <w:pStyle w:val="25"/>
        <w:spacing w:line="360" w:lineRule="auto"/>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第13项规定</w:t>
      </w:r>
      <w:r>
        <w:rPr>
          <w:rFonts w:hint="eastAsia" w:ascii="仿宋_GB2312" w:hAnsi="仿宋" w:eastAsia="仿宋_GB2312" w:cs="仿宋_GB2312"/>
          <w:szCs w:val="21"/>
        </w:rPr>
        <w:t>的情形之一的，投标无效：</w:t>
      </w:r>
    </w:p>
    <w:p>
      <w:pPr>
        <w:pStyle w:val="264"/>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264"/>
        <w:spacing w:before="0"/>
        <w:ind w:firstLine="480"/>
        <w:rPr>
          <w:rFonts w:ascii="仿宋_GB2312" w:hAnsi="仿宋" w:eastAsia="仿宋_GB2312" w:cs="仿宋_GB2312"/>
        </w:rPr>
      </w:pPr>
      <w:r>
        <w:rPr>
          <w:rFonts w:hint="eastAsia" w:ascii="仿宋_GB2312" w:hAnsi="仿宋" w:eastAsia="仿宋_GB2312" w:cs="仿宋_GB2312"/>
        </w:rPr>
        <w:t>17.2投标文件合格投递后，自投标截止日期起，在投标有效期内有效。</w:t>
      </w:r>
    </w:p>
    <w:p>
      <w:pPr>
        <w:pStyle w:val="264"/>
        <w:spacing w:before="0"/>
        <w:ind w:firstLine="480"/>
        <w:rPr>
          <w:rFonts w:ascii="仿宋_GB2312" w:hAnsi="仿宋" w:eastAsia="仿宋_GB2312" w:cs="仿宋_GB2312"/>
        </w:rPr>
      </w:pPr>
      <w:r>
        <w:rPr>
          <w:rFonts w:hint="eastAsia"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264"/>
        <w:spacing w:before="0"/>
        <w:ind w:firstLine="643"/>
        <w:rPr>
          <w:rFonts w:ascii="仿宋_GB2312" w:hAnsi="仿宋" w:eastAsia="仿宋_GB2312" w:cs="仿宋_GB2312"/>
          <w:b/>
          <w:sz w:val="32"/>
        </w:rPr>
      </w:pPr>
      <w:bookmarkStart w:id="32" w:name="_Toc91899897"/>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四、开标</w:t>
      </w:r>
      <w:bookmarkEnd w:id="32"/>
      <w:r>
        <w:rPr>
          <w:rFonts w:hint="eastAsia" w:ascii="仿宋_GB2312" w:hAnsi="仿宋" w:eastAsia="仿宋_GB2312" w:cs="仿宋_GB2312"/>
          <w:b/>
          <w:sz w:val="32"/>
          <w:szCs w:val="20"/>
        </w:rPr>
        <w:t>、资格审查与信用信息查询</w:t>
      </w:r>
    </w:p>
    <w:p>
      <w:pPr>
        <w:pStyle w:val="858"/>
        <w:spacing w:before="0" w:line="360" w:lineRule="auto"/>
        <w:ind w:left="0" w:firstLine="0"/>
        <w:contextualSpacing/>
        <w:rPr>
          <w:rFonts w:ascii="仿宋_GB2312" w:eastAsia="仿宋_GB2312"/>
          <w:sz w:val="24"/>
        </w:rPr>
      </w:pPr>
      <w:r>
        <w:rPr>
          <w:rFonts w:hint="eastAsia" w:ascii="仿宋_GB2312" w:hAnsi="仿宋" w:eastAsia="仿宋_GB2312" w:cs="仿宋_GB2312"/>
          <w:b/>
          <w:sz w:val="24"/>
          <w:szCs w:val="24"/>
        </w:rPr>
        <w:t>18.开标</w:t>
      </w:r>
      <w:r>
        <w:rPr>
          <w:rFonts w:hint="eastAsia" w:ascii="仿宋_GB2312" w:eastAsia="仿宋_GB2312"/>
          <w:sz w:val="24"/>
        </w:rPr>
        <w:t xml:space="preserve"> </w:t>
      </w:r>
    </w:p>
    <w:p>
      <w:pPr>
        <w:pStyle w:val="858"/>
        <w:spacing w:before="0" w:line="360" w:lineRule="auto"/>
        <w:ind w:left="0" w:firstLine="480" w:firstLineChars="200"/>
        <w:contextualSpacing/>
        <w:rPr>
          <w:rFonts w:ascii="仿宋_GB2312" w:hAnsi="仿宋" w:eastAsia="仿宋_GB2312" w:cs="仿宋_GB2312"/>
          <w:sz w:val="24"/>
        </w:rPr>
      </w:pPr>
      <w:r>
        <w:rPr>
          <w:rFonts w:hint="eastAsia"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858"/>
        <w:spacing w:before="0" w:line="360" w:lineRule="auto"/>
        <w:ind w:left="0" w:firstLine="480" w:firstLineChars="200"/>
        <w:contextualSpacing/>
        <w:rPr>
          <w:rFonts w:ascii="仿宋_GB2312" w:hAnsi="仿宋" w:eastAsia="仿宋_GB2312" w:cs="仿宋_GB2312"/>
          <w:sz w:val="24"/>
        </w:rPr>
      </w:pPr>
      <w:r>
        <w:rPr>
          <w:rFonts w:hint="eastAsia"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858"/>
        <w:spacing w:before="0" w:line="360" w:lineRule="auto"/>
        <w:ind w:left="0" w:firstLine="480" w:firstLineChars="200"/>
        <w:contextualSpacing/>
        <w:rPr>
          <w:rFonts w:ascii="仿宋_GB2312" w:hAnsi="仿宋" w:eastAsia="仿宋_GB2312" w:cs="仿宋_GB2312"/>
          <w:b/>
          <w:sz w:val="24"/>
        </w:rPr>
      </w:pPr>
      <w:r>
        <w:rPr>
          <w:rFonts w:hint="eastAsia"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pStyle w:val="858"/>
        <w:spacing w:before="0" w:line="360" w:lineRule="auto"/>
        <w:ind w:left="0" w:firstLine="0"/>
        <w:contextualSpacing/>
        <w:rPr>
          <w:rFonts w:ascii="仿宋_GB2312" w:hAnsi="仿宋" w:eastAsia="仿宋_GB2312" w:cs="仿宋_GB2312"/>
          <w:b/>
          <w:sz w:val="24"/>
          <w:szCs w:val="24"/>
        </w:rPr>
      </w:pPr>
      <w:r>
        <w:rPr>
          <w:rFonts w:hint="eastAsia" w:ascii="仿宋_GB2312" w:hAnsi="仿宋" w:eastAsia="仿宋_GB2312" w:cs="仿宋_GB2312"/>
          <w:b/>
          <w:sz w:val="24"/>
          <w:szCs w:val="24"/>
        </w:rPr>
        <w:t>19、资格审查</w:t>
      </w:r>
    </w:p>
    <w:p>
      <w:pPr>
        <w:pStyle w:val="264"/>
        <w:spacing w:before="0"/>
        <w:ind w:firstLine="480"/>
        <w:rPr>
          <w:rFonts w:ascii="仿宋_GB2312" w:hAnsi="仿宋" w:eastAsia="仿宋_GB2312" w:cs="Arial"/>
          <w:kern w:val="0"/>
          <w:szCs w:val="24"/>
        </w:rPr>
      </w:pPr>
      <w:r>
        <w:rPr>
          <w:rFonts w:hint="eastAsia"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264"/>
        <w:spacing w:before="0"/>
        <w:ind w:firstLine="480"/>
        <w:rPr>
          <w:rFonts w:ascii="仿宋_GB2312" w:hAnsi="仿宋" w:eastAsia="仿宋_GB2312" w:cs="仿宋_GB2312"/>
        </w:rPr>
      </w:pPr>
      <w:r>
        <w:rPr>
          <w:rFonts w:hint="eastAsia"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264"/>
        <w:spacing w:before="0"/>
        <w:ind w:firstLine="480"/>
        <w:rPr>
          <w:rFonts w:ascii="仿宋_GB2312" w:hAnsi="仿宋" w:eastAsia="仿宋_GB2312" w:cs="仿宋_GB2312"/>
        </w:rPr>
      </w:pPr>
      <w:r>
        <w:rPr>
          <w:rFonts w:hint="eastAsia" w:ascii="仿宋_GB2312" w:hAnsi="仿宋" w:eastAsia="仿宋_GB2312" w:cs="Arial"/>
          <w:kern w:val="0"/>
          <w:szCs w:val="24"/>
        </w:rPr>
        <w:t>19.</w:t>
      </w:r>
      <w:r>
        <w:rPr>
          <w:rFonts w:hint="eastAsia" w:ascii="仿宋_GB2312" w:hAnsi="仿宋" w:eastAsia="仿宋_GB2312" w:cs="仿宋_GB2312"/>
        </w:rPr>
        <w:t>4对未通过资格审查的投标人，采购人或采购机构告知其未通过的原因。</w:t>
      </w:r>
    </w:p>
    <w:p>
      <w:pPr>
        <w:pStyle w:val="264"/>
        <w:spacing w:before="0"/>
        <w:ind w:firstLine="480"/>
        <w:rPr>
          <w:rFonts w:ascii="仿宋_GB2312" w:hAnsi="仿宋" w:eastAsia="仿宋_GB2312" w:cs="仿宋_GB2312"/>
        </w:rPr>
      </w:pPr>
      <w:r>
        <w:rPr>
          <w:rFonts w:hint="eastAsia" w:ascii="仿宋_GB2312" w:hAnsi="仿宋" w:eastAsia="仿宋_GB2312" w:cs="Arial"/>
          <w:kern w:val="0"/>
          <w:szCs w:val="24"/>
        </w:rPr>
        <w:t>19.</w:t>
      </w:r>
      <w:r>
        <w:rPr>
          <w:rFonts w:hint="eastAsia" w:ascii="仿宋_GB2312" w:hAnsi="仿宋" w:eastAsia="仿宋_GB2312" w:cs="仿宋_GB2312"/>
        </w:rPr>
        <w:t>5合格投标人不足3家的，不再评标。</w:t>
      </w:r>
    </w:p>
    <w:p>
      <w:pPr>
        <w:pStyle w:val="264"/>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20、信用信息查询</w:t>
      </w:r>
    </w:p>
    <w:p>
      <w:pPr>
        <w:pStyle w:val="264"/>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264"/>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20.2信用信息查询记录和证据留存的具体方式：现场查询的投标人的信用记录、查询结果经确认后将与采购文件一起存档。</w:t>
      </w:r>
    </w:p>
    <w:p>
      <w:pPr>
        <w:pStyle w:val="264"/>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264"/>
        <w:spacing w:before="0"/>
        <w:ind w:firstLine="480"/>
        <w:rPr>
          <w:rFonts w:ascii="仿宋_GB2312" w:hAnsi="仿宋" w:eastAsia="仿宋_GB2312" w:cs="仿宋_GB2312"/>
        </w:rPr>
      </w:pPr>
      <w:r>
        <w:rPr>
          <w:rFonts w:hint="eastAsia"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264"/>
        <w:spacing w:before="0"/>
        <w:ind w:firstLine="0" w:firstLineChars="0"/>
        <w:rPr>
          <w:rFonts w:ascii="仿宋_GB2312" w:hAnsi="仿宋" w:eastAsia="仿宋_GB2312" w:cs="Arial"/>
          <w:kern w:val="0"/>
          <w:szCs w:val="24"/>
        </w:rPr>
      </w:pPr>
    </w:p>
    <w:p>
      <w:pPr>
        <w:adjustRightInd/>
        <w:spacing w:line="360" w:lineRule="auto"/>
        <w:jc w:val="center"/>
        <w:outlineLvl w:val="1"/>
        <w:rPr>
          <w:rFonts w:ascii="仿宋_GB2312" w:hAnsi="仿宋" w:eastAsia="仿宋_GB2312" w:cs="仿宋_GB2312"/>
          <w:b/>
          <w:sz w:val="32"/>
          <w:szCs w:val="20"/>
        </w:rPr>
      </w:pPr>
      <w:bookmarkStart w:id="33" w:name="_Hlt75236101"/>
      <w:bookmarkEnd w:id="33"/>
      <w:bookmarkStart w:id="34" w:name="_Toc91899902"/>
      <w:r>
        <w:rPr>
          <w:rFonts w:hint="eastAsia" w:ascii="仿宋_GB2312" w:hAnsi="仿宋" w:eastAsia="仿宋_GB2312" w:cs="仿宋_GB2312"/>
          <w:b/>
          <w:sz w:val="32"/>
          <w:szCs w:val="20"/>
        </w:rPr>
        <w:t>五、评 标</w:t>
      </w:r>
      <w:bookmarkEnd w:id="34"/>
    </w:p>
    <w:p>
      <w:pPr>
        <w:spacing w:line="360" w:lineRule="auto"/>
        <w:rPr>
          <w:rFonts w:ascii="仿宋_GB2312" w:hAnsi="仿宋" w:eastAsia="仿宋_GB2312" w:cs="仿宋_GB2312"/>
          <w:b/>
          <w:sz w:val="24"/>
        </w:rPr>
      </w:pPr>
      <w:bookmarkStart w:id="35" w:name="_Toc91899903"/>
      <w:r>
        <w:rPr>
          <w:rFonts w:hint="eastAsia" w:ascii="仿宋_GB2312" w:hAnsi="仿宋" w:eastAsia="仿宋_GB2312" w:cs="仿宋_GB2312"/>
          <w:b/>
          <w:sz w:val="24"/>
        </w:rPr>
        <w:t>21.</w:t>
      </w:r>
      <w:r>
        <w:rPr>
          <w:rFonts w:hint="eastAsia"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详见招标文件第四部分“评标方法及评分标准”</w:t>
      </w:r>
    </w:p>
    <w:p>
      <w:pPr>
        <w:spacing w:line="360" w:lineRule="auto"/>
        <w:rPr>
          <w:rFonts w:ascii="仿宋_GB2312" w:hAnsi="仿宋" w:eastAsia="仿宋_GB2312" w:cs="仿宋_GB2312"/>
          <w:b/>
          <w:sz w:val="24"/>
        </w:rPr>
      </w:pP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六、定 标</w:t>
      </w:r>
    </w:p>
    <w:p>
      <w:pPr>
        <w:pStyle w:val="25"/>
        <w:spacing w:line="360" w:lineRule="auto"/>
        <w:ind w:left="479" w:hanging="479" w:hangingChars="199"/>
        <w:rPr>
          <w:rFonts w:ascii="仿宋_GB2312" w:hAnsi="仿宋" w:eastAsia="仿宋_GB2312" w:cs="仿宋_GB2312"/>
          <w:b/>
        </w:rPr>
      </w:pPr>
      <w:r>
        <w:rPr>
          <w:rFonts w:hint="eastAsia" w:ascii="仿宋_GB2312" w:hAnsi="仿宋" w:eastAsia="仿宋_GB2312" w:cs="仿宋_GB2312"/>
          <w:b/>
        </w:rPr>
        <w:t>22. 确定中标供应商</w:t>
      </w:r>
    </w:p>
    <w:p>
      <w:pPr>
        <w:pStyle w:val="264"/>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采购人将自收到评审报告之日起5个工作日内通过电子交易平台在评审报告推荐的中标候选人中按顺序确定中标供应商。</w:t>
      </w:r>
    </w:p>
    <w:p>
      <w:pPr>
        <w:pStyle w:val="264"/>
        <w:snapToGrid w:val="0"/>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23. 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hint="eastAsia" w:ascii="仿宋_GB2312" w:hAnsi="仿宋" w:eastAsia="仿宋_GB2312" w:cs="仿宋_GB2312"/>
          <w:sz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hint="eastAsia" w:ascii="仿宋_GB2312" w:hAnsi="仿宋" w:eastAsia="仿宋_GB2312" w:cs="仿宋_GB2312"/>
          <w:sz w:val="24"/>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仿宋_GB2312" w:hAnsi="仿宋" w:eastAsia="仿宋_GB2312" w:cs="仿宋_GB2312"/>
          <w:sz w:val="24"/>
        </w:rPr>
      </w:pPr>
      <w:r>
        <w:rPr>
          <w:rFonts w:hint="eastAsia" w:ascii="仿宋_GB2312" w:hAnsi="仿宋" w:eastAsia="仿宋_GB2312" w:cs="仿宋_GB2312"/>
          <w:sz w:val="24"/>
        </w:rPr>
        <w:t>23.3公告期限为1个工作日。</w:t>
      </w:r>
    </w:p>
    <w:p>
      <w:pPr>
        <w:snapToGrid w:val="0"/>
        <w:spacing w:line="360" w:lineRule="auto"/>
        <w:ind w:left="120" w:leftChars="57" w:firstLine="481" w:firstLineChars="150"/>
        <w:jc w:val="center"/>
        <w:rPr>
          <w:rFonts w:ascii="仿宋_GB2312" w:hAnsi="仿宋" w:eastAsia="仿宋_GB2312" w:cs="仿宋_GB2312"/>
          <w:b/>
          <w:sz w:val="32"/>
        </w:rPr>
      </w:pP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七、合同授予</w:t>
      </w:r>
    </w:p>
    <w:p>
      <w:pPr>
        <w:pStyle w:val="25"/>
        <w:spacing w:line="360" w:lineRule="auto"/>
        <w:ind w:left="479" w:hanging="479" w:hangingChars="199"/>
        <w:rPr>
          <w:rFonts w:ascii="仿宋_GB2312" w:hAnsi="仿宋" w:eastAsia="仿宋_GB2312" w:cs="仿宋_GB2312"/>
          <w:b/>
        </w:rPr>
      </w:pPr>
      <w:r>
        <w:rPr>
          <w:rFonts w:hint="eastAsia" w:ascii="仿宋_GB2312" w:hAnsi="仿宋" w:eastAsia="仿宋_GB2312" w:cs="仿宋_GB2312"/>
          <w:b/>
        </w:rPr>
        <w:t xml:space="preserve">24. </w:t>
      </w:r>
      <w:r>
        <w:rPr>
          <w:rFonts w:hint="eastAsia" w:ascii="仿宋_GB2312" w:hAnsi="仿宋" w:eastAsia="仿宋_GB2312" w:cs="仿宋_GB2312"/>
        </w:rPr>
        <w:t>合同主要条款详见第五部分政府采购合同指引。</w:t>
      </w:r>
    </w:p>
    <w:p>
      <w:pPr>
        <w:pStyle w:val="25"/>
        <w:spacing w:line="360" w:lineRule="auto"/>
        <w:ind w:left="479" w:hanging="479" w:hangingChars="199"/>
        <w:rPr>
          <w:rFonts w:ascii="仿宋_GB2312" w:hAnsi="仿宋" w:eastAsia="仿宋_GB2312" w:cs="仿宋_GB2312"/>
          <w:b/>
        </w:rPr>
      </w:pPr>
      <w:r>
        <w:rPr>
          <w:rFonts w:hint="eastAsia" w:ascii="仿宋_GB2312" w:hAnsi="仿宋" w:eastAsia="仿宋_GB2312" w:cs="仿宋_GB2312"/>
          <w:b/>
        </w:rPr>
        <w:t>25. 合同的签订</w:t>
      </w:r>
    </w:p>
    <w:p>
      <w:pPr>
        <w:widowControl/>
        <w:shd w:val="clear" w:color="auto" w:fill="FFFFFF"/>
        <w:spacing w:line="360" w:lineRule="auto"/>
        <w:ind w:firstLine="480"/>
        <w:jc w:val="left"/>
        <w:rPr>
          <w:rFonts w:ascii="仿宋_GB2312" w:hAnsi="仿宋" w:eastAsia="仿宋_GB2312" w:cs="Arial"/>
          <w:kern w:val="0"/>
          <w:sz w:val="24"/>
        </w:rPr>
      </w:pPr>
      <w:r>
        <w:rPr>
          <w:rFonts w:hint="eastAsia" w:ascii="仿宋_GB2312" w:hAnsi="仿宋" w:eastAsia="仿宋_GB2312" w:cs="仿宋_GB2312"/>
          <w:sz w:val="24"/>
        </w:rPr>
        <w:t>25.1</w:t>
      </w:r>
      <w:r>
        <w:rPr>
          <w:rFonts w:hint="eastAsia" w:ascii="仿宋_GB2312" w:hAnsi="仿宋" w:eastAsia="仿宋_GB2312" w:cs="Arial"/>
          <w:kern w:val="0"/>
          <w:sz w:val="24"/>
        </w:rPr>
        <w:t xml:space="preserve"> 采购人与中标人应当通过电子交易平台在中标通知书发出之日起三十日内，按照招标文件确定的事项签订政府采购合同，并在规定时间内依法发布合同公告。</w:t>
      </w:r>
    </w:p>
    <w:p>
      <w:pPr>
        <w:pStyle w:val="264"/>
        <w:snapToGrid w:val="0"/>
        <w:spacing w:before="0"/>
        <w:ind w:firstLine="480"/>
        <w:rPr>
          <w:rFonts w:ascii="仿宋_GB2312" w:hAnsi="仿宋" w:eastAsia="仿宋_GB2312"/>
          <w:kern w:val="0"/>
        </w:rPr>
      </w:pPr>
      <w:r>
        <w:rPr>
          <w:rFonts w:hint="eastAsia"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264"/>
        <w:snapToGrid w:val="0"/>
        <w:spacing w:before="0"/>
        <w:ind w:firstLine="480"/>
        <w:rPr>
          <w:rFonts w:ascii="仿宋_GB2312" w:hAnsi="仿宋" w:eastAsia="仿宋_GB2312" w:cs="仿宋_GB2312"/>
        </w:rPr>
      </w:pPr>
      <w:r>
        <w:rPr>
          <w:rFonts w:hint="eastAsia" w:ascii="仿宋_GB2312" w:hAnsi="仿宋" w:eastAsia="仿宋_GB2312" w:cs="仿宋_GB2312"/>
        </w:rPr>
        <w:t>25.3如签订合同并生效后，供应商无故拒绝或延期，除按照合同条款处理外，列入不良行为记录一次，并给予通报。</w:t>
      </w:r>
    </w:p>
    <w:p>
      <w:pPr>
        <w:pStyle w:val="264"/>
        <w:snapToGrid w:val="0"/>
        <w:spacing w:before="0"/>
        <w:ind w:firstLine="480"/>
        <w:rPr>
          <w:rFonts w:ascii="仿宋_GB2312" w:hAnsi="仿宋" w:eastAsia="仿宋_GB2312" w:cs="仿宋_GB2312"/>
        </w:rPr>
      </w:pPr>
      <w:r>
        <w:rPr>
          <w:rFonts w:hint="eastAsia" w:ascii="仿宋_GB2312" w:hAnsi="仿宋" w:eastAsia="仿宋_GB2312" w:cs="仿宋_GB2312"/>
        </w:rPr>
        <w:t>25.4中标供应商拒绝与采购人签订合同的，采购人可以按照评审报告推荐的中标或者成交候选人名单排序，确定下一候选人为中标供应商，也可以重新开展政府采购活动。</w:t>
      </w:r>
    </w:p>
    <w:p>
      <w:pPr>
        <w:pStyle w:val="25"/>
        <w:spacing w:line="360" w:lineRule="auto"/>
        <w:ind w:left="479" w:hanging="479" w:hangingChars="199"/>
        <w:rPr>
          <w:rFonts w:ascii="仿宋_GB2312" w:hAnsi="仿宋" w:eastAsia="仿宋_GB2312" w:cs="仿宋_GB2312"/>
          <w:b/>
        </w:rPr>
      </w:pPr>
      <w:r>
        <w:rPr>
          <w:rFonts w:hint="eastAsia" w:ascii="仿宋_GB2312" w:hAnsi="仿宋" w:eastAsia="仿宋_GB2312" w:cs="仿宋_GB2312"/>
          <w:b/>
        </w:rPr>
        <w:t>26. 履约保证金</w:t>
      </w:r>
    </w:p>
    <w:p>
      <w:pPr>
        <w:tabs>
          <w:tab w:val="left" w:pos="0"/>
        </w:tabs>
        <w:spacing w:line="360" w:lineRule="auto"/>
        <w:ind w:firstLine="480"/>
        <w:rPr>
          <w:rFonts w:ascii="仿宋_GB2312" w:hAnsi="仿宋" w:eastAsia="仿宋_GB2312"/>
          <w:sz w:val="24"/>
        </w:rPr>
      </w:pPr>
      <w:r>
        <w:rPr>
          <w:rFonts w:hint="eastAsia" w:ascii="仿宋_GB2312" w:hAnsi="仿宋" w:eastAsia="仿宋_GB2312" w:cs="Helvetica"/>
          <w:kern w:val="0"/>
          <w:sz w:val="24"/>
        </w:rPr>
        <w:t>政府采购合同指引要求中标供应商提交履约保证金的，供应商应当以支票、汇票、本票或者金融机构、担保机构出具的保函等非现金形式提交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。履约保证金的数额不得超过政府采购合同金额的5%。</w:t>
      </w:r>
    </w:p>
    <w:p>
      <w:pPr>
        <w:tabs>
          <w:tab w:val="left" w:pos="0"/>
        </w:tabs>
        <w:spacing w:line="360" w:lineRule="auto"/>
        <w:ind w:firstLine="480"/>
        <w:rPr>
          <w:rFonts w:ascii="仿宋_GB2312" w:hAnsi="仿宋" w:eastAsia="仿宋_GB2312"/>
          <w:sz w:val="24"/>
        </w:rPr>
      </w:pP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八、电子交易活动的中止</w:t>
      </w:r>
    </w:p>
    <w:p>
      <w:pPr>
        <w:pStyle w:val="264"/>
        <w:snapToGrid w:val="0"/>
        <w:spacing w:before="0"/>
        <w:ind w:firstLine="0" w:firstLineChars="0"/>
        <w:rPr>
          <w:rFonts w:ascii="仿宋_GB2312" w:hAnsi="仿宋" w:eastAsia="仿宋_GB2312" w:cs="仿宋_GB2312"/>
        </w:rPr>
      </w:pPr>
      <w:r>
        <w:rPr>
          <w:rFonts w:hint="eastAsia" w:ascii="仿宋_GB2312" w:hAnsi="仿宋" w:eastAsia="仿宋_GB2312" w:cs="仿宋_GB2312"/>
        </w:rPr>
        <w:t>2</w:t>
      </w:r>
      <w:r>
        <w:rPr>
          <w:rFonts w:hint="eastAsia" w:ascii="仿宋_GB2312" w:hAnsi="仿宋" w:eastAsia="仿宋_GB2312" w:cs="仿宋_GB2312"/>
          <w:b/>
          <w:szCs w:val="24"/>
        </w:rPr>
        <w:t>7. 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264"/>
        <w:snapToGrid w:val="0"/>
        <w:spacing w:before="0"/>
        <w:ind w:firstLine="480"/>
        <w:rPr>
          <w:rFonts w:ascii="仿宋_GB2312" w:hAnsi="仿宋" w:eastAsia="仿宋_GB2312" w:cs="仿宋_GB2312"/>
        </w:rPr>
      </w:pPr>
      <w:r>
        <w:rPr>
          <w:rFonts w:hint="eastAsia" w:ascii="仿宋_GB2312" w:hAnsi="仿宋" w:eastAsia="仿宋_GB2312" w:cs="仿宋_GB2312"/>
        </w:rPr>
        <w:t xml:space="preserve">27.1电子交易平台发生故障而无法登录访问的； </w:t>
      </w:r>
    </w:p>
    <w:p>
      <w:pPr>
        <w:pStyle w:val="264"/>
        <w:snapToGrid w:val="0"/>
        <w:spacing w:before="0"/>
        <w:ind w:firstLine="480"/>
        <w:rPr>
          <w:rFonts w:ascii="仿宋_GB2312" w:hAnsi="仿宋" w:eastAsia="仿宋_GB2312" w:cs="仿宋_GB2312"/>
        </w:rPr>
      </w:pPr>
      <w:r>
        <w:rPr>
          <w:rFonts w:hint="eastAsia" w:ascii="仿宋_GB2312" w:hAnsi="仿宋" w:eastAsia="仿宋_GB2312" w:cs="仿宋_GB2312"/>
        </w:rPr>
        <w:t>27.2电子交易平台应用或数据库出现错误，不能进行正常操作的；</w:t>
      </w:r>
    </w:p>
    <w:p>
      <w:pPr>
        <w:pStyle w:val="264"/>
        <w:snapToGrid w:val="0"/>
        <w:spacing w:before="0"/>
        <w:ind w:firstLine="480"/>
        <w:rPr>
          <w:rFonts w:ascii="仿宋_GB2312" w:hAnsi="仿宋" w:eastAsia="仿宋_GB2312" w:cs="仿宋_GB2312"/>
        </w:rPr>
      </w:pPr>
      <w:r>
        <w:rPr>
          <w:rFonts w:hint="eastAsia" w:ascii="仿宋_GB2312" w:hAnsi="仿宋" w:eastAsia="仿宋_GB2312" w:cs="仿宋_GB2312"/>
        </w:rPr>
        <w:t>27.3电子交易平台发现严重安全漏洞，有潜在泄密危险的；</w:t>
      </w:r>
    </w:p>
    <w:p>
      <w:pPr>
        <w:pStyle w:val="264"/>
        <w:snapToGrid w:val="0"/>
        <w:spacing w:before="0"/>
        <w:ind w:firstLine="480"/>
        <w:rPr>
          <w:rFonts w:ascii="仿宋_GB2312" w:hAnsi="仿宋" w:eastAsia="仿宋_GB2312" w:cs="仿宋_GB2312"/>
        </w:rPr>
      </w:pPr>
      <w:r>
        <w:rPr>
          <w:rFonts w:hint="eastAsia" w:ascii="仿宋_GB2312" w:hAnsi="仿宋" w:eastAsia="仿宋_GB2312" w:cs="仿宋_GB2312"/>
        </w:rPr>
        <w:t xml:space="preserve">27.4病毒发作导致不能进行正常操作的； </w:t>
      </w:r>
    </w:p>
    <w:p>
      <w:pPr>
        <w:pStyle w:val="264"/>
        <w:snapToGrid w:val="0"/>
        <w:spacing w:before="0"/>
        <w:ind w:firstLine="480"/>
        <w:rPr>
          <w:rFonts w:ascii="仿宋_GB2312" w:hAnsi="仿宋" w:eastAsia="仿宋_GB2312" w:cs="仿宋_GB2312"/>
        </w:rPr>
      </w:pPr>
      <w:r>
        <w:rPr>
          <w:rFonts w:hint="eastAsia" w:ascii="仿宋_GB2312" w:hAnsi="仿宋" w:eastAsia="仿宋_GB2312" w:cs="仿宋_GB2312"/>
        </w:rPr>
        <w:t>27.5其他无法保证电子交易的公平、公正和安全的情况。</w:t>
      </w:r>
    </w:p>
    <w:p>
      <w:pPr>
        <w:pStyle w:val="264"/>
        <w:snapToGrid w:val="0"/>
        <w:spacing w:before="0"/>
        <w:ind w:firstLine="0" w:firstLineChars="0"/>
        <w:rPr>
          <w:rFonts w:ascii="仿宋_GB2312" w:hAnsi="仿宋" w:eastAsia="仿宋_GB2312" w:cs="仿宋_GB2312"/>
        </w:rPr>
      </w:pPr>
      <w:r>
        <w:rPr>
          <w:rFonts w:hint="eastAsia"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九、验收</w:t>
      </w:r>
    </w:p>
    <w:p>
      <w:pPr>
        <w:pStyle w:val="25"/>
        <w:spacing w:line="360" w:lineRule="auto"/>
        <w:ind w:firstLine="0" w:firstLineChars="0"/>
        <w:rPr>
          <w:rFonts w:ascii="仿宋_GB2312" w:hAnsi="仿宋" w:eastAsia="仿宋_GB2312" w:cs="仿宋_GB2312"/>
          <w:b/>
        </w:rPr>
      </w:pPr>
      <w:r>
        <w:rPr>
          <w:rFonts w:hint="eastAsia"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典法》。供应商在履约过程中有政府采购法律法规规定的违法违规情形的，采购人应当及时报告本级财政部门。</w:t>
      </w:r>
    </w:p>
    <w:bookmarkEnd w:id="35"/>
    <w:p>
      <w:pPr>
        <w:adjustRightInd/>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850" w:h="16838"/>
          <w:pgMar w:top="680" w:right="1418" w:bottom="468" w:left="1418" w:header="851" w:footer="992" w:gutter="0"/>
          <w:cols w:space="720" w:num="1"/>
          <w:titlePg/>
          <w:rtlGutter w:val="1"/>
          <w:docGrid w:linePitch="312" w:charSpace="0"/>
        </w:sectPr>
      </w:pPr>
    </w:p>
    <w:bookmarkEnd w:id="30"/>
    <w:bookmarkEnd w:id="31"/>
    <w:p>
      <w:pPr>
        <w:adjustRightInd/>
        <w:spacing w:line="360" w:lineRule="auto"/>
        <w:jc w:val="center"/>
        <w:outlineLvl w:val="0"/>
        <w:rPr>
          <w:rFonts w:ascii="仿宋_GB2312" w:hAnsi="仿宋" w:eastAsia="仿宋_GB2312" w:cs="仿宋_GB2312"/>
          <w:b/>
          <w:sz w:val="36"/>
          <w:szCs w:val="20"/>
        </w:rPr>
      </w:pPr>
      <w:bookmarkStart w:id="36" w:name="第四部分"/>
      <w:r>
        <w:rPr>
          <w:rFonts w:hint="eastAsia" w:ascii="仿宋_GB2312" w:hAnsi="仿宋" w:eastAsia="仿宋_GB2312" w:cs="仿宋_GB2312"/>
          <w:b/>
          <w:sz w:val="36"/>
          <w:szCs w:val="20"/>
        </w:rPr>
        <w:t xml:space="preserve">第三部分 </w:t>
      </w:r>
      <w:r>
        <w:rPr>
          <w:rFonts w:ascii="仿宋_GB2312" w:hAnsi="仿宋" w:eastAsia="仿宋_GB2312" w:cs="仿宋_GB2312"/>
          <w:b/>
          <w:sz w:val="36"/>
          <w:szCs w:val="20"/>
        </w:rPr>
        <w:t xml:space="preserve"> </w:t>
      </w:r>
      <w:r>
        <w:rPr>
          <w:rFonts w:hint="eastAsia" w:ascii="仿宋_GB2312" w:hAnsi="仿宋" w:eastAsia="仿宋_GB2312" w:cs="仿宋_GB2312"/>
          <w:b/>
          <w:sz w:val="36"/>
          <w:szCs w:val="20"/>
        </w:rPr>
        <w:t>采购需求</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属于实质性要求条款的，已用符号“▲”标明，否则属于非实质性要求。</w:t>
      </w:r>
    </w:p>
    <w:p>
      <w:pPr>
        <w:snapToGrid w:val="0"/>
        <w:spacing w:line="360" w:lineRule="auto"/>
        <w:ind w:firstLine="480" w:firstLineChars="200"/>
        <w:rPr>
          <w:rFonts w:ascii="仿宋_GB2312" w:hAnsi="宋体" w:eastAsia="仿宋_GB2312" w:cs="仿宋"/>
          <w:sz w:val="24"/>
        </w:rPr>
      </w:pPr>
      <w:r>
        <w:rPr>
          <w:rFonts w:hint="eastAsia" w:ascii="黑体" w:hAnsi="黑体" w:eastAsia="黑体" w:cs="黑体"/>
          <w:sz w:val="24"/>
        </w:rPr>
        <w:t>◆项目概况：</w:t>
      </w:r>
      <w:r>
        <w:rPr>
          <w:rFonts w:hint="eastAsia" w:ascii="仿宋_GB2312" w:hAnsi="宋体" w:eastAsia="仿宋_GB2312" w:cs="仿宋"/>
          <w:sz w:val="24"/>
        </w:rPr>
        <w:t>近年来，拱墅区持续加大对电子政务建设的投入，加快信息技术在政务中的融合与应用。当前，在政府数字化转型的推动下，各类政府数据资源充分整合，政务数据资源目录体系和交换体系初步建成，业务协同能力稳步提升，各类基础数据库、专业数据库建设有序推进，便民类智慧服务应用初显成效。</w:t>
      </w:r>
    </w:p>
    <w:p>
      <w:pPr>
        <w:pStyle w:val="78"/>
        <w:spacing w:line="360" w:lineRule="auto"/>
        <w:ind w:firstLine="480" w:firstLineChars="200"/>
      </w:pPr>
      <w:r>
        <w:rPr>
          <w:rFonts w:hint="eastAsia" w:ascii="仿宋_GB2312" w:hAnsi="宋体" w:eastAsia="仿宋_GB2312" w:cs="仿宋"/>
          <w:sz w:val="24"/>
        </w:rPr>
        <w:t>随着区电子政务建设深化，各类信息化软硬件基础设施不断增加、业务应用系统和数据逐步积累，电子政务系统可靠性要求及其运维的专业化和技术复杂程度越来越高，其安全性和业务连续性要求越来越高，对运维保障的规范性和专业化能力提出了更高要求。为保障电子政务系统正常稳定运行，根据信息系统运行维护的实际需要，本年度拟根据拱墅区区划调整后的实际情况，继续采购运行维护等服务。</w:t>
      </w:r>
    </w:p>
    <w:p>
      <w:pPr>
        <w:snapToGrid w:val="0"/>
        <w:spacing w:line="360" w:lineRule="auto"/>
        <w:outlineLvl w:val="1"/>
        <w:rPr>
          <w:rStyle w:val="140"/>
          <w:rFonts w:hint="default"/>
          <w:bCs/>
          <w:sz w:val="28"/>
          <w:szCs w:val="28"/>
        </w:rPr>
      </w:pPr>
      <w:r>
        <w:rPr>
          <w:rStyle w:val="140"/>
          <w:rFonts w:hint="default"/>
          <w:bCs/>
          <w:sz w:val="28"/>
          <w:szCs w:val="28"/>
        </w:rPr>
        <w:t>一、标项1</w:t>
      </w:r>
    </w:p>
    <w:p>
      <w:pPr>
        <w:snapToGrid w:val="0"/>
        <w:spacing w:line="360" w:lineRule="auto"/>
        <w:outlineLvl w:val="1"/>
        <w:rPr>
          <w:rStyle w:val="140"/>
          <w:rFonts w:hint="default" w:ascii="Times New Roman"/>
          <w:bCs/>
          <w:sz w:val="28"/>
          <w:szCs w:val="28"/>
        </w:rPr>
      </w:pPr>
      <w:r>
        <w:rPr>
          <w:rStyle w:val="140"/>
          <w:rFonts w:hint="default"/>
          <w:bCs/>
          <w:sz w:val="28"/>
          <w:szCs w:val="28"/>
        </w:rPr>
        <w:t>（一）</w:t>
      </w:r>
      <w:r>
        <w:rPr>
          <w:rStyle w:val="140"/>
          <w:rFonts w:hint="default" w:ascii="Times New Roman"/>
          <w:bCs/>
          <w:sz w:val="28"/>
          <w:szCs w:val="28"/>
        </w:rPr>
        <w:t>采购内容清单</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552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bookmarkStart w:id="37" w:name="_Hlk23423891"/>
            <w:r>
              <w:rPr>
                <w:rFonts w:hint="eastAsia" w:ascii="仿宋_GB2312" w:hAnsi="等线" w:eastAsia="仿宋_GB2312" w:cs="Calibri"/>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名称</w:t>
            </w:r>
          </w:p>
        </w:tc>
        <w:tc>
          <w:tcPr>
            <w:tcW w:w="55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服务描述</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智慧电子政务综合运维服务</w:t>
            </w:r>
          </w:p>
        </w:tc>
        <w:tc>
          <w:tcPr>
            <w:tcW w:w="552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等线" w:eastAsia="仿宋_GB2312" w:cs="Calibri"/>
                <w:szCs w:val="21"/>
              </w:rPr>
            </w:pPr>
            <w:r>
              <w:rPr>
                <w:rFonts w:ascii="仿宋_GB2312" w:hAnsi="等线" w:eastAsia="仿宋_GB2312" w:cs="Calibri"/>
                <w:szCs w:val="21"/>
              </w:rPr>
              <w:t>11</w:t>
            </w:r>
            <w:r>
              <w:rPr>
                <w:rFonts w:hint="eastAsia" w:ascii="仿宋_GB2312" w:hAnsi="等线" w:eastAsia="仿宋_GB2312" w:cs="Calibri"/>
                <w:szCs w:val="21"/>
              </w:rPr>
              <w:t>人常驻现场，提供智慧电子政务应用综合运维服务，包括但不限于：区数字驾驶舱运维服务与保障；人工辅助式智能控制平台数据整理服务；1Call系统大综合客服，1Call办事客服；用户交办的其他工作。服务范围、服务内容及人员岗位以用户具体安排为准，服务期：</w:t>
            </w:r>
            <w:r>
              <w:rPr>
                <w:rFonts w:hint="eastAsia" w:ascii="仿宋_GB2312" w:hAnsi="等线" w:eastAsia="仿宋_GB2312" w:cs="Calibri"/>
                <w:b/>
                <w:bCs/>
                <w:szCs w:val="21"/>
              </w:rPr>
              <w:t>2021年10月28日起一年</w:t>
            </w:r>
            <w:r>
              <w:rPr>
                <w:rFonts w:hint="eastAsia" w:ascii="仿宋_GB2312" w:hAnsi="等线" w:eastAsia="仿宋_GB2312" w:cs="Calibri"/>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项目需求管理服务</w:t>
            </w:r>
          </w:p>
        </w:tc>
        <w:tc>
          <w:tcPr>
            <w:tcW w:w="552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等线" w:eastAsia="仿宋_GB2312" w:cs="Calibri"/>
                <w:szCs w:val="21"/>
              </w:rPr>
            </w:pPr>
            <w:r>
              <w:rPr>
                <w:rFonts w:hint="eastAsia" w:ascii="仿宋_GB2312" w:eastAsia="仿宋_GB2312"/>
                <w:szCs w:val="21"/>
              </w:rPr>
              <w:t>政府投资信息化项目需求统一采集、整理与系统初步融合设计高级整理服务，服务期：</w:t>
            </w:r>
            <w:r>
              <w:rPr>
                <w:rFonts w:hint="eastAsia" w:ascii="仿宋_GB2312" w:hAnsi="等线" w:eastAsia="仿宋_GB2312" w:cs="Calibri"/>
                <w:szCs w:val="21"/>
              </w:rPr>
              <w:t>合同签订之日起一年。</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3</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咨询服务</w:t>
            </w:r>
          </w:p>
        </w:tc>
        <w:tc>
          <w:tcPr>
            <w:tcW w:w="552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等线" w:eastAsia="仿宋_GB2312" w:cs="Calibri"/>
                <w:szCs w:val="21"/>
              </w:rPr>
            </w:pPr>
            <w:r>
              <w:rPr>
                <w:rFonts w:hint="eastAsia" w:ascii="仿宋_GB2312" w:eastAsia="仿宋_GB2312"/>
                <w:szCs w:val="21"/>
              </w:rPr>
              <w:t>通过访谈、座谈、调研等方式，发现和分析问题，并梳理方向和建议，交付总体规划，并给出规划的落地实施路径。项目在分析和规划中，采用标杆方法分析差距，引入数字化架构规划方法开展分析和规划工作，并设计最终的演进路径。至少完成拱墅区数字孪生场景规划及拱墅区“六统一”数据底座的总体规划。</w:t>
            </w:r>
            <w:r>
              <w:rPr>
                <w:rFonts w:hint="eastAsia" w:ascii="仿宋_GB2312" w:hAnsi="等线" w:eastAsia="仿宋_GB2312" w:cs="Calibri"/>
                <w:szCs w:val="21"/>
              </w:rPr>
              <w:t>服务期：合同签订之日起一年。</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4</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三级数据仓驻场服务</w:t>
            </w:r>
          </w:p>
        </w:tc>
        <w:tc>
          <w:tcPr>
            <w:tcW w:w="552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等线" w:eastAsia="仿宋_GB2312" w:cs="Calibri"/>
                <w:szCs w:val="21"/>
              </w:rPr>
            </w:pPr>
            <w:r>
              <w:rPr>
                <w:rFonts w:hint="eastAsia" w:ascii="仿宋_GB2312" w:eastAsia="仿宋_GB2312"/>
                <w:szCs w:val="21"/>
              </w:rPr>
              <w:t>按照要求完成数据仓数据工作落实，3人驻场，</w:t>
            </w:r>
            <w:r>
              <w:rPr>
                <w:rFonts w:hint="eastAsia" w:ascii="仿宋_GB2312" w:hAnsi="等线" w:eastAsia="仿宋_GB2312" w:cs="Calibri"/>
                <w:szCs w:val="21"/>
              </w:rPr>
              <w:t>服务期：合同签订之日起一年。</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一体化智能化公共数据平台驻场服务</w:t>
            </w:r>
          </w:p>
        </w:tc>
        <w:tc>
          <w:tcPr>
            <w:tcW w:w="552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eastAsia="仿宋_GB2312"/>
                <w:szCs w:val="21"/>
              </w:rPr>
            </w:pPr>
            <w:r>
              <w:rPr>
                <w:rFonts w:hint="eastAsia" w:ascii="仿宋_GB2312" w:eastAsia="仿宋_GB2312"/>
                <w:szCs w:val="21"/>
              </w:rPr>
              <w:t>按照要求完成数字资源全流程管理服务，包括资源目录信息辅助维护、数据需求单位对接、省市数据回流对接等。3人驻场，</w:t>
            </w:r>
            <w:r>
              <w:rPr>
                <w:rFonts w:hint="eastAsia" w:ascii="仿宋_GB2312" w:hAnsi="等线" w:eastAsia="仿宋_GB2312" w:cs="Calibri"/>
                <w:szCs w:val="21"/>
              </w:rPr>
              <w:t>服务期：合同签订之日起一年。</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1项</w:t>
            </w:r>
          </w:p>
        </w:tc>
      </w:tr>
      <w:bookmarkEnd w:id="37"/>
    </w:tbl>
    <w:p>
      <w:pPr>
        <w:ind w:firstLine="480"/>
        <w:rPr>
          <w:rFonts w:ascii="宋体" w:hAnsi="宋体" w:cs="仿宋"/>
          <w:sz w:val="24"/>
        </w:rPr>
      </w:pPr>
    </w:p>
    <w:p>
      <w:pPr>
        <w:snapToGrid w:val="0"/>
        <w:spacing w:line="360" w:lineRule="auto"/>
        <w:outlineLvl w:val="1"/>
        <w:rPr>
          <w:rStyle w:val="140"/>
          <w:rFonts w:hint="default" w:ascii="Times New Roman"/>
          <w:bCs/>
          <w:sz w:val="28"/>
          <w:szCs w:val="28"/>
        </w:rPr>
      </w:pPr>
      <w:r>
        <w:rPr>
          <w:rStyle w:val="140"/>
          <w:rFonts w:hint="default"/>
          <w:bCs/>
          <w:sz w:val="28"/>
          <w:szCs w:val="28"/>
        </w:rPr>
        <w:t>（二）</w:t>
      </w:r>
      <w:r>
        <w:rPr>
          <w:rStyle w:val="140"/>
          <w:rFonts w:hint="default" w:ascii="Times New Roman"/>
          <w:bCs/>
          <w:sz w:val="28"/>
          <w:szCs w:val="28"/>
        </w:rPr>
        <w:t>技术规范要求</w:t>
      </w:r>
    </w:p>
    <w:p>
      <w:pPr>
        <w:snapToGrid w:val="0"/>
        <w:spacing w:line="360" w:lineRule="auto"/>
        <w:ind w:firstLine="480" w:firstLineChars="200"/>
        <w:rPr>
          <w:rFonts w:ascii="宋体" w:hAnsi="宋体" w:cs="仿宋"/>
          <w:b/>
          <w:bCs/>
          <w:sz w:val="24"/>
        </w:rPr>
      </w:pPr>
      <w:r>
        <w:rPr>
          <w:rFonts w:hint="eastAsia" w:ascii="仿宋_GB2312" w:hAnsi="宋体" w:eastAsia="仿宋_GB2312" w:cs="Arial"/>
          <w:sz w:val="24"/>
        </w:rPr>
        <w:t>标★项为关键技术指标，不允许负偏离</w:t>
      </w:r>
      <w:r>
        <w:rPr>
          <w:rFonts w:hint="eastAsia" w:ascii="仿宋_GB2312" w:hAnsi="宋体" w:eastAsia="仿宋_GB2312" w:cs="Arial"/>
          <w:szCs w:val="21"/>
        </w:rPr>
        <w:t>。</w:t>
      </w:r>
    </w:p>
    <w:p>
      <w:pPr>
        <w:snapToGrid w:val="0"/>
        <w:spacing w:line="360" w:lineRule="auto"/>
        <w:ind w:firstLine="481" w:firstLineChars="200"/>
        <w:outlineLvl w:val="2"/>
        <w:rPr>
          <w:rFonts w:ascii="仿宋_GB2312" w:hAnsi="仿宋_GB2312" w:eastAsia="仿宋_GB2312" w:cs="仿宋_GB2312"/>
          <w:b/>
          <w:bCs/>
          <w:sz w:val="24"/>
        </w:rPr>
      </w:pPr>
      <w:r>
        <w:rPr>
          <w:rFonts w:hint="eastAsia" w:ascii="仿宋_GB2312" w:hAnsi="仿宋_GB2312" w:eastAsia="仿宋_GB2312" w:cs="仿宋_GB2312"/>
          <w:b/>
          <w:bCs/>
          <w:sz w:val="24"/>
        </w:rPr>
        <w:t>1、智慧电子政务综合运维服务</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b/>
                <w:szCs w:val="21"/>
              </w:rPr>
            </w:pPr>
            <w:bookmarkStart w:id="38" w:name="_Hlk82591944"/>
            <w:r>
              <w:rPr>
                <w:rFonts w:hint="eastAsia" w:ascii="仿宋_GB2312" w:hAnsi="宋体" w:eastAsia="仿宋_GB2312" w:cs="仿宋"/>
                <w:b/>
                <w:szCs w:val="21"/>
              </w:rPr>
              <w:t>服务项</w:t>
            </w:r>
          </w:p>
        </w:tc>
        <w:tc>
          <w:tcPr>
            <w:tcW w:w="6946" w:type="dxa"/>
            <w:vAlign w:val="center"/>
          </w:tcPr>
          <w:p>
            <w:pPr>
              <w:snapToGrid w:val="0"/>
              <w:jc w:val="center"/>
              <w:rPr>
                <w:rFonts w:ascii="仿宋_GB2312" w:hAnsi="宋体" w:eastAsia="仿宋_GB2312" w:cs="仿宋"/>
                <w:b/>
                <w:szCs w:val="21"/>
              </w:rPr>
            </w:pPr>
            <w:r>
              <w:rPr>
                <w:rFonts w:hint="eastAsia" w:ascii="仿宋_GB2312" w:hAnsi="宋体" w:eastAsia="仿宋_GB2312" w:cs="仿宋"/>
                <w:b/>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szCs w:val="21"/>
              </w:rPr>
            </w:pPr>
            <w:r>
              <w:rPr>
                <w:rFonts w:hint="eastAsia" w:ascii="仿宋_GB2312" w:hAnsi="宋体" w:eastAsia="仿宋_GB2312" w:cs="Arial"/>
                <w:kern w:val="0"/>
                <w:szCs w:val="21"/>
              </w:rPr>
              <w:t>服务目标</w:t>
            </w:r>
          </w:p>
        </w:tc>
        <w:tc>
          <w:tcPr>
            <w:tcW w:w="6946" w:type="dxa"/>
            <w:vAlign w:val="center"/>
          </w:tcPr>
          <w:p>
            <w:pPr>
              <w:snapToGrid w:val="0"/>
              <w:jc w:val="left"/>
              <w:rPr>
                <w:rFonts w:ascii="仿宋_GB2312" w:hAnsi="宋体" w:eastAsia="仿宋_GB2312" w:cs="仿宋"/>
                <w:szCs w:val="21"/>
              </w:rPr>
            </w:pPr>
            <w:r>
              <w:rPr>
                <w:rFonts w:hint="eastAsia" w:ascii="仿宋_GB2312" w:hAnsi="宋体" w:eastAsia="仿宋_GB2312" w:cs="Arial"/>
                <w:szCs w:val="21"/>
              </w:rPr>
              <w:t>提供人员驻场综合运维支持，提供</w:t>
            </w:r>
            <w:r>
              <w:rPr>
                <w:rFonts w:hint="eastAsia" w:ascii="仿宋_GB2312" w:hAnsi="等线" w:eastAsia="仿宋_GB2312" w:cs="Calibri"/>
                <w:szCs w:val="21"/>
              </w:rPr>
              <w:t>区数字驾驶舱运维服务与保障</w:t>
            </w:r>
            <w:r>
              <w:rPr>
                <w:rFonts w:hint="eastAsia" w:ascii="仿宋_GB2312" w:hAnsi="宋体" w:eastAsia="仿宋_GB2312" w:cs="Arial"/>
                <w:szCs w:val="21"/>
              </w:rPr>
              <w:t>、人工辅助式智能控制平台数据整理服务、1Call系统大综合客服，1Call办事客服；其他用户交办的工作等，保障拱墅区各项智慧电子政务应用稳定运行。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szCs w:val="21"/>
              </w:rPr>
            </w:pPr>
            <w:r>
              <w:rPr>
                <w:rFonts w:hint="eastAsia" w:ascii="仿宋_GB2312" w:hAnsi="宋体" w:eastAsia="仿宋_GB2312" w:cs="Arial"/>
                <w:kern w:val="0"/>
                <w:szCs w:val="21"/>
              </w:rPr>
              <w:t>服务范围</w:t>
            </w:r>
          </w:p>
        </w:tc>
        <w:tc>
          <w:tcPr>
            <w:tcW w:w="6946" w:type="dxa"/>
            <w:vAlign w:val="center"/>
          </w:tcPr>
          <w:p>
            <w:pPr>
              <w:snapToGrid w:val="0"/>
              <w:jc w:val="left"/>
              <w:rPr>
                <w:rFonts w:ascii="仿宋_GB2312" w:hAnsi="宋体" w:eastAsia="仿宋_GB2312" w:cs="Arial"/>
                <w:szCs w:val="21"/>
              </w:rPr>
            </w:pPr>
            <w:r>
              <w:rPr>
                <w:rFonts w:hint="eastAsia" w:ascii="仿宋_GB2312" w:hAnsi="等线" w:eastAsia="仿宋_GB2312" w:cs="Calibri"/>
                <w:szCs w:val="21"/>
              </w:rPr>
              <w:t>包括但不限于：区数字驾驶舱运维服务与保障；人工辅助式智能控制平台数据整理服务；1Call系统大综合客服，1Call办事客服；用户交办的其他工作。服务范围以用户具体安排为准。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服务人员</w:t>
            </w:r>
          </w:p>
        </w:tc>
        <w:tc>
          <w:tcPr>
            <w:tcW w:w="6946" w:type="dxa"/>
            <w:vAlign w:val="center"/>
          </w:tcPr>
          <w:p>
            <w:pPr>
              <w:snapToGrid w:val="0"/>
              <w:jc w:val="left"/>
              <w:rPr>
                <w:rFonts w:ascii="仿宋_GB2312" w:hAnsi="宋体" w:eastAsia="仿宋_GB2312" w:cs="Arial"/>
                <w:szCs w:val="21"/>
              </w:rPr>
            </w:pPr>
            <w:r>
              <w:rPr>
                <w:rFonts w:ascii="仿宋_GB2312" w:hAnsi="等线" w:eastAsia="仿宋_GB2312" w:cs="Calibri"/>
              </w:rPr>
              <w:t>11</w:t>
            </w:r>
            <w:r>
              <w:rPr>
                <w:rFonts w:hint="eastAsia" w:ascii="仿宋_GB2312" w:hAnsi="等线" w:eastAsia="仿宋_GB2312" w:cs="Calibri"/>
              </w:rPr>
              <w:t>人常驻现场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jc w:val="center"/>
              <w:rPr>
                <w:rFonts w:ascii="仿宋_GB2312" w:hAnsi="宋体" w:eastAsia="仿宋_GB2312" w:cs="Arial"/>
                <w:kern w:val="0"/>
                <w:szCs w:val="21"/>
              </w:rPr>
            </w:pP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★为保障运维骨干人员稳定性与用户利益，服务团队至少</w:t>
            </w:r>
            <w:r>
              <w:rPr>
                <w:rFonts w:ascii="仿宋_GB2312" w:hAnsi="宋体" w:eastAsia="仿宋_GB2312" w:cs="Arial"/>
                <w:szCs w:val="21"/>
              </w:rPr>
              <w:t>5</w:t>
            </w:r>
            <w:r>
              <w:rPr>
                <w:rFonts w:hint="eastAsia" w:ascii="仿宋_GB2312" w:hAnsi="宋体" w:eastAsia="仿宋_GB2312" w:cs="Arial"/>
                <w:szCs w:val="21"/>
              </w:rPr>
              <w:t>人须为投标人正式员工且入职</w:t>
            </w:r>
            <w:r>
              <w:rPr>
                <w:rFonts w:ascii="仿宋_GB2312" w:hAnsi="宋体" w:eastAsia="仿宋_GB2312" w:cs="Arial"/>
                <w:szCs w:val="21"/>
              </w:rPr>
              <w:t>6</w:t>
            </w:r>
            <w:r>
              <w:rPr>
                <w:rFonts w:hint="eastAsia" w:ascii="仿宋_GB2312" w:hAnsi="宋体" w:eastAsia="仿宋_GB2312" w:cs="Arial"/>
                <w:szCs w:val="21"/>
              </w:rPr>
              <w:t>个月以上，投标人应在投标文件中明确至少</w:t>
            </w:r>
            <w:r>
              <w:rPr>
                <w:rFonts w:ascii="仿宋_GB2312" w:hAnsi="宋体" w:eastAsia="仿宋_GB2312" w:cs="Arial"/>
                <w:szCs w:val="21"/>
              </w:rPr>
              <w:t>5</w:t>
            </w:r>
            <w:r>
              <w:rPr>
                <w:rFonts w:hint="eastAsia" w:ascii="仿宋_GB2312" w:hAnsi="宋体" w:eastAsia="仿宋_GB2312" w:cs="Arial"/>
                <w:szCs w:val="21"/>
              </w:rPr>
              <w:t>名本单位拟派人员姓名，已明确人员在服务期内未经用户同意不得更换，提供人员社保证明。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ind w:firstLine="480"/>
              <w:jc w:val="center"/>
              <w:rPr>
                <w:rFonts w:ascii="仿宋_GB2312" w:hAnsi="宋体" w:eastAsia="仿宋_GB2312" w:cs="Arial"/>
                <w:kern w:val="0"/>
                <w:szCs w:val="21"/>
              </w:rPr>
            </w:pP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★所有人员必须具备必要的工作能力，能够胜任服务工作。如果需要，采购方有权对人员进行面试考核，合格者方可上岗工作。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服务内容</w:t>
            </w:r>
          </w:p>
        </w:tc>
        <w:tc>
          <w:tcPr>
            <w:tcW w:w="6946" w:type="dxa"/>
            <w:vAlign w:val="center"/>
          </w:tcPr>
          <w:p>
            <w:pPr>
              <w:snapToGrid w:val="0"/>
              <w:jc w:val="left"/>
              <w:rPr>
                <w:rFonts w:ascii="仿宋_GB2312" w:hAnsi="等线" w:eastAsia="仿宋_GB2312" w:cs="Calibri"/>
                <w:szCs w:val="21"/>
              </w:rPr>
            </w:pPr>
            <w:r>
              <w:rPr>
                <w:rFonts w:hint="eastAsia" w:ascii="仿宋_GB2312" w:hAnsi="等线" w:eastAsia="仿宋_GB2312" w:cs="Calibri"/>
                <w:szCs w:val="21"/>
              </w:rPr>
              <w:t>区数字驾驶舱运维服务与保障；</w:t>
            </w:r>
          </w:p>
          <w:p>
            <w:pPr>
              <w:snapToGrid w:val="0"/>
              <w:jc w:val="left"/>
              <w:rPr>
                <w:rFonts w:ascii="仿宋_GB2312" w:hAnsi="等线" w:eastAsia="仿宋_GB2312" w:cs="Calibri"/>
                <w:szCs w:val="21"/>
              </w:rPr>
            </w:pPr>
            <w:r>
              <w:rPr>
                <w:rFonts w:hint="eastAsia" w:ascii="仿宋_GB2312" w:hAnsi="等线" w:eastAsia="仿宋_GB2312" w:cs="Calibri"/>
                <w:szCs w:val="21"/>
              </w:rPr>
              <w:t>人工辅助式智能控制平台数据整理服务；</w:t>
            </w:r>
          </w:p>
          <w:p>
            <w:pPr>
              <w:snapToGrid w:val="0"/>
              <w:jc w:val="left"/>
              <w:rPr>
                <w:rFonts w:ascii="仿宋_GB2312" w:hAnsi="等线" w:eastAsia="仿宋_GB2312" w:cs="Calibri"/>
                <w:szCs w:val="21"/>
              </w:rPr>
            </w:pPr>
            <w:r>
              <w:rPr>
                <w:rFonts w:hint="eastAsia" w:ascii="仿宋_GB2312" w:hAnsi="等线" w:eastAsia="仿宋_GB2312" w:cs="Calibri"/>
                <w:szCs w:val="21"/>
              </w:rPr>
              <w:t>1Call系统大综合客服，1Call办事客服；</w:t>
            </w:r>
          </w:p>
          <w:p>
            <w:pPr>
              <w:snapToGrid w:val="0"/>
              <w:jc w:val="left"/>
              <w:rPr>
                <w:rFonts w:ascii="仿宋_GB2312" w:hAnsi="宋体" w:eastAsia="仿宋_GB2312" w:cs="Arial"/>
                <w:szCs w:val="21"/>
              </w:rPr>
            </w:pPr>
            <w:r>
              <w:rPr>
                <w:rFonts w:hint="eastAsia" w:ascii="仿宋_GB2312" w:hAnsi="等线" w:eastAsia="仿宋_GB2312" w:cs="Calibri"/>
                <w:szCs w:val="21"/>
              </w:rPr>
              <w:t>用户交办的其他事宜。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服务文档</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《服务人员工作周报》、《服务年度总结报告》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服务时间</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工作日5*8小时。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服务期</w:t>
            </w:r>
          </w:p>
        </w:tc>
        <w:tc>
          <w:tcPr>
            <w:tcW w:w="6946" w:type="dxa"/>
            <w:vAlign w:val="center"/>
          </w:tcPr>
          <w:p>
            <w:pPr>
              <w:snapToGrid w:val="0"/>
              <w:jc w:val="left"/>
              <w:rPr>
                <w:rFonts w:ascii="仿宋_GB2312" w:hAnsi="宋体" w:eastAsia="仿宋_GB2312" w:cs="Arial"/>
                <w:szCs w:val="21"/>
              </w:rPr>
            </w:pPr>
            <w:r>
              <w:rPr>
                <w:rFonts w:hint="eastAsia" w:ascii="仿宋_GB2312" w:hAnsi="等线" w:eastAsia="仿宋_GB2312" w:cs="Calibri"/>
                <w:b/>
                <w:bCs/>
                <w:szCs w:val="21"/>
              </w:rPr>
              <w:t>2021年10月28日起一年</w:t>
            </w:r>
          </w:p>
        </w:tc>
      </w:tr>
      <w:bookmarkEnd w:id="38"/>
    </w:tbl>
    <w:p>
      <w:pPr>
        <w:snapToGrid w:val="0"/>
        <w:spacing w:before="120" w:beforeLines="50" w:line="360" w:lineRule="auto"/>
        <w:ind w:firstLine="481" w:firstLineChars="200"/>
        <w:outlineLvl w:val="2"/>
        <w:rPr>
          <w:rFonts w:ascii="仿宋_GB2312" w:hAnsi="仿宋_GB2312" w:eastAsia="仿宋_GB2312" w:cs="仿宋_GB2312"/>
          <w:b/>
          <w:bCs/>
          <w:sz w:val="24"/>
        </w:rPr>
      </w:pPr>
      <w:r>
        <w:rPr>
          <w:rFonts w:hint="eastAsia" w:ascii="仿宋_GB2312" w:hAnsi="仿宋_GB2312" w:eastAsia="仿宋_GB2312" w:cs="仿宋_GB2312"/>
          <w:b/>
          <w:bCs/>
          <w:sz w:val="24"/>
        </w:rPr>
        <w:t>2、项目需求管理服务</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b/>
                <w:szCs w:val="21"/>
              </w:rPr>
            </w:pPr>
            <w:r>
              <w:rPr>
                <w:rFonts w:hint="eastAsia" w:ascii="仿宋_GB2312" w:hAnsi="宋体" w:eastAsia="仿宋_GB2312" w:cs="仿宋"/>
                <w:b/>
                <w:szCs w:val="21"/>
              </w:rPr>
              <w:t>服务项</w:t>
            </w:r>
          </w:p>
        </w:tc>
        <w:tc>
          <w:tcPr>
            <w:tcW w:w="6946" w:type="dxa"/>
            <w:vAlign w:val="center"/>
          </w:tcPr>
          <w:p>
            <w:pPr>
              <w:snapToGrid w:val="0"/>
              <w:jc w:val="center"/>
              <w:rPr>
                <w:rFonts w:ascii="仿宋_GB2312" w:hAnsi="宋体" w:eastAsia="仿宋_GB2312" w:cs="仿宋"/>
                <w:b/>
                <w:szCs w:val="21"/>
              </w:rPr>
            </w:pPr>
            <w:r>
              <w:rPr>
                <w:rFonts w:hint="eastAsia" w:ascii="仿宋_GB2312" w:hAnsi="宋体" w:eastAsia="仿宋_GB2312" w:cs="仿宋"/>
                <w:b/>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szCs w:val="21"/>
              </w:rPr>
            </w:pPr>
            <w:r>
              <w:rPr>
                <w:rFonts w:hint="eastAsia" w:ascii="仿宋_GB2312" w:hAnsi="宋体" w:eastAsia="仿宋_GB2312" w:cs="Arial"/>
                <w:kern w:val="0"/>
                <w:szCs w:val="21"/>
              </w:rPr>
              <w:t>服务目标</w:t>
            </w:r>
          </w:p>
        </w:tc>
        <w:tc>
          <w:tcPr>
            <w:tcW w:w="6946" w:type="dxa"/>
            <w:vAlign w:val="center"/>
          </w:tcPr>
          <w:p>
            <w:pPr>
              <w:snapToGrid w:val="0"/>
              <w:jc w:val="left"/>
              <w:rPr>
                <w:rFonts w:ascii="仿宋_GB2312" w:hAnsi="宋体" w:eastAsia="仿宋_GB2312" w:cs="仿宋"/>
                <w:szCs w:val="21"/>
              </w:rPr>
            </w:pPr>
            <w:r>
              <w:rPr>
                <w:rFonts w:hint="eastAsia" w:ascii="仿宋_GB2312" w:eastAsia="仿宋_GB2312"/>
                <w:szCs w:val="21"/>
              </w:rPr>
              <w:t>根据拱墅区业务单位需要，辅助完成政府投资信息化项目需求采集、整理与系统初步融合设计等高级整理服务。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服务内容</w:t>
            </w:r>
          </w:p>
        </w:tc>
        <w:tc>
          <w:tcPr>
            <w:tcW w:w="6946" w:type="dxa"/>
            <w:vAlign w:val="center"/>
          </w:tcPr>
          <w:p>
            <w:pPr>
              <w:snapToGrid w:val="0"/>
              <w:jc w:val="left"/>
              <w:rPr>
                <w:rFonts w:ascii="仿宋_GB2312" w:eastAsia="仿宋_GB2312"/>
                <w:szCs w:val="21"/>
              </w:rPr>
            </w:pPr>
            <w:r>
              <w:rPr>
                <w:rFonts w:hint="eastAsia" w:ascii="仿宋_GB2312" w:eastAsia="仿宋_GB2312"/>
                <w:szCs w:val="21"/>
              </w:rPr>
              <w:t>政府投资信息化项目需求采集、梳理和沟通交流；</w:t>
            </w:r>
          </w:p>
          <w:p>
            <w:pPr>
              <w:snapToGrid w:val="0"/>
              <w:jc w:val="left"/>
              <w:rPr>
                <w:rFonts w:ascii="仿宋_GB2312" w:eastAsia="仿宋_GB2312"/>
                <w:szCs w:val="21"/>
              </w:rPr>
            </w:pPr>
            <w:r>
              <w:rPr>
                <w:rFonts w:hint="eastAsia" w:ascii="仿宋_GB2312" w:eastAsia="仿宋_GB2312"/>
                <w:szCs w:val="21"/>
              </w:rPr>
              <w:t>结合全区信息化应用情况对需求进行整理；</w:t>
            </w:r>
          </w:p>
          <w:p>
            <w:pPr>
              <w:snapToGrid w:val="0"/>
              <w:jc w:val="left"/>
              <w:rPr>
                <w:rFonts w:ascii="仿宋_GB2312" w:eastAsia="仿宋_GB2312"/>
                <w:szCs w:val="21"/>
              </w:rPr>
            </w:pPr>
            <w:r>
              <w:rPr>
                <w:rFonts w:hint="eastAsia" w:ascii="仿宋_GB2312" w:eastAsia="仿宋_GB2312"/>
                <w:szCs w:val="21"/>
              </w:rPr>
              <w:t>根据相关信息化应用标准规范，辅助完成项目规划、系统初步设计等。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服务文档</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《系统功能清单》、《业务需求清单》、《服务年度总结报告》及需求文档等。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服务期</w:t>
            </w:r>
          </w:p>
        </w:tc>
        <w:tc>
          <w:tcPr>
            <w:tcW w:w="6946" w:type="dxa"/>
            <w:vAlign w:val="center"/>
          </w:tcPr>
          <w:p>
            <w:pPr>
              <w:snapToGrid w:val="0"/>
              <w:jc w:val="left"/>
              <w:rPr>
                <w:rFonts w:ascii="仿宋_GB2312" w:hAnsi="宋体" w:eastAsia="仿宋_GB2312" w:cs="Arial"/>
                <w:szCs w:val="21"/>
              </w:rPr>
            </w:pPr>
            <w:r>
              <w:rPr>
                <w:rFonts w:hint="eastAsia" w:ascii="仿宋_GB2312" w:hAnsi="等线" w:eastAsia="仿宋_GB2312" w:cs="Calibri"/>
                <w:szCs w:val="21"/>
              </w:rPr>
              <w:t>合同签订之日起一年。</w:t>
            </w:r>
          </w:p>
        </w:tc>
      </w:tr>
    </w:tbl>
    <w:p>
      <w:pPr>
        <w:snapToGrid w:val="0"/>
        <w:spacing w:before="120" w:beforeLines="50" w:line="360" w:lineRule="auto"/>
        <w:ind w:firstLine="481" w:firstLineChars="200"/>
        <w:outlineLvl w:val="2"/>
        <w:rPr>
          <w:rFonts w:ascii="仿宋_GB2312" w:hAnsi="仿宋_GB2312" w:eastAsia="仿宋_GB2312" w:cs="仿宋_GB2312"/>
          <w:b/>
          <w:bCs/>
          <w:sz w:val="24"/>
        </w:rPr>
      </w:pPr>
      <w:r>
        <w:rPr>
          <w:rFonts w:hint="eastAsia" w:ascii="仿宋_GB2312" w:hAnsi="仿宋_GB2312" w:eastAsia="仿宋_GB2312" w:cs="仿宋_GB2312"/>
          <w:b/>
          <w:bCs/>
          <w:sz w:val="24"/>
        </w:rPr>
        <w:t>3、咨询服务</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b/>
                <w:szCs w:val="21"/>
              </w:rPr>
            </w:pPr>
            <w:r>
              <w:rPr>
                <w:rFonts w:hint="eastAsia" w:ascii="仿宋_GB2312" w:hAnsi="宋体" w:eastAsia="仿宋_GB2312" w:cs="仿宋"/>
                <w:b/>
                <w:szCs w:val="21"/>
              </w:rPr>
              <w:t>服务项</w:t>
            </w:r>
          </w:p>
        </w:tc>
        <w:tc>
          <w:tcPr>
            <w:tcW w:w="6946" w:type="dxa"/>
            <w:vAlign w:val="center"/>
          </w:tcPr>
          <w:p>
            <w:pPr>
              <w:snapToGrid w:val="0"/>
              <w:jc w:val="center"/>
              <w:rPr>
                <w:rFonts w:ascii="仿宋_GB2312" w:hAnsi="宋体" w:eastAsia="仿宋_GB2312" w:cs="仿宋"/>
                <w:b/>
                <w:szCs w:val="21"/>
              </w:rPr>
            </w:pPr>
            <w:r>
              <w:rPr>
                <w:rFonts w:hint="eastAsia" w:ascii="仿宋_GB2312" w:hAnsi="宋体" w:eastAsia="仿宋_GB2312" w:cs="仿宋"/>
                <w:b/>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szCs w:val="21"/>
              </w:rPr>
            </w:pPr>
            <w:r>
              <w:rPr>
                <w:rFonts w:hint="eastAsia" w:ascii="仿宋_GB2312" w:hAnsi="宋体" w:eastAsia="仿宋_GB2312" w:cs="Arial"/>
                <w:kern w:val="0"/>
                <w:szCs w:val="21"/>
              </w:rPr>
              <w:t>服务目标</w:t>
            </w:r>
          </w:p>
        </w:tc>
        <w:tc>
          <w:tcPr>
            <w:tcW w:w="6946" w:type="dxa"/>
            <w:vAlign w:val="center"/>
          </w:tcPr>
          <w:p>
            <w:pPr>
              <w:snapToGrid w:val="0"/>
              <w:jc w:val="left"/>
              <w:rPr>
                <w:rFonts w:ascii="仿宋_GB2312" w:hAnsi="宋体" w:eastAsia="仿宋_GB2312" w:cs="仿宋"/>
                <w:szCs w:val="21"/>
              </w:rPr>
            </w:pPr>
            <w:r>
              <w:rPr>
                <w:rFonts w:hint="eastAsia" w:ascii="仿宋_GB2312" w:hAnsi="宋体" w:eastAsia="仿宋_GB2312" w:cs="Arial"/>
                <w:szCs w:val="21"/>
              </w:rPr>
              <w:t>结合拱墅区政务信息化情况，完成拱墅区数字孪生场景及拱墅区数据底座研究规划。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服务内容</w:t>
            </w:r>
          </w:p>
        </w:tc>
        <w:tc>
          <w:tcPr>
            <w:tcW w:w="6946" w:type="dxa"/>
            <w:vAlign w:val="center"/>
          </w:tcPr>
          <w:p>
            <w:pPr>
              <w:snapToGrid w:val="0"/>
              <w:jc w:val="left"/>
              <w:rPr>
                <w:rFonts w:ascii="仿宋_GB2312" w:hAnsi="宋体" w:eastAsia="仿宋_GB2312" w:cs="Arial"/>
                <w:szCs w:val="21"/>
              </w:rPr>
            </w:pPr>
            <w:r>
              <w:rPr>
                <w:rFonts w:hint="eastAsia" w:ascii="仿宋_GB2312" w:hAnsi="等线" w:eastAsia="仿宋_GB2312" w:cs="Calibri"/>
                <w:szCs w:val="21"/>
              </w:rPr>
              <w:t>通过访谈、座谈、调研等方式，发现和分析问题，并梳理方向和建议，交付总体规划，并给出规划的落地实施路径。项目在分析和规划中，采用标杆方法分析差距，引入数字化架构规划方法开展分析和规划工作，并设计最终的演进路径。至少完成拱墅区数字孪生场景规划及拱墅区“六统一”数据底座的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服务文档</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数字孪生的发展现状和能力分析》、《数字孪生的架构规划》、《数字孪生的应用场景规划》、《数字孪生的实施路径》、《数据底座的现状分析和发展思路》、《数据底座的架构规划》、《数据底座的实施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服务期</w:t>
            </w:r>
          </w:p>
        </w:tc>
        <w:tc>
          <w:tcPr>
            <w:tcW w:w="6946" w:type="dxa"/>
            <w:vAlign w:val="center"/>
          </w:tcPr>
          <w:p>
            <w:pPr>
              <w:snapToGrid w:val="0"/>
              <w:jc w:val="left"/>
              <w:rPr>
                <w:rFonts w:ascii="仿宋_GB2312" w:hAnsi="宋体" w:eastAsia="仿宋_GB2312" w:cs="Arial"/>
                <w:szCs w:val="21"/>
              </w:rPr>
            </w:pPr>
            <w:r>
              <w:rPr>
                <w:rFonts w:hint="eastAsia" w:ascii="仿宋_GB2312" w:hAnsi="等线" w:eastAsia="仿宋_GB2312" w:cs="Calibri"/>
                <w:szCs w:val="21"/>
              </w:rPr>
              <w:t>合同签订之日起一年。</w:t>
            </w:r>
          </w:p>
        </w:tc>
      </w:tr>
    </w:tbl>
    <w:p>
      <w:pPr>
        <w:snapToGrid w:val="0"/>
        <w:spacing w:before="120" w:beforeLines="50" w:line="360" w:lineRule="auto"/>
        <w:ind w:firstLine="481" w:firstLineChars="200"/>
        <w:outlineLvl w:val="2"/>
        <w:rPr>
          <w:rFonts w:ascii="仿宋_GB2312" w:hAnsi="仿宋_GB2312" w:eastAsia="仿宋_GB2312" w:cs="仿宋_GB2312"/>
          <w:b/>
          <w:bCs/>
          <w:sz w:val="24"/>
        </w:rPr>
      </w:pPr>
      <w:r>
        <w:rPr>
          <w:rFonts w:hint="eastAsia" w:ascii="仿宋_GB2312" w:hAnsi="仿宋_GB2312" w:eastAsia="仿宋_GB2312" w:cs="仿宋_GB2312"/>
          <w:b/>
          <w:bCs/>
          <w:sz w:val="24"/>
        </w:rPr>
        <w:t>4、三级数据仓驻场服务</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b/>
                <w:szCs w:val="21"/>
              </w:rPr>
            </w:pPr>
            <w:r>
              <w:rPr>
                <w:rFonts w:hint="eastAsia" w:ascii="仿宋_GB2312" w:hAnsi="宋体" w:eastAsia="仿宋_GB2312" w:cs="仿宋"/>
                <w:b/>
                <w:szCs w:val="21"/>
              </w:rPr>
              <w:t>服务项</w:t>
            </w:r>
          </w:p>
        </w:tc>
        <w:tc>
          <w:tcPr>
            <w:tcW w:w="6946" w:type="dxa"/>
            <w:vAlign w:val="center"/>
          </w:tcPr>
          <w:p>
            <w:pPr>
              <w:snapToGrid w:val="0"/>
              <w:jc w:val="center"/>
              <w:rPr>
                <w:rFonts w:ascii="仿宋_GB2312" w:hAnsi="宋体" w:eastAsia="仿宋_GB2312" w:cs="仿宋"/>
                <w:b/>
                <w:szCs w:val="21"/>
              </w:rPr>
            </w:pPr>
            <w:r>
              <w:rPr>
                <w:rFonts w:hint="eastAsia" w:ascii="仿宋_GB2312" w:hAnsi="宋体" w:eastAsia="仿宋_GB2312" w:cs="仿宋"/>
                <w:b/>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szCs w:val="21"/>
              </w:rPr>
            </w:pPr>
            <w:r>
              <w:rPr>
                <w:rFonts w:hint="eastAsia" w:ascii="仿宋_GB2312" w:hAnsi="宋体" w:eastAsia="仿宋_GB2312" w:cs="Arial"/>
                <w:kern w:val="0"/>
                <w:szCs w:val="21"/>
              </w:rPr>
              <w:t>服务目标</w:t>
            </w:r>
          </w:p>
        </w:tc>
        <w:tc>
          <w:tcPr>
            <w:tcW w:w="6946" w:type="dxa"/>
            <w:vAlign w:val="center"/>
          </w:tcPr>
          <w:p>
            <w:pPr>
              <w:snapToGrid w:val="0"/>
              <w:jc w:val="left"/>
              <w:rPr>
                <w:rFonts w:ascii="仿宋_GB2312" w:hAnsi="宋体" w:eastAsia="仿宋_GB2312" w:cs="仿宋"/>
                <w:szCs w:val="21"/>
              </w:rPr>
            </w:pPr>
            <w:r>
              <w:rPr>
                <w:rFonts w:hint="eastAsia" w:ascii="仿宋_GB2312" w:hAnsi="宋体" w:eastAsia="仿宋_GB2312" w:cs="Arial"/>
                <w:szCs w:val="21"/>
              </w:rPr>
              <w:t>提供人员驻场综合运维支持，完成三级数据仓数据运维。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szCs w:val="21"/>
              </w:rPr>
            </w:pPr>
            <w:r>
              <w:rPr>
                <w:rFonts w:hint="eastAsia" w:ascii="仿宋_GB2312" w:hAnsi="宋体" w:eastAsia="仿宋_GB2312" w:cs="Arial"/>
                <w:kern w:val="0"/>
                <w:szCs w:val="21"/>
              </w:rPr>
              <w:t>服务范围</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拱墅区数据仓。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szCs w:val="21"/>
              </w:rPr>
            </w:pPr>
            <w:r>
              <w:rPr>
                <w:rFonts w:hint="eastAsia" w:ascii="仿宋_GB2312" w:hAnsi="宋体" w:eastAsia="仿宋_GB2312" w:cs="Arial"/>
                <w:szCs w:val="21"/>
              </w:rPr>
              <w:t>服务人员</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★3人常驻现场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服务内容</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按照要求完成数据仓数据工作落实。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服务文档</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《服务人员工作周报》、《服务年度总结报告》等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服务时间</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工作日5*8小时。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服务期</w:t>
            </w:r>
          </w:p>
        </w:tc>
        <w:tc>
          <w:tcPr>
            <w:tcW w:w="6946" w:type="dxa"/>
            <w:vAlign w:val="center"/>
          </w:tcPr>
          <w:p>
            <w:pPr>
              <w:snapToGrid w:val="0"/>
              <w:jc w:val="left"/>
              <w:rPr>
                <w:rFonts w:ascii="仿宋_GB2312" w:hAnsi="宋体" w:eastAsia="仿宋_GB2312" w:cs="Arial"/>
                <w:szCs w:val="21"/>
              </w:rPr>
            </w:pPr>
            <w:r>
              <w:rPr>
                <w:rFonts w:hint="eastAsia" w:ascii="仿宋_GB2312" w:hAnsi="等线" w:eastAsia="仿宋_GB2312" w:cs="Calibri"/>
                <w:szCs w:val="21"/>
              </w:rPr>
              <w:t>合同签订之日起一年。</w:t>
            </w:r>
          </w:p>
        </w:tc>
      </w:tr>
    </w:tbl>
    <w:p>
      <w:pPr>
        <w:snapToGrid w:val="0"/>
        <w:spacing w:before="120" w:beforeLines="50" w:line="360" w:lineRule="auto"/>
        <w:ind w:firstLine="481" w:firstLineChars="200"/>
        <w:outlineLvl w:val="2"/>
        <w:rPr>
          <w:rFonts w:ascii="仿宋_GB2312" w:hAnsi="仿宋_GB2312" w:eastAsia="仿宋_GB2312" w:cs="仿宋_GB2312"/>
          <w:b/>
          <w:bCs/>
          <w:sz w:val="24"/>
        </w:rPr>
      </w:pPr>
      <w:r>
        <w:rPr>
          <w:rFonts w:hint="eastAsia" w:ascii="仿宋_GB2312" w:hAnsi="仿宋_GB2312" w:eastAsia="仿宋_GB2312" w:cs="仿宋_GB2312"/>
          <w:b/>
          <w:bCs/>
          <w:sz w:val="24"/>
        </w:rPr>
        <w:t>5、一体化智能化公共数据平台驻场服务</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b/>
                <w:szCs w:val="21"/>
              </w:rPr>
            </w:pPr>
            <w:r>
              <w:rPr>
                <w:rFonts w:hint="eastAsia" w:ascii="仿宋_GB2312" w:hAnsi="宋体" w:eastAsia="仿宋_GB2312" w:cs="仿宋"/>
                <w:b/>
                <w:szCs w:val="21"/>
              </w:rPr>
              <w:t>服务项</w:t>
            </w:r>
          </w:p>
        </w:tc>
        <w:tc>
          <w:tcPr>
            <w:tcW w:w="6946" w:type="dxa"/>
            <w:vAlign w:val="center"/>
          </w:tcPr>
          <w:p>
            <w:pPr>
              <w:snapToGrid w:val="0"/>
              <w:jc w:val="center"/>
              <w:rPr>
                <w:rFonts w:ascii="仿宋_GB2312" w:hAnsi="宋体" w:eastAsia="仿宋_GB2312" w:cs="仿宋"/>
                <w:b/>
                <w:szCs w:val="21"/>
              </w:rPr>
            </w:pPr>
            <w:r>
              <w:rPr>
                <w:rFonts w:hint="eastAsia" w:ascii="仿宋_GB2312" w:hAnsi="宋体" w:eastAsia="仿宋_GB2312" w:cs="仿宋"/>
                <w:b/>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szCs w:val="21"/>
              </w:rPr>
            </w:pPr>
            <w:r>
              <w:rPr>
                <w:rFonts w:hint="eastAsia" w:ascii="仿宋_GB2312" w:hAnsi="宋体" w:eastAsia="仿宋_GB2312" w:cs="Arial"/>
                <w:kern w:val="0"/>
                <w:szCs w:val="21"/>
              </w:rPr>
              <w:t>服务目标</w:t>
            </w:r>
          </w:p>
        </w:tc>
        <w:tc>
          <w:tcPr>
            <w:tcW w:w="6946" w:type="dxa"/>
            <w:vAlign w:val="center"/>
          </w:tcPr>
          <w:p>
            <w:pPr>
              <w:snapToGrid w:val="0"/>
              <w:jc w:val="left"/>
              <w:rPr>
                <w:rFonts w:ascii="仿宋_GB2312" w:hAnsi="宋体" w:eastAsia="仿宋_GB2312" w:cs="仿宋"/>
                <w:szCs w:val="21"/>
              </w:rPr>
            </w:pPr>
            <w:r>
              <w:rPr>
                <w:rFonts w:hint="eastAsia" w:ascii="仿宋_GB2312" w:hAnsi="宋体" w:eastAsia="仿宋_GB2312" w:cs="Arial"/>
                <w:szCs w:val="21"/>
              </w:rPr>
              <w:t>提供人员驻场综合运维支持，完成一体化智能化公共数据平台全流程管理。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szCs w:val="21"/>
              </w:rPr>
            </w:pPr>
            <w:r>
              <w:rPr>
                <w:rFonts w:hint="eastAsia" w:ascii="仿宋_GB2312" w:hAnsi="宋体" w:eastAsia="仿宋_GB2312" w:cs="Arial"/>
                <w:kern w:val="0"/>
                <w:szCs w:val="21"/>
              </w:rPr>
              <w:t>服务范围</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拱墅区一体化智能化公共数据平台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服务人员</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★3人常驻现场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服务内容</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资源目录信息辅助维护、共享资源辅助管理、资源接入联调测试、数据需求单位对接、省市数据回流对接等。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服务文档</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《服务人员工作周报》、《服务年度总结报告》等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服务时间</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工作日5*8小时。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服务期限</w:t>
            </w:r>
          </w:p>
        </w:tc>
        <w:tc>
          <w:tcPr>
            <w:tcW w:w="6946" w:type="dxa"/>
            <w:vAlign w:val="center"/>
          </w:tcPr>
          <w:p>
            <w:pPr>
              <w:snapToGrid w:val="0"/>
              <w:jc w:val="left"/>
              <w:rPr>
                <w:rFonts w:ascii="仿宋_GB2312" w:hAnsi="宋体" w:eastAsia="仿宋_GB2312" w:cs="Arial"/>
                <w:szCs w:val="21"/>
              </w:rPr>
            </w:pPr>
            <w:r>
              <w:rPr>
                <w:rFonts w:hint="eastAsia" w:ascii="仿宋_GB2312" w:hAnsi="等线" w:eastAsia="仿宋_GB2312" w:cs="Calibri"/>
                <w:szCs w:val="21"/>
              </w:rPr>
              <w:t>合同签订之日起一年。</w:t>
            </w:r>
          </w:p>
        </w:tc>
      </w:tr>
    </w:tbl>
    <w:p>
      <w:pPr>
        <w:snapToGrid w:val="0"/>
        <w:spacing w:line="360" w:lineRule="auto"/>
        <w:rPr>
          <w:rStyle w:val="140"/>
          <w:rFonts w:hint="default" w:eastAsia="仿宋_GB2312"/>
          <w:bCs/>
          <w:sz w:val="28"/>
          <w:szCs w:val="28"/>
        </w:rPr>
      </w:pPr>
    </w:p>
    <w:p>
      <w:pPr>
        <w:snapToGrid w:val="0"/>
        <w:spacing w:line="360" w:lineRule="auto"/>
        <w:outlineLvl w:val="1"/>
        <w:rPr>
          <w:rStyle w:val="140"/>
          <w:rFonts w:hint="default" w:ascii="Times New Roman"/>
          <w:bCs/>
          <w:sz w:val="28"/>
          <w:szCs w:val="28"/>
        </w:rPr>
      </w:pPr>
      <w:r>
        <w:rPr>
          <w:rStyle w:val="140"/>
          <w:rFonts w:hint="default"/>
          <w:bCs/>
          <w:sz w:val="28"/>
          <w:szCs w:val="28"/>
        </w:rPr>
        <w:t>二</w:t>
      </w:r>
      <w:r>
        <w:rPr>
          <w:rStyle w:val="140"/>
          <w:rFonts w:hint="default" w:ascii="Times New Roman"/>
          <w:bCs/>
          <w:sz w:val="28"/>
          <w:szCs w:val="28"/>
        </w:rPr>
        <w:t>、标项</w:t>
      </w:r>
      <w:r>
        <w:rPr>
          <w:rStyle w:val="140"/>
          <w:rFonts w:hint="default"/>
          <w:bCs/>
          <w:sz w:val="28"/>
          <w:szCs w:val="28"/>
        </w:rPr>
        <w:t>2</w:t>
      </w:r>
    </w:p>
    <w:p>
      <w:pPr>
        <w:snapToGrid w:val="0"/>
        <w:spacing w:line="360" w:lineRule="auto"/>
        <w:outlineLvl w:val="1"/>
        <w:rPr>
          <w:rStyle w:val="140"/>
          <w:rFonts w:hint="default" w:ascii="Times New Roman"/>
          <w:bCs/>
          <w:sz w:val="28"/>
          <w:szCs w:val="28"/>
        </w:rPr>
      </w:pPr>
      <w:r>
        <w:rPr>
          <w:rStyle w:val="140"/>
          <w:rFonts w:hint="default"/>
          <w:bCs/>
          <w:sz w:val="28"/>
          <w:szCs w:val="28"/>
        </w:rPr>
        <w:t>（一）</w:t>
      </w:r>
      <w:r>
        <w:rPr>
          <w:rStyle w:val="140"/>
          <w:rFonts w:hint="default" w:ascii="Times New Roman"/>
          <w:bCs/>
          <w:sz w:val="28"/>
          <w:szCs w:val="28"/>
        </w:rPr>
        <w:t>采购内容清单</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552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名称</w:t>
            </w:r>
          </w:p>
        </w:tc>
        <w:tc>
          <w:tcPr>
            <w:tcW w:w="55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服务描述</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运维服务</w:t>
            </w:r>
          </w:p>
        </w:tc>
        <w:tc>
          <w:tcPr>
            <w:tcW w:w="552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eastAsia="仿宋_GB2312"/>
                <w:szCs w:val="21"/>
              </w:rPr>
            </w:pPr>
            <w:r>
              <w:rPr>
                <w:rFonts w:hint="eastAsia" w:ascii="仿宋_GB2312" w:eastAsia="仿宋_GB2312"/>
                <w:szCs w:val="21"/>
              </w:rPr>
              <w:t>（1）区数管中心运维服务：3人常驻现场，针对拱墅区政府大楼（台州路1号）电子政务网络、无线网络，以及拱墅区数据资源局主机房（台州路1号）内云计算平台、服务器、网络设备等软硬件基础设施提供日常巡检、故障处置、运行监控等服务。</w:t>
            </w:r>
          </w:p>
          <w:p>
            <w:pPr>
              <w:snapToGrid w:val="0"/>
              <w:jc w:val="left"/>
              <w:rPr>
                <w:rFonts w:ascii="仿宋_GB2312" w:eastAsia="仿宋_GB2312"/>
                <w:szCs w:val="21"/>
              </w:rPr>
            </w:pPr>
            <w:r>
              <w:rPr>
                <w:rFonts w:hint="eastAsia" w:ascii="仿宋_GB2312" w:eastAsia="仿宋_GB2312"/>
                <w:szCs w:val="21"/>
              </w:rPr>
              <w:t>（2）工作日夜间及节假日值守保障服务：提供工作日夜间（当日下午17时30分至次日上午9时）、周末及国家法定节假日全天的区政府机房（台州路1号）值班值守保障服务，确保上述时段至少一人在岗。</w:t>
            </w:r>
          </w:p>
          <w:p>
            <w:pPr>
              <w:snapToGrid w:val="0"/>
              <w:jc w:val="left"/>
              <w:rPr>
                <w:rFonts w:ascii="仿宋_GB2312" w:eastAsia="仿宋_GB2312"/>
                <w:szCs w:val="21"/>
              </w:rPr>
            </w:pPr>
            <w:r>
              <w:rPr>
                <w:rFonts w:hint="eastAsia" w:ascii="仿宋_GB2312" w:eastAsia="仿宋_GB2312"/>
                <w:szCs w:val="21"/>
              </w:rPr>
              <w:t>（3）网络重保支持服务：重要会议或重大活动期间，委派资深网络技术人员到场，为电子政务网络、云计算平台等设备正常稳定运行提供保障，随时应急处理突然网络故障。</w:t>
            </w:r>
          </w:p>
          <w:p>
            <w:pPr>
              <w:snapToGrid w:val="0"/>
              <w:jc w:val="left"/>
              <w:rPr>
                <w:rFonts w:ascii="仿宋_GB2312" w:eastAsia="仿宋_GB2312"/>
                <w:szCs w:val="21"/>
              </w:rPr>
            </w:pPr>
            <w:r>
              <w:rPr>
                <w:rFonts w:hint="eastAsia" w:ascii="仿宋_GB2312" w:hAnsi="等线" w:eastAsia="仿宋_GB2312" w:cs="Calibri"/>
                <w:szCs w:val="21"/>
              </w:rPr>
              <w:t>服务期：合同签订之日起一年。</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机房设备维保服务</w:t>
            </w:r>
          </w:p>
        </w:tc>
        <w:tc>
          <w:tcPr>
            <w:tcW w:w="552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等线" w:eastAsia="仿宋_GB2312" w:cs="Calibri"/>
                <w:szCs w:val="21"/>
              </w:rPr>
            </w:pPr>
            <w:r>
              <w:rPr>
                <w:rFonts w:hint="eastAsia" w:ascii="仿宋_GB2312" w:eastAsia="仿宋_GB2312"/>
                <w:szCs w:val="21"/>
              </w:rPr>
              <w:t>拱墅区政府大楼设备维保服务、区人防大厦设备维保服务、原区行政服务中心设备维保服务，针对天融信网络卫士防火墙、web应用漏洞扫描系统等过保硬件设备提供保修服务，在设备发生故障后及时予以修复。</w:t>
            </w:r>
            <w:r>
              <w:rPr>
                <w:rFonts w:hint="eastAsia" w:ascii="仿宋_GB2312" w:hAnsi="等线" w:eastAsia="仿宋_GB2312" w:cs="Calibri"/>
                <w:szCs w:val="21"/>
              </w:rPr>
              <w:t>服务期：合同签订之日起一年。</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rPr>
            </w:pPr>
            <w:r>
              <w:rPr>
                <w:rFonts w:hint="eastAsia" w:ascii="仿宋_GB2312" w:hAnsi="等线" w:eastAsia="仿宋_GB2312" w:cs="Calibri"/>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highlight w:val="none"/>
              </w:rPr>
            </w:pPr>
            <w:r>
              <w:rPr>
                <w:rFonts w:hint="eastAsia" w:ascii="仿宋_GB2312" w:hAnsi="等线" w:eastAsia="仿宋_GB2312" w:cs="Calibri"/>
                <w:szCs w:val="21"/>
                <w:highlight w:val="none"/>
              </w:rPr>
              <w:t>3</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highlight w:val="none"/>
              </w:rPr>
            </w:pPr>
            <w:r>
              <w:rPr>
                <w:rFonts w:hint="eastAsia" w:ascii="仿宋_GB2312" w:hAnsi="等线" w:eastAsia="仿宋_GB2312" w:cs="Calibri"/>
                <w:szCs w:val="21"/>
                <w:highlight w:val="none"/>
              </w:rPr>
              <w:t>数字化转型及信息化项目工作辅助管理服务</w:t>
            </w:r>
          </w:p>
        </w:tc>
        <w:tc>
          <w:tcPr>
            <w:tcW w:w="552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eastAsia="仿宋_GB2312"/>
                <w:szCs w:val="21"/>
                <w:highlight w:val="none"/>
              </w:rPr>
            </w:pPr>
            <w:r>
              <w:rPr>
                <w:rFonts w:hint="eastAsia" w:ascii="仿宋_GB2312" w:eastAsia="仿宋_GB2312"/>
                <w:szCs w:val="21"/>
                <w:highlight w:val="none"/>
              </w:rPr>
              <w:t>11人常驻现场，提供数字化转型及信息化项目工作辅助管理服务，包括但不限于：政府数字化转型工作辅助管理服务（数字赋能考核、政务服务网、疫情防控等）；信息化项目工作辅助综合管理服务（项目文档整理、辅助评审验收、协调对接等）；用户交办的其他工作。服务范围、服务内容及人员岗位以用户具体安排为准，服务期：2021年10月28日起一年。</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等线" w:eastAsia="仿宋_GB2312" w:cs="Calibri"/>
                <w:szCs w:val="21"/>
                <w:highlight w:val="none"/>
              </w:rPr>
            </w:pPr>
            <w:r>
              <w:rPr>
                <w:rFonts w:hint="eastAsia" w:ascii="仿宋_GB2312" w:hAnsi="等线" w:eastAsia="仿宋_GB2312" w:cs="Calibri"/>
                <w:szCs w:val="21"/>
                <w:highlight w:val="none"/>
              </w:rPr>
              <w:t>1项</w:t>
            </w:r>
          </w:p>
        </w:tc>
      </w:tr>
    </w:tbl>
    <w:p>
      <w:pPr>
        <w:snapToGrid w:val="0"/>
        <w:spacing w:before="120" w:beforeLines="50" w:line="360" w:lineRule="auto"/>
        <w:outlineLvl w:val="1"/>
        <w:rPr>
          <w:rStyle w:val="140"/>
          <w:rFonts w:hint="default" w:ascii="Times New Roman"/>
          <w:bCs/>
          <w:sz w:val="28"/>
          <w:szCs w:val="28"/>
        </w:rPr>
      </w:pPr>
      <w:r>
        <w:rPr>
          <w:rStyle w:val="140"/>
          <w:rFonts w:hint="default"/>
          <w:bCs/>
          <w:sz w:val="28"/>
          <w:szCs w:val="28"/>
        </w:rPr>
        <w:t>（二）</w:t>
      </w:r>
      <w:r>
        <w:rPr>
          <w:rStyle w:val="140"/>
          <w:rFonts w:hint="default" w:ascii="Times New Roman"/>
          <w:bCs/>
          <w:sz w:val="28"/>
          <w:szCs w:val="28"/>
        </w:rPr>
        <w:t>技术规范要求</w:t>
      </w:r>
    </w:p>
    <w:p>
      <w:pPr>
        <w:snapToGrid w:val="0"/>
        <w:spacing w:line="360" w:lineRule="auto"/>
        <w:ind w:firstLine="480" w:firstLineChars="200"/>
        <w:rPr>
          <w:rFonts w:ascii="宋体" w:hAnsi="宋体" w:cs="仿宋"/>
          <w:b/>
          <w:bCs/>
          <w:sz w:val="24"/>
        </w:rPr>
      </w:pPr>
      <w:r>
        <w:rPr>
          <w:rFonts w:hint="eastAsia" w:ascii="仿宋_GB2312" w:hAnsi="宋体" w:eastAsia="仿宋_GB2312" w:cs="Arial"/>
          <w:sz w:val="24"/>
        </w:rPr>
        <w:t>标★项为关键技术指标，不允许负偏离</w:t>
      </w:r>
      <w:r>
        <w:rPr>
          <w:rFonts w:hint="eastAsia" w:ascii="仿宋_GB2312" w:hAnsi="宋体" w:eastAsia="仿宋_GB2312" w:cs="Arial"/>
          <w:szCs w:val="21"/>
        </w:rPr>
        <w:t>。</w:t>
      </w:r>
    </w:p>
    <w:p>
      <w:pPr>
        <w:snapToGrid w:val="0"/>
        <w:spacing w:before="120" w:beforeLines="50" w:line="360" w:lineRule="auto"/>
        <w:ind w:firstLine="481" w:firstLineChars="200"/>
        <w:outlineLvl w:val="2"/>
        <w:rPr>
          <w:rFonts w:ascii="仿宋_GB2312" w:hAnsi="仿宋_GB2312" w:eastAsia="仿宋_GB2312" w:cs="仿宋_GB2312"/>
          <w:b/>
          <w:bCs/>
          <w:sz w:val="24"/>
        </w:rPr>
      </w:pPr>
      <w:r>
        <w:rPr>
          <w:rFonts w:hint="eastAsia" w:ascii="仿宋_GB2312" w:hAnsi="仿宋_GB2312" w:eastAsia="仿宋_GB2312" w:cs="仿宋_GB2312"/>
          <w:b/>
          <w:bCs/>
          <w:sz w:val="24"/>
        </w:rPr>
        <w:t>1、运维服务</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b/>
                <w:szCs w:val="21"/>
              </w:rPr>
            </w:pPr>
            <w:r>
              <w:rPr>
                <w:rFonts w:hint="eastAsia" w:ascii="仿宋_GB2312" w:hAnsi="宋体" w:eastAsia="仿宋_GB2312" w:cs="仿宋"/>
                <w:b/>
                <w:szCs w:val="21"/>
              </w:rPr>
              <w:t>服务项</w:t>
            </w:r>
          </w:p>
        </w:tc>
        <w:tc>
          <w:tcPr>
            <w:tcW w:w="6946" w:type="dxa"/>
            <w:vAlign w:val="center"/>
          </w:tcPr>
          <w:p>
            <w:pPr>
              <w:snapToGrid w:val="0"/>
              <w:jc w:val="center"/>
              <w:rPr>
                <w:rFonts w:ascii="仿宋_GB2312" w:hAnsi="宋体" w:eastAsia="仿宋_GB2312" w:cs="仿宋"/>
                <w:b/>
                <w:szCs w:val="21"/>
              </w:rPr>
            </w:pPr>
            <w:r>
              <w:rPr>
                <w:rFonts w:hint="eastAsia" w:ascii="仿宋_GB2312" w:hAnsi="宋体" w:eastAsia="仿宋_GB2312" w:cs="仿宋"/>
                <w:b/>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szCs w:val="21"/>
              </w:rPr>
            </w:pPr>
            <w:r>
              <w:rPr>
                <w:rFonts w:hint="eastAsia" w:ascii="仿宋_GB2312" w:hAnsi="宋体" w:eastAsia="仿宋_GB2312" w:cs="Arial"/>
                <w:kern w:val="0"/>
                <w:szCs w:val="21"/>
              </w:rPr>
              <w:t>服务目标</w:t>
            </w:r>
          </w:p>
        </w:tc>
        <w:tc>
          <w:tcPr>
            <w:tcW w:w="6946" w:type="dxa"/>
            <w:vAlign w:val="center"/>
          </w:tcPr>
          <w:p>
            <w:pPr>
              <w:snapToGrid w:val="0"/>
              <w:jc w:val="left"/>
              <w:rPr>
                <w:rFonts w:ascii="仿宋_GB2312" w:hAnsi="宋体" w:eastAsia="仿宋_GB2312" w:cs="仿宋"/>
                <w:szCs w:val="21"/>
              </w:rPr>
            </w:pPr>
            <w:r>
              <w:rPr>
                <w:rFonts w:hint="eastAsia" w:ascii="仿宋_GB2312" w:hAnsi="宋体" w:eastAsia="仿宋_GB2312" w:cs="Arial"/>
                <w:szCs w:val="21"/>
              </w:rPr>
              <w:t>提供人员驻场技术支持，保障</w:t>
            </w:r>
            <w:r>
              <w:rPr>
                <w:rFonts w:hint="eastAsia" w:ascii="仿宋_GB2312" w:eastAsia="仿宋_GB2312"/>
                <w:szCs w:val="21"/>
              </w:rPr>
              <w:t>拱墅区信息网络、云计算平台、机房设施等软硬件基础设施全天候</w:t>
            </w:r>
            <w:r>
              <w:rPr>
                <w:rFonts w:hint="eastAsia" w:ascii="仿宋_GB2312" w:hAnsi="宋体" w:eastAsia="仿宋_GB2312" w:cs="仿宋"/>
                <w:szCs w:val="21"/>
              </w:rPr>
              <w:t>整体安全</w:t>
            </w:r>
            <w:r>
              <w:rPr>
                <w:rFonts w:hint="eastAsia" w:ascii="仿宋_GB2312" w:hAnsi="宋体" w:eastAsia="仿宋_GB2312" w:cs="Arial"/>
                <w:szCs w:val="21"/>
              </w:rPr>
              <w:t>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vAlign w:val="center"/>
          </w:tcPr>
          <w:p>
            <w:pPr>
              <w:snapToGrid w:val="0"/>
              <w:jc w:val="center"/>
              <w:rPr>
                <w:rFonts w:ascii="仿宋_GB2312" w:hAnsi="宋体" w:eastAsia="仿宋_GB2312" w:cs="仿宋"/>
                <w:szCs w:val="21"/>
              </w:rPr>
            </w:pPr>
            <w:r>
              <w:rPr>
                <w:rFonts w:hint="eastAsia" w:ascii="仿宋_GB2312" w:hAnsi="宋体" w:eastAsia="仿宋_GB2312" w:cs="Arial"/>
                <w:kern w:val="0"/>
                <w:szCs w:val="21"/>
              </w:rPr>
              <w:t>服务范围</w:t>
            </w:r>
          </w:p>
        </w:tc>
        <w:tc>
          <w:tcPr>
            <w:tcW w:w="6946" w:type="dxa"/>
            <w:vAlign w:val="center"/>
          </w:tcPr>
          <w:p>
            <w:pPr>
              <w:snapToGrid w:val="0"/>
              <w:jc w:val="left"/>
              <w:rPr>
                <w:rFonts w:ascii="仿宋_GB2312" w:hAnsi="宋体" w:eastAsia="仿宋_GB2312" w:cs="Arial"/>
                <w:szCs w:val="21"/>
              </w:rPr>
            </w:pPr>
            <w:r>
              <w:rPr>
                <w:rFonts w:hint="eastAsia" w:ascii="仿宋_GB2312" w:eastAsia="仿宋_GB2312"/>
                <w:szCs w:val="21"/>
              </w:rPr>
              <w:t>区数管中心运维服务：针对拱墅区政府大楼（台州路1号）电子政务网络、无线网络，以及拱墅区数据资源局主机房（台州路1号）内云计算平台、服务器、网络设备等软硬件基础设施提供日常巡检、故障处置、运行监控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jc w:val="center"/>
              <w:rPr>
                <w:rFonts w:ascii="仿宋_GB2312" w:hAnsi="宋体" w:eastAsia="仿宋_GB2312" w:cs="Arial"/>
                <w:kern w:val="0"/>
                <w:szCs w:val="21"/>
              </w:rPr>
            </w:pPr>
          </w:p>
        </w:tc>
        <w:tc>
          <w:tcPr>
            <w:tcW w:w="6946" w:type="dxa"/>
            <w:vAlign w:val="center"/>
          </w:tcPr>
          <w:p>
            <w:pPr>
              <w:snapToGrid w:val="0"/>
              <w:jc w:val="left"/>
              <w:rPr>
                <w:rFonts w:ascii="仿宋_GB2312" w:eastAsia="仿宋_GB2312"/>
                <w:szCs w:val="21"/>
              </w:rPr>
            </w:pPr>
            <w:r>
              <w:rPr>
                <w:rFonts w:hint="eastAsia" w:ascii="仿宋_GB2312" w:eastAsia="仿宋_GB2312"/>
                <w:szCs w:val="21"/>
              </w:rPr>
              <w:t>工作日夜间及节假日值守保障服务：提供工作日夜间（当日下午17时30分至次日上午9时）、周末及国家法定节假日全天的区政府机房（台州路1号）值班值守保障服务。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jc w:val="center"/>
              <w:rPr>
                <w:rFonts w:ascii="仿宋_GB2312" w:hAnsi="宋体" w:eastAsia="仿宋_GB2312" w:cs="Arial"/>
                <w:kern w:val="0"/>
                <w:szCs w:val="21"/>
              </w:rPr>
            </w:pPr>
          </w:p>
        </w:tc>
        <w:tc>
          <w:tcPr>
            <w:tcW w:w="6946" w:type="dxa"/>
            <w:vAlign w:val="center"/>
          </w:tcPr>
          <w:p>
            <w:pPr>
              <w:snapToGrid w:val="0"/>
              <w:jc w:val="left"/>
              <w:rPr>
                <w:rFonts w:ascii="仿宋_GB2312" w:eastAsia="仿宋_GB2312"/>
                <w:szCs w:val="21"/>
              </w:rPr>
            </w:pPr>
            <w:r>
              <w:rPr>
                <w:rFonts w:hint="eastAsia" w:ascii="仿宋_GB2312" w:eastAsia="仿宋_GB2312"/>
                <w:szCs w:val="21"/>
              </w:rPr>
              <w:t>网络重保支持服务：重要会议或重大活动期间，委派资深网络技术人员到场，为电子政务网络、云计算平台正常稳定运行提供保障，随时应急处理突然网络故障。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服务人员</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w:t>
            </w:r>
            <w:r>
              <w:rPr>
                <w:rFonts w:hint="eastAsia" w:ascii="仿宋_GB2312" w:eastAsia="仿宋_GB2312"/>
                <w:szCs w:val="21"/>
              </w:rPr>
              <w:t>区数管中心运维服务：</w:t>
            </w:r>
            <w:r>
              <w:rPr>
                <w:rFonts w:ascii="仿宋_GB2312" w:hAnsi="等线" w:eastAsia="仿宋_GB2312" w:cs="Calibri"/>
              </w:rPr>
              <w:t>3</w:t>
            </w:r>
            <w:r>
              <w:rPr>
                <w:rFonts w:hint="eastAsia" w:ascii="仿宋_GB2312" w:hAnsi="等线" w:eastAsia="仿宋_GB2312" w:cs="Calibri"/>
              </w:rPr>
              <w:t>人常驻现场，</w:t>
            </w:r>
            <w:r>
              <w:rPr>
                <w:rFonts w:hint="eastAsia" w:ascii="仿宋_GB2312" w:hAnsi="宋体" w:eastAsia="仿宋_GB2312" w:cs="Arial"/>
                <w:szCs w:val="21"/>
              </w:rPr>
              <w:t>运维团队人员应具备网络、虚拟化平台等操作维护能力。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jc w:val="center"/>
              <w:rPr>
                <w:rFonts w:ascii="仿宋_GB2312" w:hAnsi="宋体" w:eastAsia="仿宋_GB2312" w:cs="Arial"/>
                <w:kern w:val="0"/>
                <w:szCs w:val="21"/>
              </w:rPr>
            </w:pPr>
          </w:p>
        </w:tc>
        <w:tc>
          <w:tcPr>
            <w:tcW w:w="6946" w:type="dxa"/>
            <w:vAlign w:val="center"/>
          </w:tcPr>
          <w:p>
            <w:pPr>
              <w:snapToGrid w:val="0"/>
              <w:jc w:val="left"/>
              <w:rPr>
                <w:rFonts w:ascii="仿宋_GB2312" w:eastAsia="仿宋_GB2312"/>
                <w:szCs w:val="21"/>
              </w:rPr>
            </w:pPr>
            <w:r>
              <w:rPr>
                <w:rFonts w:hint="eastAsia" w:ascii="仿宋_GB2312" w:eastAsia="仿宋_GB2312"/>
                <w:szCs w:val="21"/>
              </w:rPr>
              <w:t>工作日夜间及节假日值守保障服务：人员复用区数管中心运维服务驻场人员，</w:t>
            </w:r>
            <w:r>
              <w:rPr>
                <w:rFonts w:hint="eastAsia" w:ascii="仿宋_GB2312" w:hAnsi="宋体" w:eastAsia="仿宋_GB2312" w:cs="Arial"/>
                <w:szCs w:val="21"/>
              </w:rPr>
              <w:t>确保在值守时段至少一人在岗。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jc w:val="center"/>
              <w:rPr>
                <w:rFonts w:ascii="仿宋_GB2312" w:hAnsi="宋体" w:eastAsia="仿宋_GB2312" w:cs="Arial"/>
                <w:kern w:val="0"/>
                <w:szCs w:val="21"/>
              </w:rPr>
            </w:pPr>
          </w:p>
        </w:tc>
        <w:tc>
          <w:tcPr>
            <w:tcW w:w="6946" w:type="dxa"/>
            <w:vAlign w:val="center"/>
          </w:tcPr>
          <w:p>
            <w:pPr>
              <w:snapToGrid w:val="0"/>
              <w:jc w:val="left"/>
              <w:rPr>
                <w:rFonts w:ascii="仿宋_GB2312" w:eastAsia="仿宋_GB2312"/>
                <w:szCs w:val="21"/>
              </w:rPr>
            </w:pPr>
            <w:r>
              <w:rPr>
                <w:rFonts w:hint="eastAsia" w:ascii="仿宋_GB2312" w:eastAsia="仿宋_GB2312"/>
                <w:szCs w:val="21"/>
              </w:rPr>
              <w:t>网络重保支持服务：</w:t>
            </w:r>
            <w:r>
              <w:rPr>
                <w:rFonts w:hint="eastAsia" w:ascii="仿宋_GB2312" w:hAnsi="宋体" w:eastAsia="仿宋_GB2312" w:cs="Arial"/>
                <w:szCs w:val="21"/>
              </w:rPr>
              <w:t>投标人应组建重保服务团队，团队应具备全面的保障能力，</w:t>
            </w:r>
            <w:r>
              <w:rPr>
                <w:rFonts w:hint="eastAsia" w:ascii="仿宋_GB2312" w:eastAsia="仿宋_GB2312"/>
                <w:szCs w:val="21"/>
              </w:rPr>
              <w:t>在两会、亚运会等重要活动前和活动期间按需委派网络、网络安全等方面专家到现场进行保障。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jc w:val="center"/>
              <w:rPr>
                <w:rFonts w:ascii="仿宋_GB2312" w:hAnsi="宋体" w:eastAsia="仿宋_GB2312" w:cs="Arial"/>
                <w:kern w:val="0"/>
                <w:szCs w:val="21"/>
              </w:rPr>
            </w:pPr>
          </w:p>
        </w:tc>
        <w:tc>
          <w:tcPr>
            <w:tcW w:w="6946" w:type="dxa"/>
            <w:vAlign w:val="center"/>
          </w:tcPr>
          <w:p>
            <w:pPr>
              <w:snapToGrid w:val="0"/>
              <w:jc w:val="left"/>
              <w:rPr>
                <w:rFonts w:ascii="仿宋_GB2312" w:eastAsia="仿宋_GB2312"/>
                <w:szCs w:val="21"/>
              </w:rPr>
            </w:pPr>
            <w:r>
              <w:rPr>
                <w:rFonts w:hint="eastAsia" w:ascii="仿宋_GB2312" w:hAnsi="宋体" w:eastAsia="仿宋_GB2312" w:cs="Arial"/>
                <w:szCs w:val="21"/>
              </w:rPr>
              <w:t>★驻场运维人员须为投标人正式员工，投标人应在投标文件中明确运维服务驻场人员拟派人员姓名。为保障人员稳定性与用户利益，人员应在本单位入职1</w:t>
            </w:r>
            <w:r>
              <w:rPr>
                <w:rFonts w:ascii="仿宋_GB2312" w:hAnsi="宋体" w:eastAsia="仿宋_GB2312" w:cs="Arial"/>
                <w:szCs w:val="21"/>
              </w:rPr>
              <w:t>2</w:t>
            </w:r>
            <w:r>
              <w:rPr>
                <w:rFonts w:hint="eastAsia" w:ascii="仿宋_GB2312" w:hAnsi="宋体" w:eastAsia="仿宋_GB2312" w:cs="Arial"/>
                <w:szCs w:val="21"/>
              </w:rPr>
              <w:t>个月以上，服务期内未经用户同意不得更换，提供人员社保证明。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ind w:firstLine="480"/>
              <w:jc w:val="center"/>
              <w:rPr>
                <w:rFonts w:ascii="仿宋_GB2312" w:hAnsi="宋体" w:eastAsia="仿宋_GB2312" w:cs="Arial"/>
                <w:kern w:val="0"/>
                <w:szCs w:val="21"/>
              </w:rPr>
            </w:pP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重保服务团队人员须为投标人正式员工，投标人应在投标文件中明确人员姓名，人员应在本单位入职1</w:t>
            </w:r>
            <w:r>
              <w:rPr>
                <w:rFonts w:ascii="仿宋_GB2312" w:hAnsi="宋体" w:eastAsia="仿宋_GB2312" w:cs="Arial"/>
                <w:szCs w:val="21"/>
              </w:rPr>
              <w:t>2</w:t>
            </w:r>
            <w:r>
              <w:rPr>
                <w:rFonts w:hint="eastAsia" w:ascii="仿宋_GB2312" w:hAnsi="宋体" w:eastAsia="仿宋_GB2312" w:cs="Arial"/>
                <w:szCs w:val="21"/>
              </w:rPr>
              <w:t>个月以上，提供人员社保证明。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服务内容</w:t>
            </w:r>
          </w:p>
        </w:tc>
        <w:tc>
          <w:tcPr>
            <w:tcW w:w="6946" w:type="dxa"/>
            <w:vAlign w:val="center"/>
          </w:tcPr>
          <w:p>
            <w:pPr>
              <w:snapToGrid w:val="0"/>
              <w:jc w:val="left"/>
              <w:rPr>
                <w:rFonts w:ascii="仿宋_GB2312" w:hAnsi="宋体" w:eastAsia="仿宋_GB2312" w:cs="Arial"/>
                <w:szCs w:val="21"/>
              </w:rPr>
            </w:pPr>
            <w:r>
              <w:rPr>
                <w:rFonts w:hint="eastAsia" w:ascii="仿宋_GB2312" w:eastAsia="仿宋_GB2312"/>
                <w:szCs w:val="21"/>
              </w:rPr>
              <w:t>区数管中心运维服务提供以下服务内容：</w:t>
            </w:r>
          </w:p>
          <w:p>
            <w:pPr>
              <w:snapToGrid w:val="0"/>
              <w:jc w:val="left"/>
              <w:rPr>
                <w:rFonts w:ascii="仿宋_GB2312" w:hAnsi="宋体" w:eastAsia="仿宋_GB2312" w:cs="Arial"/>
                <w:szCs w:val="21"/>
              </w:rPr>
            </w:pPr>
            <w:r>
              <w:rPr>
                <w:rFonts w:hint="eastAsia" w:ascii="仿宋_GB2312" w:hAnsi="宋体" w:eastAsia="仿宋_GB2312" w:cs="Arial"/>
                <w:szCs w:val="21"/>
              </w:rPr>
              <w:t>资产管理：信息网络和机房设备资产管理，统计记录资产信息；</w:t>
            </w:r>
          </w:p>
          <w:p>
            <w:pPr>
              <w:snapToGrid w:val="0"/>
              <w:jc w:val="left"/>
              <w:rPr>
                <w:rFonts w:ascii="仿宋_GB2312" w:hAnsi="宋体" w:eastAsia="仿宋_GB2312" w:cs="Arial"/>
                <w:szCs w:val="21"/>
              </w:rPr>
            </w:pPr>
            <w:r>
              <w:rPr>
                <w:rFonts w:hint="eastAsia" w:ascii="仿宋_GB2312" w:hAnsi="宋体" w:eastAsia="仿宋_GB2312" w:cs="Arial"/>
                <w:szCs w:val="21"/>
              </w:rPr>
              <w:t>日常巡检：信息网络、机房设施、动力环境设施、系统平台日常巡检；</w:t>
            </w:r>
          </w:p>
          <w:p>
            <w:pPr>
              <w:snapToGrid w:val="0"/>
              <w:jc w:val="left"/>
              <w:rPr>
                <w:rFonts w:ascii="仿宋_GB2312" w:hAnsi="宋体" w:eastAsia="仿宋_GB2312" w:cs="Arial"/>
                <w:szCs w:val="21"/>
              </w:rPr>
            </w:pPr>
            <w:r>
              <w:rPr>
                <w:rFonts w:hint="eastAsia" w:ascii="仿宋_GB2312" w:hAnsi="宋体" w:eastAsia="仿宋_GB2312" w:cs="Arial"/>
                <w:szCs w:val="21"/>
              </w:rPr>
              <w:t>故障维护：信息网络和机房设备日常故障维护处理；</w:t>
            </w:r>
          </w:p>
          <w:p>
            <w:pPr>
              <w:snapToGrid w:val="0"/>
              <w:jc w:val="left"/>
              <w:rPr>
                <w:rFonts w:ascii="仿宋_GB2312" w:hAnsi="宋体" w:eastAsia="仿宋_GB2312" w:cs="Arial"/>
                <w:szCs w:val="21"/>
              </w:rPr>
            </w:pPr>
            <w:r>
              <w:rPr>
                <w:rFonts w:hint="eastAsia" w:ascii="仿宋_GB2312" w:hAnsi="宋体" w:eastAsia="仿宋_GB2312" w:cs="Arial"/>
                <w:szCs w:val="21"/>
              </w:rPr>
              <w:t>运行监控：监控信息网络、系统平台运行情况，及时发现和排除问题。</w:t>
            </w:r>
          </w:p>
          <w:p>
            <w:pPr>
              <w:snapToGrid w:val="0"/>
              <w:jc w:val="left"/>
              <w:rPr>
                <w:rFonts w:ascii="仿宋_GB2312" w:hAnsi="宋体" w:eastAsia="仿宋_GB2312" w:cs="Arial"/>
                <w:szCs w:val="21"/>
              </w:rPr>
            </w:pPr>
            <w:r>
              <w:rPr>
                <w:rFonts w:hint="eastAsia" w:ascii="仿宋_GB2312" w:hAnsi="宋体" w:eastAsia="仿宋_GB2312" w:cs="Arial"/>
                <w:szCs w:val="21"/>
              </w:rPr>
              <w:t>应急演练：制定信息网络、虚拟化平台应急响应预案，每年举行不少于一次应急演练。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jc w:val="center"/>
              <w:rPr>
                <w:rFonts w:ascii="仿宋_GB2312" w:hAnsi="宋体" w:eastAsia="仿宋_GB2312" w:cs="Arial"/>
                <w:kern w:val="0"/>
                <w:szCs w:val="21"/>
              </w:rPr>
            </w:pPr>
          </w:p>
        </w:tc>
        <w:tc>
          <w:tcPr>
            <w:tcW w:w="6946" w:type="dxa"/>
            <w:vAlign w:val="center"/>
          </w:tcPr>
          <w:p>
            <w:pPr>
              <w:snapToGrid w:val="0"/>
              <w:jc w:val="left"/>
              <w:rPr>
                <w:rFonts w:ascii="仿宋_GB2312" w:hAnsi="宋体" w:eastAsia="仿宋_GB2312" w:cs="Arial"/>
                <w:szCs w:val="21"/>
              </w:rPr>
            </w:pPr>
            <w:r>
              <w:rPr>
                <w:rFonts w:hint="eastAsia" w:ascii="仿宋_GB2312" w:eastAsia="仿宋_GB2312"/>
                <w:szCs w:val="21"/>
              </w:rPr>
              <w:t>工作日夜间及节假日值守保障服务内容：</w:t>
            </w:r>
          </w:p>
          <w:p>
            <w:pPr>
              <w:snapToGrid w:val="0"/>
              <w:jc w:val="left"/>
              <w:rPr>
                <w:rFonts w:ascii="仿宋_GB2312" w:hAnsi="宋体" w:eastAsia="仿宋_GB2312" w:cs="Arial"/>
                <w:szCs w:val="21"/>
              </w:rPr>
            </w:pPr>
            <w:r>
              <w:rPr>
                <w:rFonts w:hint="eastAsia" w:ascii="仿宋_GB2312" w:hAnsi="宋体" w:eastAsia="仿宋_GB2312" w:cs="Arial"/>
                <w:szCs w:val="21"/>
              </w:rPr>
              <w:t>关键设备巡检：线上登录查看核心交换机、虚拟化与超融合平台、存储系统、动环系统、网管平台等关键设备运行情况。</w:t>
            </w:r>
          </w:p>
          <w:p>
            <w:pPr>
              <w:snapToGrid w:val="0"/>
              <w:jc w:val="left"/>
              <w:rPr>
                <w:rFonts w:ascii="仿宋_GB2312" w:hAnsi="宋体" w:eastAsia="仿宋_GB2312" w:cs="Arial"/>
                <w:szCs w:val="21"/>
              </w:rPr>
            </w:pPr>
            <w:r>
              <w:rPr>
                <w:rFonts w:hint="eastAsia" w:ascii="仿宋_GB2312" w:hAnsi="宋体" w:eastAsia="仿宋_GB2312" w:cs="Arial"/>
                <w:szCs w:val="21"/>
              </w:rPr>
              <w:t>关键设备、应用运行监控：实时监控信息网络、虚拟化平台、动力环境、门户网站应用等设施健康状况。</w:t>
            </w:r>
          </w:p>
          <w:p>
            <w:pPr>
              <w:snapToGrid w:val="0"/>
              <w:jc w:val="left"/>
              <w:rPr>
                <w:rFonts w:ascii="仿宋_GB2312" w:hAnsi="宋体" w:eastAsia="仿宋_GB2312" w:cs="Arial"/>
                <w:szCs w:val="21"/>
              </w:rPr>
            </w:pPr>
            <w:r>
              <w:rPr>
                <w:rFonts w:hint="eastAsia" w:ascii="仿宋_GB2312" w:hAnsi="宋体" w:eastAsia="仿宋_GB2312" w:cs="Arial"/>
                <w:szCs w:val="21"/>
              </w:rPr>
              <w:t>应急响应：网络、系统平台等设施发生故障时应急协调和处置。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jc w:val="center"/>
              <w:rPr>
                <w:rFonts w:ascii="仿宋_GB2312" w:hAnsi="宋体" w:eastAsia="仿宋_GB2312" w:cs="Arial"/>
                <w:kern w:val="0"/>
                <w:szCs w:val="21"/>
              </w:rPr>
            </w:pPr>
          </w:p>
        </w:tc>
        <w:tc>
          <w:tcPr>
            <w:tcW w:w="6946" w:type="dxa"/>
            <w:vAlign w:val="center"/>
          </w:tcPr>
          <w:p>
            <w:pPr>
              <w:snapToGrid w:val="0"/>
              <w:jc w:val="left"/>
              <w:rPr>
                <w:rFonts w:ascii="仿宋_GB2312" w:hAnsi="宋体" w:eastAsia="仿宋_GB2312" w:cs="Arial"/>
                <w:szCs w:val="21"/>
              </w:rPr>
            </w:pPr>
            <w:r>
              <w:rPr>
                <w:rFonts w:hint="eastAsia" w:ascii="仿宋_GB2312" w:eastAsia="仿宋_GB2312"/>
                <w:szCs w:val="21"/>
              </w:rPr>
              <w:t>网络重保支持服务内容：重要会议或重大活动期间，委派资深网络技术人员到场，为电子政务网络、云计算平台等设备正常稳定运行提供保障，随时应急处理突然网络故障。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服务文档</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w:t>
            </w:r>
            <w:r>
              <w:rPr>
                <w:rFonts w:hint="eastAsia" w:ascii="仿宋_GB2312" w:eastAsia="仿宋_GB2312"/>
                <w:szCs w:val="21"/>
              </w:rPr>
              <w:t>机房/设备</w:t>
            </w:r>
            <w:r>
              <w:rPr>
                <w:rFonts w:hint="eastAsia" w:ascii="仿宋_GB2312" w:hAnsi="宋体" w:eastAsia="仿宋_GB2312" w:cs="Arial"/>
                <w:szCs w:val="21"/>
              </w:rPr>
              <w:t>巡检记录》、《事件记录》、《应急演练记录》、《</w:t>
            </w:r>
            <w:r>
              <w:rPr>
                <w:rFonts w:hint="eastAsia" w:ascii="仿宋_GB2312" w:eastAsia="仿宋_GB2312"/>
                <w:szCs w:val="21"/>
              </w:rPr>
              <w:t>运维服务</w:t>
            </w:r>
            <w:r>
              <w:rPr>
                <w:rFonts w:hint="eastAsia" w:ascii="仿宋_GB2312" w:hAnsi="宋体" w:eastAsia="仿宋_GB2312" w:cs="Arial"/>
                <w:szCs w:val="21"/>
              </w:rPr>
              <w:t>月报》、《重保总结报告》、《</w:t>
            </w:r>
            <w:r>
              <w:rPr>
                <w:rFonts w:hint="eastAsia" w:ascii="仿宋_GB2312" w:eastAsia="仿宋_GB2312"/>
                <w:szCs w:val="21"/>
              </w:rPr>
              <w:t>维服务年度总结报告</w:t>
            </w:r>
            <w:r>
              <w:rPr>
                <w:rFonts w:hint="eastAsia" w:ascii="仿宋_GB2312" w:hAnsi="宋体" w:eastAsia="仿宋_GB2312"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服务时间</w:t>
            </w:r>
          </w:p>
        </w:tc>
        <w:tc>
          <w:tcPr>
            <w:tcW w:w="6946" w:type="dxa"/>
            <w:vAlign w:val="center"/>
          </w:tcPr>
          <w:p>
            <w:pPr>
              <w:snapToGrid w:val="0"/>
              <w:jc w:val="left"/>
              <w:rPr>
                <w:rFonts w:ascii="仿宋_GB2312" w:hAnsi="宋体" w:eastAsia="仿宋_GB2312" w:cs="Arial"/>
                <w:szCs w:val="21"/>
              </w:rPr>
            </w:pPr>
            <w:r>
              <w:rPr>
                <w:rFonts w:hint="eastAsia" w:ascii="仿宋_GB2312" w:eastAsia="仿宋_GB2312"/>
                <w:szCs w:val="21"/>
              </w:rPr>
              <w:t>区数管中心运维服务：</w:t>
            </w:r>
            <w:r>
              <w:rPr>
                <w:rFonts w:hint="eastAsia" w:ascii="仿宋_GB2312" w:hAnsi="宋体" w:eastAsia="仿宋_GB2312" w:cs="Arial"/>
                <w:szCs w:val="21"/>
              </w:rPr>
              <w:t>工作日5*8小时。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jc w:val="center"/>
              <w:rPr>
                <w:rFonts w:ascii="仿宋_GB2312" w:hAnsi="宋体" w:eastAsia="仿宋_GB2312" w:cs="Arial"/>
                <w:kern w:val="0"/>
                <w:szCs w:val="21"/>
              </w:rPr>
            </w:pPr>
          </w:p>
        </w:tc>
        <w:tc>
          <w:tcPr>
            <w:tcW w:w="6946" w:type="dxa"/>
            <w:vAlign w:val="center"/>
          </w:tcPr>
          <w:p>
            <w:pPr>
              <w:snapToGrid w:val="0"/>
              <w:jc w:val="left"/>
              <w:rPr>
                <w:rFonts w:ascii="仿宋_GB2312" w:eastAsia="仿宋_GB2312"/>
                <w:szCs w:val="21"/>
              </w:rPr>
            </w:pPr>
            <w:r>
              <w:rPr>
                <w:rFonts w:hint="eastAsia" w:ascii="仿宋_GB2312" w:eastAsia="仿宋_GB2312"/>
                <w:szCs w:val="21"/>
              </w:rPr>
              <w:t>工作日夜间及节假日值守保障服务：</w:t>
            </w:r>
            <w:r>
              <w:rPr>
                <w:rFonts w:hint="eastAsia" w:ascii="仿宋_GB2312" w:hAnsi="等线" w:eastAsia="仿宋_GB2312" w:cs="Calibri"/>
              </w:rPr>
              <w:t>工作日夜间（当日下午17时30分至次日上午9时）、周末及国家法定节假日全天。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jc w:val="center"/>
              <w:rPr>
                <w:rFonts w:ascii="仿宋_GB2312" w:hAnsi="宋体" w:eastAsia="仿宋_GB2312" w:cs="Arial"/>
                <w:kern w:val="0"/>
                <w:szCs w:val="21"/>
              </w:rPr>
            </w:pPr>
          </w:p>
        </w:tc>
        <w:tc>
          <w:tcPr>
            <w:tcW w:w="6946" w:type="dxa"/>
            <w:vAlign w:val="center"/>
          </w:tcPr>
          <w:p>
            <w:pPr>
              <w:snapToGrid w:val="0"/>
              <w:jc w:val="left"/>
              <w:rPr>
                <w:rFonts w:ascii="仿宋_GB2312" w:eastAsia="仿宋_GB2312"/>
                <w:szCs w:val="21"/>
              </w:rPr>
            </w:pPr>
            <w:r>
              <w:rPr>
                <w:rFonts w:hint="eastAsia" w:ascii="仿宋_GB2312" w:eastAsia="仿宋_GB2312"/>
                <w:szCs w:val="21"/>
              </w:rPr>
              <w:t>网络重保支持服务：重要活动前和活动期间。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原厂支持</w:t>
            </w:r>
          </w:p>
        </w:tc>
        <w:tc>
          <w:tcPr>
            <w:tcW w:w="6946" w:type="dxa"/>
            <w:vAlign w:val="center"/>
          </w:tcPr>
          <w:p>
            <w:pPr>
              <w:snapToGrid w:val="0"/>
              <w:jc w:val="left"/>
              <w:rPr>
                <w:rFonts w:ascii="仿宋_GB2312" w:eastAsia="仿宋_GB2312"/>
                <w:szCs w:val="21"/>
              </w:rPr>
            </w:pPr>
            <w:r>
              <w:rPr>
                <w:rFonts w:hint="eastAsia" w:ascii="仿宋_GB2312" w:hAnsi="宋体" w:eastAsia="仿宋_GB2312" w:cs="Arial"/>
                <w:szCs w:val="21"/>
              </w:rPr>
              <w:t>★根据重要性和影响范围，对于数管中心核心交换机和超融合云平台两项核心关键基础设施，为保障故障快速恢复，应与原厂建立快速协同运维机制，日常运维操作必须</w:t>
            </w:r>
            <w:r>
              <w:rPr>
                <w:rFonts w:hint="eastAsia" w:ascii="仿宋_GB2312" w:hAnsi="宋体" w:eastAsia="仿宋_GB2312" w:cs="Arial"/>
              </w:rPr>
              <w:t>取得原厂迪普、深信服技术支持和授权，投标时提供原厂技术支持授权承诺。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服务期</w:t>
            </w:r>
          </w:p>
        </w:tc>
        <w:tc>
          <w:tcPr>
            <w:tcW w:w="6946" w:type="dxa"/>
            <w:vAlign w:val="center"/>
          </w:tcPr>
          <w:p>
            <w:pPr>
              <w:snapToGrid w:val="0"/>
              <w:jc w:val="left"/>
              <w:rPr>
                <w:rFonts w:ascii="仿宋_GB2312" w:hAnsi="宋体" w:eastAsia="仿宋_GB2312" w:cs="Arial"/>
                <w:szCs w:val="21"/>
              </w:rPr>
            </w:pPr>
            <w:r>
              <w:rPr>
                <w:rFonts w:hint="eastAsia" w:ascii="仿宋_GB2312" w:hAnsi="等线" w:eastAsia="仿宋_GB2312" w:cs="Calibri"/>
                <w:szCs w:val="21"/>
              </w:rPr>
              <w:t>合同签订之日起一年。</w:t>
            </w:r>
          </w:p>
        </w:tc>
      </w:tr>
    </w:tbl>
    <w:p>
      <w:pPr>
        <w:snapToGrid w:val="0"/>
        <w:spacing w:before="120" w:beforeLines="50" w:line="360" w:lineRule="auto"/>
        <w:ind w:firstLine="481" w:firstLineChars="200"/>
        <w:outlineLvl w:val="2"/>
        <w:rPr>
          <w:rFonts w:ascii="仿宋_GB2312" w:hAnsi="仿宋_GB2312" w:eastAsia="仿宋_GB2312" w:cs="仿宋_GB2312"/>
          <w:b/>
          <w:bCs/>
          <w:sz w:val="24"/>
        </w:rPr>
      </w:pPr>
      <w:r>
        <w:rPr>
          <w:rFonts w:hint="eastAsia" w:ascii="仿宋_GB2312" w:hAnsi="仿宋_GB2312" w:eastAsia="仿宋_GB2312" w:cs="仿宋_GB2312"/>
          <w:b/>
          <w:bCs/>
          <w:sz w:val="24"/>
        </w:rPr>
        <w:t>2、硬件设备保修服务</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b/>
                <w:szCs w:val="21"/>
              </w:rPr>
            </w:pPr>
            <w:r>
              <w:rPr>
                <w:rFonts w:hint="eastAsia" w:ascii="仿宋_GB2312" w:hAnsi="宋体" w:eastAsia="仿宋_GB2312" w:cs="仿宋"/>
                <w:b/>
                <w:szCs w:val="21"/>
              </w:rPr>
              <w:t>服务项</w:t>
            </w:r>
          </w:p>
        </w:tc>
        <w:tc>
          <w:tcPr>
            <w:tcW w:w="6946" w:type="dxa"/>
            <w:vAlign w:val="center"/>
          </w:tcPr>
          <w:p>
            <w:pPr>
              <w:snapToGrid w:val="0"/>
              <w:jc w:val="center"/>
              <w:rPr>
                <w:rFonts w:ascii="仿宋_GB2312" w:hAnsi="宋体" w:eastAsia="仿宋_GB2312" w:cs="仿宋"/>
                <w:b/>
                <w:szCs w:val="21"/>
              </w:rPr>
            </w:pPr>
            <w:r>
              <w:rPr>
                <w:rFonts w:hint="eastAsia" w:ascii="仿宋_GB2312" w:hAnsi="宋体" w:eastAsia="仿宋_GB2312" w:cs="仿宋"/>
                <w:b/>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szCs w:val="21"/>
              </w:rPr>
            </w:pPr>
            <w:r>
              <w:rPr>
                <w:rFonts w:hint="eastAsia" w:ascii="仿宋_GB2312" w:hAnsi="宋体" w:eastAsia="仿宋_GB2312" w:cs="Arial"/>
                <w:kern w:val="0"/>
                <w:szCs w:val="21"/>
              </w:rPr>
              <w:t>服务目标</w:t>
            </w:r>
          </w:p>
        </w:tc>
        <w:tc>
          <w:tcPr>
            <w:tcW w:w="6946" w:type="dxa"/>
            <w:vAlign w:val="center"/>
          </w:tcPr>
          <w:p>
            <w:pPr>
              <w:snapToGrid w:val="0"/>
              <w:jc w:val="left"/>
              <w:rPr>
                <w:rFonts w:ascii="仿宋_GB2312" w:hAnsi="宋体" w:eastAsia="仿宋_GB2312" w:cs="仿宋"/>
                <w:szCs w:val="21"/>
              </w:rPr>
            </w:pPr>
            <w:r>
              <w:rPr>
                <w:rFonts w:hint="eastAsia" w:ascii="仿宋_GB2312" w:eastAsia="仿宋_GB2312"/>
                <w:szCs w:val="21"/>
              </w:rPr>
              <w:t>区数管中心设备维保服务、区人防大厦设备维保服务、区行政服务中心设备维保服务。针对</w:t>
            </w:r>
            <w:r>
              <w:rPr>
                <w:rFonts w:hint="eastAsia" w:ascii="仿宋_GB2312" w:hAnsi="宋体" w:eastAsia="仿宋_GB2312" w:cs="Arial"/>
                <w:kern w:val="0"/>
                <w:szCs w:val="21"/>
              </w:rPr>
              <w:t>迪普核心交换机、</w:t>
            </w:r>
            <w:r>
              <w:rPr>
                <w:rFonts w:hint="eastAsia" w:ascii="仿宋_GB2312" w:eastAsia="仿宋_GB2312"/>
                <w:szCs w:val="21"/>
              </w:rPr>
              <w:t>天融信网络卫士防火墙、绿盟漏洞扫描系统、柏科存储网关等过保硬件设备提供保修服务，在设备发生故障后及时予以修复。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18" w:type="dxa"/>
            <w:vMerge w:val="restart"/>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维保设备清单</w:t>
            </w:r>
          </w:p>
        </w:tc>
        <w:tc>
          <w:tcPr>
            <w:tcW w:w="6946" w:type="dxa"/>
            <w:vAlign w:val="center"/>
          </w:tcPr>
          <w:p>
            <w:pPr>
              <w:snapToGrid w:val="0"/>
              <w:spacing w:line="300" w:lineRule="auto"/>
              <w:rPr>
                <w:rFonts w:ascii="仿宋_GB2312" w:hAnsi="宋体" w:eastAsia="仿宋_GB2312" w:cs="Arial"/>
                <w:b/>
                <w:bCs/>
                <w:kern w:val="0"/>
                <w:szCs w:val="21"/>
              </w:rPr>
            </w:pPr>
            <w:r>
              <w:rPr>
                <w:rFonts w:hint="eastAsia" w:ascii="仿宋_GB2312" w:hAnsi="宋体" w:eastAsia="仿宋_GB2312" w:cs="Arial"/>
                <w:b/>
                <w:bCs/>
                <w:kern w:val="0"/>
                <w:szCs w:val="21"/>
              </w:rPr>
              <w:t>区数管中心维保设备清单：</w:t>
            </w:r>
          </w:p>
          <w:p>
            <w:pPr>
              <w:snapToGrid w:val="0"/>
              <w:spacing w:line="300" w:lineRule="auto"/>
              <w:rPr>
                <w:rFonts w:ascii="仿宋_GB2312" w:eastAsia="仿宋_GB2312"/>
              </w:rPr>
            </w:pPr>
            <w:r>
              <w:rPr>
                <w:rFonts w:hint="eastAsia" w:ascii="仿宋_GB2312" w:hAnsi="宋体" w:eastAsia="仿宋_GB2312" w:cs="Arial"/>
                <w:kern w:val="0"/>
                <w:szCs w:val="21"/>
              </w:rPr>
              <w:t>迪普核心交换机</w:t>
            </w:r>
            <w:r>
              <w:rPr>
                <w:rFonts w:ascii="仿宋_GB2312" w:hAnsi="宋体" w:eastAsia="仿宋_GB2312" w:cs="Arial"/>
                <w:kern w:val="0"/>
                <w:szCs w:val="21"/>
              </w:rPr>
              <w:t xml:space="preserve"> </w:t>
            </w:r>
            <w:r>
              <w:rPr>
                <w:rFonts w:hint="eastAsia" w:ascii="仿宋_GB2312" w:hAnsi="宋体" w:eastAsia="仿宋_GB2312" w:cs="Arial"/>
                <w:kern w:val="0"/>
                <w:szCs w:val="21"/>
              </w:rPr>
              <w:t>DPX8000-A12</w:t>
            </w:r>
            <w:r>
              <w:rPr>
                <w:rFonts w:ascii="仿宋_GB2312" w:hAnsi="宋体" w:eastAsia="仿宋_GB2312" w:cs="Arial"/>
                <w:kern w:val="0"/>
                <w:szCs w:val="21"/>
              </w:rPr>
              <w:t xml:space="preserve"> </w:t>
            </w:r>
            <w:r>
              <w:rPr>
                <w:rFonts w:hint="eastAsia" w:ascii="仿宋_GB2312" w:hAnsi="宋体" w:eastAsia="仿宋_GB2312" w:cs="Arial"/>
                <w:kern w:val="0"/>
                <w:szCs w:val="21"/>
              </w:rPr>
              <w:t>2台</w:t>
            </w:r>
          </w:p>
          <w:p>
            <w:pPr>
              <w:snapToGrid w:val="0"/>
              <w:spacing w:line="300" w:lineRule="auto"/>
              <w:rPr>
                <w:rFonts w:ascii="仿宋_GB2312" w:eastAsia="仿宋_GB2312"/>
              </w:rPr>
            </w:pPr>
            <w:r>
              <w:rPr>
                <w:rFonts w:hint="eastAsia" w:ascii="仿宋_GB2312" w:eastAsia="仿宋_GB2312"/>
              </w:rPr>
              <w:t>天融信网络卫士防火墙NGFW4000-UF TG-61040（猎豹）1台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绿盟web应用漏洞扫描系统</w:t>
            </w:r>
            <w:r>
              <w:rPr>
                <w:rFonts w:ascii="仿宋_GB2312" w:hAnsi="宋体" w:eastAsia="仿宋_GB2312" w:cs="Arial"/>
                <w:kern w:val="0"/>
                <w:szCs w:val="21"/>
              </w:rPr>
              <w:t xml:space="preserve"> </w:t>
            </w:r>
            <w:r>
              <w:rPr>
                <w:rFonts w:hint="eastAsia" w:ascii="仿宋_GB2312" w:hAnsi="宋体" w:eastAsia="仿宋_GB2312" w:cs="Arial"/>
                <w:kern w:val="0"/>
                <w:szCs w:val="21"/>
              </w:rPr>
              <w:t>NSFOCUS WVSS—X</w:t>
            </w:r>
            <w:r>
              <w:rPr>
                <w:rFonts w:ascii="仿宋_GB2312" w:hAnsi="宋体" w:eastAsia="仿宋_GB2312" w:cs="Arial"/>
                <w:kern w:val="0"/>
                <w:szCs w:val="21"/>
              </w:rPr>
              <w:t xml:space="preserve"> </w:t>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安恒Web应用防护系统</w:t>
            </w:r>
            <w:r>
              <w:rPr>
                <w:rFonts w:ascii="仿宋_GB2312" w:hAnsi="宋体" w:eastAsia="仿宋_GB2312" w:cs="Arial"/>
                <w:kern w:val="0"/>
                <w:szCs w:val="21"/>
              </w:rPr>
              <w:t xml:space="preserve"> </w:t>
            </w:r>
            <w:r>
              <w:rPr>
                <w:rFonts w:hint="eastAsia" w:ascii="仿宋_GB2312" w:hAnsi="宋体" w:eastAsia="仿宋_GB2312" w:cs="Arial"/>
                <w:kern w:val="0"/>
                <w:szCs w:val="21"/>
              </w:rPr>
              <w:t>明御WAF-500AG</w:t>
            </w:r>
            <w:r>
              <w:rPr>
                <w:rFonts w:ascii="仿宋_GB2312" w:hAnsi="宋体" w:eastAsia="仿宋_GB2312" w:cs="Arial"/>
                <w:kern w:val="0"/>
                <w:szCs w:val="21"/>
              </w:rPr>
              <w:t xml:space="preserve"> </w:t>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柏科SAN集中存储系统</w:t>
            </w:r>
            <w:r>
              <w:rPr>
                <w:rFonts w:ascii="仿宋_GB2312" w:hAnsi="宋体" w:eastAsia="仿宋_GB2312" w:cs="Arial"/>
                <w:kern w:val="0"/>
                <w:szCs w:val="21"/>
              </w:rPr>
              <w:t xml:space="preserve"> </w:t>
            </w:r>
            <w:r>
              <w:rPr>
                <w:rFonts w:hint="eastAsia" w:ascii="仿宋_GB2312" w:hAnsi="宋体" w:eastAsia="仿宋_GB2312" w:cs="Arial"/>
                <w:kern w:val="0"/>
                <w:szCs w:val="21"/>
              </w:rPr>
              <w:t>Rorke RD-6810F</w:t>
            </w:r>
            <w:r>
              <w:rPr>
                <w:rFonts w:hint="eastAsia" w:ascii="仿宋_GB2312" w:hAnsi="宋体" w:eastAsia="仿宋_GB2312" w:cs="Arial"/>
                <w:kern w:val="0"/>
                <w:szCs w:val="21"/>
              </w:rPr>
              <w:tab/>
            </w:r>
            <w:r>
              <w:rPr>
                <w:rFonts w:hint="eastAsia" w:ascii="仿宋_GB2312" w:hAnsi="宋体" w:eastAsia="仿宋_GB2312" w:cs="Arial"/>
                <w:kern w:val="0"/>
                <w:szCs w:val="21"/>
              </w:rPr>
              <w:t>2套</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思福迪堡垒主机系统</w:t>
            </w:r>
            <w:r>
              <w:rPr>
                <w:rFonts w:hint="eastAsia" w:ascii="仿宋_GB2312" w:hAnsi="宋体" w:eastAsia="仿宋_GB2312" w:cs="Arial"/>
                <w:kern w:val="0"/>
                <w:szCs w:val="21"/>
              </w:rPr>
              <w:tab/>
            </w:r>
            <w:r>
              <w:rPr>
                <w:rFonts w:hint="eastAsia" w:ascii="仿宋_GB2312" w:hAnsi="宋体" w:eastAsia="仿宋_GB2312" w:cs="Arial"/>
                <w:kern w:val="0"/>
                <w:szCs w:val="21"/>
              </w:rPr>
              <w:t>LogBase-B2600</w:t>
            </w:r>
            <w:r>
              <w:rPr>
                <w:rFonts w:ascii="仿宋_GB2312" w:hAnsi="宋体" w:eastAsia="仿宋_GB2312" w:cs="Arial"/>
                <w:kern w:val="0"/>
                <w:szCs w:val="21"/>
              </w:rPr>
              <w:t xml:space="preserve"> </w:t>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安恒日志审计系统</w:t>
            </w:r>
            <w:r>
              <w:rPr>
                <w:rFonts w:ascii="仿宋_GB2312" w:hAnsi="宋体" w:eastAsia="仿宋_GB2312" w:cs="Arial"/>
                <w:kern w:val="0"/>
                <w:szCs w:val="21"/>
              </w:rPr>
              <w:t xml:space="preserve"> </w:t>
            </w:r>
            <w:r>
              <w:rPr>
                <w:rFonts w:hint="eastAsia" w:ascii="仿宋_GB2312" w:hAnsi="宋体" w:eastAsia="仿宋_GB2312" w:cs="Arial"/>
                <w:kern w:val="0"/>
                <w:szCs w:val="21"/>
              </w:rPr>
              <w:t>明御DAS-LOG-500 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绿盟主机漏洞扫描系统</w:t>
            </w:r>
            <w:r>
              <w:rPr>
                <w:rFonts w:ascii="仿宋_GB2312" w:hAnsi="宋体" w:eastAsia="仿宋_GB2312" w:cs="Arial"/>
                <w:kern w:val="0"/>
                <w:szCs w:val="21"/>
              </w:rPr>
              <w:t xml:space="preserve"> </w:t>
            </w:r>
            <w:r>
              <w:rPr>
                <w:rFonts w:hint="eastAsia" w:ascii="仿宋_GB2312" w:hAnsi="宋体" w:eastAsia="仿宋_GB2312" w:cs="Arial"/>
                <w:kern w:val="0"/>
                <w:szCs w:val="21"/>
              </w:rPr>
              <w:t>RSAS NX3-S</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柏科存储网关</w:t>
            </w:r>
            <w:r>
              <w:rPr>
                <w:rFonts w:ascii="仿宋_GB2312" w:hAnsi="宋体" w:eastAsia="仿宋_GB2312" w:cs="Arial"/>
                <w:kern w:val="0"/>
                <w:szCs w:val="21"/>
              </w:rPr>
              <w:t xml:space="preserve"> </w:t>
            </w:r>
            <w:r>
              <w:rPr>
                <w:rFonts w:hint="eastAsia" w:ascii="仿宋_GB2312" w:hAnsi="宋体" w:eastAsia="仿宋_GB2312" w:cs="Arial"/>
                <w:kern w:val="0"/>
                <w:szCs w:val="21"/>
              </w:rPr>
              <w:t>Rorke VRD7100</w:t>
            </w:r>
            <w:r>
              <w:rPr>
                <w:rFonts w:ascii="仿宋_GB2312" w:hAnsi="宋体" w:eastAsia="仿宋_GB2312" w:cs="Arial"/>
                <w:kern w:val="0"/>
                <w:szCs w:val="21"/>
              </w:rPr>
              <w:t xml:space="preserve"> </w:t>
            </w:r>
            <w:r>
              <w:rPr>
                <w:rFonts w:hint="eastAsia" w:ascii="仿宋_GB2312" w:hAnsi="宋体" w:eastAsia="仿宋_GB2312" w:cs="Arial"/>
                <w:kern w:val="0"/>
                <w:szCs w:val="21"/>
              </w:rPr>
              <w:t>2套</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环境监控系统</w:t>
            </w:r>
            <w:r>
              <w:rPr>
                <w:rFonts w:ascii="仿宋_GB2312" w:hAnsi="宋体" w:eastAsia="仿宋_GB2312" w:cs="Arial"/>
                <w:kern w:val="0"/>
                <w:szCs w:val="21"/>
              </w:rPr>
              <w:t xml:space="preserve"> </w:t>
            </w:r>
            <w:r>
              <w:rPr>
                <w:rFonts w:hint="eastAsia" w:ascii="仿宋_GB2312" w:hAnsi="宋体" w:eastAsia="仿宋_GB2312" w:cs="Arial"/>
                <w:kern w:val="0"/>
                <w:szCs w:val="21"/>
              </w:rPr>
              <w:t>深圳BTR</w:t>
            </w:r>
            <w:r>
              <w:rPr>
                <w:rFonts w:hint="eastAsia" w:ascii="仿宋_GB2312" w:hAnsi="宋体" w:eastAsia="仿宋_GB2312" w:cs="Arial"/>
                <w:kern w:val="0"/>
                <w:szCs w:val="21"/>
              </w:rPr>
              <w:tab/>
            </w:r>
            <w:r>
              <w:rPr>
                <w:rFonts w:hint="eastAsia" w:ascii="仿宋_GB2312" w:hAnsi="宋体" w:eastAsia="仿宋_GB2312" w:cs="Arial"/>
                <w:kern w:val="0"/>
                <w:szCs w:val="21"/>
              </w:rPr>
              <w:t>1套</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艾默生精密空调</w:t>
            </w:r>
            <w:r>
              <w:rPr>
                <w:rFonts w:hint="eastAsia" w:ascii="仿宋_GB2312" w:hAnsi="宋体" w:eastAsia="仿宋_GB2312" w:cs="Arial"/>
                <w:kern w:val="0"/>
                <w:szCs w:val="21"/>
              </w:rPr>
              <w:tab/>
            </w:r>
            <w:r>
              <w:rPr>
                <w:rFonts w:hint="eastAsia" w:ascii="仿宋_GB2312" w:hAnsi="宋体" w:eastAsia="仿宋_GB2312" w:cs="Arial"/>
                <w:kern w:val="0"/>
                <w:szCs w:val="21"/>
              </w:rPr>
              <w:t>PEX P1030F</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正元智慧机房门禁系统</w:t>
            </w:r>
            <w:r>
              <w:rPr>
                <w:rFonts w:ascii="仿宋_GB2312" w:hAnsi="宋体" w:eastAsia="仿宋_GB2312" w:cs="Arial"/>
                <w:kern w:val="0"/>
                <w:szCs w:val="21"/>
              </w:rPr>
              <w:t xml:space="preserve"> </w:t>
            </w:r>
            <w:r>
              <w:rPr>
                <w:rFonts w:hint="eastAsia" w:ascii="仿宋_GB2312" w:hAnsi="宋体" w:eastAsia="仿宋_GB2312" w:cs="Arial"/>
                <w:kern w:val="0"/>
                <w:szCs w:val="21"/>
              </w:rPr>
              <w:t>1套</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绿盟入侵防御系统</w:t>
            </w:r>
            <w:r>
              <w:rPr>
                <w:rFonts w:ascii="仿宋_GB2312" w:hAnsi="宋体" w:eastAsia="仿宋_GB2312" w:cs="Arial"/>
                <w:kern w:val="0"/>
                <w:szCs w:val="21"/>
              </w:rPr>
              <w:t xml:space="preserve"> </w:t>
            </w:r>
            <w:r>
              <w:rPr>
                <w:rFonts w:hint="eastAsia" w:ascii="仿宋_GB2312" w:hAnsi="宋体" w:eastAsia="仿宋_GB2312" w:cs="Arial"/>
                <w:kern w:val="0"/>
                <w:szCs w:val="21"/>
              </w:rPr>
              <w:t>NIPSNX3-N3000A-C</w:t>
            </w:r>
            <w:r>
              <w:rPr>
                <w:rFonts w:ascii="仿宋_GB2312" w:hAnsi="宋体" w:eastAsia="仿宋_GB2312" w:cs="Arial"/>
                <w:kern w:val="0"/>
                <w:szCs w:val="21"/>
              </w:rPr>
              <w:t xml:space="preserve"> </w:t>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信锐区政府大楼无线设备</w:t>
            </w:r>
            <w:r>
              <w:rPr>
                <w:rFonts w:ascii="仿宋_GB2312" w:hAnsi="宋体" w:eastAsia="仿宋_GB2312" w:cs="Arial"/>
                <w:kern w:val="0"/>
                <w:szCs w:val="21"/>
              </w:rPr>
              <w:t xml:space="preserve"> </w:t>
            </w:r>
            <w:r>
              <w:rPr>
                <w:rFonts w:hint="eastAsia" w:ascii="仿宋_GB2312" w:hAnsi="宋体" w:eastAsia="仿宋_GB2312" w:cs="Arial"/>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418" w:type="dxa"/>
            <w:vMerge w:val="continue"/>
            <w:vAlign w:val="center"/>
          </w:tcPr>
          <w:p>
            <w:pPr>
              <w:snapToGrid w:val="0"/>
              <w:jc w:val="center"/>
              <w:rPr>
                <w:rFonts w:ascii="仿宋_GB2312" w:hAnsi="宋体" w:eastAsia="仿宋_GB2312" w:cs="Arial"/>
                <w:kern w:val="0"/>
                <w:szCs w:val="21"/>
              </w:rPr>
            </w:pPr>
          </w:p>
        </w:tc>
        <w:tc>
          <w:tcPr>
            <w:tcW w:w="6946" w:type="dxa"/>
            <w:vAlign w:val="center"/>
          </w:tcPr>
          <w:p>
            <w:pPr>
              <w:snapToGrid w:val="0"/>
              <w:spacing w:line="300" w:lineRule="auto"/>
              <w:rPr>
                <w:rFonts w:ascii="仿宋_GB2312" w:hAnsi="宋体" w:eastAsia="仿宋_GB2312" w:cs="Arial"/>
                <w:b/>
                <w:bCs/>
                <w:kern w:val="0"/>
                <w:szCs w:val="21"/>
              </w:rPr>
            </w:pPr>
            <w:r>
              <w:rPr>
                <w:rFonts w:hint="eastAsia" w:ascii="仿宋_GB2312" w:hAnsi="宋体" w:eastAsia="仿宋_GB2312" w:cs="Arial"/>
                <w:b/>
                <w:bCs/>
                <w:kern w:val="0"/>
                <w:szCs w:val="21"/>
              </w:rPr>
              <w:t>区人防大厦维保设备清单：</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24口接入层交换机 华为S5700S-28P-LI-AC 8台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48口接入层交换机 华为S5700S-52P-LI-AC 12台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SAN交换机 华为S5700-24TP-SI-AC 2台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防火墙 华为0235G420 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UPS主机 科士达30KVA 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UPS主机 科士达60KVA 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综合平台（矩阵、编码器、监视器、软件等） ENMAES3000 1套</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核心交换机 华为LE0KS9303 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8口接入层交换机 华为S2700-9TP-SI-AC 3台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24口接入层交换机 华为S5700S-28P-LI-AC</w:t>
            </w:r>
            <w:r>
              <w:rPr>
                <w:rFonts w:hint="eastAsia" w:ascii="仿宋_GB2312" w:hAnsi="宋体" w:eastAsia="仿宋_GB2312" w:cs="Arial"/>
                <w:kern w:val="0"/>
                <w:szCs w:val="21"/>
              </w:rPr>
              <w:tab/>
            </w:r>
            <w:r>
              <w:rPr>
                <w:rFonts w:hint="eastAsia" w:ascii="仿宋_GB2312" w:hAnsi="宋体" w:eastAsia="仿宋_GB2312" w:cs="Arial"/>
                <w:kern w:val="0"/>
                <w:szCs w:val="21"/>
              </w:rPr>
              <w:t>13台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存储转发服务器(含监控软件) ENMAEK3232N 3套</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室内彩色一体化快球摄像机、彩色半球 LGLNP2810 159台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定时播放系统主机、功放、连接面板、控制面板 LAX 1套</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4500流明投影机、中控主机、矩阵、功放、音响、调音台 丽讯D4500、YAMAHALAXMG166C 1套</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各楼层井道内机柜交换机、通风设备 华为 10套</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48口接入层交换机 华为S5700S-52P-LI-AC 8台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24口接入层交换机 华为S5700S-28P-LI-AC 8台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核心交换机 华为LE0KS9303 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UPS主机 科士达6KVA 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UPS主机 科士达50KVA 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路由器 华为AR0M0024 2台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高清投影机、功放、调音台、矩阵、主音箱高清投影机+电动投影幕 丽讯LAXTS8、YAMAHAMG166C 5套</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机房环境监控 启控 1套</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无线设备 信锐 159套</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核心交换机 Quidway S9306 2台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机房专用空调 大金RSQ350BAY</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24口接入层交换机 华为S5700S-28P-LI-AC 12台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48口接入层交换机 华为S5700S-52P-LI-AC 16台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24口接入层交换机 华为S5700S-28P-LI-AC 2台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48口接入层交换机 华为S5700S-52P-LI-AC 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418" w:type="dxa"/>
            <w:vMerge w:val="continue"/>
            <w:vAlign w:val="center"/>
          </w:tcPr>
          <w:p>
            <w:pPr>
              <w:snapToGrid w:val="0"/>
              <w:jc w:val="center"/>
              <w:rPr>
                <w:rFonts w:ascii="仿宋_GB2312" w:hAnsi="宋体" w:eastAsia="仿宋_GB2312" w:cs="Arial"/>
                <w:kern w:val="0"/>
                <w:szCs w:val="21"/>
              </w:rPr>
            </w:pPr>
          </w:p>
        </w:tc>
        <w:tc>
          <w:tcPr>
            <w:tcW w:w="6946" w:type="dxa"/>
            <w:vAlign w:val="center"/>
          </w:tcPr>
          <w:p>
            <w:pPr>
              <w:snapToGrid w:val="0"/>
              <w:spacing w:line="300" w:lineRule="auto"/>
              <w:rPr>
                <w:rFonts w:ascii="仿宋_GB2312" w:hAnsi="宋体" w:eastAsia="仿宋_GB2312" w:cs="Arial"/>
                <w:b/>
                <w:bCs/>
                <w:kern w:val="0"/>
                <w:szCs w:val="21"/>
              </w:rPr>
            </w:pPr>
            <w:r>
              <w:rPr>
                <w:rFonts w:hint="eastAsia" w:ascii="仿宋_GB2312" w:hAnsi="宋体" w:eastAsia="仿宋_GB2312" w:cs="Arial"/>
                <w:b/>
                <w:bCs/>
                <w:kern w:val="0"/>
                <w:szCs w:val="21"/>
              </w:rPr>
              <w:t>区行政服务中心维保设备清单：</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UPS应急电源</w:t>
            </w:r>
            <w:r>
              <w:rPr>
                <w:rFonts w:hint="eastAsia" w:ascii="仿宋_GB2312" w:hAnsi="宋体" w:eastAsia="仿宋_GB2312" w:cs="Arial"/>
                <w:kern w:val="0"/>
                <w:szCs w:val="21"/>
              </w:rPr>
              <w:tab/>
            </w:r>
            <w:r>
              <w:rPr>
                <w:rFonts w:hint="eastAsia" w:ascii="仿宋_GB2312" w:hAnsi="宋体" w:eastAsia="仿宋_GB2312" w:cs="Arial"/>
                <w:kern w:val="0"/>
                <w:szCs w:val="21"/>
              </w:rPr>
              <w:t>先控CMS-150</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党政网核心交换机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华为S7703</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叫号系统核心交换机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华为S7703</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3台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叫号服务器</w:t>
            </w:r>
            <w:r>
              <w:rPr>
                <w:rFonts w:hint="eastAsia" w:ascii="仿宋_GB2312" w:hAnsi="宋体" w:eastAsia="仿宋_GB2312" w:cs="Arial"/>
                <w:kern w:val="0"/>
                <w:szCs w:val="21"/>
              </w:rPr>
              <w:tab/>
            </w:r>
            <w:r>
              <w:rPr>
                <w:rFonts w:hint="eastAsia" w:ascii="仿宋_GB2312" w:hAnsi="宋体" w:eastAsia="仿宋_GB2312" w:cs="Arial"/>
                <w:kern w:val="0"/>
                <w:szCs w:val="21"/>
              </w:rPr>
              <w:t>戴尔R730</w:t>
            </w:r>
            <w:r>
              <w:rPr>
                <w:rFonts w:hint="eastAsia" w:ascii="仿宋_GB2312" w:hAnsi="宋体" w:eastAsia="仿宋_GB2312" w:cs="Arial"/>
                <w:kern w:val="0"/>
                <w:szCs w:val="21"/>
              </w:rPr>
              <w:tab/>
            </w:r>
            <w:r>
              <w:rPr>
                <w:rFonts w:hint="eastAsia" w:ascii="仿宋_GB2312" w:hAnsi="宋体" w:eastAsia="仿宋_GB2312" w:cs="Arial"/>
                <w:kern w:val="0"/>
                <w:szCs w:val="21"/>
              </w:rPr>
              <w:t>2台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监控终端交换机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4台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叫号终端交换机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8台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党政网终端交换机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13台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UPS应急电源</w:t>
            </w:r>
            <w:r>
              <w:rPr>
                <w:rFonts w:hint="eastAsia" w:ascii="仿宋_GB2312" w:hAnsi="宋体" w:eastAsia="仿宋_GB2312" w:cs="Arial"/>
                <w:kern w:val="0"/>
                <w:szCs w:val="21"/>
              </w:rPr>
              <w:tab/>
            </w:r>
            <w:r>
              <w:rPr>
                <w:rFonts w:hint="eastAsia" w:ascii="仿宋_GB2312" w:hAnsi="宋体" w:eastAsia="仿宋_GB2312" w:cs="Arial"/>
                <w:kern w:val="0"/>
                <w:szCs w:val="21"/>
              </w:rPr>
              <w:t>先控</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监控终端交换机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2台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叫号终端交换机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5台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党政网终端交换机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7台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监控终端交换机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2台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叫号终端交换机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4台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党政网终端交换机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5台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监控终端交换机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叫号终端交换机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3台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党政网终端交换机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6台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监控终端交换机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叫号终端交换机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4台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党政网终端交换机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5台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监控终端交换机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党政网终端交换机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10台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监控终端交换机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党政网终端交换机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5台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监控终端交换机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党政网终端交换机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2台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监控终端交换机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党政网终端交换机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5台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监控终端交换机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党政网终端交换机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6台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UPS应急电源</w:t>
            </w:r>
            <w:r>
              <w:rPr>
                <w:rFonts w:hint="eastAsia" w:ascii="仿宋_GB2312" w:hAnsi="宋体" w:eastAsia="仿宋_GB2312" w:cs="Arial"/>
                <w:kern w:val="0"/>
                <w:szCs w:val="21"/>
              </w:rPr>
              <w:tab/>
            </w:r>
            <w:r>
              <w:rPr>
                <w:rFonts w:hint="eastAsia" w:ascii="仿宋_GB2312" w:hAnsi="宋体" w:eastAsia="仿宋_GB2312" w:cs="Arial"/>
                <w:kern w:val="0"/>
                <w:szCs w:val="21"/>
              </w:rPr>
              <w:t>先控</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监控终端交换机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党政网终端交换机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监控终端交换机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华为S5720-28P</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监控显示屏</w:t>
            </w:r>
            <w:r>
              <w:rPr>
                <w:rFonts w:hint="eastAsia" w:ascii="仿宋_GB2312" w:hAnsi="宋体" w:eastAsia="仿宋_GB2312" w:cs="Arial"/>
                <w:kern w:val="0"/>
                <w:szCs w:val="21"/>
              </w:rPr>
              <w:tab/>
            </w:r>
            <w:r>
              <w:rPr>
                <w:rFonts w:hint="eastAsia" w:ascii="仿宋_GB2312" w:hAnsi="宋体" w:eastAsia="仿宋_GB2312" w:cs="Arial"/>
                <w:kern w:val="0"/>
                <w:szCs w:val="21"/>
              </w:rPr>
              <w:t>海康DS-D2046NX-Z（12屏）</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监控核心交换机</w:t>
            </w:r>
            <w:r>
              <w:rPr>
                <w:rFonts w:hint="eastAsia" w:ascii="仿宋_GB2312" w:hAnsi="宋体" w:eastAsia="仿宋_GB2312" w:cs="Arial"/>
                <w:kern w:val="0"/>
                <w:szCs w:val="21"/>
              </w:rPr>
              <w:tab/>
            </w:r>
            <w:r>
              <w:rPr>
                <w:rFonts w:hint="eastAsia" w:ascii="仿宋_GB2312" w:hAnsi="宋体" w:eastAsia="仿宋_GB2312" w:cs="Arial"/>
                <w:kern w:val="0"/>
                <w:szCs w:val="21"/>
              </w:rPr>
              <w:t>华为S7703</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UPS应急电源</w:t>
            </w:r>
            <w:r>
              <w:rPr>
                <w:rFonts w:hint="eastAsia" w:ascii="仿宋_GB2312" w:hAnsi="宋体" w:eastAsia="仿宋_GB2312" w:cs="Arial"/>
                <w:kern w:val="0"/>
                <w:szCs w:val="21"/>
              </w:rPr>
              <w:tab/>
            </w:r>
            <w:r>
              <w:rPr>
                <w:rFonts w:hint="eastAsia" w:ascii="仿宋_GB2312" w:hAnsi="宋体" w:eastAsia="仿宋_GB2312" w:cs="Arial"/>
                <w:kern w:val="0"/>
                <w:szCs w:val="21"/>
              </w:rPr>
              <w:t>先控CMS-150</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定时播放器</w:t>
            </w:r>
            <w:r>
              <w:rPr>
                <w:rFonts w:hint="eastAsia" w:ascii="仿宋_GB2312" w:hAnsi="宋体" w:eastAsia="仿宋_GB2312" w:cs="Arial"/>
                <w:kern w:val="0"/>
                <w:szCs w:val="21"/>
              </w:rPr>
              <w:tab/>
            </w:r>
            <w:r>
              <w:rPr>
                <w:rFonts w:hint="eastAsia" w:ascii="仿宋_GB2312" w:hAnsi="宋体" w:eastAsia="仿宋_GB2312" w:cs="Arial"/>
                <w:kern w:val="0"/>
                <w:szCs w:val="21"/>
              </w:rPr>
              <w:t>SONBS SA-3000A</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时续电源</w:t>
            </w:r>
            <w:r>
              <w:rPr>
                <w:rFonts w:hint="eastAsia" w:ascii="仿宋_GB2312" w:hAnsi="宋体" w:eastAsia="仿宋_GB2312" w:cs="Arial"/>
                <w:kern w:val="0"/>
                <w:szCs w:val="21"/>
              </w:rPr>
              <w:tab/>
            </w:r>
            <w:r>
              <w:rPr>
                <w:rFonts w:hint="eastAsia" w:ascii="仿宋_GB2312" w:hAnsi="宋体" w:eastAsia="仿宋_GB2312" w:cs="Arial"/>
                <w:kern w:val="0"/>
                <w:szCs w:val="21"/>
              </w:rPr>
              <w:t>SONBS SD-10A</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播放器</w:t>
            </w:r>
            <w:r>
              <w:rPr>
                <w:rFonts w:hint="eastAsia" w:ascii="仿宋_GB2312" w:hAnsi="宋体" w:eastAsia="仿宋_GB2312" w:cs="Arial"/>
                <w:kern w:val="0"/>
                <w:szCs w:val="21"/>
              </w:rPr>
              <w:tab/>
            </w:r>
            <w:r>
              <w:rPr>
                <w:rFonts w:hint="eastAsia" w:ascii="仿宋_GB2312" w:hAnsi="宋体" w:eastAsia="仿宋_GB2312" w:cs="Arial"/>
                <w:kern w:val="0"/>
                <w:szCs w:val="21"/>
              </w:rPr>
              <w:t>SONBS SA-1027</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功放</w:t>
            </w:r>
            <w:r>
              <w:rPr>
                <w:rFonts w:hint="eastAsia" w:ascii="仿宋_GB2312" w:hAnsi="宋体" w:eastAsia="仿宋_GB2312" w:cs="Arial"/>
                <w:kern w:val="0"/>
                <w:szCs w:val="21"/>
              </w:rPr>
              <w:tab/>
            </w:r>
            <w:r>
              <w:rPr>
                <w:rFonts w:hint="eastAsia" w:ascii="仿宋_GB2312" w:hAnsi="宋体" w:eastAsia="仿宋_GB2312" w:cs="Arial"/>
                <w:kern w:val="0"/>
                <w:szCs w:val="21"/>
              </w:rPr>
              <w:t>SONBS SA-360U</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硬盘存储设备</w:t>
            </w:r>
            <w:r>
              <w:rPr>
                <w:rFonts w:hint="eastAsia" w:ascii="仿宋_GB2312" w:hAnsi="宋体" w:eastAsia="仿宋_GB2312" w:cs="Arial"/>
                <w:kern w:val="0"/>
                <w:szCs w:val="21"/>
              </w:rPr>
              <w:tab/>
            </w:r>
            <w:r>
              <w:rPr>
                <w:rFonts w:hint="eastAsia" w:ascii="仿宋_GB2312" w:hAnsi="宋体" w:eastAsia="仿宋_GB2312" w:cs="Arial"/>
                <w:kern w:val="0"/>
                <w:szCs w:val="21"/>
              </w:rPr>
              <w:t>DS-A80624S</w:t>
            </w:r>
            <w:r>
              <w:rPr>
                <w:rFonts w:hint="eastAsia" w:ascii="仿宋_GB2312" w:hAnsi="宋体" w:eastAsia="仿宋_GB2312" w:cs="Arial"/>
                <w:kern w:val="0"/>
                <w:szCs w:val="21"/>
              </w:rPr>
              <w:tab/>
            </w:r>
            <w:r>
              <w:rPr>
                <w:rFonts w:hint="eastAsia" w:ascii="仿宋_GB2312" w:hAnsi="宋体" w:eastAsia="仿宋_GB2312" w:cs="Arial"/>
                <w:kern w:val="0"/>
                <w:szCs w:val="21"/>
              </w:rPr>
              <w:t>2台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监控服务器</w:t>
            </w:r>
            <w:r>
              <w:rPr>
                <w:rFonts w:hint="eastAsia" w:ascii="仿宋_GB2312" w:hAnsi="宋体" w:eastAsia="仿宋_GB2312" w:cs="Arial"/>
                <w:kern w:val="0"/>
                <w:szCs w:val="21"/>
              </w:rPr>
              <w:tab/>
            </w:r>
            <w:r>
              <w:rPr>
                <w:rFonts w:hint="eastAsia" w:ascii="仿宋_GB2312" w:hAnsi="宋体" w:eastAsia="仿宋_GB2312" w:cs="Arial"/>
                <w:kern w:val="0"/>
                <w:szCs w:val="21"/>
              </w:rPr>
              <w:t>海康威视</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视频解码器</w:t>
            </w:r>
            <w:r>
              <w:rPr>
                <w:rFonts w:hint="eastAsia" w:ascii="仿宋_GB2312" w:hAnsi="宋体" w:eastAsia="仿宋_GB2312" w:cs="Arial"/>
                <w:kern w:val="0"/>
                <w:szCs w:val="21"/>
              </w:rPr>
              <w:tab/>
            </w:r>
            <w:r>
              <w:rPr>
                <w:rFonts w:hint="eastAsia" w:ascii="仿宋_GB2312" w:hAnsi="宋体" w:eastAsia="仿宋_GB2312" w:cs="Arial"/>
                <w:kern w:val="0"/>
                <w:szCs w:val="21"/>
              </w:rPr>
              <w:t>DS-6916UD</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网络硬盘录像机</w:t>
            </w:r>
            <w:r>
              <w:rPr>
                <w:rFonts w:hint="eastAsia" w:ascii="仿宋_GB2312" w:hAnsi="宋体" w:eastAsia="仿宋_GB2312" w:cs="Arial"/>
                <w:kern w:val="0"/>
                <w:szCs w:val="21"/>
              </w:rPr>
              <w:tab/>
            </w:r>
            <w:r>
              <w:rPr>
                <w:rFonts w:hint="eastAsia" w:ascii="仿宋_GB2312" w:hAnsi="宋体" w:eastAsia="仿宋_GB2312" w:cs="Arial"/>
                <w:kern w:val="0"/>
                <w:szCs w:val="21"/>
              </w:rPr>
              <w:t>DS-8632N-I8</w:t>
            </w:r>
            <w:r>
              <w:rPr>
                <w:rFonts w:hint="eastAsia" w:ascii="仿宋_GB2312" w:hAnsi="宋体" w:eastAsia="仿宋_GB2312" w:cs="Arial"/>
                <w:kern w:val="0"/>
                <w:szCs w:val="21"/>
              </w:rPr>
              <w:tab/>
            </w:r>
            <w:r>
              <w:rPr>
                <w:rFonts w:hint="eastAsia" w:ascii="仿宋_GB2312" w:hAnsi="宋体" w:eastAsia="仿宋_GB2312" w:cs="Arial"/>
                <w:kern w:val="0"/>
                <w:szCs w:val="21"/>
              </w:rPr>
              <w:t>1台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球型摄像机</w:t>
            </w:r>
            <w:r>
              <w:rPr>
                <w:rFonts w:hint="eastAsia" w:ascii="仿宋_GB2312" w:hAnsi="宋体" w:eastAsia="仿宋_GB2312" w:cs="Arial"/>
                <w:kern w:val="0"/>
                <w:szCs w:val="21"/>
              </w:rPr>
              <w:tab/>
            </w:r>
            <w:r>
              <w:rPr>
                <w:rFonts w:hint="eastAsia" w:ascii="仿宋_GB2312" w:hAnsi="宋体" w:eastAsia="仿宋_GB2312" w:cs="Arial"/>
                <w:kern w:val="0"/>
                <w:szCs w:val="21"/>
              </w:rPr>
              <w:t>海康威视DS-2DE4220IW</w:t>
            </w:r>
            <w:r>
              <w:rPr>
                <w:rFonts w:hint="eastAsia" w:ascii="仿宋_GB2312" w:hAnsi="宋体" w:eastAsia="仿宋_GB2312" w:cs="Arial"/>
                <w:kern w:val="0"/>
                <w:szCs w:val="21"/>
              </w:rPr>
              <w:tab/>
            </w:r>
            <w:r>
              <w:rPr>
                <w:rFonts w:hint="eastAsia" w:ascii="仿宋_GB2312" w:hAnsi="宋体" w:eastAsia="仿宋_GB2312" w:cs="Arial"/>
                <w:kern w:val="0"/>
                <w:szCs w:val="21"/>
              </w:rPr>
              <w:t>3个</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网络室外枪机</w:t>
            </w:r>
            <w:r>
              <w:rPr>
                <w:rFonts w:hint="eastAsia" w:ascii="仿宋_GB2312" w:hAnsi="宋体" w:eastAsia="仿宋_GB2312" w:cs="Arial"/>
                <w:kern w:val="0"/>
                <w:szCs w:val="21"/>
              </w:rPr>
              <w:tab/>
            </w:r>
            <w:r>
              <w:rPr>
                <w:rFonts w:hint="eastAsia" w:ascii="仿宋_GB2312" w:hAnsi="宋体" w:eastAsia="仿宋_GB2312" w:cs="Arial"/>
                <w:kern w:val="0"/>
                <w:szCs w:val="21"/>
              </w:rPr>
              <w:t>海康威视DS-2CD2T2HD</w:t>
            </w:r>
            <w:r>
              <w:rPr>
                <w:rFonts w:hint="eastAsia" w:ascii="仿宋_GB2312" w:hAnsi="宋体" w:eastAsia="仿宋_GB2312" w:cs="Arial"/>
                <w:kern w:val="0"/>
                <w:szCs w:val="21"/>
              </w:rPr>
              <w:tab/>
            </w:r>
            <w:r>
              <w:rPr>
                <w:rFonts w:hint="eastAsia" w:ascii="仿宋_GB2312" w:hAnsi="宋体" w:eastAsia="仿宋_GB2312" w:cs="Arial"/>
                <w:kern w:val="0"/>
                <w:szCs w:val="21"/>
              </w:rPr>
              <w:t>27个</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半球摄像头</w:t>
            </w:r>
            <w:r>
              <w:rPr>
                <w:rFonts w:hint="eastAsia" w:ascii="仿宋_GB2312" w:hAnsi="宋体" w:eastAsia="仿宋_GB2312" w:cs="Arial"/>
                <w:kern w:val="0"/>
                <w:szCs w:val="21"/>
              </w:rPr>
              <w:tab/>
            </w:r>
            <w:r>
              <w:rPr>
                <w:rFonts w:hint="eastAsia" w:ascii="仿宋_GB2312" w:hAnsi="宋体" w:eastAsia="仿宋_GB2312" w:cs="Arial"/>
                <w:kern w:val="0"/>
                <w:szCs w:val="21"/>
              </w:rPr>
              <w:t>海康威视DS-2CD2325FD</w:t>
            </w:r>
            <w:r>
              <w:rPr>
                <w:rFonts w:hint="eastAsia" w:ascii="仿宋_GB2312" w:hAnsi="宋体" w:eastAsia="仿宋_GB2312" w:cs="Arial"/>
                <w:kern w:val="0"/>
                <w:szCs w:val="21"/>
              </w:rPr>
              <w:tab/>
            </w:r>
            <w:r>
              <w:rPr>
                <w:rFonts w:hint="eastAsia" w:ascii="仿宋_GB2312" w:hAnsi="宋体" w:eastAsia="仿宋_GB2312" w:cs="Arial"/>
                <w:kern w:val="0"/>
                <w:szCs w:val="21"/>
              </w:rPr>
              <w:t>233个</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一卡通软件、门禁管理系统，道闸管理系统、电源设备</w:t>
            </w:r>
            <w:r>
              <w:rPr>
                <w:rFonts w:ascii="仿宋_GB2312" w:hAnsi="宋体" w:eastAsia="仿宋_GB2312" w:cs="Arial"/>
                <w:kern w:val="0"/>
                <w:szCs w:val="21"/>
              </w:rPr>
              <w:t xml:space="preserve"> </w:t>
            </w:r>
            <w:r>
              <w:rPr>
                <w:rFonts w:hint="eastAsia" w:ascii="仿宋_GB2312" w:hAnsi="宋体" w:eastAsia="仿宋_GB2312" w:cs="Arial"/>
                <w:kern w:val="0"/>
                <w:szCs w:val="21"/>
              </w:rPr>
              <w:t>11套</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一卡通软件、门禁管理系统，道闸管理系统、电源设备</w:t>
            </w:r>
            <w:r>
              <w:rPr>
                <w:rFonts w:ascii="仿宋_GB2312" w:hAnsi="宋体" w:eastAsia="仿宋_GB2312" w:cs="Arial"/>
                <w:kern w:val="0"/>
                <w:szCs w:val="21"/>
              </w:rPr>
              <w:t xml:space="preserve"> </w:t>
            </w:r>
            <w:r>
              <w:rPr>
                <w:rFonts w:hint="eastAsia" w:ascii="仿宋_GB2312" w:hAnsi="宋体" w:eastAsia="仿宋_GB2312" w:cs="Arial"/>
                <w:kern w:val="0"/>
                <w:szCs w:val="21"/>
              </w:rPr>
              <w:t>2套</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一卡通软件、门禁管理系统，道闸管理系统、电源设备</w:t>
            </w:r>
            <w:r>
              <w:rPr>
                <w:rFonts w:ascii="仿宋_GB2312" w:hAnsi="宋体" w:eastAsia="仿宋_GB2312" w:cs="Arial"/>
                <w:kern w:val="0"/>
                <w:szCs w:val="21"/>
              </w:rPr>
              <w:t xml:space="preserve"> </w:t>
            </w:r>
            <w:r>
              <w:rPr>
                <w:rFonts w:hint="eastAsia" w:ascii="仿宋_GB2312" w:hAnsi="宋体" w:eastAsia="仿宋_GB2312" w:cs="Arial"/>
                <w:kern w:val="0"/>
                <w:szCs w:val="21"/>
              </w:rPr>
              <w:t>2套</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考勤主机</w:t>
            </w:r>
            <w:r>
              <w:rPr>
                <w:rFonts w:ascii="仿宋_GB2312" w:hAnsi="宋体" w:eastAsia="仿宋_GB2312" w:cs="Arial"/>
                <w:kern w:val="0"/>
                <w:szCs w:val="21"/>
              </w:rPr>
              <w:t xml:space="preserve"> </w:t>
            </w:r>
            <w:r>
              <w:rPr>
                <w:rFonts w:hint="eastAsia" w:ascii="仿宋_GB2312" w:hAnsi="宋体" w:eastAsia="仿宋_GB2312" w:cs="Arial"/>
                <w:kern w:val="0"/>
                <w:szCs w:val="21"/>
              </w:rPr>
              <w:t>汉王</w:t>
            </w:r>
            <w:r>
              <w:rPr>
                <w:rFonts w:ascii="仿宋_GB2312" w:hAnsi="宋体" w:eastAsia="仿宋_GB2312" w:cs="Arial"/>
                <w:kern w:val="0"/>
                <w:szCs w:val="21"/>
              </w:rPr>
              <w:t xml:space="preserve"> </w:t>
            </w:r>
            <w:r>
              <w:rPr>
                <w:rFonts w:hint="eastAsia" w:ascii="仿宋_GB2312" w:hAnsi="宋体" w:eastAsia="仿宋_GB2312" w:cs="Arial"/>
                <w:kern w:val="0"/>
                <w:szCs w:val="21"/>
              </w:rPr>
              <w:t>7台</w:t>
            </w:r>
          </w:p>
          <w:p>
            <w:pPr>
              <w:snapToGrid w:val="0"/>
              <w:spacing w:line="300" w:lineRule="auto"/>
              <w:rPr>
                <w:rFonts w:ascii="仿宋_GB2312" w:hAnsi="宋体" w:eastAsia="仿宋_GB2312" w:cs="Arial"/>
                <w:kern w:val="0"/>
                <w:szCs w:val="21"/>
              </w:rPr>
            </w:pPr>
            <w:r>
              <w:rPr>
                <w:rFonts w:hint="eastAsia" w:ascii="仿宋_GB2312" w:hAnsi="宋体" w:eastAsia="仿宋_GB2312" w:cs="Arial"/>
                <w:kern w:val="0"/>
                <w:szCs w:val="21"/>
              </w:rPr>
              <w:t>考勤服务器</w:t>
            </w:r>
            <w:r>
              <w:rPr>
                <w:rFonts w:hint="eastAsia" w:ascii="仿宋_GB2312" w:hAnsi="宋体" w:eastAsia="仿宋_GB2312" w:cs="Arial"/>
                <w:kern w:val="0"/>
                <w:szCs w:val="21"/>
              </w:rPr>
              <w:tab/>
            </w:r>
            <w:r>
              <w:rPr>
                <w:rFonts w:hint="eastAsia" w:ascii="仿宋_GB2312" w:hAnsi="宋体" w:eastAsia="仿宋_GB2312" w:cs="Arial"/>
                <w:kern w:val="0"/>
                <w:szCs w:val="21"/>
              </w:rPr>
              <w:t>考勤系统/数据库</w:t>
            </w:r>
            <w:r>
              <w:rPr>
                <w:rFonts w:hint="eastAsia" w:ascii="仿宋_GB2312" w:hAnsi="宋体" w:eastAsia="仿宋_GB2312" w:cs="Arial"/>
                <w:kern w:val="0"/>
                <w:szCs w:val="21"/>
              </w:rPr>
              <w:tab/>
            </w:r>
            <w:r>
              <w:rPr>
                <w:rFonts w:hint="eastAsia" w:ascii="仿宋_GB2312" w:hAnsi="宋体" w:eastAsia="仿宋_GB2312" w:cs="Arial"/>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服务内容</w:t>
            </w:r>
          </w:p>
        </w:tc>
        <w:tc>
          <w:tcPr>
            <w:tcW w:w="6946" w:type="dxa"/>
            <w:vAlign w:val="center"/>
          </w:tcPr>
          <w:p>
            <w:pPr>
              <w:snapToGrid w:val="0"/>
              <w:jc w:val="left"/>
              <w:rPr>
                <w:rFonts w:ascii="仿宋_GB2312" w:hAnsi="宋体" w:eastAsia="仿宋_GB2312" w:cs="Arial"/>
                <w:szCs w:val="21"/>
              </w:rPr>
            </w:pPr>
            <w:r>
              <w:rPr>
                <w:rFonts w:hint="eastAsia" w:ascii="仿宋_GB2312" w:eastAsia="仿宋_GB2312"/>
                <w:szCs w:val="21"/>
              </w:rPr>
              <w:t>针对</w:t>
            </w:r>
            <w:r>
              <w:rPr>
                <w:rFonts w:hint="eastAsia" w:ascii="仿宋_GB2312" w:hAnsi="宋体" w:eastAsia="仿宋_GB2312" w:cs="Arial"/>
                <w:kern w:val="0"/>
                <w:szCs w:val="21"/>
              </w:rPr>
              <w:t>迪普核心交换机、</w:t>
            </w:r>
            <w:r>
              <w:rPr>
                <w:rFonts w:hint="eastAsia" w:ascii="仿宋_GB2312" w:eastAsia="仿宋_GB2312"/>
                <w:szCs w:val="21"/>
              </w:rPr>
              <w:t>天融信网络卫士防火墙、绿盟漏洞扫描系统、柏科存储网关等过保硬件设备提供保修服务，在设备发生故障后及时予以修复。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服务文档</w:t>
            </w:r>
          </w:p>
        </w:tc>
        <w:tc>
          <w:tcPr>
            <w:tcW w:w="6946" w:type="dxa"/>
            <w:vAlign w:val="center"/>
          </w:tcPr>
          <w:p>
            <w:pPr>
              <w:snapToGrid w:val="0"/>
              <w:jc w:val="left"/>
              <w:rPr>
                <w:rFonts w:ascii="仿宋_GB2312" w:eastAsia="仿宋_GB2312"/>
                <w:szCs w:val="21"/>
              </w:rPr>
            </w:pPr>
            <w:r>
              <w:rPr>
                <w:rFonts w:hint="eastAsia" w:ascii="仿宋_GB2312" w:eastAsia="仿宋_GB2312"/>
                <w:szCs w:val="21"/>
              </w:rPr>
              <w:t>《设备故障维护记录》、</w:t>
            </w:r>
            <w:r>
              <w:rPr>
                <w:rFonts w:hint="eastAsia" w:ascii="仿宋_GB2312" w:hAnsi="宋体" w:eastAsia="仿宋_GB2312" w:cs="Arial"/>
                <w:szCs w:val="21"/>
              </w:rPr>
              <w:t>《服务年度总结报告》等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原厂支持</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w:t>
            </w:r>
            <w:r>
              <w:rPr>
                <w:rFonts w:hint="eastAsia" w:ascii="仿宋_GB2312" w:hAnsi="宋体" w:eastAsia="仿宋_GB2312" w:cs="Arial"/>
              </w:rPr>
              <w:t>迪普DPX8000-A12核心交换机为关键设备，必须采用原厂维保服务，投标时提供原厂技术支持证明。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jc w:val="center"/>
              <w:rPr>
                <w:rFonts w:ascii="仿宋_GB2312" w:hAnsi="宋体" w:eastAsia="仿宋_GB2312" w:cs="Arial"/>
                <w:kern w:val="0"/>
                <w:szCs w:val="21"/>
              </w:rPr>
            </w:pP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w:t>
            </w:r>
            <w:r>
              <w:rPr>
                <w:rFonts w:hint="eastAsia" w:ascii="仿宋_GB2312" w:hAnsi="宋体" w:eastAsia="仿宋_GB2312" w:cs="Arial"/>
              </w:rPr>
              <w:t>柏科存储网关、S</w:t>
            </w:r>
            <w:r>
              <w:rPr>
                <w:rFonts w:ascii="仿宋_GB2312" w:hAnsi="宋体" w:eastAsia="仿宋_GB2312" w:cs="Arial"/>
              </w:rPr>
              <w:t>AN</w:t>
            </w:r>
            <w:r>
              <w:rPr>
                <w:rFonts w:hint="eastAsia" w:ascii="仿宋_GB2312" w:hAnsi="宋体" w:eastAsia="仿宋_GB2312" w:cs="Arial"/>
              </w:rPr>
              <w:t>集中存储系统维护复杂度高，须采用原厂维保服务，投标时提供原厂技术支持证明。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jc w:val="center"/>
              <w:rPr>
                <w:rFonts w:ascii="仿宋_GB2312" w:hAnsi="宋体" w:eastAsia="仿宋_GB2312" w:cs="Arial"/>
                <w:szCs w:val="21"/>
              </w:rPr>
            </w:pPr>
          </w:p>
        </w:tc>
        <w:tc>
          <w:tcPr>
            <w:tcW w:w="6946" w:type="dxa"/>
            <w:vAlign w:val="center"/>
          </w:tcPr>
          <w:p>
            <w:pPr>
              <w:snapToGrid w:val="0"/>
              <w:jc w:val="left"/>
              <w:rPr>
                <w:rFonts w:ascii="仿宋_GB2312" w:hAnsi="宋体" w:eastAsia="仿宋_GB2312" w:cs="Arial"/>
              </w:rPr>
            </w:pPr>
            <w:r>
              <w:rPr>
                <w:rFonts w:hint="eastAsia" w:ascii="仿宋_GB2312" w:hAnsi="宋体" w:eastAsia="仿宋_GB2312" w:cs="Arial"/>
                <w:szCs w:val="21"/>
              </w:rPr>
              <w:t>★</w:t>
            </w:r>
            <w:r>
              <w:rPr>
                <w:rFonts w:hint="eastAsia" w:ascii="仿宋_GB2312" w:hAnsi="宋体" w:eastAsia="仿宋_GB2312" w:cs="Arial"/>
              </w:rPr>
              <w:t>思福迪堡垒机系统须采用原厂维保服务，投标时提供原厂技术支持证明。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szCs w:val="21"/>
              </w:rPr>
              <w:t>服务期限</w:t>
            </w:r>
          </w:p>
        </w:tc>
        <w:tc>
          <w:tcPr>
            <w:tcW w:w="6946" w:type="dxa"/>
            <w:vAlign w:val="center"/>
          </w:tcPr>
          <w:p>
            <w:pPr>
              <w:snapToGrid w:val="0"/>
              <w:jc w:val="left"/>
              <w:rPr>
                <w:rFonts w:ascii="仿宋_GB2312" w:hAnsi="宋体" w:eastAsia="仿宋_GB2312" w:cs="Arial"/>
                <w:szCs w:val="21"/>
              </w:rPr>
            </w:pPr>
            <w:r>
              <w:rPr>
                <w:rFonts w:hint="eastAsia" w:ascii="仿宋_GB2312" w:hAnsi="等线" w:eastAsia="仿宋_GB2312" w:cs="Calibri"/>
                <w:szCs w:val="21"/>
              </w:rPr>
              <w:t>合同签订之日起一年。</w:t>
            </w:r>
          </w:p>
        </w:tc>
      </w:tr>
    </w:tbl>
    <w:p>
      <w:pPr>
        <w:snapToGrid w:val="0"/>
        <w:spacing w:before="120" w:beforeLines="50" w:line="360" w:lineRule="auto"/>
        <w:ind w:firstLine="481" w:firstLineChars="200"/>
        <w:outlineLvl w:val="2"/>
        <w:rPr>
          <w:rFonts w:ascii="仿宋_GB2312" w:hAnsi="仿宋_GB2312" w:eastAsia="仿宋_GB2312" w:cs="仿宋_GB2312"/>
          <w:b/>
          <w:bCs/>
          <w:sz w:val="24"/>
        </w:rPr>
      </w:pPr>
      <w:r>
        <w:rPr>
          <w:rFonts w:ascii="仿宋_GB2312" w:hAnsi="仿宋_GB2312" w:eastAsia="仿宋_GB2312" w:cs="仿宋_GB2312"/>
          <w:b/>
          <w:bCs/>
          <w:sz w:val="24"/>
        </w:rPr>
        <w:t>3</w:t>
      </w:r>
      <w:r>
        <w:rPr>
          <w:rFonts w:hint="eastAsia" w:ascii="仿宋_GB2312" w:hAnsi="仿宋_GB2312" w:eastAsia="仿宋_GB2312" w:cs="仿宋_GB2312"/>
          <w:b/>
          <w:bCs/>
          <w:sz w:val="24"/>
        </w:rPr>
        <w:t>、数字化转型及信息化项目工作辅助管理服务</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b/>
                <w:szCs w:val="21"/>
              </w:rPr>
            </w:pPr>
            <w:r>
              <w:rPr>
                <w:rFonts w:hint="eastAsia" w:ascii="仿宋_GB2312" w:hAnsi="宋体" w:eastAsia="仿宋_GB2312" w:cs="仿宋"/>
                <w:b/>
                <w:szCs w:val="21"/>
              </w:rPr>
              <w:t>服务项</w:t>
            </w:r>
          </w:p>
        </w:tc>
        <w:tc>
          <w:tcPr>
            <w:tcW w:w="6946" w:type="dxa"/>
            <w:vAlign w:val="center"/>
          </w:tcPr>
          <w:p>
            <w:pPr>
              <w:snapToGrid w:val="0"/>
              <w:jc w:val="center"/>
              <w:rPr>
                <w:rFonts w:ascii="仿宋_GB2312" w:hAnsi="宋体" w:eastAsia="仿宋_GB2312" w:cs="仿宋"/>
                <w:b/>
                <w:szCs w:val="21"/>
              </w:rPr>
            </w:pPr>
            <w:r>
              <w:rPr>
                <w:rFonts w:hint="eastAsia" w:ascii="仿宋_GB2312" w:hAnsi="宋体" w:eastAsia="仿宋_GB2312" w:cs="仿宋"/>
                <w:b/>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szCs w:val="21"/>
              </w:rPr>
            </w:pPr>
            <w:r>
              <w:rPr>
                <w:rFonts w:hint="eastAsia" w:ascii="仿宋_GB2312" w:hAnsi="宋体" w:eastAsia="仿宋_GB2312" w:cs="Arial"/>
                <w:kern w:val="0"/>
                <w:szCs w:val="21"/>
              </w:rPr>
              <w:t>服务目标</w:t>
            </w:r>
          </w:p>
        </w:tc>
        <w:tc>
          <w:tcPr>
            <w:tcW w:w="6946" w:type="dxa"/>
            <w:vAlign w:val="center"/>
          </w:tcPr>
          <w:p>
            <w:pPr>
              <w:snapToGrid w:val="0"/>
              <w:jc w:val="left"/>
              <w:rPr>
                <w:rFonts w:ascii="仿宋_GB2312" w:hAnsi="宋体" w:eastAsia="仿宋_GB2312" w:cs="仿宋"/>
                <w:szCs w:val="21"/>
              </w:rPr>
            </w:pPr>
            <w:r>
              <w:rPr>
                <w:rFonts w:hint="eastAsia" w:ascii="仿宋_GB2312" w:hAnsi="宋体" w:eastAsia="仿宋_GB2312" w:cs="Arial"/>
                <w:szCs w:val="21"/>
              </w:rPr>
              <w:t>11人常驻现场，提供数字化转型及信息化项目工作辅助管理服务，包括但不限于：政府数字化转型工作辅助管理服务（数字赋能考核、政务服务网、疫情防控等）；信息化项目工作辅助综合管理服务（项目文档整理、辅助评审验收、协调对接等）；用户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仿宋"/>
                <w:szCs w:val="21"/>
              </w:rPr>
            </w:pPr>
            <w:r>
              <w:rPr>
                <w:rFonts w:hint="eastAsia" w:ascii="仿宋_GB2312" w:hAnsi="宋体" w:eastAsia="仿宋_GB2312" w:cs="Arial"/>
                <w:kern w:val="0"/>
                <w:szCs w:val="21"/>
              </w:rPr>
              <w:t>服务范围</w:t>
            </w:r>
          </w:p>
        </w:tc>
        <w:tc>
          <w:tcPr>
            <w:tcW w:w="6946" w:type="dxa"/>
            <w:vAlign w:val="center"/>
          </w:tcPr>
          <w:p>
            <w:pPr>
              <w:snapToGrid w:val="0"/>
              <w:jc w:val="left"/>
              <w:rPr>
                <w:rFonts w:ascii="仿宋_GB2312" w:hAnsi="宋体" w:eastAsia="仿宋_GB2312" w:cs="Arial"/>
                <w:szCs w:val="21"/>
              </w:rPr>
            </w:pPr>
            <w:r>
              <w:rPr>
                <w:rFonts w:hint="eastAsia" w:ascii="仿宋_GB2312" w:hAnsi="等线" w:eastAsia="仿宋_GB2312" w:cs="Calibri"/>
                <w:szCs w:val="21"/>
              </w:rPr>
              <w:t>包括但不限于：政府数字化转型工作辅助管理服务（数字赋能考核、政务服务网、疫情防控等）；信息化项目工作辅助综合管理服务（项目文档整理、辅助评审验收、协调对接等）；用户交办的其他工作。服务范围以用户具体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服务人员</w:t>
            </w:r>
          </w:p>
        </w:tc>
        <w:tc>
          <w:tcPr>
            <w:tcW w:w="6946" w:type="dxa"/>
            <w:vAlign w:val="center"/>
          </w:tcPr>
          <w:p>
            <w:pPr>
              <w:snapToGrid w:val="0"/>
              <w:jc w:val="left"/>
              <w:rPr>
                <w:rFonts w:ascii="仿宋_GB2312" w:hAnsi="宋体" w:eastAsia="仿宋_GB2312" w:cs="Arial"/>
                <w:szCs w:val="21"/>
              </w:rPr>
            </w:pPr>
            <w:r>
              <w:rPr>
                <w:rFonts w:ascii="仿宋_GB2312" w:hAnsi="等线" w:eastAsia="仿宋_GB2312" w:cs="Calibri"/>
              </w:rPr>
              <w:t>11</w:t>
            </w:r>
            <w:r>
              <w:rPr>
                <w:rFonts w:hint="eastAsia" w:ascii="仿宋_GB2312" w:hAnsi="等线" w:eastAsia="仿宋_GB2312" w:cs="Calibri"/>
              </w:rPr>
              <w:t>人常驻现场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jc w:val="center"/>
              <w:rPr>
                <w:rFonts w:ascii="仿宋_GB2312" w:hAnsi="宋体" w:eastAsia="仿宋_GB2312" w:cs="Arial"/>
                <w:kern w:val="0"/>
                <w:szCs w:val="21"/>
              </w:rPr>
            </w:pP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★为保障运维骨干人员稳定性与用户利益，服务团队至少</w:t>
            </w:r>
            <w:r>
              <w:rPr>
                <w:rFonts w:ascii="仿宋_GB2312" w:hAnsi="宋体" w:eastAsia="仿宋_GB2312" w:cs="Arial"/>
                <w:szCs w:val="21"/>
              </w:rPr>
              <w:t>5</w:t>
            </w:r>
            <w:r>
              <w:rPr>
                <w:rFonts w:hint="eastAsia" w:ascii="仿宋_GB2312" w:hAnsi="宋体" w:eastAsia="仿宋_GB2312" w:cs="Arial"/>
                <w:szCs w:val="21"/>
              </w:rPr>
              <w:t>人须为投标人正式员工且入职</w:t>
            </w:r>
            <w:r>
              <w:rPr>
                <w:rFonts w:ascii="仿宋_GB2312" w:hAnsi="宋体" w:eastAsia="仿宋_GB2312" w:cs="Arial"/>
                <w:szCs w:val="21"/>
              </w:rPr>
              <w:t>6</w:t>
            </w:r>
            <w:r>
              <w:rPr>
                <w:rFonts w:hint="eastAsia" w:ascii="仿宋_GB2312" w:hAnsi="宋体" w:eastAsia="仿宋_GB2312" w:cs="Arial"/>
                <w:szCs w:val="21"/>
              </w:rPr>
              <w:t>个月以上，投标人应在投标文件中明确至少</w:t>
            </w:r>
            <w:r>
              <w:rPr>
                <w:rFonts w:ascii="仿宋_GB2312" w:hAnsi="宋体" w:eastAsia="仿宋_GB2312" w:cs="Arial"/>
                <w:szCs w:val="21"/>
              </w:rPr>
              <w:t>5</w:t>
            </w:r>
            <w:r>
              <w:rPr>
                <w:rFonts w:hint="eastAsia" w:ascii="仿宋_GB2312" w:hAnsi="宋体" w:eastAsia="仿宋_GB2312" w:cs="Arial"/>
                <w:szCs w:val="21"/>
              </w:rPr>
              <w:t>名本单位拟派人员姓名，已明确人员在服务期内未经用户同意不得更换，提供人员社保证明。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snapToGrid w:val="0"/>
              <w:ind w:firstLine="480"/>
              <w:jc w:val="center"/>
              <w:rPr>
                <w:rFonts w:ascii="仿宋_GB2312" w:hAnsi="宋体" w:eastAsia="仿宋_GB2312" w:cs="Arial"/>
                <w:kern w:val="0"/>
                <w:szCs w:val="21"/>
              </w:rPr>
            </w:pP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★所有人员必须具备必要的工作能力，能够胜任服务工作。如果需要，采购方有权对人员进行面试考核，合格者方可上岗工作。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服务内容</w:t>
            </w:r>
          </w:p>
        </w:tc>
        <w:tc>
          <w:tcPr>
            <w:tcW w:w="6946" w:type="dxa"/>
            <w:vAlign w:val="center"/>
          </w:tcPr>
          <w:p>
            <w:pPr>
              <w:snapToGrid w:val="0"/>
              <w:jc w:val="left"/>
              <w:rPr>
                <w:rFonts w:ascii="仿宋_GB2312" w:hAnsi="等线" w:eastAsia="仿宋_GB2312" w:cs="Calibri"/>
                <w:szCs w:val="21"/>
              </w:rPr>
            </w:pPr>
            <w:r>
              <w:rPr>
                <w:rFonts w:hint="eastAsia" w:ascii="仿宋_GB2312" w:hAnsi="等线" w:eastAsia="仿宋_GB2312" w:cs="Calibri"/>
                <w:szCs w:val="21"/>
              </w:rPr>
              <w:t>政府数字化转型工作辅助管理服务（数字赋能考核、政务服务网、疫情防控等）；</w:t>
            </w:r>
          </w:p>
          <w:p>
            <w:pPr>
              <w:snapToGrid w:val="0"/>
              <w:jc w:val="left"/>
              <w:rPr>
                <w:rFonts w:ascii="仿宋_GB2312" w:hAnsi="等线" w:eastAsia="仿宋_GB2312" w:cs="Calibri"/>
                <w:szCs w:val="21"/>
              </w:rPr>
            </w:pPr>
            <w:r>
              <w:rPr>
                <w:rFonts w:hint="eastAsia" w:ascii="仿宋_GB2312" w:hAnsi="等线" w:eastAsia="仿宋_GB2312" w:cs="Calibri"/>
                <w:szCs w:val="21"/>
              </w:rPr>
              <w:t>信息化项目工作辅助综合管理服务（项目文档整理、辅助申报评审验收、协调对接等）；</w:t>
            </w:r>
          </w:p>
          <w:p>
            <w:pPr>
              <w:snapToGrid w:val="0"/>
              <w:jc w:val="left"/>
              <w:rPr>
                <w:rFonts w:ascii="仿宋_GB2312" w:hAnsi="宋体" w:eastAsia="仿宋_GB2312" w:cs="Arial"/>
                <w:szCs w:val="21"/>
              </w:rPr>
            </w:pPr>
            <w:r>
              <w:rPr>
                <w:rFonts w:hint="eastAsia" w:ascii="仿宋_GB2312" w:hAnsi="等线" w:eastAsia="仿宋_GB2312" w:cs="Calibri"/>
                <w:szCs w:val="21"/>
              </w:rPr>
              <w:t>用户交办的其他事宜。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服务文档</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《服务人员工作周报》、《服务年度总结报告》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服务时间</w:t>
            </w:r>
          </w:p>
        </w:tc>
        <w:tc>
          <w:tcPr>
            <w:tcW w:w="6946" w:type="dxa"/>
            <w:vAlign w:val="center"/>
          </w:tcPr>
          <w:p>
            <w:pPr>
              <w:snapToGrid w:val="0"/>
              <w:jc w:val="left"/>
              <w:rPr>
                <w:rFonts w:ascii="仿宋_GB2312" w:hAnsi="宋体" w:eastAsia="仿宋_GB2312" w:cs="Arial"/>
                <w:szCs w:val="21"/>
              </w:rPr>
            </w:pPr>
            <w:r>
              <w:rPr>
                <w:rFonts w:hint="eastAsia" w:ascii="仿宋_GB2312" w:hAnsi="宋体" w:eastAsia="仿宋_GB2312" w:cs="Arial"/>
                <w:szCs w:val="21"/>
              </w:rPr>
              <w:t>工作日5*8小时。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snapToGrid w:val="0"/>
              <w:jc w:val="center"/>
              <w:rPr>
                <w:rFonts w:ascii="仿宋_GB2312" w:hAnsi="宋体" w:eastAsia="仿宋_GB2312" w:cs="Arial"/>
                <w:kern w:val="0"/>
                <w:szCs w:val="21"/>
              </w:rPr>
            </w:pPr>
            <w:r>
              <w:rPr>
                <w:rFonts w:hint="eastAsia" w:ascii="仿宋_GB2312" w:hAnsi="宋体" w:eastAsia="仿宋_GB2312" w:cs="Arial"/>
                <w:kern w:val="0"/>
                <w:szCs w:val="21"/>
              </w:rPr>
              <w:t>服务期</w:t>
            </w:r>
          </w:p>
        </w:tc>
        <w:tc>
          <w:tcPr>
            <w:tcW w:w="6946" w:type="dxa"/>
            <w:vAlign w:val="center"/>
          </w:tcPr>
          <w:p>
            <w:pPr>
              <w:snapToGrid w:val="0"/>
              <w:jc w:val="left"/>
              <w:rPr>
                <w:rFonts w:ascii="仿宋_GB2312" w:hAnsi="宋体" w:eastAsia="仿宋_GB2312" w:cs="Arial"/>
                <w:szCs w:val="21"/>
              </w:rPr>
            </w:pPr>
            <w:r>
              <w:rPr>
                <w:rFonts w:hint="eastAsia" w:ascii="仿宋_GB2312" w:hAnsi="等线" w:eastAsia="仿宋_GB2312" w:cs="Calibri"/>
                <w:b/>
                <w:bCs/>
                <w:szCs w:val="21"/>
              </w:rPr>
              <w:t>2021年10月28日起一年</w:t>
            </w:r>
          </w:p>
        </w:tc>
      </w:tr>
    </w:tbl>
    <w:p>
      <w:pPr>
        <w:pStyle w:val="78"/>
        <w:ind w:firstLine="0"/>
        <w:rPr>
          <w:rStyle w:val="69"/>
        </w:rPr>
      </w:pPr>
    </w:p>
    <w:p>
      <w:pPr>
        <w:snapToGrid w:val="0"/>
        <w:spacing w:before="120" w:beforeLines="50"/>
        <w:outlineLvl w:val="1"/>
        <w:rPr>
          <w:rStyle w:val="140"/>
          <w:rFonts w:hint="default" w:ascii="Times New Roman"/>
          <w:bCs/>
          <w:sz w:val="28"/>
          <w:szCs w:val="28"/>
        </w:rPr>
      </w:pPr>
      <w:r>
        <w:rPr>
          <w:rStyle w:val="140"/>
          <w:rFonts w:hint="default" w:ascii="Times New Roman"/>
          <w:bCs/>
          <w:sz w:val="28"/>
          <w:szCs w:val="28"/>
        </w:rPr>
        <w:t>四、采购项目技术、服务要求</w:t>
      </w:r>
    </w:p>
    <w:p>
      <w:pPr>
        <w:pStyle w:val="25"/>
        <w:spacing w:line="360" w:lineRule="auto"/>
        <w:ind w:firstLine="482"/>
        <w:rPr>
          <w:rFonts w:ascii="仿宋" w:hAnsi="仿宋" w:eastAsia="仿宋" w:cs="仿宋"/>
          <w:b/>
          <w:snapToGrid w:val="0"/>
          <w:kern w:val="0"/>
          <w:szCs w:val="21"/>
        </w:rPr>
      </w:pPr>
      <w:r>
        <w:rPr>
          <w:rFonts w:hint="eastAsia" w:ascii="仿宋" w:hAnsi="仿宋" w:eastAsia="仿宋" w:cs="仿宋"/>
          <w:b/>
          <w:snapToGrid w:val="0"/>
          <w:kern w:val="0"/>
          <w:szCs w:val="21"/>
        </w:rPr>
        <w:t>1. 服务范围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服务范围包括本项目的运行维护。</w:t>
      </w:r>
    </w:p>
    <w:p>
      <w:pPr>
        <w:pStyle w:val="25"/>
        <w:spacing w:line="360" w:lineRule="auto"/>
        <w:ind w:firstLine="482"/>
        <w:rPr>
          <w:rFonts w:ascii="仿宋" w:hAnsi="仿宋" w:eastAsia="仿宋" w:cs="仿宋"/>
          <w:b/>
          <w:snapToGrid w:val="0"/>
          <w:kern w:val="0"/>
          <w:szCs w:val="21"/>
        </w:rPr>
      </w:pPr>
      <w:r>
        <w:rPr>
          <w:rFonts w:hint="eastAsia" w:ascii="仿宋" w:hAnsi="仿宋" w:eastAsia="仿宋" w:cs="仿宋"/>
          <w:b/>
          <w:snapToGrid w:val="0"/>
          <w:kern w:val="0"/>
          <w:szCs w:val="21"/>
        </w:rPr>
        <w:t>2. 服务内容</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本项目所规定的采购内容的全部。</w:t>
      </w:r>
    </w:p>
    <w:p>
      <w:pPr>
        <w:pStyle w:val="25"/>
        <w:spacing w:line="360" w:lineRule="auto"/>
        <w:ind w:firstLine="482"/>
        <w:rPr>
          <w:rFonts w:ascii="仿宋" w:hAnsi="仿宋" w:eastAsia="仿宋" w:cs="仿宋"/>
          <w:b/>
          <w:snapToGrid w:val="0"/>
          <w:kern w:val="0"/>
          <w:szCs w:val="21"/>
        </w:rPr>
      </w:pPr>
      <w:r>
        <w:rPr>
          <w:rFonts w:hint="eastAsia" w:ascii="仿宋" w:hAnsi="仿宋" w:eastAsia="仿宋" w:cs="仿宋"/>
          <w:b/>
          <w:snapToGrid w:val="0"/>
          <w:kern w:val="0"/>
          <w:szCs w:val="21"/>
        </w:rPr>
        <w:t>3.售后服务：</w:t>
      </w:r>
    </w:p>
    <w:p>
      <w:pPr>
        <w:pStyle w:val="25"/>
        <w:spacing w:line="360" w:lineRule="auto"/>
        <w:ind w:firstLine="482"/>
        <w:rPr>
          <w:rFonts w:ascii="仿宋" w:hAnsi="仿宋" w:eastAsia="仿宋" w:cs="仿宋"/>
          <w:b/>
          <w:snapToGrid w:val="0"/>
          <w:kern w:val="0"/>
          <w:szCs w:val="21"/>
        </w:rPr>
      </w:pPr>
      <w:r>
        <w:rPr>
          <w:rFonts w:hint="eastAsia" w:ascii="仿宋" w:hAnsi="仿宋" w:eastAsia="仿宋" w:cs="仿宋"/>
          <w:b/>
          <w:snapToGrid w:val="0"/>
          <w:kern w:val="0"/>
          <w:szCs w:val="21"/>
        </w:rPr>
        <w:t>各系统的运维或服务期限、驻场人员、响应时间等详见第三部分采购需求</w:t>
      </w:r>
    </w:p>
    <w:p>
      <w:pPr>
        <w:pStyle w:val="25"/>
        <w:spacing w:line="360" w:lineRule="auto"/>
        <w:ind w:firstLine="482"/>
        <w:rPr>
          <w:rFonts w:ascii="仿宋" w:hAnsi="仿宋" w:eastAsia="仿宋" w:cs="仿宋"/>
          <w:b/>
          <w:snapToGrid w:val="0"/>
          <w:kern w:val="0"/>
          <w:szCs w:val="21"/>
        </w:rPr>
      </w:pPr>
      <w:r>
        <w:rPr>
          <w:rFonts w:hint="eastAsia" w:ascii="仿宋" w:hAnsi="仿宋" w:eastAsia="仿宋" w:cs="仿宋"/>
          <w:b/>
          <w:snapToGrid w:val="0"/>
          <w:kern w:val="0"/>
          <w:szCs w:val="21"/>
        </w:rPr>
        <w:t>4. 成果文件要求</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项目建设方案、投标文件、项目的中标通知书、项目的合同书及合同附件、项目计划书、项目实施方案、运维记录文档、项目终验总结报告、终验会议组织材料（签到表、验收意见）。</w:t>
      </w:r>
    </w:p>
    <w:p>
      <w:pPr>
        <w:pStyle w:val="25"/>
        <w:spacing w:line="360" w:lineRule="auto"/>
        <w:ind w:firstLine="482"/>
        <w:rPr>
          <w:rFonts w:ascii="仿宋" w:hAnsi="仿宋" w:eastAsia="仿宋" w:cs="仿宋"/>
          <w:b/>
          <w:snapToGrid w:val="0"/>
          <w:kern w:val="0"/>
          <w:szCs w:val="21"/>
        </w:rPr>
      </w:pPr>
      <w:r>
        <w:rPr>
          <w:rFonts w:hint="eastAsia" w:ascii="仿宋" w:hAnsi="仿宋" w:eastAsia="仿宋" w:cs="仿宋"/>
          <w:b/>
          <w:snapToGrid w:val="0"/>
          <w:kern w:val="0"/>
          <w:szCs w:val="21"/>
        </w:rPr>
        <w:t>5. 其他须列明的要求（若有）</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供应商负责对采购人相关部门及指定的用户进行培训。培训的主要内容应侧重于对系统的使用及系统的基本维护、常见问题及解决办法等方面，并提供实践性的操作。</w:t>
      </w:r>
    </w:p>
    <w:p>
      <w:pPr>
        <w:snapToGrid w:val="0"/>
        <w:spacing w:line="360" w:lineRule="auto"/>
        <w:outlineLvl w:val="1"/>
        <w:rPr>
          <w:rStyle w:val="140"/>
          <w:rFonts w:hint="default" w:ascii="Times New Roman"/>
          <w:bCs/>
          <w:sz w:val="28"/>
          <w:szCs w:val="28"/>
        </w:rPr>
      </w:pPr>
      <w:r>
        <w:rPr>
          <w:rStyle w:val="140"/>
          <w:rFonts w:hint="default" w:ascii="Times New Roman"/>
          <w:bCs/>
          <w:sz w:val="28"/>
          <w:szCs w:val="28"/>
        </w:rPr>
        <w:t>五、项目实施要求</w:t>
      </w:r>
    </w:p>
    <w:p>
      <w:pPr>
        <w:pStyle w:val="25"/>
        <w:spacing w:line="360" w:lineRule="auto"/>
        <w:ind w:firstLine="482"/>
        <w:rPr>
          <w:rFonts w:ascii="仿宋" w:hAnsi="仿宋" w:eastAsia="仿宋" w:cs="仿宋"/>
          <w:b/>
          <w:snapToGrid w:val="0"/>
          <w:kern w:val="0"/>
          <w:szCs w:val="21"/>
        </w:rPr>
      </w:pPr>
      <w:r>
        <w:rPr>
          <w:rFonts w:hint="eastAsia" w:ascii="仿宋" w:hAnsi="仿宋" w:eastAsia="仿宋" w:cs="仿宋"/>
          <w:b/>
          <w:snapToGrid w:val="0"/>
          <w:kern w:val="0"/>
          <w:szCs w:val="21"/>
        </w:rPr>
        <w:t>1. 实施单位要求</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投标人应当对所投招标文件中“采购内容”所列的所有服务内容进行投标，须根据项目进度要求，制定详细、可行的实施方案，包括实施计划、项目管理规范、质量控制、风险控制和项目工期保证措施等。</w:t>
      </w:r>
    </w:p>
    <w:p>
      <w:pPr>
        <w:snapToGrid w:val="0"/>
        <w:spacing w:line="360" w:lineRule="auto"/>
        <w:ind w:firstLine="481" w:firstLineChars="200"/>
        <w:jc w:val="left"/>
        <w:rPr>
          <w:rFonts w:ascii="仿宋" w:hAnsi="仿宋" w:eastAsia="仿宋" w:cs="仿宋"/>
          <w:b/>
          <w:sz w:val="24"/>
        </w:rPr>
      </w:pPr>
      <w:r>
        <w:rPr>
          <w:rFonts w:hint="eastAsia" w:ascii="仿宋" w:hAnsi="仿宋" w:eastAsia="仿宋" w:cs="仿宋"/>
          <w:b/>
          <w:sz w:val="24"/>
        </w:rPr>
        <w:t>2. 实施团队要求</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投标人须提供详细的项目实施人员安排，人员组成应包括：项目经理、驻场人员等。</w:t>
      </w:r>
    </w:p>
    <w:p>
      <w:pPr>
        <w:snapToGrid w:val="0"/>
        <w:spacing w:line="360" w:lineRule="auto"/>
        <w:outlineLvl w:val="1"/>
        <w:rPr>
          <w:rStyle w:val="140"/>
          <w:rFonts w:hint="default" w:ascii="Times New Roman"/>
          <w:bCs/>
          <w:sz w:val="28"/>
          <w:szCs w:val="28"/>
        </w:rPr>
      </w:pPr>
      <w:r>
        <w:rPr>
          <w:rStyle w:val="140"/>
          <w:rFonts w:hint="default" w:ascii="Times New Roman"/>
          <w:bCs/>
          <w:sz w:val="28"/>
          <w:szCs w:val="28"/>
        </w:rPr>
        <w:t>六、验收要求</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采购人根据国家有关规定、招标文件、中标人的投标文件以及合同约定的内容和验收标准进行验收。</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 招标方将依照国家有关信息系统建设文档的有关规范，组织对本项目进行验收，验收时需提供必须要成果文件。</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 投标方在验收之前必须提供给招标方一份详细的验收方案报告。</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 投标方必须书面通知招标方所完成的工作和准备进行验收的项目种类及验收开始时间，此通知书需经招标方认定后方可执行。</w:t>
      </w:r>
    </w:p>
    <w:p>
      <w:pPr>
        <w:snapToGrid w:val="0"/>
        <w:spacing w:line="360" w:lineRule="auto"/>
        <w:outlineLvl w:val="1"/>
        <w:rPr>
          <w:rStyle w:val="140"/>
          <w:rFonts w:hint="default" w:ascii="Times New Roman"/>
          <w:bCs/>
          <w:sz w:val="28"/>
          <w:szCs w:val="28"/>
        </w:rPr>
      </w:pPr>
      <w:r>
        <w:rPr>
          <w:rStyle w:val="140"/>
          <w:rFonts w:hint="default" w:ascii="Times New Roman"/>
          <w:bCs/>
          <w:sz w:val="28"/>
          <w:szCs w:val="28"/>
        </w:rPr>
        <w:t>七、其他要求</w:t>
      </w:r>
    </w:p>
    <w:p>
      <w:pPr>
        <w:snapToGrid w:val="0"/>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1、投标人需根据采购需求及评分标准制定相应的投标方案。</w:t>
      </w:r>
    </w:p>
    <w:p>
      <w:pPr>
        <w:snapToGrid w:val="0"/>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2、投标人须承诺在中标后提供与电子投标文件一致的纸质版投标文件3份。</w:t>
      </w:r>
    </w:p>
    <w:p>
      <w:pPr>
        <w:snapToGrid w:val="0"/>
        <w:spacing w:line="360" w:lineRule="auto"/>
        <w:ind w:firstLine="480" w:firstLineChars="200"/>
        <w:jc w:val="left"/>
        <w:rPr>
          <w:rFonts w:ascii="仿宋" w:hAnsi="仿宋" w:eastAsia="仿宋" w:cs="仿宋"/>
          <w:sz w:val="24"/>
        </w:rPr>
      </w:pPr>
      <w:r>
        <w:rPr>
          <w:rFonts w:hint="eastAsia" w:ascii="仿宋_GB2312" w:hAnsi="仿宋_GB2312" w:eastAsia="仿宋_GB2312" w:cs="仿宋_GB2312"/>
          <w:sz w:val="24"/>
        </w:rPr>
        <w:t>3、</w:t>
      </w:r>
      <w:r>
        <w:rPr>
          <w:rFonts w:hint="eastAsia" w:ascii="仿宋" w:hAnsi="仿宋" w:eastAsia="仿宋" w:cs="仿宋"/>
          <w:sz w:val="24"/>
        </w:rPr>
        <w:t>为落实政府采购政策需满足的要求</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节约能源、保护环境：本项目如需采购节能产品、环境标志产品品目清单内的产品的，采购需求要求供应商所投的相应产品须提供经国家确定的认证机构出具的、处于有效期之内的节能产品、环境标志产品认证证书。属于强制采购品目清单中的产品如未获得证书，其响应将被拒绝。</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促进中小企业发展、支持监狱企业发展、促进残疾人就业：供应商为中小企业（或残疾人福利性单位、监狱企业）且提供相关法律法规和招标文件规定的相关材料，价格按比例扣除后评审。</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支持中小企业信用融资：详见招标文件《政府采购支持中小企业信用融资相关事项通知》。</w:t>
      </w:r>
    </w:p>
    <w:p>
      <w:pPr>
        <w:widowControl/>
        <w:adjustRightInd/>
        <w:spacing w:before="100" w:beforeAutospacing="1" w:after="100" w:afterAutospacing="1" w:line="360" w:lineRule="auto"/>
        <w:jc w:val="center"/>
        <w:outlineLvl w:val="0"/>
        <w:rPr>
          <w:rStyle w:val="79"/>
        </w:rPr>
      </w:pPr>
      <w:r>
        <w:rPr>
          <w:rFonts w:hint="eastAsia" w:ascii="仿宋_GB2312" w:hAnsi="仿宋" w:eastAsia="仿宋_GB2312"/>
          <w:sz w:val="24"/>
        </w:rPr>
        <w:br w:type="page"/>
      </w:r>
      <w:r>
        <w:rPr>
          <w:rStyle w:val="79"/>
          <w:rFonts w:hint="eastAsia" w:ascii="仿宋" w:hAnsi="仿宋" w:eastAsia="仿宋" w:cs="仿宋"/>
        </w:rPr>
        <w:t xml:space="preserve">第四部分  </w:t>
      </w:r>
      <w:bookmarkStart w:id="39" w:name="_Toc184308099"/>
      <w:bookmarkEnd w:id="39"/>
      <w:bookmarkStart w:id="40" w:name="_Toc184313305"/>
      <w:bookmarkEnd w:id="40"/>
      <w:bookmarkStart w:id="41" w:name="_Toc184313306"/>
      <w:bookmarkEnd w:id="41"/>
      <w:bookmarkStart w:id="42" w:name="_Toc184313263"/>
      <w:bookmarkEnd w:id="42"/>
      <w:bookmarkStart w:id="43" w:name="_Toc184310324"/>
      <w:bookmarkEnd w:id="43"/>
      <w:bookmarkStart w:id="44" w:name="_Toc184314458"/>
      <w:bookmarkEnd w:id="44"/>
      <w:bookmarkStart w:id="45" w:name="_Toc184308066"/>
      <w:bookmarkEnd w:id="45"/>
      <w:bookmarkStart w:id="46" w:name="_Toc184308096"/>
      <w:bookmarkEnd w:id="46"/>
      <w:bookmarkStart w:id="47" w:name="_Toc184310272"/>
      <w:bookmarkEnd w:id="47"/>
      <w:bookmarkStart w:id="48" w:name="_Toc184314441"/>
      <w:bookmarkEnd w:id="48"/>
      <w:bookmarkStart w:id="49" w:name="_Toc184314413"/>
      <w:bookmarkEnd w:id="49"/>
      <w:bookmarkStart w:id="50" w:name="_Toc184312121"/>
      <w:bookmarkEnd w:id="50"/>
      <w:bookmarkStart w:id="51" w:name="_Toc184314435"/>
      <w:bookmarkEnd w:id="51"/>
      <w:bookmarkStart w:id="52" w:name="_Toc184310284"/>
      <w:bookmarkEnd w:id="52"/>
      <w:bookmarkStart w:id="53" w:name="_Toc184314411"/>
      <w:bookmarkEnd w:id="53"/>
      <w:bookmarkStart w:id="54" w:name="_Toc184308059"/>
      <w:bookmarkEnd w:id="54"/>
      <w:bookmarkStart w:id="55" w:name="_Toc184314476"/>
      <w:bookmarkEnd w:id="55"/>
      <w:bookmarkStart w:id="56" w:name="_Toc184313282"/>
      <w:bookmarkEnd w:id="56"/>
      <w:bookmarkStart w:id="57" w:name="_Toc184308038"/>
      <w:bookmarkEnd w:id="57"/>
      <w:bookmarkStart w:id="58" w:name="_Toc184313254"/>
      <w:bookmarkEnd w:id="58"/>
      <w:bookmarkStart w:id="59" w:name="_Toc184313300"/>
      <w:bookmarkEnd w:id="59"/>
      <w:bookmarkStart w:id="60" w:name="_Toc184310317"/>
      <w:bookmarkEnd w:id="60"/>
      <w:bookmarkStart w:id="61" w:name="_Toc184312081"/>
      <w:bookmarkEnd w:id="61"/>
      <w:bookmarkStart w:id="62" w:name="_Toc184312136"/>
      <w:bookmarkEnd w:id="62"/>
      <w:bookmarkStart w:id="63" w:name="_Toc184312093"/>
      <w:bookmarkEnd w:id="63"/>
      <w:bookmarkStart w:id="64" w:name="_Toc184312106"/>
      <w:bookmarkEnd w:id="64"/>
      <w:bookmarkStart w:id="65" w:name="_Toc184312072"/>
      <w:bookmarkEnd w:id="65"/>
      <w:bookmarkStart w:id="66" w:name="_Toc184310274"/>
      <w:bookmarkEnd w:id="66"/>
      <w:bookmarkStart w:id="67" w:name="_Toc184308056"/>
      <w:bookmarkEnd w:id="67"/>
      <w:bookmarkStart w:id="68" w:name="_Toc184308058"/>
      <w:bookmarkEnd w:id="68"/>
      <w:bookmarkStart w:id="69" w:name="_Toc184312123"/>
      <w:bookmarkEnd w:id="69"/>
      <w:bookmarkStart w:id="70" w:name="_Toc184310310"/>
      <w:bookmarkEnd w:id="70"/>
      <w:bookmarkStart w:id="71" w:name="_Toc184310287"/>
      <w:bookmarkEnd w:id="71"/>
      <w:bookmarkStart w:id="72" w:name="_Toc184308055"/>
      <w:bookmarkEnd w:id="72"/>
      <w:bookmarkStart w:id="73" w:name="_Toc184314438"/>
      <w:bookmarkEnd w:id="73"/>
      <w:bookmarkStart w:id="74" w:name="_Toc184308091"/>
      <w:bookmarkEnd w:id="74"/>
      <w:bookmarkStart w:id="75" w:name="_Toc184308092"/>
      <w:bookmarkEnd w:id="75"/>
      <w:bookmarkStart w:id="76" w:name="_Toc184308075"/>
      <w:bookmarkEnd w:id="76"/>
      <w:bookmarkStart w:id="77" w:name="_Toc184308102"/>
      <w:bookmarkEnd w:id="77"/>
      <w:bookmarkStart w:id="78" w:name="_Toc184314457"/>
      <w:bookmarkEnd w:id="78"/>
      <w:bookmarkStart w:id="79" w:name="_Toc184308060"/>
      <w:bookmarkEnd w:id="79"/>
      <w:bookmarkStart w:id="80" w:name="_Toc184314475"/>
      <w:bookmarkEnd w:id="80"/>
      <w:bookmarkStart w:id="81" w:name="_Toc184314455"/>
      <w:bookmarkEnd w:id="81"/>
      <w:bookmarkStart w:id="82" w:name="_Toc184308053"/>
      <w:bookmarkEnd w:id="82"/>
      <w:bookmarkStart w:id="83" w:name="_Toc184314418"/>
      <w:bookmarkEnd w:id="83"/>
      <w:bookmarkStart w:id="84" w:name="_Toc184314446"/>
      <w:bookmarkEnd w:id="84"/>
      <w:bookmarkStart w:id="85" w:name="_Toc184312125"/>
      <w:bookmarkEnd w:id="85"/>
      <w:bookmarkStart w:id="86" w:name="_Toc184313241"/>
      <w:bookmarkEnd w:id="86"/>
      <w:bookmarkStart w:id="87" w:name="_Toc184313277"/>
      <w:bookmarkEnd w:id="87"/>
      <w:bookmarkStart w:id="88" w:name="_Toc184312082"/>
      <w:bookmarkEnd w:id="88"/>
      <w:bookmarkStart w:id="89" w:name="_Toc184310280"/>
      <w:bookmarkEnd w:id="89"/>
      <w:bookmarkStart w:id="90" w:name="_Toc184313304"/>
      <w:bookmarkEnd w:id="90"/>
      <w:bookmarkStart w:id="91" w:name="_Toc184312098"/>
      <w:bookmarkEnd w:id="91"/>
      <w:bookmarkStart w:id="92" w:name="_Toc184308077"/>
      <w:bookmarkEnd w:id="92"/>
      <w:bookmarkStart w:id="93" w:name="_Toc184313272"/>
      <w:bookmarkEnd w:id="93"/>
      <w:bookmarkStart w:id="94" w:name="_Toc184310337"/>
      <w:bookmarkEnd w:id="94"/>
      <w:bookmarkStart w:id="95" w:name="_Toc184314419"/>
      <w:bookmarkEnd w:id="95"/>
      <w:bookmarkStart w:id="96" w:name="_Toc184310308"/>
      <w:bookmarkEnd w:id="96"/>
      <w:bookmarkStart w:id="97" w:name="_Toc184312126"/>
      <w:bookmarkEnd w:id="97"/>
      <w:bookmarkStart w:id="98" w:name="_Toc184313292"/>
      <w:bookmarkEnd w:id="98"/>
      <w:bookmarkStart w:id="99" w:name="_Toc184310278"/>
      <w:bookmarkEnd w:id="99"/>
      <w:bookmarkStart w:id="100" w:name="_Toc184312095"/>
      <w:bookmarkEnd w:id="100"/>
      <w:bookmarkStart w:id="101" w:name="_Toc184308094"/>
      <w:bookmarkEnd w:id="101"/>
      <w:bookmarkStart w:id="102" w:name="_Toc184312113"/>
      <w:bookmarkEnd w:id="102"/>
      <w:bookmarkStart w:id="103" w:name="_Toc184312108"/>
      <w:bookmarkEnd w:id="103"/>
      <w:bookmarkStart w:id="104" w:name="_Toc184314427"/>
      <w:bookmarkEnd w:id="104"/>
      <w:bookmarkStart w:id="105" w:name="_Toc184310325"/>
      <w:bookmarkEnd w:id="105"/>
      <w:bookmarkStart w:id="106" w:name="_Toc184310343"/>
      <w:bookmarkEnd w:id="106"/>
      <w:bookmarkStart w:id="107" w:name="_Toc184310309"/>
      <w:bookmarkEnd w:id="107"/>
      <w:bookmarkStart w:id="108" w:name="_Toc184314480"/>
      <w:bookmarkEnd w:id="108"/>
      <w:bookmarkStart w:id="109" w:name="_Toc184310283"/>
      <w:bookmarkEnd w:id="109"/>
      <w:bookmarkStart w:id="110" w:name="_Toc184312070"/>
      <w:bookmarkEnd w:id="110"/>
      <w:bookmarkStart w:id="111" w:name="_Toc184310331"/>
      <w:bookmarkEnd w:id="111"/>
      <w:bookmarkStart w:id="112" w:name="_Toc184310314"/>
      <w:bookmarkEnd w:id="112"/>
      <w:bookmarkStart w:id="113" w:name="_Toc184313256"/>
      <w:bookmarkEnd w:id="113"/>
      <w:bookmarkStart w:id="114" w:name="_Toc184312068"/>
      <w:bookmarkEnd w:id="114"/>
      <w:bookmarkStart w:id="115" w:name="_Toc184308065"/>
      <w:bookmarkEnd w:id="115"/>
      <w:bookmarkStart w:id="116" w:name="_Toc184313243"/>
      <w:bookmarkEnd w:id="116"/>
      <w:bookmarkStart w:id="117" w:name="_Toc184314482"/>
      <w:bookmarkEnd w:id="117"/>
      <w:bookmarkStart w:id="118" w:name="_Toc184308049"/>
      <w:bookmarkEnd w:id="118"/>
      <w:bookmarkStart w:id="119" w:name="_Toc184313288"/>
      <w:bookmarkEnd w:id="119"/>
      <w:bookmarkStart w:id="120" w:name="_Toc184308048"/>
      <w:bookmarkEnd w:id="120"/>
      <w:bookmarkStart w:id="121" w:name="_Toc184308047"/>
      <w:bookmarkEnd w:id="121"/>
      <w:bookmarkStart w:id="122" w:name="_Toc184308051"/>
      <w:bookmarkEnd w:id="122"/>
      <w:bookmarkStart w:id="123" w:name="_Toc184314425"/>
      <w:bookmarkEnd w:id="123"/>
      <w:bookmarkStart w:id="124" w:name="_Toc184313294"/>
      <w:bookmarkEnd w:id="124"/>
      <w:bookmarkStart w:id="125" w:name="_Toc184313268"/>
      <w:bookmarkEnd w:id="125"/>
      <w:bookmarkStart w:id="126" w:name="_Toc184310281"/>
      <w:bookmarkEnd w:id="126"/>
      <w:bookmarkStart w:id="127" w:name="_Toc184310295"/>
      <w:bookmarkEnd w:id="127"/>
      <w:bookmarkStart w:id="128" w:name="_Toc184312073"/>
      <w:bookmarkEnd w:id="128"/>
      <w:bookmarkStart w:id="129" w:name="_Toc184310277"/>
      <w:bookmarkEnd w:id="129"/>
      <w:bookmarkStart w:id="130" w:name="_Toc184310290"/>
      <w:bookmarkEnd w:id="130"/>
      <w:bookmarkStart w:id="131" w:name="_Toc184308050"/>
      <w:bookmarkEnd w:id="131"/>
      <w:bookmarkStart w:id="132" w:name="_Toc184313253"/>
      <w:bookmarkEnd w:id="132"/>
      <w:bookmarkStart w:id="133" w:name="_Toc184313271"/>
      <w:bookmarkEnd w:id="133"/>
      <w:bookmarkStart w:id="134" w:name="_Toc184308088"/>
      <w:bookmarkEnd w:id="134"/>
      <w:bookmarkStart w:id="135" w:name="_Toc184313297"/>
      <w:bookmarkEnd w:id="135"/>
      <w:bookmarkStart w:id="136" w:name="_Toc184308086"/>
      <w:bookmarkEnd w:id="136"/>
      <w:bookmarkStart w:id="137" w:name="_Toc184314429"/>
      <w:bookmarkEnd w:id="137"/>
      <w:bookmarkStart w:id="138" w:name="_Toc184314436"/>
      <w:bookmarkEnd w:id="138"/>
      <w:bookmarkStart w:id="139" w:name="_Toc184308098"/>
      <w:bookmarkEnd w:id="139"/>
      <w:bookmarkStart w:id="140" w:name="_Toc184313267"/>
      <w:bookmarkEnd w:id="140"/>
      <w:bookmarkStart w:id="141" w:name="_Toc184310332"/>
      <w:bookmarkEnd w:id="141"/>
      <w:bookmarkStart w:id="142" w:name="_Toc184310318"/>
      <w:bookmarkEnd w:id="142"/>
      <w:bookmarkStart w:id="143" w:name="_Toc184310279"/>
      <w:bookmarkEnd w:id="143"/>
      <w:bookmarkStart w:id="144" w:name="_Toc184308052"/>
      <w:bookmarkEnd w:id="144"/>
      <w:bookmarkStart w:id="145" w:name="_Toc184313262"/>
      <w:bookmarkEnd w:id="145"/>
      <w:bookmarkStart w:id="146" w:name="_Toc184312112"/>
      <w:bookmarkEnd w:id="146"/>
      <w:bookmarkStart w:id="147" w:name="_Toc184308057"/>
      <w:bookmarkEnd w:id="147"/>
      <w:bookmarkStart w:id="148" w:name="_Toc184312091"/>
      <w:bookmarkEnd w:id="148"/>
      <w:bookmarkStart w:id="149" w:name="_Toc184308042"/>
      <w:bookmarkEnd w:id="149"/>
      <w:bookmarkStart w:id="150" w:name="_Toc184308100"/>
      <w:bookmarkEnd w:id="150"/>
      <w:bookmarkStart w:id="151" w:name="_Toc184312089"/>
      <w:bookmarkEnd w:id="151"/>
      <w:bookmarkStart w:id="152" w:name="_Toc184310296"/>
      <w:bookmarkEnd w:id="152"/>
      <w:bookmarkStart w:id="153" w:name="_Toc184313265"/>
      <w:bookmarkEnd w:id="153"/>
      <w:bookmarkStart w:id="154" w:name="_Toc184310319"/>
      <w:bookmarkEnd w:id="154"/>
      <w:bookmarkStart w:id="155" w:name="_Toc184313270"/>
      <w:bookmarkEnd w:id="155"/>
      <w:bookmarkStart w:id="156" w:name="_Toc184314415"/>
      <w:bookmarkEnd w:id="156"/>
      <w:bookmarkStart w:id="157" w:name="_Toc184313289"/>
      <w:bookmarkEnd w:id="157"/>
      <w:bookmarkStart w:id="158" w:name="_Toc184310275"/>
      <w:bookmarkEnd w:id="158"/>
      <w:bookmarkStart w:id="159" w:name="_Toc184314443"/>
      <w:bookmarkEnd w:id="159"/>
      <w:bookmarkStart w:id="160" w:name="_Toc184314474"/>
      <w:bookmarkEnd w:id="160"/>
      <w:bookmarkStart w:id="161" w:name="_Toc184308039"/>
      <w:bookmarkEnd w:id="161"/>
      <w:bookmarkStart w:id="162" w:name="_Toc184314410"/>
      <w:bookmarkEnd w:id="162"/>
      <w:bookmarkStart w:id="163" w:name="_Toc184314426"/>
      <w:bookmarkEnd w:id="163"/>
      <w:bookmarkStart w:id="164" w:name="_Toc184308105"/>
      <w:bookmarkEnd w:id="164"/>
      <w:bookmarkStart w:id="165" w:name="_Toc184310342"/>
      <w:bookmarkEnd w:id="165"/>
      <w:bookmarkStart w:id="166" w:name="_Toc184314452"/>
      <w:bookmarkEnd w:id="166"/>
      <w:bookmarkStart w:id="167" w:name="_Toc184314467"/>
      <w:bookmarkEnd w:id="167"/>
      <w:bookmarkStart w:id="168" w:name="_Toc184308045"/>
      <w:bookmarkEnd w:id="168"/>
      <w:bookmarkStart w:id="169" w:name="_Toc184312107"/>
      <w:bookmarkEnd w:id="169"/>
      <w:bookmarkStart w:id="170" w:name="_Toc184314433"/>
      <w:bookmarkEnd w:id="170"/>
      <w:bookmarkStart w:id="171" w:name="_Toc184314445"/>
      <w:bookmarkEnd w:id="171"/>
      <w:bookmarkStart w:id="172" w:name="_Toc184312084"/>
      <w:bookmarkEnd w:id="172"/>
      <w:bookmarkStart w:id="173" w:name="_Toc184312134"/>
      <w:bookmarkEnd w:id="173"/>
      <w:bookmarkStart w:id="174" w:name="_Toc184314422"/>
      <w:bookmarkEnd w:id="174"/>
      <w:bookmarkStart w:id="175" w:name="_Toc184310306"/>
      <w:bookmarkEnd w:id="175"/>
      <w:bookmarkStart w:id="176" w:name="_Toc184312133"/>
      <w:bookmarkEnd w:id="176"/>
      <w:bookmarkStart w:id="177" w:name="_Toc184312097"/>
      <w:bookmarkEnd w:id="177"/>
      <w:bookmarkStart w:id="178" w:name="_Toc184313293"/>
      <w:bookmarkEnd w:id="178"/>
      <w:bookmarkStart w:id="179" w:name="_Toc184314468"/>
      <w:bookmarkEnd w:id="179"/>
      <w:bookmarkStart w:id="180" w:name="_Toc184313269"/>
      <w:bookmarkEnd w:id="180"/>
      <w:bookmarkStart w:id="181" w:name="_Toc184310344"/>
      <w:bookmarkEnd w:id="181"/>
      <w:bookmarkStart w:id="182" w:name="_Toc184312076"/>
      <w:bookmarkEnd w:id="182"/>
      <w:bookmarkStart w:id="183" w:name="_Toc184312099"/>
      <w:bookmarkEnd w:id="183"/>
      <w:bookmarkStart w:id="184" w:name="_Toc184314412"/>
      <w:bookmarkEnd w:id="184"/>
      <w:bookmarkStart w:id="185" w:name="_Toc184313255"/>
      <w:bookmarkEnd w:id="185"/>
      <w:bookmarkStart w:id="186" w:name="_Toc184310293"/>
      <w:bookmarkEnd w:id="186"/>
      <w:bookmarkStart w:id="187" w:name="_Toc184314437"/>
      <w:bookmarkEnd w:id="187"/>
      <w:bookmarkStart w:id="188" w:name="_Toc184310338"/>
      <w:bookmarkEnd w:id="188"/>
      <w:bookmarkStart w:id="189" w:name="_Toc184312100"/>
      <w:bookmarkEnd w:id="189"/>
      <w:bookmarkStart w:id="190" w:name="_Toc184314449"/>
      <w:bookmarkEnd w:id="190"/>
      <w:bookmarkStart w:id="191" w:name="_Toc184314478"/>
      <w:bookmarkEnd w:id="191"/>
      <w:bookmarkStart w:id="192" w:name="_Toc184314479"/>
      <w:bookmarkEnd w:id="192"/>
      <w:bookmarkStart w:id="193" w:name="_Toc184312124"/>
      <w:bookmarkEnd w:id="193"/>
      <w:bookmarkStart w:id="194" w:name="_Toc184312135"/>
      <w:bookmarkEnd w:id="194"/>
      <w:bookmarkStart w:id="195" w:name="_Toc184312090"/>
      <w:bookmarkEnd w:id="195"/>
      <w:bookmarkStart w:id="196" w:name="_Toc184312094"/>
      <w:bookmarkEnd w:id="196"/>
      <w:bookmarkStart w:id="197" w:name="_Toc184313287"/>
      <w:bookmarkEnd w:id="197"/>
      <w:bookmarkStart w:id="198" w:name="_Toc184308097"/>
      <w:bookmarkEnd w:id="198"/>
      <w:bookmarkStart w:id="199" w:name="_Toc184308084"/>
      <w:bookmarkEnd w:id="199"/>
      <w:bookmarkStart w:id="200" w:name="_Toc184314439"/>
      <w:bookmarkEnd w:id="200"/>
      <w:bookmarkStart w:id="201" w:name="_Toc184313295"/>
      <w:bookmarkEnd w:id="201"/>
      <w:bookmarkStart w:id="202" w:name="_Toc184313285"/>
      <w:bookmarkEnd w:id="202"/>
      <w:bookmarkStart w:id="203" w:name="_Toc184310312"/>
      <w:bookmarkEnd w:id="203"/>
      <w:bookmarkStart w:id="204" w:name="_Toc184312096"/>
      <w:bookmarkEnd w:id="204"/>
      <w:bookmarkStart w:id="205" w:name="_Toc184313258"/>
      <w:bookmarkEnd w:id="205"/>
      <w:bookmarkStart w:id="206" w:name="_Toc184308037"/>
      <w:bookmarkEnd w:id="206"/>
      <w:bookmarkStart w:id="207" w:name="_Toc184312111"/>
      <w:bookmarkEnd w:id="207"/>
      <w:bookmarkStart w:id="208" w:name="_Toc184313286"/>
      <w:bookmarkEnd w:id="208"/>
      <w:bookmarkStart w:id="209" w:name="_Toc184312132"/>
      <w:bookmarkEnd w:id="209"/>
      <w:bookmarkStart w:id="210" w:name="_Toc184312120"/>
      <w:bookmarkEnd w:id="210"/>
      <w:bookmarkStart w:id="211" w:name="_Toc184308106"/>
      <w:bookmarkEnd w:id="211"/>
      <w:bookmarkStart w:id="212" w:name="_Toc184313240"/>
      <w:bookmarkEnd w:id="212"/>
      <w:bookmarkStart w:id="213" w:name="_Toc184312079"/>
      <w:bookmarkEnd w:id="213"/>
      <w:bookmarkStart w:id="214" w:name="_Toc184314414"/>
      <w:bookmarkEnd w:id="214"/>
      <w:bookmarkStart w:id="215" w:name="_Toc184310300"/>
      <w:bookmarkEnd w:id="215"/>
      <w:bookmarkStart w:id="216" w:name="_Toc184308093"/>
      <w:bookmarkEnd w:id="216"/>
      <w:bookmarkStart w:id="217" w:name="_Toc184313248"/>
      <w:bookmarkEnd w:id="217"/>
      <w:bookmarkStart w:id="218" w:name="_Toc184313303"/>
      <w:bookmarkEnd w:id="218"/>
      <w:bookmarkStart w:id="219" w:name="_Toc184310316"/>
      <w:bookmarkEnd w:id="219"/>
      <w:bookmarkStart w:id="220" w:name="_Toc184314444"/>
      <w:bookmarkEnd w:id="220"/>
      <w:bookmarkStart w:id="221" w:name="_Toc184308078"/>
      <w:bookmarkEnd w:id="221"/>
      <w:bookmarkStart w:id="222" w:name="_Toc184310291"/>
      <w:bookmarkEnd w:id="222"/>
      <w:bookmarkStart w:id="223" w:name="_Toc184308107"/>
      <w:bookmarkEnd w:id="223"/>
      <w:bookmarkStart w:id="224" w:name="_Toc184313244"/>
      <w:bookmarkEnd w:id="224"/>
      <w:bookmarkStart w:id="225" w:name="_Toc184313249"/>
      <w:bookmarkEnd w:id="225"/>
      <w:bookmarkStart w:id="226" w:name="_Toc184312103"/>
      <w:bookmarkEnd w:id="226"/>
      <w:bookmarkStart w:id="227" w:name="_Toc184312088"/>
      <w:bookmarkEnd w:id="227"/>
      <w:bookmarkStart w:id="228" w:name="_Toc184310329"/>
      <w:bookmarkEnd w:id="228"/>
      <w:bookmarkStart w:id="229" w:name="_Toc184308054"/>
      <w:bookmarkEnd w:id="229"/>
      <w:bookmarkStart w:id="230" w:name="_Toc184312069"/>
      <w:bookmarkEnd w:id="230"/>
      <w:bookmarkStart w:id="231" w:name="_Toc184314442"/>
      <w:bookmarkEnd w:id="231"/>
      <w:bookmarkStart w:id="232" w:name="_Toc184308063"/>
      <w:bookmarkEnd w:id="232"/>
      <w:bookmarkStart w:id="233" w:name="_Toc184310276"/>
      <w:bookmarkEnd w:id="233"/>
      <w:bookmarkStart w:id="234" w:name="_Toc184310339"/>
      <w:bookmarkEnd w:id="234"/>
      <w:bookmarkStart w:id="235" w:name="_Toc184310320"/>
      <w:bookmarkEnd w:id="235"/>
      <w:bookmarkStart w:id="236" w:name="_Toc184308074"/>
      <w:bookmarkEnd w:id="236"/>
      <w:bookmarkStart w:id="237" w:name="_Toc184314423"/>
      <w:bookmarkEnd w:id="237"/>
      <w:bookmarkStart w:id="238" w:name="_Toc184310302"/>
      <w:bookmarkEnd w:id="238"/>
      <w:bookmarkStart w:id="239" w:name="_Toc184312129"/>
      <w:bookmarkEnd w:id="239"/>
      <w:bookmarkStart w:id="240" w:name="_Toc184312104"/>
      <w:bookmarkEnd w:id="240"/>
      <w:bookmarkStart w:id="241" w:name="_Toc184313291"/>
      <w:bookmarkEnd w:id="241"/>
      <w:bookmarkStart w:id="242" w:name="_Toc184310330"/>
      <w:bookmarkEnd w:id="242"/>
      <w:bookmarkStart w:id="243" w:name="_Toc184310335"/>
      <w:bookmarkEnd w:id="243"/>
      <w:bookmarkStart w:id="244" w:name="_Toc184308040"/>
      <w:bookmarkEnd w:id="244"/>
      <w:bookmarkStart w:id="245" w:name="_Toc184314417"/>
      <w:bookmarkEnd w:id="245"/>
      <w:bookmarkStart w:id="246" w:name="_Toc184310304"/>
      <w:bookmarkEnd w:id="246"/>
      <w:bookmarkStart w:id="247" w:name="_Toc184313275"/>
      <w:bookmarkEnd w:id="247"/>
      <w:bookmarkStart w:id="248" w:name="_Toc184308071"/>
      <w:bookmarkEnd w:id="248"/>
      <w:bookmarkStart w:id="249" w:name="_Toc184308062"/>
      <w:bookmarkEnd w:id="249"/>
      <w:bookmarkStart w:id="250" w:name="_Toc184308081"/>
      <w:bookmarkEnd w:id="250"/>
      <w:bookmarkStart w:id="251" w:name="_Toc184314421"/>
      <w:bookmarkEnd w:id="251"/>
      <w:bookmarkStart w:id="252" w:name="_Toc184313279"/>
      <w:bookmarkEnd w:id="252"/>
      <w:bookmarkStart w:id="253" w:name="_Toc184310313"/>
      <w:bookmarkEnd w:id="253"/>
      <w:bookmarkStart w:id="254" w:name="_Toc184313247"/>
      <w:bookmarkEnd w:id="254"/>
      <w:bookmarkStart w:id="255" w:name="_Toc184308044"/>
      <w:bookmarkEnd w:id="255"/>
      <w:bookmarkStart w:id="256" w:name="_Toc184312138"/>
      <w:bookmarkEnd w:id="256"/>
      <w:bookmarkStart w:id="257" w:name="_Toc184310298"/>
      <w:bookmarkEnd w:id="257"/>
      <w:bookmarkStart w:id="258" w:name="_Toc184310285"/>
      <w:bookmarkEnd w:id="258"/>
      <w:bookmarkStart w:id="259" w:name="_Toc184314473"/>
      <w:bookmarkEnd w:id="259"/>
      <w:bookmarkStart w:id="260" w:name="_Toc184310299"/>
      <w:bookmarkEnd w:id="260"/>
      <w:bookmarkStart w:id="261" w:name="_Toc184314453"/>
      <w:bookmarkEnd w:id="261"/>
      <w:bookmarkStart w:id="262" w:name="_Toc184314481"/>
      <w:bookmarkEnd w:id="262"/>
      <w:bookmarkStart w:id="263" w:name="_Toc184310340"/>
      <w:bookmarkEnd w:id="263"/>
      <w:bookmarkStart w:id="264" w:name="_Toc184312122"/>
      <w:bookmarkEnd w:id="264"/>
      <w:bookmarkStart w:id="265" w:name="_Toc184314448"/>
      <w:bookmarkEnd w:id="265"/>
      <w:bookmarkStart w:id="266" w:name="_Toc184308041"/>
      <w:bookmarkEnd w:id="266"/>
      <w:bookmarkStart w:id="267" w:name="_Toc184313280"/>
      <w:bookmarkEnd w:id="267"/>
      <w:bookmarkStart w:id="268" w:name="_Toc184308079"/>
      <w:bookmarkEnd w:id="268"/>
      <w:bookmarkStart w:id="269" w:name="_Toc184313298"/>
      <w:bookmarkEnd w:id="269"/>
      <w:bookmarkStart w:id="270" w:name="_Toc184312115"/>
      <w:bookmarkEnd w:id="270"/>
      <w:bookmarkStart w:id="271" w:name="_Toc184314463"/>
      <w:bookmarkEnd w:id="271"/>
      <w:bookmarkStart w:id="272" w:name="_Toc184314460"/>
      <w:bookmarkEnd w:id="272"/>
      <w:bookmarkStart w:id="273" w:name="_Toc184312071"/>
      <w:bookmarkEnd w:id="273"/>
      <w:bookmarkStart w:id="274" w:name="_Toc184308072"/>
      <w:bookmarkEnd w:id="274"/>
      <w:bookmarkStart w:id="275" w:name="_Toc184313251"/>
      <w:bookmarkEnd w:id="275"/>
      <w:bookmarkStart w:id="276" w:name="_Toc184313290"/>
      <w:bookmarkEnd w:id="276"/>
      <w:bookmarkStart w:id="277" w:name="_Toc184308068"/>
      <w:bookmarkEnd w:id="277"/>
      <w:bookmarkStart w:id="278" w:name="_Toc184308087"/>
      <w:bookmarkEnd w:id="278"/>
      <w:bookmarkStart w:id="279" w:name="_Toc184314454"/>
      <w:bookmarkEnd w:id="279"/>
      <w:bookmarkStart w:id="280" w:name="_Toc184308108"/>
      <w:bookmarkEnd w:id="280"/>
      <w:bookmarkStart w:id="281" w:name="_Toc184314451"/>
      <w:bookmarkEnd w:id="281"/>
      <w:bookmarkStart w:id="282" w:name="_Toc184314432"/>
      <w:bookmarkEnd w:id="282"/>
      <w:bookmarkStart w:id="283" w:name="_Toc184310288"/>
      <w:bookmarkEnd w:id="283"/>
      <w:bookmarkStart w:id="284" w:name="_Toc184310315"/>
      <w:bookmarkEnd w:id="284"/>
      <w:bookmarkStart w:id="285" w:name="_Toc184313284"/>
      <w:bookmarkEnd w:id="285"/>
      <w:bookmarkStart w:id="286" w:name="_Toc184313257"/>
      <w:bookmarkEnd w:id="286"/>
      <w:bookmarkStart w:id="287" w:name="_Toc184312117"/>
      <w:bookmarkEnd w:id="287"/>
      <w:bookmarkStart w:id="288" w:name="_Toc184313252"/>
      <w:bookmarkEnd w:id="288"/>
      <w:bookmarkStart w:id="289" w:name="_Toc184308073"/>
      <w:bookmarkEnd w:id="289"/>
      <w:bookmarkStart w:id="290" w:name="_Toc184312085"/>
      <w:bookmarkEnd w:id="290"/>
      <w:bookmarkStart w:id="291" w:name="_Toc184308090"/>
      <w:bookmarkEnd w:id="291"/>
      <w:bookmarkStart w:id="292" w:name="_Toc184312114"/>
      <w:bookmarkEnd w:id="292"/>
      <w:bookmarkStart w:id="293" w:name="_Toc184313309"/>
      <w:bookmarkEnd w:id="293"/>
      <w:bookmarkStart w:id="294" w:name="_Toc184314471"/>
      <w:bookmarkEnd w:id="294"/>
      <w:bookmarkStart w:id="295" w:name="_Toc184310321"/>
      <w:bookmarkEnd w:id="295"/>
      <w:bookmarkStart w:id="296" w:name="_Toc184314420"/>
      <w:bookmarkEnd w:id="296"/>
      <w:bookmarkStart w:id="297" w:name="_Toc184308103"/>
      <w:bookmarkEnd w:id="297"/>
      <w:bookmarkStart w:id="298" w:name="_Toc184313301"/>
      <w:bookmarkEnd w:id="298"/>
      <w:bookmarkStart w:id="299" w:name="_Toc184314469"/>
      <w:bookmarkEnd w:id="299"/>
      <w:bookmarkStart w:id="300" w:name="_Toc184314459"/>
      <w:bookmarkEnd w:id="300"/>
      <w:bookmarkStart w:id="301" w:name="_Toc184312086"/>
      <w:bookmarkEnd w:id="301"/>
      <w:bookmarkStart w:id="302" w:name="_Toc184312102"/>
      <w:bookmarkEnd w:id="302"/>
      <w:bookmarkStart w:id="303" w:name="_Toc184310323"/>
      <w:bookmarkEnd w:id="303"/>
      <w:bookmarkStart w:id="304" w:name="_Toc184310327"/>
      <w:bookmarkEnd w:id="304"/>
      <w:bookmarkStart w:id="305" w:name="_Toc184314450"/>
      <w:bookmarkEnd w:id="305"/>
      <w:bookmarkStart w:id="306" w:name="_Toc184312116"/>
      <w:bookmarkEnd w:id="306"/>
      <w:bookmarkStart w:id="307" w:name="_Toc184308095"/>
      <w:bookmarkEnd w:id="307"/>
      <w:bookmarkStart w:id="308" w:name="_Toc184313310"/>
      <w:bookmarkEnd w:id="308"/>
      <w:bookmarkStart w:id="309" w:name="_Toc184308043"/>
      <w:bookmarkEnd w:id="309"/>
      <w:bookmarkStart w:id="310" w:name="_Toc184310273"/>
      <w:bookmarkEnd w:id="310"/>
      <w:bookmarkStart w:id="311" w:name="_Toc184313308"/>
      <w:bookmarkEnd w:id="311"/>
      <w:bookmarkStart w:id="312" w:name="_Toc184313283"/>
      <w:bookmarkEnd w:id="312"/>
      <w:bookmarkStart w:id="313" w:name="_Toc184314472"/>
      <w:bookmarkEnd w:id="313"/>
      <w:bookmarkStart w:id="314" w:name="_Toc184310282"/>
      <w:bookmarkEnd w:id="314"/>
      <w:bookmarkStart w:id="315" w:name="_Toc184314428"/>
      <w:bookmarkEnd w:id="315"/>
      <w:bookmarkStart w:id="316" w:name="_Toc184314440"/>
      <w:bookmarkEnd w:id="316"/>
      <w:bookmarkStart w:id="317" w:name="_Toc184313273"/>
      <w:bookmarkEnd w:id="317"/>
      <w:bookmarkStart w:id="318" w:name="_Toc184313238"/>
      <w:bookmarkEnd w:id="318"/>
      <w:bookmarkStart w:id="319" w:name="_Toc184312105"/>
      <w:bookmarkEnd w:id="319"/>
      <w:bookmarkStart w:id="320" w:name="_Toc184313307"/>
      <w:bookmarkEnd w:id="320"/>
      <w:bookmarkStart w:id="321" w:name="_Toc184313264"/>
      <w:bookmarkEnd w:id="321"/>
      <w:bookmarkStart w:id="322" w:name="_Toc184314430"/>
      <w:bookmarkEnd w:id="322"/>
      <w:bookmarkStart w:id="323" w:name="_Toc184312128"/>
      <w:bookmarkEnd w:id="323"/>
      <w:bookmarkStart w:id="324" w:name="_Toc184308036"/>
      <w:bookmarkEnd w:id="324"/>
      <w:bookmarkStart w:id="325" w:name="_Toc184314465"/>
      <w:bookmarkEnd w:id="325"/>
      <w:bookmarkStart w:id="326" w:name="_Toc184313260"/>
      <w:bookmarkEnd w:id="326"/>
      <w:bookmarkStart w:id="327" w:name="_Toc184313274"/>
      <w:bookmarkEnd w:id="327"/>
      <w:bookmarkStart w:id="328" w:name="_Toc184308085"/>
      <w:bookmarkEnd w:id="328"/>
      <w:bookmarkStart w:id="329" w:name="_Toc184312119"/>
      <w:bookmarkEnd w:id="329"/>
      <w:bookmarkStart w:id="330" w:name="_Toc184308104"/>
      <w:bookmarkEnd w:id="330"/>
      <w:bookmarkStart w:id="331" w:name="_Toc184312139"/>
      <w:bookmarkEnd w:id="331"/>
      <w:bookmarkStart w:id="332" w:name="_Toc184312137"/>
      <w:bookmarkEnd w:id="332"/>
      <w:bookmarkStart w:id="333" w:name="_Toc184314464"/>
      <w:bookmarkEnd w:id="333"/>
      <w:bookmarkStart w:id="334" w:name="_Toc184308080"/>
      <w:bookmarkEnd w:id="334"/>
      <w:bookmarkStart w:id="335" w:name="_Toc184313299"/>
      <w:bookmarkEnd w:id="335"/>
      <w:bookmarkStart w:id="336" w:name="_Toc184310322"/>
      <w:bookmarkEnd w:id="336"/>
      <w:bookmarkStart w:id="337" w:name="_Toc184313239"/>
      <w:bookmarkEnd w:id="337"/>
      <w:bookmarkStart w:id="338" w:name="_Toc184313250"/>
      <w:bookmarkEnd w:id="338"/>
      <w:bookmarkStart w:id="339" w:name="_Toc184314466"/>
      <w:bookmarkEnd w:id="339"/>
      <w:bookmarkStart w:id="340" w:name="_Toc184312131"/>
      <w:bookmarkEnd w:id="340"/>
      <w:bookmarkStart w:id="341" w:name="_Toc184314477"/>
      <w:bookmarkEnd w:id="341"/>
      <w:bookmarkStart w:id="342" w:name="_Toc184312118"/>
      <w:bookmarkEnd w:id="342"/>
      <w:bookmarkStart w:id="343" w:name="_Toc184312127"/>
      <w:bookmarkEnd w:id="343"/>
      <w:bookmarkStart w:id="344" w:name="_Toc184314424"/>
      <w:bookmarkEnd w:id="344"/>
      <w:bookmarkStart w:id="345" w:name="_Toc184312092"/>
      <w:bookmarkEnd w:id="345"/>
      <w:bookmarkStart w:id="346" w:name="_Toc184312110"/>
      <w:bookmarkEnd w:id="346"/>
      <w:bookmarkStart w:id="347" w:name="_Toc184308089"/>
      <w:bookmarkEnd w:id="347"/>
      <w:bookmarkStart w:id="348" w:name="_Toc184312074"/>
      <w:bookmarkEnd w:id="348"/>
      <w:bookmarkStart w:id="349" w:name="_Toc184310328"/>
      <w:bookmarkEnd w:id="349"/>
      <w:bookmarkStart w:id="350" w:name="_Toc184313246"/>
      <w:bookmarkEnd w:id="350"/>
      <w:bookmarkStart w:id="351" w:name="_Toc184310334"/>
      <w:bookmarkEnd w:id="351"/>
      <w:bookmarkStart w:id="352" w:name="_Toc184313302"/>
      <w:bookmarkEnd w:id="352"/>
      <w:bookmarkStart w:id="353" w:name="_Toc184310303"/>
      <w:bookmarkEnd w:id="353"/>
      <w:bookmarkStart w:id="354" w:name="_Toc184308101"/>
      <w:bookmarkEnd w:id="354"/>
      <w:bookmarkStart w:id="355" w:name="_Toc184312078"/>
      <w:bookmarkEnd w:id="355"/>
      <w:bookmarkStart w:id="356" w:name="_Toc184313276"/>
      <w:bookmarkEnd w:id="356"/>
      <w:bookmarkStart w:id="357" w:name="_Toc184313278"/>
      <w:bookmarkEnd w:id="357"/>
      <w:bookmarkStart w:id="358" w:name="_Toc184314416"/>
      <w:bookmarkEnd w:id="358"/>
      <w:bookmarkStart w:id="359" w:name="_Toc184308046"/>
      <w:bookmarkEnd w:id="359"/>
      <w:bookmarkStart w:id="360" w:name="_Toc184310333"/>
      <w:bookmarkEnd w:id="360"/>
      <w:bookmarkStart w:id="361" w:name="_Toc184312075"/>
      <w:bookmarkEnd w:id="361"/>
      <w:bookmarkStart w:id="362" w:name="_Toc184310289"/>
      <w:bookmarkEnd w:id="362"/>
      <w:bookmarkStart w:id="363" w:name="_Toc184312067"/>
      <w:bookmarkEnd w:id="363"/>
      <w:bookmarkStart w:id="364" w:name="_Toc184312130"/>
      <w:bookmarkEnd w:id="364"/>
      <w:bookmarkStart w:id="365" w:name="_Toc184310292"/>
      <w:bookmarkEnd w:id="365"/>
      <w:bookmarkStart w:id="366" w:name="_Toc184313266"/>
      <w:bookmarkEnd w:id="366"/>
      <w:bookmarkStart w:id="367" w:name="_Toc184314431"/>
      <w:bookmarkEnd w:id="367"/>
      <w:bookmarkStart w:id="368" w:name="_Toc184312077"/>
      <w:bookmarkEnd w:id="368"/>
      <w:bookmarkStart w:id="369" w:name="_Toc184308061"/>
      <w:bookmarkEnd w:id="369"/>
      <w:bookmarkStart w:id="370" w:name="_Toc184314462"/>
      <w:bookmarkEnd w:id="370"/>
      <w:bookmarkStart w:id="371" w:name="_Toc184310307"/>
      <w:bookmarkEnd w:id="371"/>
      <w:bookmarkStart w:id="372" w:name="_Toc184313259"/>
      <w:bookmarkEnd w:id="372"/>
      <w:bookmarkStart w:id="373" w:name="_Toc184312080"/>
      <w:bookmarkEnd w:id="373"/>
      <w:bookmarkStart w:id="374" w:name="_Toc184313281"/>
      <w:bookmarkEnd w:id="374"/>
      <w:bookmarkStart w:id="375" w:name="_Toc184310341"/>
      <w:bookmarkEnd w:id="375"/>
      <w:bookmarkStart w:id="376" w:name="_Toc184310336"/>
      <w:bookmarkEnd w:id="376"/>
      <w:bookmarkStart w:id="377" w:name="_Toc184308076"/>
      <w:bookmarkEnd w:id="377"/>
      <w:bookmarkStart w:id="378" w:name="_Toc184310326"/>
      <w:bookmarkEnd w:id="378"/>
      <w:bookmarkStart w:id="379" w:name="_Toc184313296"/>
      <w:bookmarkEnd w:id="379"/>
      <w:bookmarkStart w:id="380" w:name="_Toc184308070"/>
      <w:bookmarkEnd w:id="380"/>
      <w:bookmarkStart w:id="381" w:name="_Toc184312101"/>
      <w:bookmarkEnd w:id="381"/>
      <w:bookmarkStart w:id="382" w:name="_Toc184313245"/>
      <w:bookmarkEnd w:id="382"/>
      <w:bookmarkStart w:id="383" w:name="_Toc184308069"/>
      <w:bookmarkEnd w:id="383"/>
      <w:bookmarkStart w:id="384" w:name="_Toc184310286"/>
      <w:bookmarkEnd w:id="384"/>
      <w:bookmarkStart w:id="385" w:name="_Toc184308064"/>
      <w:bookmarkEnd w:id="385"/>
      <w:bookmarkStart w:id="386" w:name="_Toc184310301"/>
      <w:bookmarkEnd w:id="386"/>
      <w:bookmarkStart w:id="387" w:name="_Toc184312087"/>
      <w:bookmarkEnd w:id="387"/>
      <w:bookmarkStart w:id="388" w:name="_Toc184313261"/>
      <w:bookmarkEnd w:id="388"/>
      <w:bookmarkStart w:id="389" w:name="_Toc184314456"/>
      <w:bookmarkEnd w:id="389"/>
      <w:bookmarkStart w:id="390" w:name="_Toc184313242"/>
      <w:bookmarkEnd w:id="390"/>
      <w:bookmarkStart w:id="391" w:name="_Toc184310311"/>
      <w:bookmarkEnd w:id="391"/>
      <w:bookmarkStart w:id="392" w:name="_Toc184312083"/>
      <w:bookmarkEnd w:id="392"/>
      <w:bookmarkStart w:id="393" w:name="_Toc184314447"/>
      <w:bookmarkEnd w:id="393"/>
      <w:bookmarkStart w:id="394" w:name="_Toc184308067"/>
      <w:bookmarkEnd w:id="394"/>
      <w:bookmarkStart w:id="395" w:name="_Toc184310294"/>
      <w:bookmarkEnd w:id="395"/>
      <w:bookmarkStart w:id="396" w:name="_Toc184314461"/>
      <w:bookmarkEnd w:id="396"/>
      <w:bookmarkStart w:id="397" w:name="_Toc184310305"/>
      <w:bookmarkEnd w:id="397"/>
      <w:bookmarkStart w:id="398" w:name="_Toc184308083"/>
      <w:bookmarkEnd w:id="398"/>
      <w:bookmarkStart w:id="399" w:name="_Toc184314434"/>
      <w:bookmarkEnd w:id="399"/>
      <w:bookmarkStart w:id="400" w:name="_Toc184310297"/>
      <w:bookmarkEnd w:id="400"/>
      <w:bookmarkStart w:id="401" w:name="_Toc184308082"/>
      <w:bookmarkEnd w:id="401"/>
      <w:bookmarkStart w:id="402" w:name="_Toc184312109"/>
      <w:bookmarkEnd w:id="402"/>
      <w:bookmarkStart w:id="403" w:name="_Toc184314470"/>
      <w:bookmarkEnd w:id="403"/>
      <w:r>
        <w:rPr>
          <w:rStyle w:val="79"/>
          <w:rFonts w:hint="eastAsia" w:ascii="仿宋" w:hAnsi="仿宋" w:eastAsia="仿宋" w:cs="仿宋"/>
        </w:rPr>
        <w:t>评标方法及评分标准</w:t>
      </w:r>
    </w:p>
    <w:p>
      <w:pPr>
        <w:snapToGrid w:val="0"/>
        <w:spacing w:line="360" w:lineRule="auto"/>
        <w:jc w:val="center"/>
        <w:outlineLvl w:val="1"/>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rPr>
          <w:rFonts w:ascii="仿宋_GB2312" w:hAnsi="仿宋" w:eastAsia="仿宋_GB2312" w:cs="Arial"/>
          <w:kern w:val="0"/>
          <w:sz w:val="24"/>
        </w:rPr>
      </w:pPr>
      <w:r>
        <w:rPr>
          <w:rFonts w:hint="eastAsia" w:ascii="仿宋_GB2312" w:hAnsi="仿宋" w:eastAsia="仿宋_GB2312" w:cs="Arial"/>
          <w:b/>
          <w:kern w:val="0"/>
          <w:sz w:val="24"/>
        </w:rPr>
        <w:t>1.综合评分法。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p>
    <w:p>
      <w:pPr>
        <w:snapToGrid w:val="0"/>
        <w:spacing w:line="360" w:lineRule="auto"/>
        <w:jc w:val="center"/>
        <w:outlineLvl w:val="1"/>
        <w:rPr>
          <w:rFonts w:ascii="仿宋_GB2312" w:hAnsi="仿宋" w:eastAsia="仿宋_GB2312" w:cs="仿宋_GB2312"/>
          <w:b/>
          <w:sz w:val="32"/>
        </w:rPr>
      </w:pPr>
      <w:r>
        <w:rPr>
          <w:rFonts w:hint="eastAsia" w:ascii="仿宋_GB2312" w:hAnsi="仿宋" w:eastAsia="仿宋_GB2312" w:cs="仿宋_GB2312"/>
          <w:b/>
          <w:sz w:val="32"/>
        </w:rPr>
        <w:t>二、评标委员会的组成</w:t>
      </w:r>
    </w:p>
    <w:p>
      <w:pPr>
        <w:snapToGrid w:val="0"/>
        <w:spacing w:line="360" w:lineRule="auto"/>
        <w:rPr>
          <w:rFonts w:ascii="仿宋_GB2312" w:hAnsi="仿宋" w:eastAsia="仿宋_GB2312" w:cs="Arial"/>
          <w:kern w:val="0"/>
          <w:sz w:val="24"/>
        </w:rPr>
      </w:pPr>
      <w:r>
        <w:rPr>
          <w:rFonts w:hint="eastAsia" w:ascii="仿宋_GB2312" w:hAnsi="仿宋" w:eastAsia="仿宋_GB2312" w:cs="Arial"/>
          <w:b/>
          <w:kern w:val="0"/>
          <w:sz w:val="24"/>
        </w:rPr>
        <w:t>2.评标委员会的组成。</w:t>
      </w:r>
      <w:r>
        <w:rPr>
          <w:rFonts w:hint="eastAsia" w:ascii="仿宋_GB2312" w:hAnsi="仿宋" w:eastAsia="仿宋_GB2312" w:cs="Arial"/>
          <w:kern w:val="0"/>
          <w:sz w:val="24"/>
        </w:rPr>
        <w:t>评标委员会由采购人代表和评审专家组成，成员人数为5人以上单数，其中评审专家不少于成员总数的三分之二。</w:t>
      </w:r>
    </w:p>
    <w:p>
      <w:pPr>
        <w:pStyle w:val="264"/>
        <w:spacing w:before="0"/>
        <w:ind w:firstLine="0" w:firstLineChars="0"/>
        <w:rPr>
          <w:rFonts w:ascii="仿宋_GB2312" w:hAnsi="仿宋" w:eastAsia="仿宋_GB2312" w:cs="Arial"/>
          <w:kern w:val="0"/>
        </w:rPr>
      </w:pPr>
      <w:r>
        <w:rPr>
          <w:rFonts w:hint="eastAsia" w:ascii="仿宋_GB2312" w:hAnsi="仿宋" w:eastAsia="仿宋_GB2312" w:cs="Arial"/>
          <w:b/>
          <w:kern w:val="0"/>
        </w:rPr>
        <w:t>3.评</w:t>
      </w:r>
      <w:r>
        <w:rPr>
          <w:rFonts w:hint="eastAsia" w:ascii="仿宋_GB2312" w:hAnsi="仿宋" w:eastAsia="仿宋_GB2312" w:cs="Arial"/>
          <w:b/>
          <w:kern w:val="0"/>
          <w:szCs w:val="24"/>
        </w:rPr>
        <w:t>标委员会的组成人员的回避。</w:t>
      </w:r>
      <w:r>
        <w:rPr>
          <w:rFonts w:hint="eastAsia" w:ascii="仿宋_GB2312" w:hAnsi="仿宋" w:eastAsia="仿宋_GB2312" w:cs="Arial"/>
          <w:kern w:val="0"/>
        </w:rPr>
        <w:t>在政府采购活动中，评标委员会的组成人员与供应商有下列利害关系之一的，应当回避：</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3.1参加采购活动前3年内与供应商存在劳动关系；</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3.2参加采购活动前3年内担任供应商的董事、监事；</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3.3参加采购活动前3年内是供应商的控股股东或者实际控制人；</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3.4与供应商的法定代表人或者负责人有夫妻、直系血亲、三代以内旁系血亲或者近姻亲关系；</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3.5与供应商有其他可能影响政府采购活动公平、公正进行的关系。</w:t>
      </w:r>
    </w:p>
    <w:p>
      <w:pPr>
        <w:snapToGrid w:val="0"/>
        <w:spacing w:line="360" w:lineRule="auto"/>
        <w:ind w:left="120" w:leftChars="57" w:firstLine="481" w:firstLineChars="150"/>
        <w:jc w:val="center"/>
        <w:rPr>
          <w:rFonts w:ascii="仿宋_GB2312" w:hAnsi="仿宋" w:eastAsia="仿宋_GB2312"/>
          <w:b/>
          <w:sz w:val="32"/>
          <w:szCs w:val="32"/>
        </w:rPr>
      </w:pPr>
    </w:p>
    <w:p>
      <w:pPr>
        <w:snapToGrid w:val="0"/>
        <w:spacing w:line="360" w:lineRule="auto"/>
        <w:jc w:val="center"/>
        <w:outlineLvl w:val="1"/>
        <w:rPr>
          <w:rFonts w:ascii="仿宋_GB2312" w:hAnsi="仿宋" w:eastAsia="仿宋_GB2312" w:cs="仿宋_GB2312"/>
          <w:b/>
          <w:sz w:val="32"/>
        </w:rPr>
      </w:pPr>
      <w:r>
        <w:rPr>
          <w:rFonts w:hint="eastAsia" w:ascii="仿宋_GB2312" w:hAnsi="仿宋" w:eastAsia="仿宋_GB2312" w:cs="仿宋_GB2312"/>
          <w:b/>
          <w:sz w:val="32"/>
        </w:rPr>
        <w:t>三、评标委员会的职责</w:t>
      </w:r>
    </w:p>
    <w:p>
      <w:pPr>
        <w:pStyle w:val="264"/>
        <w:spacing w:before="0"/>
        <w:ind w:firstLine="0" w:firstLineChars="0"/>
        <w:rPr>
          <w:rFonts w:ascii="仿宋_GB2312" w:hAnsi="仿宋" w:eastAsia="仿宋_GB2312" w:cs="Arial"/>
          <w:b/>
          <w:kern w:val="0"/>
          <w:szCs w:val="24"/>
        </w:rPr>
      </w:pPr>
      <w:r>
        <w:rPr>
          <w:rFonts w:hint="eastAsia" w:ascii="仿宋_GB2312" w:hAnsi="仿宋" w:eastAsia="仿宋_GB2312" w:cs="Arial"/>
          <w:b/>
          <w:kern w:val="0"/>
          <w:szCs w:val="24"/>
        </w:rPr>
        <w:t>4.评标委员会负责具体评标事务，并独立履行下列职责：</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4.1审查、评价投标文件是否符合招标文件的商务、技术等实质性要求；</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4.2要求投标人对投标文件有关事项作出澄清或者说明；</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4.3对投标文件进行比较和评价；</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4.4确定中标候选人名单，以及根据采购人委托直接确定中标人；</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4.5向采购人、采购机构或者有关部门报告评标中发现的违法行为；</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4.6法律、法规、规章、招标文件等规定的其它事项。</w:t>
      </w:r>
    </w:p>
    <w:p>
      <w:pPr>
        <w:pStyle w:val="264"/>
        <w:spacing w:before="0"/>
        <w:ind w:firstLine="0" w:firstLineChars="0"/>
        <w:rPr>
          <w:rFonts w:ascii="仿宋_GB2312" w:hAnsi="仿宋" w:eastAsia="仿宋_GB2312" w:cs="Arial"/>
          <w:b/>
          <w:kern w:val="0"/>
          <w:szCs w:val="24"/>
        </w:rPr>
      </w:pPr>
      <w:r>
        <w:rPr>
          <w:rFonts w:hint="eastAsia" w:ascii="仿宋_GB2312" w:hAnsi="仿宋" w:eastAsia="仿宋_GB2312" w:cs="Arial"/>
          <w:b/>
          <w:kern w:val="0"/>
          <w:szCs w:val="24"/>
        </w:rPr>
        <w:t>5.评标委员会及其成员不得有下列行为：</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5.1确定参与评标至评标结束前私自接触投标人；</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5.2接受投标人提出的与投标文件不一致的澄清或者说明，《政府采购货物和服务招标投标管理办法》（财政部令第87号）第五十一条规定的情形除外；</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5.3违反评标纪律发表倾向性意见或者征询采购人的倾向性意见；</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5.4对需要专业判断的主观评审因素协商评分；</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5.5在评标过程中擅离职守，影响评标程序正常进行的；</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5.6记录、复制或者带走任何评标资料；</w:t>
      </w:r>
    </w:p>
    <w:p>
      <w:pPr>
        <w:pStyle w:val="264"/>
        <w:spacing w:before="0"/>
        <w:ind w:firstLine="480"/>
        <w:rPr>
          <w:rFonts w:ascii="仿宋_GB2312" w:hAnsi="仿宋" w:eastAsia="仿宋_GB2312" w:cs="Arial"/>
          <w:kern w:val="0"/>
        </w:rPr>
      </w:pPr>
      <w:r>
        <w:rPr>
          <w:rFonts w:hint="eastAsia" w:ascii="仿宋_GB2312" w:hAnsi="仿宋" w:eastAsia="仿宋_GB2312" w:cs="Arial"/>
          <w:kern w:val="0"/>
        </w:rPr>
        <w:t>5.7其他不遵守评标纪律的行为。</w:t>
      </w:r>
    </w:p>
    <w:p>
      <w:pPr>
        <w:pStyle w:val="264"/>
        <w:spacing w:before="0"/>
        <w:ind w:firstLine="0" w:firstLineChars="0"/>
        <w:rPr>
          <w:rFonts w:ascii="仿宋_GB2312" w:hAnsi="仿宋" w:eastAsia="仿宋_GB2312" w:cs="Arial"/>
          <w:kern w:val="0"/>
        </w:rPr>
      </w:pPr>
      <w:r>
        <w:rPr>
          <w:rFonts w:hint="eastAsia" w:ascii="仿宋_GB2312" w:hAnsi="仿宋" w:eastAsia="仿宋_GB2312" w:cs="Arial"/>
          <w:kern w:val="0"/>
        </w:rPr>
        <w:t>　　评标委员会成员有5.1-5.5行为之一的，其评审意见无效，并不得获取评审劳务报酬和报销异地评审差旅费。</w:t>
      </w:r>
    </w:p>
    <w:p>
      <w:pPr>
        <w:pStyle w:val="264"/>
        <w:spacing w:before="0"/>
        <w:ind w:firstLine="0" w:firstLineChars="0"/>
        <w:rPr>
          <w:rFonts w:ascii="仿宋_GB2312" w:hAnsi="仿宋" w:eastAsia="仿宋_GB2312" w:cs="Arial"/>
          <w:kern w:val="0"/>
        </w:rPr>
      </w:pPr>
    </w:p>
    <w:p>
      <w:pPr>
        <w:snapToGrid w:val="0"/>
        <w:spacing w:line="360" w:lineRule="auto"/>
        <w:jc w:val="center"/>
        <w:outlineLvl w:val="1"/>
        <w:rPr>
          <w:rFonts w:ascii="仿宋_GB2312" w:hAnsi="仿宋" w:eastAsia="仿宋_GB2312" w:cs="仿宋_GB2312"/>
          <w:b/>
          <w:sz w:val="32"/>
        </w:rPr>
      </w:pPr>
      <w:r>
        <w:rPr>
          <w:rFonts w:hint="eastAsia" w:ascii="仿宋_GB2312" w:hAnsi="仿宋" w:eastAsia="仿宋_GB2312" w:cs="仿宋_GB2312"/>
          <w:b/>
          <w:sz w:val="32"/>
        </w:rPr>
        <w:t>四、评审程序</w:t>
      </w:r>
    </w:p>
    <w:p>
      <w:pPr>
        <w:pStyle w:val="264"/>
        <w:spacing w:before="0"/>
        <w:ind w:firstLine="0" w:firstLineChars="0"/>
        <w:rPr>
          <w:rFonts w:ascii="仿宋_GB2312" w:hAnsi="仿宋" w:eastAsia="仿宋_GB2312" w:cs="Arial"/>
          <w:kern w:val="0"/>
          <w:szCs w:val="24"/>
        </w:rPr>
      </w:pPr>
      <w:r>
        <w:rPr>
          <w:rFonts w:hint="eastAsia" w:ascii="仿宋_GB2312" w:hAnsi="仿宋" w:eastAsia="仿宋_GB2312" w:cs="Arial"/>
          <w:b/>
          <w:kern w:val="0"/>
          <w:szCs w:val="24"/>
        </w:rPr>
        <w:t xml:space="preserve">6.符合性审查。 </w:t>
      </w:r>
      <w:r>
        <w:rPr>
          <w:rFonts w:hint="eastAsia" w:ascii="仿宋_GB2312" w:hAnsi="仿宋" w:eastAsia="仿宋_GB2312" w:cs="Arial"/>
          <w:kern w:val="0"/>
          <w:szCs w:val="24"/>
        </w:rPr>
        <w:t>评标委员会应当对符合资格的投标人的投标文件进行符合性审查，以确定其是否满足招标文件的实质性要求。符合投标无效情形的，投标无效。</w:t>
      </w:r>
    </w:p>
    <w:p>
      <w:pPr>
        <w:pStyle w:val="264"/>
        <w:spacing w:before="0"/>
        <w:ind w:firstLine="0" w:firstLineChars="0"/>
        <w:rPr>
          <w:rFonts w:ascii="仿宋_GB2312" w:hAnsi="仿宋" w:eastAsia="仿宋_GB2312" w:cs="Arial"/>
          <w:kern w:val="0"/>
          <w:szCs w:val="24"/>
        </w:rPr>
      </w:pPr>
      <w:r>
        <w:rPr>
          <w:rFonts w:hint="eastAsia" w:ascii="仿宋_GB2312" w:hAnsi="仿宋" w:eastAsia="仿宋_GB2312" w:cs="Arial"/>
          <w:b/>
          <w:kern w:val="0"/>
          <w:szCs w:val="24"/>
        </w:rPr>
        <w:t>7.投标人澄清、说明或者补正。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4"/>
        <w:spacing w:before="0"/>
        <w:ind w:firstLine="0" w:firstLineChars="0"/>
        <w:rPr>
          <w:rFonts w:ascii="仿宋_GB2312" w:hAnsi="仿宋" w:eastAsia="仿宋_GB2312" w:cs="Arial"/>
          <w:kern w:val="0"/>
          <w:szCs w:val="24"/>
        </w:rPr>
      </w:pPr>
      <w:r>
        <w:rPr>
          <w:rFonts w:hint="eastAsia" w:ascii="仿宋_GB2312" w:hAnsi="仿宋" w:eastAsia="仿宋_GB2312" w:cs="Arial"/>
          <w:b/>
          <w:kern w:val="0"/>
          <w:szCs w:val="24"/>
        </w:rPr>
        <w:t>8. 比较与评价。</w:t>
      </w:r>
      <w:r>
        <w:rPr>
          <w:rFonts w:hint="eastAsia" w:ascii="仿宋_GB2312" w:hAnsi="仿宋" w:eastAsia="仿宋_GB2312" w:cs="Arial"/>
          <w:kern w:val="0"/>
          <w:szCs w:val="24"/>
        </w:rPr>
        <w:t>评标委员会应当按照评标标准，对符合性审查合格的投标文件进行商务和技术评估，综合比较与评价。</w:t>
      </w:r>
    </w:p>
    <w:p>
      <w:pPr>
        <w:pStyle w:val="264"/>
        <w:spacing w:before="0"/>
        <w:ind w:firstLine="0" w:firstLineChars="0"/>
        <w:rPr>
          <w:rFonts w:ascii="仿宋_GB2312" w:hAnsi="仿宋" w:eastAsia="仿宋_GB2312" w:cs="Arial"/>
          <w:kern w:val="0"/>
          <w:szCs w:val="24"/>
        </w:rPr>
      </w:pPr>
      <w:r>
        <w:rPr>
          <w:rFonts w:hint="eastAsia" w:ascii="仿宋_GB2312" w:hAnsi="仿宋" w:eastAsia="仿宋_GB2312" w:cs="Arial"/>
          <w:b/>
          <w:kern w:val="0"/>
          <w:szCs w:val="24"/>
        </w:rPr>
        <w:t>9. 汇总（商务技术得分情况）。</w:t>
      </w:r>
      <w:r>
        <w:rPr>
          <w:rFonts w:hint="eastAsia" w:ascii="仿宋_GB2312" w:hAnsi="仿宋" w:eastAsia="仿宋_GB2312" w:cs="Arial"/>
          <w:kern w:val="0"/>
          <w:szCs w:val="24"/>
        </w:rPr>
        <w:t>评标委员会各成员应当独立对每个投标人的商务和技术文件进行评价，并汇总商务技术得分情况。</w:t>
      </w:r>
    </w:p>
    <w:p>
      <w:pPr>
        <w:pStyle w:val="264"/>
        <w:spacing w:before="0"/>
        <w:ind w:firstLine="0" w:firstLineChars="0"/>
        <w:rPr>
          <w:rFonts w:ascii="仿宋_GB2312" w:hAnsi="仿宋" w:eastAsia="仿宋_GB2312" w:cs="Arial"/>
          <w:kern w:val="0"/>
          <w:szCs w:val="24"/>
        </w:rPr>
      </w:pPr>
      <w:r>
        <w:rPr>
          <w:rFonts w:hint="eastAsia" w:ascii="仿宋_GB2312" w:hAnsi="仿宋" w:eastAsia="仿宋_GB2312" w:cs="Arial"/>
          <w:b/>
          <w:kern w:val="0"/>
          <w:szCs w:val="24"/>
        </w:rPr>
        <w:t>10. 报价审核。</w:t>
      </w:r>
      <w:r>
        <w:rPr>
          <w:rFonts w:hint="eastAsia" w:ascii="仿宋_GB2312" w:hAnsi="仿宋" w:eastAsia="仿宋_GB2312" w:cs="Arial"/>
          <w:kern w:val="0"/>
          <w:szCs w:val="24"/>
        </w:rPr>
        <w:t>对经商务和技术评审符合采购需求的投标人的报价的合理性、准确性等进行审查核实。</w:t>
      </w:r>
    </w:p>
    <w:p>
      <w:pPr>
        <w:pStyle w:val="264"/>
        <w:spacing w:before="0"/>
        <w:ind w:firstLine="480"/>
        <w:rPr>
          <w:rFonts w:ascii="仿宋_GB2312" w:hAnsi="仿宋" w:eastAsia="仿宋_GB2312" w:cs="Arial"/>
          <w:kern w:val="0"/>
          <w:szCs w:val="24"/>
        </w:rPr>
      </w:pPr>
      <w:r>
        <w:rPr>
          <w:rFonts w:hint="eastAsia" w:ascii="仿宋_GB2312" w:hAnsi="仿宋" w:eastAsia="仿宋_GB2312" w:cs="Arial"/>
          <w:kern w:val="0"/>
          <w:szCs w:val="24"/>
        </w:rPr>
        <w:t>10.1评标委员会认为投标人的报价明显低于其他通过符合性审查投标人的报价，有可能影响产品质量或者不能诚信履约的，应当要求其在合理的时间内提供书面说明，必要时提交相关证明材料。</w:t>
      </w:r>
    </w:p>
    <w:p>
      <w:pPr>
        <w:pStyle w:val="264"/>
        <w:spacing w:before="0"/>
        <w:ind w:firstLine="480"/>
        <w:rPr>
          <w:rFonts w:ascii="仿宋_GB2312" w:hAnsi="仿宋" w:eastAsia="仿宋_GB2312" w:cs="Arial"/>
          <w:kern w:val="0"/>
          <w:szCs w:val="24"/>
        </w:rPr>
      </w:pPr>
      <w:r>
        <w:rPr>
          <w:rFonts w:hint="eastAsia" w:ascii="仿宋_GB2312" w:hAnsi="仿宋" w:eastAsia="仿宋_GB2312" w:cs="Arial"/>
          <w:kern w:val="0"/>
          <w:szCs w:val="24"/>
        </w:rPr>
        <w:t>10.2根据财政部发布的《政府采购促进中小企业发展管理办法》规定，对于非专门面向中小企业的项目，对小型和微型企业产品的价格给予一定的扣除，用扣除后的价格参与评审。</w:t>
      </w:r>
    </w:p>
    <w:p>
      <w:pPr>
        <w:pStyle w:val="264"/>
        <w:spacing w:before="0"/>
        <w:ind w:firstLine="480"/>
        <w:rPr>
          <w:rFonts w:ascii="仿宋_GB2312" w:hAnsi="仿宋" w:eastAsia="仿宋_GB2312" w:cs="Arial"/>
          <w:kern w:val="0"/>
          <w:szCs w:val="24"/>
        </w:rPr>
      </w:pPr>
      <w:r>
        <w:rPr>
          <w:rFonts w:hint="eastAsia" w:ascii="仿宋_GB2312" w:hAnsi="仿宋" w:eastAsia="仿宋_GB2312" w:cs="Arial"/>
          <w:kern w:val="0"/>
          <w:szCs w:val="24"/>
        </w:rPr>
        <w:t>10.3投标价格的修正原则。投标文件报价出现前后不一致的，按照下列规定修正：</w:t>
      </w:r>
    </w:p>
    <w:p>
      <w:pPr>
        <w:pStyle w:val="264"/>
        <w:spacing w:before="0"/>
        <w:ind w:firstLine="480"/>
        <w:rPr>
          <w:rFonts w:ascii="仿宋_GB2312" w:hAnsi="仿宋" w:eastAsia="仿宋_GB2312" w:cs="Arial"/>
          <w:kern w:val="0"/>
          <w:szCs w:val="24"/>
        </w:rPr>
      </w:pPr>
      <w:r>
        <w:rPr>
          <w:rFonts w:hint="eastAsia" w:ascii="仿宋_GB2312" w:hAnsi="仿宋" w:eastAsia="仿宋_GB2312" w:cs="Arial"/>
          <w:kern w:val="0"/>
          <w:szCs w:val="24"/>
        </w:rPr>
        <w:t>10.3.1投标文件中开标一览表(报价表)内容与投标文件中相应内容不一致的，以开标一览表(报价表)为准;</w:t>
      </w:r>
    </w:p>
    <w:p>
      <w:pPr>
        <w:pStyle w:val="264"/>
        <w:spacing w:before="0"/>
        <w:ind w:firstLine="480"/>
        <w:rPr>
          <w:rFonts w:ascii="仿宋_GB2312" w:hAnsi="仿宋" w:eastAsia="仿宋_GB2312" w:cs="Arial"/>
          <w:kern w:val="0"/>
          <w:szCs w:val="24"/>
        </w:rPr>
      </w:pPr>
      <w:r>
        <w:rPr>
          <w:rFonts w:hint="eastAsia" w:ascii="仿宋_GB2312" w:hAnsi="仿宋" w:eastAsia="仿宋_GB2312" w:cs="Arial"/>
          <w:kern w:val="0"/>
          <w:szCs w:val="24"/>
        </w:rPr>
        <w:t>10.3.2大写金额和小写金额不一致的，以大写金额为准;</w:t>
      </w:r>
    </w:p>
    <w:p>
      <w:pPr>
        <w:pStyle w:val="264"/>
        <w:spacing w:before="0"/>
        <w:ind w:firstLine="480"/>
        <w:rPr>
          <w:rFonts w:ascii="仿宋_GB2312" w:hAnsi="仿宋" w:eastAsia="仿宋_GB2312" w:cs="Arial"/>
          <w:kern w:val="0"/>
          <w:szCs w:val="24"/>
        </w:rPr>
      </w:pPr>
      <w:r>
        <w:rPr>
          <w:rFonts w:hint="eastAsia" w:ascii="仿宋_GB2312" w:hAnsi="仿宋" w:eastAsia="仿宋_GB2312" w:cs="Arial"/>
          <w:kern w:val="0"/>
          <w:szCs w:val="24"/>
        </w:rPr>
        <w:t>10.3.3单价金额小数点或者百分比有明显错位的，以开标一览表的总价为准，并修改单价;</w:t>
      </w:r>
    </w:p>
    <w:p>
      <w:pPr>
        <w:pStyle w:val="264"/>
        <w:spacing w:before="0"/>
        <w:ind w:firstLine="480"/>
        <w:rPr>
          <w:rFonts w:ascii="仿宋_GB2312" w:hAnsi="仿宋" w:eastAsia="仿宋_GB2312" w:cs="Arial"/>
          <w:kern w:val="0"/>
          <w:szCs w:val="24"/>
        </w:rPr>
      </w:pPr>
      <w:r>
        <w:rPr>
          <w:rFonts w:hint="eastAsia" w:ascii="仿宋_GB2312" w:hAnsi="仿宋" w:eastAsia="仿宋_GB2312" w:cs="Arial"/>
          <w:kern w:val="0"/>
          <w:szCs w:val="24"/>
        </w:rPr>
        <w:t>10.3.4总价金额与按单价汇总金额不一致的，以单价金额计算结果为准。</w:t>
      </w:r>
    </w:p>
    <w:p>
      <w:pPr>
        <w:pStyle w:val="264"/>
        <w:spacing w:before="0"/>
        <w:ind w:firstLine="480"/>
        <w:rPr>
          <w:rFonts w:ascii="仿宋_GB2312" w:hAnsi="仿宋" w:eastAsia="仿宋_GB2312" w:cs="Arial"/>
          <w:kern w:val="0"/>
          <w:szCs w:val="24"/>
        </w:rPr>
      </w:pPr>
      <w:r>
        <w:rPr>
          <w:rFonts w:hint="eastAsia" w:ascii="仿宋_GB2312" w:hAnsi="仿宋" w:eastAsia="仿宋_GB2312" w:cs="Arial"/>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ascii="仿宋_GB2312" w:hAnsi="仿宋" w:eastAsia="仿宋_GB2312" w:cs="仿宋_GB2312"/>
          <w:b/>
          <w:bCs/>
          <w:sz w:val="24"/>
        </w:rPr>
      </w:pPr>
      <w:r>
        <w:rPr>
          <w:rFonts w:hint="eastAsia" w:ascii="仿宋_GB2312" w:hAnsi="仿宋" w:eastAsia="仿宋_GB2312" w:cs="仿宋_GB2312"/>
          <w:bCs/>
          <w:sz w:val="24"/>
        </w:rPr>
        <w:t>▲</w:t>
      </w:r>
      <w:r>
        <w:rPr>
          <w:rFonts w:hint="eastAsia" w:ascii="仿宋_GB2312" w:hAnsi="仿宋" w:eastAsia="仿宋_GB2312" w:cs="仿宋_GB2312"/>
          <w:b/>
          <w:bCs/>
          <w:sz w:val="24"/>
        </w:rPr>
        <w:t>投标人对根据修正原则修正后的报价不确认的，投标无效。</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11.汇总得分。</w:t>
      </w:r>
      <w:r>
        <w:rPr>
          <w:rFonts w:hint="eastAsia" w:ascii="仿宋_GB2312" w:hAnsi="仿宋" w:eastAsia="仿宋_GB2312" w:cs="Arial"/>
          <w:kern w:val="0"/>
          <w:sz w:val="24"/>
        </w:rPr>
        <w:t>评标委员会各成员应当独立对每个投标人的投标文件进行评价，并汇总每个投标人的得分。</w:t>
      </w:r>
    </w:p>
    <w:p>
      <w:pPr>
        <w:spacing w:line="360" w:lineRule="auto"/>
        <w:rPr>
          <w:rFonts w:ascii="仿宋_GB2312" w:hAnsi="仿宋" w:eastAsia="仿宋_GB2312" w:cs="Arial"/>
          <w:b/>
          <w:kern w:val="0"/>
          <w:sz w:val="24"/>
        </w:rPr>
      </w:pPr>
      <w:r>
        <w:rPr>
          <w:rFonts w:hint="eastAsia" w:ascii="仿宋_GB2312" w:hAnsi="仿宋" w:eastAsia="仿宋_GB2312" w:cs="Arial"/>
          <w:b/>
          <w:kern w:val="0"/>
          <w:sz w:val="24"/>
        </w:rPr>
        <w:t>12.顺序排列与中标候选推荐。</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12.1评标结果按评审后得分由高到低顺序排列。得分相同的，按投标报价由低到高顺序排列。得分且投标报价相同的并列。得分最高的投标人为排名第一的中标候选人。</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5"/>
        <w:spacing w:line="360" w:lineRule="auto"/>
        <w:ind w:left="559" w:hanging="559" w:hangingChars="199"/>
        <w:rPr>
          <w:rFonts w:ascii="仿宋_GB2312" w:hAnsi="仿宋" w:eastAsia="仿宋_GB2312" w:cs="仿宋_GB2312"/>
          <w:szCs w:val="21"/>
        </w:rPr>
      </w:pPr>
      <w:r>
        <w:rPr>
          <w:rFonts w:hint="eastAsia" w:ascii="仿宋_GB2312" w:hAnsi="仿宋" w:eastAsia="仿宋_GB2312" w:cs="仿宋_GB2312"/>
          <w:b/>
          <w:spacing w:val="20"/>
        </w:rPr>
        <w:t>13.投标无效。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13.1</w:t>
      </w:r>
      <w:r>
        <w:rPr>
          <w:rFonts w:hint="eastAsia" w:ascii="仿宋_GB2312" w:hAnsi="仿宋" w:eastAsia="仿宋_GB2312" w:cs="仿宋_GB2312"/>
          <w:sz w:val="24"/>
        </w:rPr>
        <w:t>单位负责人为同一人或者存在直接控股、管理关系的不同供应商参加同一合同项下的政府采购活动的（均无效）；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13.2</w:t>
      </w:r>
      <w:r>
        <w:rPr>
          <w:rFonts w:hint="eastAsia" w:ascii="仿宋_GB2312" w:hAnsi="仿宋" w:eastAsia="仿宋_GB2312" w:cs="仿宋_GB2312"/>
          <w:sz w:val="24"/>
        </w:rPr>
        <w:t xml:space="preserve">为采购项目提供整体设计、规范编制或者项目管理、监理、检测等服务的供应商再参加该采购项目的其他采购活动的； </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13.3</w:t>
      </w:r>
      <w:r>
        <w:rPr>
          <w:rFonts w:hint="eastAsia" w:ascii="仿宋_GB2312" w:hAnsi="仿宋" w:eastAsia="仿宋_GB2312" w:cs="仿宋_GB2312"/>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13.4</w:t>
      </w:r>
      <w:r>
        <w:rPr>
          <w:rFonts w:hint="eastAsia" w:ascii="仿宋_GB2312" w:hAnsi="仿宋" w:eastAsia="仿宋_GB2312" w:cs="仿宋_GB2312"/>
          <w:sz w:val="24"/>
        </w:rPr>
        <w:t>如以联合体形式参加政府采购活动的，联合体协议不符合招标文件规定的联合体协议要求的；</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13. 5</w:t>
      </w:r>
      <w:r>
        <w:rPr>
          <w:rFonts w:hint="eastAsia" w:ascii="仿宋_GB2312" w:hAnsi="仿宋" w:eastAsia="仿宋_GB2312" w:cs="仿宋_GB2312"/>
          <w:sz w:val="24"/>
        </w:rPr>
        <w:t>投标文件未按规定的格式编制的；</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13.6</w:t>
      </w:r>
      <w:r>
        <w:rPr>
          <w:rFonts w:hint="eastAsia" w:ascii="仿宋_GB2312" w:hAnsi="仿宋" w:eastAsia="仿宋_GB2312" w:cs="仿宋_GB2312"/>
          <w:sz w:val="24"/>
        </w:rPr>
        <w:t>投标文件未按招标文件的澄清、修改的内容编制，又不符合实质性要求的；</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13.7</w:t>
      </w:r>
      <w:r>
        <w:rPr>
          <w:rFonts w:hint="eastAsia" w:ascii="仿宋_GB2312" w:hAnsi="仿宋" w:eastAsia="仿宋_GB2312" w:cs="仿宋_GB2312"/>
          <w:sz w:val="24"/>
        </w:rPr>
        <w:t>投标文件组成漏项，内容不全或内容字迹模糊辨认不清的；</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13.8</w:t>
      </w:r>
      <w:r>
        <w:rPr>
          <w:rFonts w:hint="eastAsia" w:ascii="仿宋_GB2312" w:hAnsi="仿宋" w:eastAsia="仿宋_GB2312" w:cs="仿宋_GB2312"/>
          <w:sz w:val="24"/>
        </w:rPr>
        <w:t>投标文件中法人授权书所载内容与本项目内容有异的；</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13.9</w:t>
      </w:r>
      <w:r>
        <w:rPr>
          <w:rFonts w:hint="eastAsia" w:ascii="仿宋_GB2312" w:hAnsi="仿宋" w:eastAsia="仿宋_GB2312" w:cs="仿宋_GB2312"/>
          <w:sz w:val="24"/>
        </w:rPr>
        <w:t>投标文件未按照招标文件要求签署、盖章的；</w:t>
      </w:r>
    </w:p>
    <w:p>
      <w:pPr>
        <w:spacing w:line="360" w:lineRule="auto"/>
        <w:ind w:firstLine="480" w:firstLineChars="200"/>
        <w:rPr>
          <w:rFonts w:ascii="仿宋_GB2312" w:hAnsi="仿宋" w:eastAsia="仿宋_GB2312"/>
          <w:b/>
          <w:sz w:val="24"/>
        </w:rPr>
      </w:pPr>
      <w:r>
        <w:rPr>
          <w:rFonts w:hint="eastAsia" w:ascii="仿宋_GB2312" w:hAnsi="仿宋" w:eastAsia="仿宋_GB2312"/>
          <w:sz w:val="24"/>
        </w:rPr>
        <w:t>13.10</w:t>
      </w:r>
      <w:r>
        <w:rPr>
          <w:rFonts w:hint="eastAsia" w:ascii="仿宋_GB2312" w:hAnsi="仿宋" w:eastAsia="仿宋_GB2312" w:cs="仿宋_GB2312"/>
          <w:sz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13.11</w:t>
      </w:r>
      <w:r>
        <w:rPr>
          <w:rFonts w:hint="eastAsia" w:ascii="仿宋_GB2312" w:hAnsi="仿宋" w:eastAsia="仿宋_GB2312" w:cs="仿宋_GB2312"/>
          <w:sz w:val="24"/>
        </w:rPr>
        <w:t>标文件含有采购人不能接受的附加条件的；</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13.12</w:t>
      </w:r>
      <w:r>
        <w:rPr>
          <w:rFonts w:hint="eastAsia" w:ascii="仿宋_GB2312" w:hAnsi="仿宋" w:eastAsia="仿宋_GB2312" w:cs="仿宋_GB2312"/>
          <w:sz w:val="24"/>
        </w:rPr>
        <w:t>投标文件中承诺的投标有效期少于招标文件中载明的投标有效期的；</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13.13</w:t>
      </w:r>
      <w:r>
        <w:rPr>
          <w:rFonts w:hint="eastAsia" w:ascii="仿宋_GB2312" w:hAnsi="仿宋" w:eastAsia="仿宋_GB2312" w:cs="仿宋_GB2312"/>
          <w:sz w:val="24"/>
        </w:rPr>
        <w:t>投标人所投内容不符合采购需求中实质性要求的；</w:t>
      </w:r>
    </w:p>
    <w:p>
      <w:pPr>
        <w:snapToGrid w:val="0"/>
        <w:spacing w:line="360" w:lineRule="auto"/>
        <w:ind w:firstLine="480" w:firstLineChars="200"/>
        <w:jc w:val="left"/>
        <w:rPr>
          <w:rFonts w:ascii="仿宋_GB2312" w:hAnsi="仿宋" w:eastAsia="仿宋_GB2312" w:cs="仿宋_GB2312"/>
          <w:sz w:val="24"/>
        </w:rPr>
      </w:pPr>
      <w:r>
        <w:rPr>
          <w:rFonts w:hint="eastAsia" w:ascii="仿宋_GB2312" w:hAnsi="仿宋" w:eastAsia="仿宋_GB2312"/>
          <w:sz w:val="24"/>
        </w:rPr>
        <w:t>13.14</w:t>
      </w:r>
      <w:r>
        <w:rPr>
          <w:rFonts w:hint="eastAsia" w:ascii="仿宋_GB2312" w:hAnsi="仿宋" w:eastAsia="仿宋_GB2312" w:cs="仿宋_GB2312"/>
          <w:sz w:val="24"/>
        </w:rPr>
        <w:t>投标文件出现不是唯一的、有选择性投标报价的;</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13.15</w:t>
      </w:r>
      <w:r>
        <w:rPr>
          <w:rFonts w:hint="eastAsia" w:ascii="仿宋_GB2312" w:hAnsi="仿宋" w:eastAsia="仿宋_GB2312" w:cs="仿宋_GB2312"/>
          <w:sz w:val="24"/>
        </w:rPr>
        <w:t>投标报价高于本项目采购预算或者最高限价的;</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13.16</w:t>
      </w:r>
      <w:r>
        <w:rPr>
          <w:rFonts w:hint="eastAsia" w:ascii="仿宋_GB2312" w:hAnsi="仿宋" w:eastAsia="仿宋_GB2312" w:cs="仿宋_GB2312"/>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13.17《投标（开标）一览表》填写不完整或字迹不能辨认或有漏项的；</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13.18投标人对根据修正原则修正后的报价不确认的；</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13.19投标人提供虚假材料投标的（包括但不限于以下情节）；</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13.19.1使用伪造、变造的许可证件；</w:t>
      </w:r>
      <w:r>
        <w:rPr>
          <w:rFonts w:hint="eastAsia" w:ascii="仿宋_GB2312" w:hAnsi="仿宋" w:eastAsia="仿宋_GB2312" w:cs="仿宋_GB2312"/>
          <w:sz w:val="24"/>
        </w:rPr>
        <w:br w:type="textWrapping"/>
      </w:r>
      <w:r>
        <w:rPr>
          <w:rFonts w:hint="eastAsia" w:ascii="宋体" w:hAnsi="宋体" w:cs="宋体"/>
          <w:sz w:val="24"/>
        </w:rPr>
        <w:t>  </w:t>
      </w:r>
      <w:r>
        <w:rPr>
          <w:rFonts w:hint="eastAsia" w:ascii="仿宋_GB2312" w:hAnsi="仿宋" w:eastAsia="仿宋_GB2312" w:cs="仿宋_GB2312"/>
          <w:sz w:val="24"/>
        </w:rPr>
        <w:t>13.19.2提供虚假的财务状况或者业绩；</w:t>
      </w:r>
      <w:r>
        <w:rPr>
          <w:rFonts w:hint="eastAsia" w:ascii="仿宋_GB2312" w:hAnsi="仿宋" w:eastAsia="仿宋_GB2312" w:cs="仿宋_GB2312"/>
          <w:sz w:val="24"/>
        </w:rPr>
        <w:br w:type="textWrapping"/>
      </w:r>
      <w:r>
        <w:rPr>
          <w:rFonts w:hint="eastAsia" w:ascii="宋体" w:hAnsi="宋体" w:cs="宋体"/>
          <w:sz w:val="24"/>
        </w:rPr>
        <w:t>  </w:t>
      </w:r>
      <w:r>
        <w:rPr>
          <w:rFonts w:hint="eastAsia" w:ascii="仿宋_GB2312" w:hAnsi="仿宋" w:eastAsia="仿宋_GB2312" w:cs="仿宋_GB2312"/>
          <w:sz w:val="24"/>
        </w:rPr>
        <w:t>13.19.3提供虚假的项目负责人或者主要技术人员简历、劳动关系证明；</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13.19.4提供虚假的信用状况；</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13.19.5其他弄虚作假的行为。</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13.20投标人有恶意串通、妨碍其他投标人的竞争行为、损害采购人或者其他投标人的合法权益情形的；有下列情形之一的，属于或视为恶意串通，其投标无效：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13.20.1</w:t>
      </w:r>
      <w:r>
        <w:rPr>
          <w:rFonts w:hint="eastAsia" w:ascii="仿宋_GB2312" w:hAnsi="仿宋" w:eastAsia="仿宋_GB2312" w:cs="仿宋_GB2312"/>
          <w:sz w:val="24"/>
        </w:rPr>
        <w:t>供应商直接或者间接从采购人或者采购机构处获得其他供应商的相关情况并修改其投标文件或者响应文件；</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13.20.2供应商按照采购人或者采购机构的授意撤换、修改投标文件或者响应文件；</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13.20.3供应商之间协商报价、技术方案等投标文件或者响应文件的实质性内容；</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13.20.4属于同一集团、协会、商会等组织成员的供应商按照该组织要求协同参加政府采购活动；</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13.20.5供应商之间事先约定由某一特定供应商中标、成交；</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13.20.6供应商之间商定部分供应商放弃参加政府采购活动或者放弃中标、成交；</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13.20.7供应商与采购人或者采购机构之间、供应商相互之间，为谋求特定供应商中标、成交或者排斥其他供应商的其他串通行为。</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13.20.8不同投标人的投标文件由同一单位或者个人编制；</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13.20.9不同投标人委托同一单位或者个人办理投标事宜；</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13.20.10不同投标人的投标文件载明的项目管理成员或者联系人员为同一人；</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13.20.11不同投标人的投标文件异常一致或者投标报价呈规律性差异；</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13.20.12不同投标人的投标文件相互混装；</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13.21投标人仅提交备份投标文件，没有在电子交易平台传输递交投标文件的，投标无效；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13.22法律、法规、规章（适用本市的）及省级以上规范性文件（适用本市的）规定的其他无效情形。</w:t>
      </w:r>
    </w:p>
    <w:p>
      <w:pPr>
        <w:spacing w:line="360" w:lineRule="auto"/>
        <w:ind w:firstLine="480" w:firstLineChars="200"/>
        <w:rPr>
          <w:rFonts w:ascii="仿宋_GB2312" w:hAnsi="仿宋" w:eastAsia="仿宋_GB2312" w:cs="仿宋_GB2312"/>
          <w:sz w:val="24"/>
        </w:rPr>
      </w:pPr>
    </w:p>
    <w:p>
      <w:pPr>
        <w:snapToGrid w:val="0"/>
        <w:spacing w:line="360" w:lineRule="auto"/>
        <w:jc w:val="center"/>
        <w:outlineLvl w:val="1"/>
        <w:rPr>
          <w:rFonts w:ascii="仿宋_GB2312" w:hAnsi="仿宋" w:eastAsia="仿宋_GB2312" w:cs="仿宋_GB2312"/>
          <w:b/>
          <w:sz w:val="32"/>
        </w:rPr>
      </w:pPr>
      <w:r>
        <w:rPr>
          <w:rFonts w:hint="eastAsia" w:ascii="仿宋_GB2312" w:hAnsi="仿宋" w:eastAsia="仿宋_GB2312" w:cs="仿宋_GB2312"/>
          <w:b/>
          <w:sz w:val="32"/>
        </w:rPr>
        <w:t xml:space="preserve">五、评标报告 </w:t>
      </w:r>
    </w:p>
    <w:p>
      <w:pPr>
        <w:pStyle w:val="264"/>
        <w:spacing w:before="0"/>
        <w:ind w:firstLine="0" w:firstLineChars="0"/>
        <w:rPr>
          <w:rFonts w:ascii="仿宋_GB2312" w:hAnsi="仿宋" w:eastAsia="仿宋_GB2312" w:cs="仿宋_GB2312"/>
          <w:szCs w:val="24"/>
        </w:rPr>
      </w:pPr>
      <w:r>
        <w:rPr>
          <w:rFonts w:hint="eastAsia" w:ascii="仿宋_GB2312" w:hAnsi="仿宋" w:eastAsia="仿宋_GB2312" w:cs="仿宋_GB2312"/>
          <w:b/>
          <w:szCs w:val="24"/>
        </w:rPr>
        <w:t>14. 评标报告与推荐中标候选人。</w:t>
      </w:r>
      <w:r>
        <w:rPr>
          <w:rFonts w:hint="eastAsia" w:ascii="仿宋_GB2312" w:hAnsi="仿宋" w:eastAsia="仿宋_GB2312" w:cs="仿宋_GB2312"/>
          <w:szCs w:val="24"/>
        </w:rPr>
        <w:t>评标委员会根据原始评标记录和评标结果编写评标报告，并通过电子交易平台向采购人、采购机构提交。</w:t>
      </w:r>
    </w:p>
    <w:p>
      <w:pPr>
        <w:widowControl/>
        <w:adjustRightInd/>
        <w:spacing w:before="100" w:beforeAutospacing="1" w:after="100" w:afterAutospacing="1" w:line="360" w:lineRule="auto"/>
        <w:jc w:val="left"/>
        <w:rPr>
          <w:rFonts w:ascii="仿宋_GB2312" w:hAnsi="仿宋" w:eastAsia="仿宋_GB2312" w:cs="仿宋_GB2312"/>
          <w:sz w:val="24"/>
        </w:rPr>
      </w:pPr>
      <w:r>
        <w:rPr>
          <w:rFonts w:hint="eastAsia" w:ascii="仿宋_GB2312" w:hAnsi="仿宋" w:eastAsia="仿宋_GB2312" w:cs="仿宋_GB2312"/>
          <w:b/>
          <w:sz w:val="24"/>
        </w:rPr>
        <w:t>15. 评标争议事项处理。</w:t>
      </w:r>
      <w:r>
        <w:rPr>
          <w:rFonts w:hint="eastAsia" w:ascii="仿宋_GB2312" w:hAnsi="仿宋" w:eastAsia="仿宋_GB2312"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 xml:space="preserve">                    </w:t>
      </w:r>
    </w:p>
    <w:p>
      <w:pPr>
        <w:snapToGrid w:val="0"/>
        <w:spacing w:line="360" w:lineRule="auto"/>
        <w:jc w:val="center"/>
        <w:outlineLvl w:val="1"/>
        <w:rPr>
          <w:rFonts w:ascii="仿宋_GB2312" w:hAnsi="仿宋" w:eastAsia="仿宋_GB2312" w:cs="仿宋_GB2312"/>
          <w:b/>
          <w:sz w:val="32"/>
        </w:rPr>
      </w:pPr>
      <w:r>
        <w:rPr>
          <w:rFonts w:hint="eastAsia" w:ascii="仿宋_GB2312" w:hAnsi="仿宋" w:eastAsia="仿宋_GB2312" w:cs="仿宋_GB2312"/>
          <w:b/>
          <w:sz w:val="32"/>
        </w:rPr>
        <w:t>六、废标</w:t>
      </w:r>
    </w:p>
    <w:p>
      <w:pPr>
        <w:pStyle w:val="25"/>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b/>
        </w:rPr>
        <w:t>16.废标。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16.1符合专业条件的供应商或者对招标文件作实质响应的供应商不足3家的；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16.2出现影响采购公正的违法、违规行为的；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16.3投标人的报价均超过了采购预算，采购人不能支付的；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16.4因重大变故，采购任务取消的。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rPr>
          <w:rFonts w:ascii="仿宋_GB2312" w:hAnsi="仿宋" w:eastAsia="仿宋_GB2312" w:cs="仿宋_GB2312"/>
        </w:rPr>
      </w:pPr>
    </w:p>
    <w:p>
      <w:pPr>
        <w:snapToGrid w:val="0"/>
        <w:spacing w:line="360" w:lineRule="auto"/>
        <w:jc w:val="center"/>
        <w:outlineLvl w:val="1"/>
        <w:rPr>
          <w:rFonts w:ascii="仿宋_GB2312" w:hAnsi="仿宋" w:eastAsia="仿宋_GB2312" w:cs="仿宋_GB2312"/>
          <w:b/>
          <w:sz w:val="32"/>
        </w:rPr>
      </w:pPr>
      <w:r>
        <w:rPr>
          <w:rFonts w:hint="eastAsia" w:ascii="仿宋_GB2312" w:hAnsi="仿宋" w:eastAsia="仿宋_GB2312" w:cs="仿宋_GB2312"/>
          <w:b/>
          <w:sz w:val="32"/>
        </w:rPr>
        <w:t>七、重新组织采购</w:t>
      </w:r>
    </w:p>
    <w:p>
      <w:pPr>
        <w:pStyle w:val="25"/>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b/>
        </w:rPr>
        <w:t>17.修改招标文件，重新组织采购活动。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0" w:firstLineChars="0"/>
        <w:rPr>
          <w:rFonts w:ascii="仿宋_GB2312" w:hAnsi="仿宋" w:eastAsia="仿宋_GB2312" w:cs="仿宋_GB2312"/>
        </w:rPr>
      </w:pPr>
      <w:r>
        <w:rPr>
          <w:rFonts w:hint="eastAsia" w:ascii="仿宋_GB2312" w:hAnsi="Helvetica" w:eastAsia="仿宋_GB2312" w:cs="Helvetica"/>
          <w:b/>
          <w:kern w:val="0"/>
        </w:rPr>
        <w:t>18.重新开展采购。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18.1未确定中标或者中标人的，终止本次政府采购活动，重新开展政府采购活动。</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18.2已确定中标或者中标人但尚未签订政府采购合同的，中标或者成交结果无效，从合格的中标或者成交候选人中另行确定中标或者中标人；没有合格的中标或者成交候选人的，重新开展政府采购活动。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18.3政府采购合同已签订但尚未履行的，撤销合同，从合格的中标或者成交候选人中另行确定中标或者中标人；没有合格的中标或者成交候选人的，重新开展政府采购活动。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18.4政府采购合同已经履行，给采购人、供应商造成损失的，由责任人承担赔偿责任。</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18.5政府采购当事人有其他违反政府采购法或者本条例规定的行为，经改正后仍然影响或者可能影响中标、成交结果或者依法被认定为中标、成交无效的，依照18.1-18.4规定处理。</w:t>
      </w:r>
    </w:p>
    <w:p>
      <w:pPr>
        <w:pStyle w:val="25"/>
        <w:snapToGrid w:val="0"/>
        <w:spacing w:line="360" w:lineRule="auto"/>
        <w:rPr>
          <w:rFonts w:ascii="仿宋_GB2312" w:hAnsi="仿宋" w:eastAsia="仿宋_GB2312" w:cs="仿宋_GB2312"/>
        </w:rPr>
      </w:pPr>
    </w:p>
    <w:p>
      <w:pPr>
        <w:snapToGrid w:val="0"/>
        <w:spacing w:line="360" w:lineRule="auto"/>
        <w:jc w:val="center"/>
        <w:outlineLvl w:val="1"/>
        <w:rPr>
          <w:rFonts w:ascii="仿宋_GB2312" w:hAnsi="仿宋" w:eastAsia="仿宋_GB2312" w:cs="仿宋_GB2312"/>
          <w:b/>
          <w:sz w:val="32"/>
        </w:rPr>
      </w:pPr>
      <w:r>
        <w:rPr>
          <w:rFonts w:hint="eastAsia" w:ascii="仿宋_GB2312" w:hAnsi="仿宋" w:eastAsia="仿宋_GB2312" w:cs="仿宋_GB2312"/>
          <w:b/>
          <w:sz w:val="32"/>
        </w:rPr>
        <w:t>八、评审过程的保密与录像</w:t>
      </w:r>
    </w:p>
    <w:p>
      <w:pPr>
        <w:widowControl/>
        <w:spacing w:line="360" w:lineRule="auto"/>
        <w:rPr>
          <w:rFonts w:ascii="仿宋_GB2312" w:hAnsi="仿宋" w:eastAsia="仿宋_GB2312" w:cs="仿宋_GB2312"/>
          <w:sz w:val="24"/>
        </w:rPr>
      </w:pPr>
      <w:r>
        <w:rPr>
          <w:rFonts w:hint="eastAsia" w:ascii="仿宋_GB2312" w:hAnsi="仿宋" w:eastAsia="仿宋_GB2312" w:cs="仿宋_GB2312"/>
          <w:b/>
          <w:sz w:val="24"/>
        </w:rPr>
        <w:t>19.保密。</w:t>
      </w:r>
      <w:r>
        <w:rPr>
          <w:rFonts w:hint="eastAsia" w:ascii="仿宋_GB2312" w:hAnsi="仿宋" w:eastAsia="仿宋_GB2312" w:cs="仿宋_GB2312"/>
          <w:sz w:val="24"/>
        </w:rPr>
        <w:t>评审活动在严格保密的情况下进行。评审过程中凡是与采购响应文件评审和比较、中标中标人推荐等评审有关的情况，以及涉及国家秘密和商业秘密等信息，评审委员会成员、采购人和采购机构工作人员、相关监督人员等与评审有关的人员应当予以保密。</w:t>
      </w:r>
    </w:p>
    <w:p>
      <w:pPr>
        <w:widowControl/>
        <w:spacing w:line="360" w:lineRule="auto"/>
        <w:rPr>
          <w:rFonts w:ascii="仿宋_GB2312" w:hAnsi="仿宋" w:eastAsia="仿宋_GB2312" w:cs="仿宋_GB2312"/>
          <w:sz w:val="24"/>
        </w:rPr>
      </w:pPr>
      <w:r>
        <w:rPr>
          <w:rFonts w:hint="eastAsia" w:ascii="仿宋_GB2312" w:hAnsi="仿宋" w:eastAsia="仿宋_GB2312" w:cs="仿宋_GB2312"/>
          <w:b/>
          <w:sz w:val="24"/>
        </w:rPr>
        <w:t>20.录音录像。</w:t>
      </w:r>
      <w:r>
        <w:rPr>
          <w:rFonts w:hint="eastAsia" w:ascii="仿宋_GB2312" w:hAnsi="仿宋" w:eastAsia="仿宋_GB2312" w:cs="仿宋_GB2312"/>
          <w:sz w:val="24"/>
        </w:rPr>
        <w:t>采购机构对评审工作现场进行全过程录音录像，录音录像资料作为采购项目文件随其他文件一并存档。</w:t>
      </w:r>
    </w:p>
    <w:p>
      <w:pPr>
        <w:snapToGrid w:val="0"/>
        <w:spacing w:line="360" w:lineRule="auto"/>
        <w:ind w:left="120" w:leftChars="57" w:firstLine="481" w:firstLineChars="150"/>
        <w:jc w:val="center"/>
        <w:rPr>
          <w:rFonts w:ascii="仿宋_GB2312" w:hAnsi="仿宋" w:eastAsia="仿宋_GB2312" w:cs="仿宋_GB2312"/>
          <w:b/>
          <w:sz w:val="32"/>
        </w:rPr>
      </w:pPr>
    </w:p>
    <w:p>
      <w:pPr>
        <w:snapToGrid w:val="0"/>
        <w:spacing w:line="360" w:lineRule="auto"/>
        <w:jc w:val="center"/>
        <w:outlineLvl w:val="1"/>
        <w:rPr>
          <w:rFonts w:ascii="仿宋_GB2312" w:hAnsi="仿宋" w:eastAsia="仿宋_GB2312" w:cs="仿宋_GB2312"/>
          <w:b/>
          <w:sz w:val="32"/>
        </w:rPr>
      </w:pPr>
      <w:r>
        <w:rPr>
          <w:rFonts w:hint="eastAsia" w:ascii="仿宋_GB2312" w:hAnsi="仿宋" w:eastAsia="仿宋_GB2312" w:cs="仿宋_GB2312"/>
          <w:b/>
          <w:sz w:val="32"/>
        </w:rPr>
        <w:t>九、具体评标标准</w:t>
      </w:r>
    </w:p>
    <w:p>
      <w:pPr>
        <w:autoSpaceDE w:val="0"/>
        <w:autoSpaceDN w:val="0"/>
        <w:spacing w:line="360" w:lineRule="auto"/>
        <w:ind w:firstLine="481" w:firstLineChars="200"/>
        <w:jc w:val="left"/>
        <w:rPr>
          <w:rFonts w:ascii="仿宋" w:hAnsi="仿宋" w:eastAsia="仿宋" w:cs="仿宋"/>
          <w:sz w:val="24"/>
        </w:rPr>
      </w:pPr>
      <w:r>
        <w:rPr>
          <w:rFonts w:hint="eastAsia" w:ascii="仿宋" w:hAnsi="仿宋" w:eastAsia="仿宋" w:cs="仿宋"/>
          <w:b/>
          <w:sz w:val="24"/>
        </w:rPr>
        <w:t>一、本项目采用综合评分法</w:t>
      </w:r>
      <w:r>
        <w:rPr>
          <w:rFonts w:hint="eastAsia" w:ascii="仿宋" w:hAnsi="仿宋" w:eastAsia="仿宋" w:cs="仿宋"/>
          <w:sz w:val="24"/>
        </w:rPr>
        <w:t>，评标委员会将对各投标人的投标报价、</w:t>
      </w:r>
      <w:r>
        <w:rPr>
          <w:rFonts w:hint="eastAsia" w:ascii="仿宋" w:hAnsi="仿宋" w:eastAsia="仿宋" w:cs="仿宋"/>
          <w:bCs/>
          <w:sz w:val="24"/>
        </w:rPr>
        <w:t>技术和服务方案</w:t>
      </w:r>
      <w:r>
        <w:rPr>
          <w:rFonts w:hint="eastAsia" w:ascii="仿宋" w:hAnsi="仿宋" w:eastAsia="仿宋" w:cs="仿宋"/>
          <w:sz w:val="24"/>
        </w:rPr>
        <w:t xml:space="preserve">、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按技术指标优劣顺序排列，并形成评标意见。 </w:t>
      </w:r>
    </w:p>
    <w:p>
      <w:pPr>
        <w:spacing w:line="360" w:lineRule="auto"/>
        <w:ind w:left="105" w:leftChars="50" w:firstLine="427" w:firstLineChars="178"/>
        <w:jc w:val="left"/>
        <w:rPr>
          <w:rFonts w:ascii="仿宋" w:hAnsi="仿宋" w:eastAsia="仿宋" w:cs="仿宋"/>
          <w:b/>
          <w:sz w:val="24"/>
        </w:rPr>
      </w:pPr>
      <w:r>
        <w:rPr>
          <w:rFonts w:hint="eastAsia" w:ascii="仿宋" w:hAnsi="仿宋" w:eastAsia="仿宋" w:cs="仿宋"/>
          <w:sz w:val="24"/>
        </w:rPr>
        <w:t>各投标人的综合得分为：投标价格得分+商务资信和</w:t>
      </w:r>
      <w:r>
        <w:rPr>
          <w:rFonts w:hint="eastAsia" w:ascii="仿宋" w:hAnsi="仿宋" w:eastAsia="仿宋" w:cs="仿宋"/>
          <w:bCs/>
          <w:sz w:val="24"/>
        </w:rPr>
        <w:t>技术服务方案</w:t>
      </w:r>
      <w:r>
        <w:rPr>
          <w:rFonts w:hint="eastAsia" w:ascii="仿宋" w:hAnsi="仿宋" w:eastAsia="仿宋" w:cs="仿宋"/>
          <w:sz w:val="24"/>
        </w:rPr>
        <w:t>得分之和，</w:t>
      </w:r>
      <w:r>
        <w:rPr>
          <w:rFonts w:hint="eastAsia" w:ascii="仿宋" w:hAnsi="仿宋" w:eastAsia="仿宋" w:cs="仿宋"/>
          <w:b/>
          <w:sz w:val="24"/>
        </w:rPr>
        <w:t>总和为</w:t>
      </w:r>
      <w:r>
        <w:rPr>
          <w:rFonts w:hint="eastAsia" w:ascii="仿宋" w:hAnsi="仿宋" w:eastAsia="仿宋" w:cs="仿宋"/>
          <w:b/>
          <w:sz w:val="24"/>
          <w:u w:val="single"/>
        </w:rPr>
        <w:t>100</w:t>
      </w:r>
      <w:r>
        <w:rPr>
          <w:rFonts w:hint="eastAsia" w:ascii="仿宋" w:hAnsi="仿宋" w:eastAsia="仿宋" w:cs="仿宋"/>
          <w:b/>
          <w:sz w:val="24"/>
        </w:rPr>
        <w:t>分</w:t>
      </w:r>
      <w:r>
        <w:rPr>
          <w:rFonts w:hint="eastAsia" w:ascii="仿宋" w:hAnsi="仿宋" w:eastAsia="仿宋" w:cs="仿宋"/>
          <w:sz w:val="24"/>
        </w:rPr>
        <w:t>，其中：</w:t>
      </w:r>
      <w:r>
        <w:rPr>
          <w:rFonts w:hint="eastAsia" w:ascii="仿宋" w:hAnsi="仿宋" w:eastAsia="仿宋" w:cs="仿宋"/>
          <w:b/>
          <w:sz w:val="24"/>
        </w:rPr>
        <w:t>投标价格得分10分，</w:t>
      </w:r>
      <w:r>
        <w:rPr>
          <w:rFonts w:hint="eastAsia" w:ascii="仿宋" w:hAnsi="仿宋" w:eastAsia="仿宋" w:cs="仿宋"/>
          <w:b/>
          <w:bCs/>
          <w:sz w:val="24"/>
        </w:rPr>
        <w:t>商务技术服务方案得分90</w:t>
      </w:r>
      <w:r>
        <w:rPr>
          <w:rFonts w:hint="eastAsia" w:ascii="仿宋" w:hAnsi="仿宋" w:eastAsia="仿宋" w:cs="仿宋"/>
          <w:b/>
          <w:sz w:val="24"/>
        </w:rPr>
        <w:t>分。</w:t>
      </w:r>
    </w:p>
    <w:p>
      <w:pPr>
        <w:tabs>
          <w:tab w:val="left" w:pos="0"/>
        </w:tabs>
        <w:spacing w:line="360" w:lineRule="auto"/>
        <w:ind w:firstLine="542" w:firstLineChars="225"/>
        <w:jc w:val="left"/>
        <w:rPr>
          <w:rFonts w:ascii="仿宋" w:hAnsi="仿宋" w:eastAsia="仿宋" w:cs="仿宋"/>
          <w:sz w:val="24"/>
        </w:rPr>
      </w:pPr>
      <w:r>
        <w:rPr>
          <w:rFonts w:hint="eastAsia" w:ascii="仿宋" w:hAnsi="仿宋" w:eastAsia="仿宋" w:cs="仿宋"/>
          <w:b/>
          <w:sz w:val="24"/>
        </w:rPr>
        <w:t>各投标人的</w:t>
      </w:r>
      <w:r>
        <w:rPr>
          <w:rFonts w:hint="eastAsia" w:ascii="仿宋" w:hAnsi="仿宋" w:eastAsia="仿宋" w:cs="仿宋"/>
          <w:b/>
          <w:bCs/>
          <w:sz w:val="24"/>
        </w:rPr>
        <w:t>商务资信和技术服务方案得分</w:t>
      </w:r>
      <w:r>
        <w:rPr>
          <w:rFonts w:hint="eastAsia" w:ascii="仿宋" w:hAnsi="仿宋" w:eastAsia="仿宋" w:cs="仿宋"/>
          <w:b/>
          <w:sz w:val="24"/>
        </w:rPr>
        <w:t>为：评标委员会各成员评分的算术平均值。各投标人的投标价格得分按投标价格评分</w:t>
      </w:r>
      <w:r>
        <w:rPr>
          <w:rFonts w:hint="eastAsia" w:ascii="仿宋" w:hAnsi="仿宋" w:eastAsia="仿宋" w:cs="仿宋"/>
          <w:b/>
          <w:kern w:val="0"/>
          <w:sz w:val="24"/>
        </w:rPr>
        <w:t>公式由采购机构计算，</w:t>
      </w:r>
      <w:r>
        <w:rPr>
          <w:rFonts w:hint="eastAsia" w:ascii="仿宋" w:hAnsi="仿宋" w:eastAsia="仿宋" w:cs="仿宋"/>
          <w:b/>
          <w:sz w:val="24"/>
        </w:rPr>
        <w:t>评标委员会审核。</w:t>
      </w:r>
      <w:r>
        <w:rPr>
          <w:rFonts w:hint="eastAsia" w:ascii="仿宋" w:hAnsi="仿宋" w:eastAsia="仿宋" w:cs="仿宋"/>
          <w:sz w:val="24"/>
        </w:rPr>
        <w:t>根据上述评标原则，分值安排如下：</w:t>
      </w:r>
    </w:p>
    <w:p>
      <w:pPr>
        <w:spacing w:line="360" w:lineRule="auto"/>
        <w:ind w:firstLine="481" w:firstLineChars="200"/>
        <w:jc w:val="left"/>
        <w:rPr>
          <w:rFonts w:ascii="仿宋" w:hAnsi="仿宋" w:eastAsia="仿宋" w:cs="仿宋"/>
          <w:b/>
          <w:sz w:val="24"/>
        </w:rPr>
      </w:pPr>
      <w:r>
        <w:rPr>
          <w:rFonts w:hint="eastAsia" w:ascii="仿宋" w:hAnsi="仿宋" w:eastAsia="仿宋" w:cs="仿宋"/>
          <w:b/>
          <w:bCs/>
          <w:sz w:val="24"/>
        </w:rPr>
        <w:t>▲</w:t>
      </w:r>
      <w:r>
        <w:rPr>
          <w:rFonts w:hint="eastAsia" w:ascii="仿宋" w:hAnsi="仿宋" w:eastAsia="仿宋" w:cs="仿宋"/>
          <w:b/>
          <w:sz w:val="24"/>
        </w:rPr>
        <w:t>投标价格（A=10分）：</w:t>
      </w:r>
    </w:p>
    <w:p>
      <w:pPr>
        <w:autoSpaceDE w:val="0"/>
        <w:autoSpaceDN w:val="0"/>
        <w:spacing w:line="360" w:lineRule="auto"/>
        <w:ind w:firstLine="482"/>
        <w:jc w:val="left"/>
        <w:rPr>
          <w:rFonts w:ascii="仿宋" w:hAnsi="仿宋" w:eastAsia="仿宋" w:cs="仿宋"/>
          <w:sz w:val="24"/>
          <w:lang w:val="zh-CN"/>
        </w:rPr>
      </w:pPr>
      <w:r>
        <w:rPr>
          <w:rFonts w:hint="eastAsia" w:ascii="仿宋" w:hAnsi="仿宋" w:eastAsia="仿宋" w:cs="仿宋"/>
          <w:sz w:val="18"/>
          <w:szCs w:val="18"/>
        </w:rPr>
        <w:t xml:space="preserve">● </w:t>
      </w:r>
      <w:r>
        <w:rPr>
          <w:rFonts w:hint="eastAsia" w:ascii="仿宋" w:hAnsi="仿宋" w:eastAsia="仿宋" w:cs="仿宋"/>
          <w:b/>
          <w:sz w:val="24"/>
        </w:rPr>
        <w:t>投标价格的合理性</w:t>
      </w:r>
      <w:r>
        <w:rPr>
          <w:rFonts w:hint="eastAsia" w:ascii="仿宋" w:hAnsi="仿宋" w:eastAsia="仿宋" w:cs="仿宋"/>
          <w:sz w:val="24"/>
        </w:rPr>
        <w:t>：</w:t>
      </w:r>
      <w:r>
        <w:rPr>
          <w:rFonts w:hint="eastAsia" w:ascii="仿宋" w:hAnsi="仿宋" w:eastAsia="仿宋" w:cs="仿宋"/>
          <w:sz w:val="24"/>
          <w:lang w:val="zh-CN"/>
        </w:rPr>
        <w:t>分析总报价及各个分项报价是否合理，报价范围是否完整，有否重大错漏项</w:t>
      </w:r>
      <w:r>
        <w:rPr>
          <w:rFonts w:hint="eastAsia" w:ascii="仿宋" w:hAnsi="仿宋" w:eastAsia="仿宋" w:cs="仿宋"/>
          <w:sz w:val="24"/>
        </w:rPr>
        <w:t>，评标委员会认为投标报价出现异常时，有权要求投标人在评标期间对投标报价的详细组成和投标设备的供应渠道等事项作出解释和澄清，并确认其投标报价是否有效</w:t>
      </w:r>
      <w:r>
        <w:rPr>
          <w:rFonts w:hint="eastAsia" w:ascii="仿宋" w:hAnsi="仿宋" w:eastAsia="仿宋" w:cs="仿宋"/>
          <w:sz w:val="24"/>
          <w:lang w:val="zh-CN"/>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val="zh-CN"/>
        </w:rPr>
        <w:t>报价分计算方法：根据各投标人的有效投标报价，以满足招标文件要求且有效投标价格的最低的投标报价为评标基准价，其价格分为</w:t>
      </w:r>
      <w:r>
        <w:rPr>
          <w:rFonts w:hint="eastAsia" w:ascii="仿宋" w:hAnsi="仿宋" w:eastAsia="仿宋" w:cs="仿宋"/>
          <w:sz w:val="24"/>
        </w:rPr>
        <w:t>10</w:t>
      </w:r>
      <w:r>
        <w:rPr>
          <w:rFonts w:hint="eastAsia" w:ascii="仿宋" w:hAnsi="仿宋" w:eastAsia="仿宋" w:cs="仿宋"/>
          <w:sz w:val="24"/>
          <w:lang w:val="zh-CN"/>
        </w:rPr>
        <w:t>分。其他投标人的价格分统一按照下列公式计算：投标报价得分＝(评标基准价/有效投标报价)</w:t>
      </w:r>
      <w:r>
        <w:rPr>
          <w:rFonts w:hint="eastAsia" w:ascii="仿宋" w:hAnsi="仿宋" w:eastAsia="仿宋" w:cs="仿宋"/>
          <w:sz w:val="24"/>
        </w:rPr>
        <w:t>×</w:t>
      </w:r>
      <w:r>
        <w:rPr>
          <w:rFonts w:hint="eastAsia" w:ascii="仿宋" w:hAnsi="仿宋" w:eastAsia="仿宋" w:cs="仿宋"/>
          <w:sz w:val="24"/>
          <w:lang w:val="zh-CN"/>
        </w:rPr>
        <w:t>价格权值</w:t>
      </w:r>
      <w:r>
        <w:rPr>
          <w:rFonts w:hint="eastAsia" w:ascii="仿宋" w:hAnsi="仿宋" w:eastAsia="仿宋" w:cs="仿宋"/>
          <w:sz w:val="24"/>
        </w:rPr>
        <w:t>×</w:t>
      </w:r>
      <w:r>
        <w:rPr>
          <w:rFonts w:hint="eastAsia" w:ascii="仿宋" w:hAnsi="仿宋" w:eastAsia="仿宋" w:cs="仿宋"/>
          <w:sz w:val="24"/>
          <w:lang w:val="zh-CN"/>
        </w:rPr>
        <w:t>100(精确到小数点后二位，由采购机构当场统一计算)。</w:t>
      </w:r>
    </w:p>
    <w:p>
      <w:pPr>
        <w:spacing w:line="360" w:lineRule="auto"/>
        <w:ind w:firstLine="481" w:firstLineChars="200"/>
        <w:jc w:val="left"/>
        <w:rPr>
          <w:rFonts w:ascii="仿宋" w:hAnsi="仿宋" w:eastAsia="仿宋" w:cs="仿宋"/>
          <w:sz w:val="24"/>
        </w:rPr>
      </w:pPr>
      <w:r>
        <w:rPr>
          <w:rFonts w:hint="eastAsia" w:ascii="仿宋" w:hAnsi="仿宋" w:eastAsia="仿宋" w:cs="仿宋"/>
          <w:b/>
          <w:bCs/>
          <w:sz w:val="24"/>
        </w:rPr>
        <w:t>▲ 商务资信技术分（B= 90分）：</w:t>
      </w:r>
      <w:r>
        <w:rPr>
          <w:rFonts w:hint="eastAsia" w:ascii="仿宋" w:hAnsi="仿宋" w:eastAsia="仿宋" w:cs="仿宋"/>
          <w:sz w:val="24"/>
        </w:rPr>
        <w:t>技术分主要包含方案的</w:t>
      </w:r>
      <w:r>
        <w:rPr>
          <w:rFonts w:hint="eastAsia" w:ascii="仿宋" w:hAnsi="仿宋" w:eastAsia="仿宋" w:cs="仿宋"/>
          <w:bCs/>
          <w:sz w:val="24"/>
        </w:rPr>
        <w:t>先进性、科学性和完整性，产品与</w:t>
      </w:r>
      <w:r>
        <w:rPr>
          <w:rFonts w:hint="eastAsia" w:ascii="仿宋" w:hAnsi="仿宋" w:eastAsia="仿宋" w:cs="仿宋"/>
          <w:sz w:val="24"/>
        </w:rPr>
        <w:t>需求的吻合程度</w:t>
      </w:r>
      <w:r>
        <w:rPr>
          <w:rFonts w:hint="eastAsia" w:ascii="仿宋" w:hAnsi="仿宋" w:eastAsia="仿宋" w:cs="仿宋"/>
          <w:bCs/>
          <w:sz w:val="24"/>
        </w:rPr>
        <w:t>，</w:t>
      </w:r>
      <w:r>
        <w:rPr>
          <w:rFonts w:hint="eastAsia" w:ascii="仿宋" w:hAnsi="仿宋" w:eastAsia="仿宋" w:cs="仿宋"/>
          <w:sz w:val="24"/>
        </w:rPr>
        <w:t>提供的售后服务方案、维护人员和机构等情况的服务优劣程度等方面的因素</w:t>
      </w:r>
      <w:r>
        <w:rPr>
          <w:rFonts w:hint="eastAsia" w:ascii="仿宋" w:hAnsi="仿宋" w:eastAsia="仿宋" w:cs="仿宋"/>
          <w:kern w:val="0"/>
          <w:sz w:val="24"/>
        </w:rPr>
        <w:t>，</w:t>
      </w:r>
      <w:r>
        <w:rPr>
          <w:rFonts w:hint="eastAsia" w:ascii="仿宋" w:hAnsi="仿宋" w:eastAsia="仿宋" w:cs="仿宋"/>
          <w:sz w:val="24"/>
        </w:rPr>
        <w:t>以及承诺和优惠。商务分主要包含投标人资质、类似</w:t>
      </w:r>
      <w:r>
        <w:rPr>
          <w:rFonts w:hint="eastAsia" w:ascii="仿宋" w:hAnsi="仿宋" w:eastAsia="仿宋" w:cs="仿宋"/>
          <w:kern w:val="28"/>
          <w:sz w:val="24"/>
        </w:rPr>
        <w:t>项目建设</w:t>
      </w:r>
      <w:r>
        <w:rPr>
          <w:rFonts w:hint="eastAsia" w:ascii="仿宋" w:hAnsi="仿宋" w:eastAsia="仿宋" w:cs="仿宋"/>
          <w:sz w:val="24"/>
        </w:rPr>
        <w:t>成功案例等方面的因素。</w:t>
      </w:r>
    </w:p>
    <w:p>
      <w:pPr>
        <w:pStyle w:val="78"/>
        <w:spacing w:line="360" w:lineRule="auto"/>
        <w:ind w:firstLine="481" w:firstLineChars="200"/>
        <w:outlineLvl w:val="3"/>
        <w:rPr>
          <w:rFonts w:ascii="仿宋" w:hAnsi="仿宋" w:eastAsia="仿宋" w:cs="仿宋"/>
          <w:b/>
          <w:bCs/>
          <w:sz w:val="24"/>
        </w:rPr>
      </w:pPr>
      <w:r>
        <w:rPr>
          <w:rFonts w:hint="eastAsia" w:ascii="仿宋" w:hAnsi="仿宋" w:eastAsia="仿宋" w:cs="仿宋"/>
          <w:b/>
          <w:bCs/>
          <w:sz w:val="24"/>
        </w:rPr>
        <w:t>（一）标项1商务技术评分细则</w:t>
      </w:r>
    </w:p>
    <w:tbl>
      <w:tblPr>
        <w:tblStyle w:val="62"/>
        <w:tblW w:w="92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
        <w:gridCol w:w="1308"/>
        <w:gridCol w:w="6381"/>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768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评分内容及细则</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8" w:type="dxa"/>
            <w:vMerge w:val="restart"/>
            <w:tcBorders>
              <w:left w:val="single" w:color="auto" w:sz="4" w:space="0"/>
              <w:right w:val="single" w:color="auto" w:sz="4" w:space="0"/>
            </w:tcBorders>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商务技术90分</w:t>
            </w:r>
          </w:p>
        </w:tc>
        <w:tc>
          <w:tcPr>
            <w:tcW w:w="1308" w:type="dxa"/>
            <w:tcBorders>
              <w:top w:val="single" w:color="auto" w:sz="4" w:space="0"/>
              <w:left w:val="single" w:color="auto" w:sz="4" w:space="0"/>
              <w:right w:val="single" w:color="auto" w:sz="4" w:space="0"/>
            </w:tcBorders>
            <w:vAlign w:val="center"/>
          </w:tcPr>
          <w:p>
            <w:pPr>
              <w:widowControl/>
              <w:adjustRightInd/>
              <w:jc w:val="center"/>
              <w:rPr>
                <w:rFonts w:ascii="仿宋_GB2312" w:hAnsi="仿宋_GB2312" w:eastAsia="仿宋_GB2312" w:cs="仿宋_GB2312"/>
                <w:szCs w:val="21"/>
              </w:rPr>
            </w:pPr>
            <w:r>
              <w:rPr>
                <w:rFonts w:hint="eastAsia" w:ascii="仿宋_GB2312" w:hAnsi="仿宋_GB2312" w:eastAsia="仿宋_GB2312" w:cs="仿宋_GB2312"/>
                <w:szCs w:val="21"/>
              </w:rPr>
              <w:t>需求理解</w:t>
            </w:r>
          </w:p>
        </w:tc>
        <w:tc>
          <w:tcPr>
            <w:tcW w:w="6381" w:type="dxa"/>
            <w:tcBorders>
              <w:top w:val="single" w:color="auto" w:sz="4" w:space="0"/>
              <w:left w:val="single" w:color="auto" w:sz="4" w:space="0"/>
              <w:bottom w:val="single" w:color="auto" w:sz="4" w:space="0"/>
              <w:right w:val="single" w:color="auto" w:sz="4" w:space="0"/>
            </w:tcBorders>
            <w:vAlign w:val="center"/>
          </w:tcPr>
          <w:p>
            <w:pPr>
              <w:pStyle w:val="33"/>
              <w:snapToGrid w:val="0"/>
              <w:rPr>
                <w:rFonts w:ascii="仿宋_GB2312" w:hAnsi="仿宋_GB2312" w:eastAsia="仿宋_GB2312" w:cs="仿宋_GB2312"/>
              </w:rPr>
            </w:pPr>
            <w:r>
              <w:rPr>
                <w:rFonts w:hint="eastAsia" w:ascii="仿宋_GB2312" w:hAnsi="仿宋_GB2312" w:eastAsia="仿宋_GB2312" w:cs="仿宋_GB2312"/>
              </w:rPr>
              <w:t>1、投标人根据招投标相关工作要求，结合拱墅区实际情况，提供针对智慧电子政务各项目应用的理解，在投标方案中提供智慧电子政务综合运维服务范围内相关系统情况、功能介绍，描述清晰且准确的得4-5分，描述存在偏差或系统功能缺少的得2-3分，描述严重偏离实际情况或未能提供的得0-1分；（共5分）</w:t>
            </w:r>
          </w:p>
          <w:p>
            <w:pPr>
              <w:pStyle w:val="33"/>
              <w:snapToGrid w:val="0"/>
              <w:rPr>
                <w:rFonts w:ascii="仿宋_GB2312" w:hAnsi="仿宋_GB2312" w:eastAsia="仿宋_GB2312" w:cs="仿宋_GB2312"/>
              </w:rPr>
            </w:pPr>
            <w:r>
              <w:rPr>
                <w:rFonts w:hint="eastAsia" w:ascii="仿宋_GB2312" w:hAnsi="仿宋_GB2312" w:eastAsia="仿宋_GB2312" w:cs="仿宋_GB2312"/>
              </w:rPr>
              <w:t>2、投标人提供针对拱墅区当前信息化项目建设需求管理的介绍，管理流程描述清晰且能提供相关标准规范的得4-5分，描述存在偏差或不能提供相关标准规范的得2-3分，描述存在严重偏差或未提供描述的得0-1分；（共5分）</w:t>
            </w:r>
          </w:p>
          <w:p>
            <w:pPr>
              <w:pStyle w:val="33"/>
              <w:snapToGrid w:val="0"/>
              <w:rPr>
                <w:rFonts w:ascii="仿宋_GB2312" w:hAnsi="仿宋_GB2312" w:eastAsia="仿宋_GB2312" w:cs="仿宋_GB2312"/>
              </w:rPr>
            </w:pPr>
            <w:r>
              <w:rPr>
                <w:rFonts w:hint="eastAsia" w:ascii="仿宋_GB2312" w:hAnsi="仿宋_GB2312" w:eastAsia="仿宋_GB2312" w:cs="仿宋_GB2312"/>
              </w:rPr>
              <w:t>3、投标人提供针对拱墅区三级数据仓与一体化智能化公共数据平台建设现状描述与系统功能介绍，建设现状描述清晰且准确的得4-5分，描述存在偏差或系统功能缺少的得2-3分，描述严重偏离实际情况或未能提供的得0-1分；（共5分）</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snapToGrid w:val="0"/>
              <w:jc w:val="center"/>
              <w:rPr>
                <w:rFonts w:ascii="仿宋_GB2312" w:hAnsi="仿宋_GB2312" w:eastAsia="仿宋_GB2312" w:cs="仿宋_GB2312"/>
              </w:rPr>
            </w:pPr>
            <w:r>
              <w:rPr>
                <w:rFonts w:hint="eastAsia" w:ascii="仿宋_GB2312" w:hAnsi="仿宋_GB2312" w:eastAsia="仿宋_GB2312" w:cs="仿宋_GB2312"/>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58" w:type="dxa"/>
            <w:vMerge w:val="continue"/>
            <w:tcBorders>
              <w:left w:val="single" w:color="auto" w:sz="4" w:space="0"/>
              <w:right w:val="single" w:color="auto" w:sz="4" w:space="0"/>
            </w:tcBorders>
            <w:vAlign w:val="center"/>
          </w:tcPr>
          <w:p>
            <w:pPr>
              <w:jc w:val="left"/>
              <w:rPr>
                <w:rFonts w:ascii="仿宋_GB2312" w:hAnsi="仿宋_GB2312" w:eastAsia="仿宋_GB2312" w:cs="仿宋_GB2312"/>
                <w:kern w:val="0"/>
                <w:szCs w:val="21"/>
              </w:rPr>
            </w:pPr>
          </w:p>
        </w:tc>
        <w:tc>
          <w:tcPr>
            <w:tcW w:w="1308" w:type="dxa"/>
            <w:tcBorders>
              <w:top w:val="single" w:color="auto" w:sz="4" w:space="0"/>
              <w:left w:val="single" w:color="auto" w:sz="4" w:space="0"/>
              <w:right w:val="single" w:color="auto" w:sz="4" w:space="0"/>
            </w:tcBorders>
            <w:vAlign w:val="center"/>
          </w:tcPr>
          <w:p>
            <w:pPr>
              <w:pStyle w:val="33"/>
              <w:snapToGrid w:val="0"/>
              <w:jc w:val="center"/>
              <w:rPr>
                <w:rFonts w:ascii="仿宋_GB2312" w:hAnsi="仿宋_GB2312" w:eastAsia="仿宋_GB2312" w:cs="仿宋_GB2312"/>
              </w:rPr>
            </w:pPr>
            <w:r>
              <w:rPr>
                <w:rFonts w:hint="eastAsia" w:ascii="仿宋_GB2312" w:hAnsi="仿宋_GB2312" w:eastAsia="仿宋_GB2312" w:cs="仿宋_GB2312"/>
              </w:rPr>
              <w:t>技术方案</w:t>
            </w:r>
          </w:p>
        </w:tc>
        <w:tc>
          <w:tcPr>
            <w:tcW w:w="6381" w:type="dxa"/>
            <w:tcBorders>
              <w:top w:val="single" w:color="auto" w:sz="4" w:space="0"/>
              <w:left w:val="single" w:color="auto" w:sz="4" w:space="0"/>
              <w:bottom w:val="single" w:color="auto" w:sz="4" w:space="0"/>
              <w:right w:val="single" w:color="auto" w:sz="4" w:space="0"/>
            </w:tcBorders>
            <w:vAlign w:val="center"/>
          </w:tcPr>
          <w:p>
            <w:pPr>
              <w:pStyle w:val="33"/>
              <w:snapToGrid w:val="0"/>
              <w:rPr>
                <w:rFonts w:ascii="仿宋_GB2312" w:hAnsi="仿宋_GB2312" w:eastAsia="仿宋_GB2312" w:cs="仿宋_GB2312"/>
              </w:rPr>
            </w:pPr>
            <w:r>
              <w:rPr>
                <w:rFonts w:hint="eastAsia" w:ascii="仿宋_GB2312" w:hAnsi="仿宋_GB2312" w:eastAsia="仿宋_GB2312" w:cs="仿宋_GB2312"/>
              </w:rPr>
              <w:t>投标技术规范应答与需求的吻合程度和偏差情况，是否能够满足标书要求，满分25分；</w:t>
            </w:r>
            <w:r>
              <w:rPr>
                <w:rFonts w:hint="eastAsia" w:ascii="仿宋_GB2312" w:hAnsi="仿宋_GB2312" w:eastAsia="仿宋_GB2312" w:cs="仿宋_GB2312"/>
                <w:u w:val="single"/>
              </w:rPr>
              <w:t>带“★”为关键技术指标，不允许负偏离；其他技术指标负偏离的每项扣2分；▲其他技术技术指标负偏离超过5项，作无效标处理。</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snapToGrid w:val="0"/>
              <w:jc w:val="center"/>
              <w:rPr>
                <w:rFonts w:ascii="仿宋_GB2312" w:hAnsi="仿宋_GB2312" w:eastAsia="仿宋_GB2312" w:cs="仿宋_GB2312"/>
              </w:rPr>
            </w:pPr>
            <w:r>
              <w:rPr>
                <w:rFonts w:hint="eastAsia" w:ascii="仿宋_GB2312" w:hAnsi="仿宋_GB2312" w:eastAsia="仿宋_GB2312" w:cs="仿宋_GB2312"/>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58" w:type="dxa"/>
            <w:vMerge w:val="continue"/>
            <w:tcBorders>
              <w:left w:val="single" w:color="auto" w:sz="4" w:space="0"/>
              <w:right w:val="single" w:color="auto" w:sz="4" w:space="0"/>
            </w:tcBorders>
            <w:vAlign w:val="center"/>
          </w:tcPr>
          <w:p>
            <w:pPr>
              <w:jc w:val="left"/>
              <w:rPr>
                <w:rFonts w:ascii="仿宋_GB2312" w:hAnsi="仿宋_GB2312" w:eastAsia="仿宋_GB2312" w:cs="仿宋_GB2312"/>
                <w:kern w:val="0"/>
                <w:szCs w:val="21"/>
              </w:rPr>
            </w:pPr>
          </w:p>
        </w:tc>
        <w:tc>
          <w:tcPr>
            <w:tcW w:w="1308" w:type="dxa"/>
            <w:tcBorders>
              <w:top w:val="single" w:color="auto" w:sz="4" w:space="0"/>
              <w:left w:val="single" w:color="auto" w:sz="4" w:space="0"/>
              <w:right w:val="single" w:color="auto" w:sz="4" w:space="0"/>
            </w:tcBorders>
            <w:vAlign w:val="center"/>
          </w:tcPr>
          <w:p>
            <w:pPr>
              <w:widowControl/>
              <w:adjustRightInd/>
              <w:jc w:val="center"/>
              <w:rPr>
                <w:rFonts w:ascii="仿宋_GB2312" w:hAnsi="仿宋_GB2312" w:eastAsia="仿宋_GB2312" w:cs="仿宋_GB2312"/>
                <w:szCs w:val="21"/>
              </w:rPr>
            </w:pPr>
            <w:r>
              <w:rPr>
                <w:rFonts w:hint="eastAsia" w:ascii="仿宋_GB2312" w:hAnsi="仿宋_GB2312" w:eastAsia="仿宋_GB2312" w:cs="仿宋_GB2312"/>
                <w:szCs w:val="21"/>
              </w:rPr>
              <w:t>服务方案</w:t>
            </w:r>
          </w:p>
        </w:tc>
        <w:tc>
          <w:tcPr>
            <w:tcW w:w="6381" w:type="dxa"/>
            <w:tcBorders>
              <w:top w:val="single" w:color="auto" w:sz="4" w:space="0"/>
              <w:left w:val="single" w:color="auto" w:sz="4" w:space="0"/>
              <w:bottom w:val="single" w:color="auto" w:sz="4" w:space="0"/>
              <w:right w:val="single" w:color="auto" w:sz="4" w:space="0"/>
            </w:tcBorders>
            <w:vAlign w:val="center"/>
          </w:tcPr>
          <w:p>
            <w:pPr>
              <w:pStyle w:val="33"/>
              <w:snapToGrid w:val="0"/>
              <w:rPr>
                <w:rFonts w:ascii="仿宋_GB2312" w:hAnsi="仿宋_GB2312" w:eastAsia="仿宋_GB2312" w:cs="仿宋_GB2312"/>
              </w:rPr>
            </w:pPr>
            <w:r>
              <w:rPr>
                <w:rFonts w:hint="eastAsia" w:ascii="仿宋_GB2312" w:hAnsi="仿宋_GB2312" w:eastAsia="仿宋_GB2312" w:cs="仿宋_GB2312"/>
              </w:rPr>
              <w:t>1、结合拱墅区实际情况提供智慧电子政务综合运维服务方案，服务方案科学合理且满足招标文件服务内容、范围、目标等要求，针对投标人对用户运维对象了解程度，以及运维服务方案的科学性、合理性、针对性进行评分，优秀得（4-5）分，良好得（2-3）分，一般得（0-1）分；（共5分）</w:t>
            </w:r>
          </w:p>
          <w:p>
            <w:pPr>
              <w:pStyle w:val="33"/>
              <w:snapToGrid w:val="0"/>
              <w:rPr>
                <w:rFonts w:ascii="仿宋_GB2312" w:hAnsi="仿宋_GB2312" w:eastAsia="仿宋_GB2312" w:cs="仿宋_GB2312"/>
              </w:rPr>
            </w:pPr>
            <w:r>
              <w:rPr>
                <w:rFonts w:hint="eastAsia" w:ascii="仿宋_GB2312" w:hAnsi="仿宋_GB2312" w:eastAsia="仿宋_GB2312" w:cs="仿宋_GB2312"/>
              </w:rPr>
              <w:t>2、结合拱墅区实际情况提供项目需求管理服务方案，服务方案科学合理且满足招标文件服务内容、范围、目标等要求，针对投标人对用户运维对象了解程度，以及运维服务方案的科学性、合理性、针对性进行评分，优秀得（4-5）分，良好得（2-3）分，一般得（0-1）分；（共5分）</w:t>
            </w:r>
          </w:p>
          <w:p>
            <w:pPr>
              <w:pStyle w:val="33"/>
              <w:snapToGrid w:val="0"/>
              <w:rPr>
                <w:rFonts w:ascii="仿宋_GB2312" w:hAnsi="仿宋_GB2312" w:eastAsia="仿宋_GB2312" w:cs="仿宋_GB2312"/>
              </w:rPr>
            </w:pPr>
            <w:r>
              <w:rPr>
                <w:rFonts w:hint="eastAsia" w:ascii="仿宋_GB2312" w:hAnsi="仿宋_GB2312" w:eastAsia="仿宋_GB2312" w:cs="仿宋_GB2312"/>
              </w:rPr>
              <w:t>3、结合拱墅区实际情况提供咨询服务方案，服务方案科学合理且满足招标文件服务内容、范围、目标等要求，针对投标人对用户运维对象了解程度，以及运维服务方案的科学性、合理性、针对性进行评分，优秀得（4-5）分，良好得（2-3）分，一般得（0-1）分；（共5分）</w:t>
            </w:r>
          </w:p>
          <w:p>
            <w:pPr>
              <w:pStyle w:val="33"/>
              <w:snapToGrid w:val="0"/>
              <w:rPr>
                <w:rFonts w:ascii="仿宋_GB2312" w:hAnsi="仿宋_GB2312" w:eastAsia="仿宋_GB2312" w:cs="仿宋_GB2312"/>
              </w:rPr>
            </w:pPr>
            <w:r>
              <w:rPr>
                <w:rFonts w:hint="eastAsia" w:ascii="仿宋_GB2312" w:hAnsi="仿宋_GB2312" w:eastAsia="仿宋_GB2312" w:cs="仿宋_GB2312"/>
              </w:rPr>
              <w:t>4、结合拱墅区实际情况提供三级数据仓驻场服务方案，服务方案科学合理且满足招标文件服务内容、范围、目标等要求，针对投标人对用户运维对象了解程度，以及运维服务方案的科学性、合理性、针对性进行评分，优秀得（4-5）分，良好得（2-3）分，一般得（0-1）分；（共5分）</w:t>
            </w:r>
          </w:p>
          <w:p>
            <w:pPr>
              <w:pStyle w:val="33"/>
              <w:snapToGrid w:val="0"/>
              <w:rPr>
                <w:rFonts w:ascii="仿宋_GB2312" w:hAnsi="仿宋_GB2312" w:eastAsia="仿宋_GB2312" w:cs="仿宋_GB2312"/>
              </w:rPr>
            </w:pPr>
            <w:r>
              <w:rPr>
                <w:rFonts w:hint="eastAsia" w:ascii="仿宋_GB2312" w:hAnsi="仿宋_GB2312" w:eastAsia="仿宋_GB2312" w:cs="仿宋_GB2312"/>
              </w:rPr>
              <w:t>5、结合拱墅区实际情况提供一体化智能化公共数据平台驻场服务方案，服务方案科学合理且满足招标文件服务内容、范围、目标等要求，针对投标人对用户运维对象了解程度，以及运维服务方案的科学性、合理性、针对性进行评分，优秀得（4-5）分，良好得（2-3）分，一般得（0-1）分。（共5分）</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snapToGrid w:val="0"/>
              <w:jc w:val="center"/>
              <w:rPr>
                <w:rFonts w:ascii="仿宋_GB2312" w:hAnsi="仿宋_GB2312" w:eastAsia="仿宋_GB2312" w:cs="仿宋_GB2312"/>
              </w:rPr>
            </w:pPr>
            <w:r>
              <w:rPr>
                <w:rFonts w:ascii="仿宋_GB2312" w:hAnsi="仿宋_GB2312" w:eastAsia="仿宋_GB2312" w:cs="仿宋_GB2312"/>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58" w:type="dxa"/>
            <w:vMerge w:val="continue"/>
            <w:tcBorders>
              <w:left w:val="single" w:color="auto" w:sz="4" w:space="0"/>
              <w:right w:val="single" w:color="auto" w:sz="4" w:space="0"/>
            </w:tcBorders>
            <w:vAlign w:val="center"/>
          </w:tcPr>
          <w:p>
            <w:pPr>
              <w:jc w:val="left"/>
              <w:rPr>
                <w:rFonts w:ascii="仿宋_GB2312" w:hAnsi="仿宋_GB2312" w:eastAsia="仿宋_GB2312" w:cs="仿宋_GB2312"/>
                <w:kern w:val="0"/>
                <w:szCs w:val="21"/>
              </w:rPr>
            </w:pPr>
          </w:p>
        </w:tc>
        <w:tc>
          <w:tcPr>
            <w:tcW w:w="1308" w:type="dxa"/>
            <w:tcBorders>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组织实施方案</w:t>
            </w:r>
          </w:p>
        </w:tc>
        <w:tc>
          <w:tcPr>
            <w:tcW w:w="6381" w:type="dxa"/>
            <w:tcBorders>
              <w:top w:val="single" w:color="auto" w:sz="4" w:space="0"/>
              <w:left w:val="single" w:color="auto" w:sz="4" w:space="0"/>
              <w:bottom w:val="single" w:color="auto" w:sz="4" w:space="0"/>
              <w:right w:val="single" w:color="auto" w:sz="4" w:space="0"/>
            </w:tcBorders>
            <w:vAlign w:val="center"/>
          </w:tcPr>
          <w:p>
            <w:pPr>
              <w:pStyle w:val="33"/>
              <w:snapToGrid w:val="0"/>
              <w:rPr>
                <w:rFonts w:ascii="仿宋_GB2312" w:hAnsi="仿宋_GB2312" w:eastAsia="仿宋_GB2312" w:cs="仿宋_GB2312"/>
              </w:rPr>
            </w:pPr>
            <w:r>
              <w:rPr>
                <w:rFonts w:hint="eastAsia" w:ascii="仿宋_GB2312" w:hAnsi="仿宋_GB2312" w:eastAsia="仿宋_GB2312" w:cs="仿宋_GB2312"/>
              </w:rPr>
              <w:t>1、针对投标人提供组织实施方案的科学性、合理性、规范性、安全性和可操作性进行评分，提供包括但不限于工作时间进度表、工作程序和步骤、管理和协调方法、关键步骤的思路和要点等内容，方案合理得3-4分，较合理得2-3分，一般得1-2分，未提供不得分；（共4分）</w:t>
            </w:r>
          </w:p>
          <w:p>
            <w:pPr>
              <w:pStyle w:val="33"/>
              <w:snapToGrid w:val="0"/>
              <w:rPr>
                <w:rFonts w:ascii="仿宋_GB2312" w:hAnsi="仿宋_GB2312" w:eastAsia="仿宋_GB2312" w:cs="仿宋_GB2312"/>
              </w:rPr>
            </w:pPr>
            <w:r>
              <w:rPr>
                <w:rFonts w:hint="eastAsia" w:ascii="仿宋_GB2312" w:hAnsi="仿宋_GB2312" w:eastAsia="仿宋_GB2312" w:cs="仿宋_GB2312"/>
              </w:rPr>
              <w:t>2、针对投标人提供的应急预案的合理性、可行性情况进行评分，方案合理得3-4分，较合理得2-3分，一般得1-2分，未提供不得分；（共4分）</w:t>
            </w:r>
          </w:p>
          <w:p>
            <w:pPr>
              <w:pStyle w:val="33"/>
              <w:snapToGrid w:val="0"/>
              <w:rPr>
                <w:rFonts w:ascii="仿宋_GB2312" w:hAnsi="仿宋_GB2312" w:eastAsia="仿宋_GB2312" w:cs="仿宋_GB2312"/>
              </w:rPr>
            </w:pPr>
            <w:r>
              <w:rPr>
                <w:rFonts w:hint="eastAsia" w:ascii="仿宋_GB2312" w:hAnsi="仿宋_GB2312" w:eastAsia="仿宋_GB2312" w:cs="仿宋_GB2312"/>
              </w:rPr>
              <w:t>3、投标人深入理解招标人间采购需求并提出明确的质量保证目标，质量保证措施和体系合理先进并具有详细的实施内容，合理得3-4分，较合理得2-3分，一般得1-2分，未提供不得分。（共4分）</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snapToGrid w:val="0"/>
              <w:jc w:val="center"/>
              <w:rPr>
                <w:rFonts w:ascii="仿宋_GB2312" w:hAnsi="仿宋_GB2312" w:eastAsia="仿宋_GB2312" w:cs="仿宋_GB2312"/>
              </w:rPr>
            </w:pPr>
            <w:r>
              <w:rPr>
                <w:rFonts w:ascii="仿宋_GB2312" w:hAnsi="仿宋_GB2312" w:eastAsia="仿宋_GB2312" w:cs="仿宋_GB2312"/>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858" w:type="dxa"/>
            <w:vMerge w:val="continue"/>
            <w:tcBorders>
              <w:left w:val="single" w:color="auto" w:sz="4" w:space="0"/>
              <w:right w:val="single" w:color="auto" w:sz="4" w:space="0"/>
            </w:tcBorders>
            <w:vAlign w:val="center"/>
          </w:tcPr>
          <w:p>
            <w:pPr>
              <w:widowControl/>
              <w:adjustRightInd/>
              <w:jc w:val="left"/>
              <w:rPr>
                <w:rFonts w:ascii="仿宋_GB2312" w:hAnsi="仿宋_GB2312" w:eastAsia="仿宋_GB2312" w:cs="仿宋_GB2312"/>
                <w:kern w:val="0"/>
                <w:szCs w:val="21"/>
              </w:rPr>
            </w:pPr>
          </w:p>
        </w:tc>
        <w:tc>
          <w:tcPr>
            <w:tcW w:w="1308" w:type="dxa"/>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项目组人员素质情况</w:t>
            </w:r>
          </w:p>
        </w:tc>
        <w:tc>
          <w:tcPr>
            <w:tcW w:w="6381" w:type="dxa"/>
            <w:tcBorders>
              <w:top w:val="single" w:color="auto" w:sz="4" w:space="0"/>
              <w:left w:val="single" w:color="auto" w:sz="4" w:space="0"/>
              <w:bottom w:val="single" w:color="auto" w:sz="4" w:space="0"/>
              <w:right w:val="single" w:color="auto" w:sz="4" w:space="0"/>
            </w:tcBorders>
            <w:vAlign w:val="center"/>
          </w:tcPr>
          <w:p>
            <w:pPr>
              <w:pStyle w:val="33"/>
              <w:snapToGrid w:val="0"/>
              <w:rPr>
                <w:rFonts w:ascii="仿宋_GB2312" w:hAnsi="仿宋_GB2312" w:eastAsia="仿宋_GB2312" w:cs="仿宋_GB2312"/>
              </w:rPr>
            </w:pPr>
            <w:r>
              <w:rPr>
                <w:rFonts w:hint="eastAsia" w:ascii="仿宋_GB2312" w:hAnsi="仿宋_GB2312" w:eastAsia="仿宋_GB2312" w:cs="仿宋_GB2312"/>
              </w:rPr>
              <w:t>1、项目经理（或项目负责人）具有PMP证书或信息系统项目管理师证书的每提供一个得2分，不提供得0分；（共4分）；</w:t>
            </w:r>
          </w:p>
          <w:p>
            <w:pPr>
              <w:pStyle w:val="33"/>
              <w:snapToGrid w:val="0"/>
              <w:rPr>
                <w:rFonts w:ascii="仿宋_GB2312" w:hAnsi="仿宋_GB2312" w:eastAsia="仿宋_GB2312" w:cs="仿宋_GB2312"/>
              </w:rPr>
            </w:pPr>
            <w:r>
              <w:rPr>
                <w:rFonts w:hint="eastAsia" w:ascii="仿宋_GB2312" w:hAnsi="仿宋_GB2312" w:eastAsia="仿宋_GB2312" w:cs="仿宋_GB2312"/>
              </w:rPr>
              <w:t>2、项目组实施或驻场运维人员具备省市级数据交换或数据归集实施经验并提供相关认证证书，每个得1分，最高不超过3分。（共3分）</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napToGrid w:val="0"/>
                <w:szCs w:val="21"/>
              </w:rPr>
            </w:pPr>
            <w:r>
              <w:rPr>
                <w:rFonts w:ascii="仿宋_GB2312" w:hAnsi="仿宋_GB2312" w:eastAsia="仿宋_GB2312" w:cs="仿宋_GB2312"/>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58" w:type="dxa"/>
            <w:vMerge w:val="continue"/>
            <w:tcBorders>
              <w:left w:val="single" w:color="auto" w:sz="4" w:space="0"/>
              <w:right w:val="single" w:color="auto" w:sz="4" w:space="0"/>
            </w:tcBorders>
            <w:vAlign w:val="center"/>
          </w:tcPr>
          <w:p>
            <w:pPr>
              <w:widowControl/>
              <w:adjustRightInd/>
              <w:jc w:val="left"/>
              <w:rPr>
                <w:rFonts w:ascii="仿宋_GB2312" w:hAnsi="仿宋_GB2312" w:eastAsia="仿宋_GB2312" w:cs="仿宋_GB2312"/>
                <w:kern w:val="0"/>
                <w:szCs w:val="21"/>
              </w:rPr>
            </w:pPr>
          </w:p>
        </w:tc>
        <w:tc>
          <w:tcPr>
            <w:tcW w:w="1308" w:type="dxa"/>
            <w:tcBorders>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rPr>
              <w:t>投标人情况</w:t>
            </w:r>
          </w:p>
        </w:tc>
        <w:tc>
          <w:tcPr>
            <w:tcW w:w="6381" w:type="dxa"/>
            <w:tcBorders>
              <w:top w:val="single" w:color="auto" w:sz="4" w:space="0"/>
              <w:left w:val="single" w:color="auto" w:sz="4" w:space="0"/>
              <w:bottom w:val="single" w:color="auto" w:sz="4" w:space="0"/>
              <w:right w:val="single" w:color="auto" w:sz="4" w:space="0"/>
            </w:tcBorders>
            <w:vAlign w:val="center"/>
          </w:tcPr>
          <w:p>
            <w:pPr>
              <w:pStyle w:val="33"/>
              <w:snapToGrid w:val="0"/>
              <w:rPr>
                <w:rFonts w:ascii="仿宋_GB2312" w:hAnsi="仿宋_GB2312" w:eastAsia="仿宋_GB2312" w:cs="仿宋_GB2312"/>
              </w:rPr>
            </w:pPr>
            <w:r>
              <w:rPr>
                <w:rFonts w:hint="eastAsia" w:ascii="仿宋_GB2312" w:hAnsi="仿宋_GB2312" w:eastAsia="仿宋_GB2312" w:cs="仿宋_GB2312"/>
                <w:kern w:val="0"/>
              </w:rPr>
              <w:t>投标人已取得AAA级企业信用等级证书、ISO9001质量管理体系认证资质、ISO14001环境管理体系认证资质，且均在有效期内，每提供一项有效证明得1分，最高得3分；</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snapToGrid w:val="0"/>
              <w:jc w:val="center"/>
              <w:rPr>
                <w:rFonts w:ascii="仿宋_GB2312" w:hAnsi="仿宋_GB2312" w:eastAsia="仿宋_GB2312" w:cs="仿宋_GB2312"/>
              </w:rPr>
            </w:pPr>
            <w:r>
              <w:rPr>
                <w:rFonts w:ascii="仿宋_GB2312" w:hAnsi="仿宋_GB2312" w:eastAsia="仿宋_GB2312" w:cs="仿宋_GB231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8" w:type="dxa"/>
            <w:vMerge w:val="continue"/>
            <w:tcBorders>
              <w:left w:val="single" w:color="auto" w:sz="4" w:space="0"/>
              <w:bottom w:val="single" w:color="auto" w:sz="4" w:space="0"/>
              <w:right w:val="single" w:color="auto" w:sz="4" w:space="0"/>
            </w:tcBorders>
            <w:vAlign w:val="center"/>
          </w:tcPr>
          <w:p>
            <w:pPr>
              <w:widowControl/>
              <w:adjustRightInd/>
              <w:jc w:val="left"/>
              <w:rPr>
                <w:rFonts w:ascii="仿宋_GB2312" w:hAnsi="仿宋_GB2312" w:eastAsia="仿宋_GB2312" w:cs="仿宋_GB2312"/>
                <w:kern w:val="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pStyle w:val="33"/>
              <w:snapToGrid w:val="0"/>
              <w:jc w:val="center"/>
              <w:rPr>
                <w:rFonts w:ascii="仿宋_GB2312" w:hAnsi="仿宋_GB2312" w:eastAsia="仿宋_GB2312" w:cs="仿宋_GB2312"/>
              </w:rPr>
            </w:pPr>
            <w:r>
              <w:rPr>
                <w:rFonts w:hint="eastAsia" w:ascii="仿宋_GB2312" w:hAnsi="仿宋_GB2312" w:eastAsia="仿宋_GB2312" w:cs="仿宋_GB2312"/>
              </w:rPr>
              <w:t>类似业绩</w:t>
            </w:r>
          </w:p>
        </w:tc>
        <w:tc>
          <w:tcPr>
            <w:tcW w:w="63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2019年1月1日（合同签订时间）以来，投标人承担政府单位运维服务、设备维保案例，每个得1分，此项最高得3分。</w:t>
            </w:r>
          </w:p>
          <w:p>
            <w:pPr>
              <w:snapToGrid w:val="0"/>
              <w:rPr>
                <w:rFonts w:ascii="仿宋_GB2312" w:hAnsi="仿宋_GB2312" w:eastAsia="仿宋_GB2312" w:cs="仿宋_GB2312"/>
                <w:szCs w:val="21"/>
              </w:rPr>
            </w:pPr>
            <w:r>
              <w:rPr>
                <w:rFonts w:hint="eastAsia" w:ascii="仿宋_GB2312" w:hAnsi="仿宋_GB2312" w:eastAsia="仿宋_GB2312" w:cs="仿宋_GB2312"/>
                <w:szCs w:val="21"/>
              </w:rPr>
              <w:t>注：提供业绩合同复印件，未提供或不符合以上条件不得分。</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jc w:val="center"/>
              <w:rPr>
                <w:rFonts w:ascii="仿宋_GB2312" w:hAnsi="仿宋_GB2312" w:eastAsia="仿宋_GB2312" w:cs="仿宋_GB2312"/>
              </w:rPr>
            </w:pPr>
            <w:r>
              <w:rPr>
                <w:rFonts w:ascii="仿宋_GB2312" w:hAnsi="仿宋_GB2312" w:eastAsia="仿宋_GB2312" w:cs="仿宋_GB231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合     计</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90</w:t>
            </w:r>
          </w:p>
        </w:tc>
      </w:tr>
    </w:tbl>
    <w:p>
      <w:pPr>
        <w:pStyle w:val="78"/>
        <w:spacing w:line="360" w:lineRule="auto"/>
        <w:ind w:firstLine="481" w:firstLineChars="200"/>
        <w:rPr>
          <w:rFonts w:ascii="仿宋" w:hAnsi="仿宋" w:eastAsia="仿宋" w:cs="仿宋"/>
          <w:b/>
          <w:bCs/>
          <w:sz w:val="24"/>
        </w:rPr>
      </w:pPr>
    </w:p>
    <w:p>
      <w:pPr>
        <w:pStyle w:val="78"/>
        <w:spacing w:line="360" w:lineRule="auto"/>
        <w:ind w:firstLine="481" w:firstLineChars="200"/>
        <w:outlineLvl w:val="3"/>
        <w:rPr>
          <w:rFonts w:ascii="仿宋" w:hAnsi="仿宋" w:eastAsia="仿宋" w:cs="仿宋"/>
          <w:b/>
          <w:bCs/>
          <w:sz w:val="24"/>
        </w:rPr>
      </w:pPr>
      <w:r>
        <w:rPr>
          <w:rFonts w:hint="eastAsia" w:ascii="仿宋" w:hAnsi="仿宋" w:eastAsia="仿宋" w:cs="仿宋"/>
          <w:b/>
          <w:bCs/>
          <w:sz w:val="24"/>
        </w:rPr>
        <w:t>（二）标项2商务技术评分细则</w:t>
      </w:r>
    </w:p>
    <w:tbl>
      <w:tblPr>
        <w:tblStyle w:val="62"/>
        <w:tblW w:w="92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
        <w:gridCol w:w="1308"/>
        <w:gridCol w:w="6381"/>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768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评分内容及细则</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8" w:type="dxa"/>
            <w:vMerge w:val="restart"/>
            <w:tcBorders>
              <w:left w:val="single" w:color="auto" w:sz="4" w:space="0"/>
              <w:right w:val="single" w:color="auto" w:sz="4" w:space="0"/>
            </w:tcBorders>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商务技术90分</w:t>
            </w:r>
          </w:p>
        </w:tc>
        <w:tc>
          <w:tcPr>
            <w:tcW w:w="1308" w:type="dxa"/>
            <w:tcBorders>
              <w:top w:val="single" w:color="auto" w:sz="4" w:space="0"/>
              <w:left w:val="single" w:color="auto" w:sz="4" w:space="0"/>
              <w:right w:val="single" w:color="auto" w:sz="4" w:space="0"/>
            </w:tcBorders>
            <w:vAlign w:val="center"/>
          </w:tcPr>
          <w:p>
            <w:pPr>
              <w:widowControl/>
              <w:adjustRightInd/>
              <w:jc w:val="center"/>
              <w:rPr>
                <w:rFonts w:ascii="仿宋_GB2312" w:hAnsi="仿宋_GB2312" w:eastAsia="仿宋_GB2312" w:cs="仿宋_GB2312"/>
                <w:szCs w:val="21"/>
              </w:rPr>
            </w:pPr>
            <w:r>
              <w:rPr>
                <w:rFonts w:hint="eastAsia" w:ascii="仿宋_GB2312" w:hAnsi="仿宋_GB2312" w:eastAsia="仿宋_GB2312" w:cs="仿宋_GB2312"/>
                <w:szCs w:val="21"/>
              </w:rPr>
              <w:t>需求理解</w:t>
            </w:r>
          </w:p>
        </w:tc>
        <w:tc>
          <w:tcPr>
            <w:tcW w:w="6381" w:type="dxa"/>
            <w:tcBorders>
              <w:top w:val="single" w:color="auto" w:sz="4" w:space="0"/>
              <w:left w:val="single" w:color="auto" w:sz="4" w:space="0"/>
              <w:bottom w:val="single" w:color="auto" w:sz="4" w:space="0"/>
              <w:right w:val="single" w:color="auto" w:sz="4" w:space="0"/>
            </w:tcBorders>
            <w:vAlign w:val="center"/>
          </w:tcPr>
          <w:p>
            <w:pPr>
              <w:pStyle w:val="33"/>
              <w:snapToGrid w:val="0"/>
              <w:rPr>
                <w:rFonts w:ascii="仿宋_GB2312" w:hAnsi="仿宋_GB2312" w:eastAsia="仿宋_GB2312" w:cs="仿宋_GB2312"/>
              </w:rPr>
            </w:pPr>
            <w:r>
              <w:rPr>
                <w:rFonts w:hint="eastAsia" w:ascii="仿宋_GB2312" w:hAnsi="仿宋_GB2312" w:eastAsia="仿宋_GB2312" w:cs="仿宋_GB2312"/>
              </w:rPr>
              <w:t>1、是否对用户方网络情况充分了解，在投标方案中提供网络拓扑和网络设备信息等介绍。（0-5分）</w:t>
            </w:r>
          </w:p>
          <w:p>
            <w:pPr>
              <w:pStyle w:val="33"/>
              <w:snapToGrid w:val="0"/>
              <w:rPr>
                <w:rFonts w:ascii="仿宋_GB2312" w:hAnsi="仿宋_GB2312" w:eastAsia="仿宋_GB2312" w:cs="仿宋_GB2312"/>
              </w:rPr>
            </w:pPr>
            <w:r>
              <w:rPr>
                <w:rFonts w:hint="eastAsia" w:ascii="仿宋_GB2312" w:hAnsi="仿宋_GB2312" w:eastAsia="仿宋_GB2312" w:cs="仿宋_GB2312"/>
              </w:rPr>
              <w:t>2、是否对用户方计算环境（政务云、本地云）的资源情况、虚拟机应用充分了解，在投标方案中提供政务云和本地云资源情况、虚拟机情况等。（0-5分）</w:t>
            </w:r>
          </w:p>
          <w:p>
            <w:pPr>
              <w:pStyle w:val="33"/>
              <w:snapToGrid w:val="0"/>
              <w:rPr>
                <w:rFonts w:ascii="仿宋_GB2312" w:hAnsi="仿宋_GB2312" w:eastAsia="仿宋_GB2312" w:cs="仿宋_GB2312"/>
              </w:rPr>
            </w:pPr>
            <w:r>
              <w:rPr>
                <w:rFonts w:hint="eastAsia" w:ascii="仿宋_GB2312" w:hAnsi="仿宋_GB2312" w:eastAsia="仿宋_GB2312" w:cs="仿宋_GB2312"/>
              </w:rPr>
              <w:t>3、是否对网络安全防护情况充分了解，在投标方案中提供相关情况情况、安全运维重点等。（0-5分）</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snapToGrid w:val="0"/>
              <w:jc w:val="center"/>
              <w:rPr>
                <w:rFonts w:ascii="仿宋_GB2312" w:hAnsi="仿宋_GB2312" w:eastAsia="仿宋_GB2312" w:cs="仿宋_GB2312"/>
              </w:rPr>
            </w:pPr>
            <w:r>
              <w:rPr>
                <w:rFonts w:hint="eastAsia" w:ascii="仿宋_GB2312" w:hAnsi="仿宋_GB2312" w:eastAsia="仿宋_GB2312" w:cs="仿宋_GB2312"/>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58" w:type="dxa"/>
            <w:vMerge w:val="continue"/>
            <w:tcBorders>
              <w:left w:val="single" w:color="auto" w:sz="4" w:space="0"/>
              <w:right w:val="single" w:color="auto" w:sz="4" w:space="0"/>
            </w:tcBorders>
            <w:vAlign w:val="center"/>
          </w:tcPr>
          <w:p>
            <w:pPr>
              <w:jc w:val="left"/>
              <w:rPr>
                <w:rFonts w:ascii="仿宋_GB2312" w:hAnsi="仿宋_GB2312" w:eastAsia="仿宋_GB2312" w:cs="仿宋_GB2312"/>
                <w:kern w:val="0"/>
                <w:szCs w:val="21"/>
              </w:rPr>
            </w:pPr>
          </w:p>
        </w:tc>
        <w:tc>
          <w:tcPr>
            <w:tcW w:w="1308" w:type="dxa"/>
            <w:tcBorders>
              <w:top w:val="single" w:color="auto" w:sz="4" w:space="0"/>
              <w:left w:val="single" w:color="auto" w:sz="4" w:space="0"/>
              <w:right w:val="single" w:color="auto" w:sz="4" w:space="0"/>
            </w:tcBorders>
            <w:vAlign w:val="center"/>
          </w:tcPr>
          <w:p>
            <w:pPr>
              <w:pStyle w:val="33"/>
              <w:snapToGrid w:val="0"/>
              <w:jc w:val="center"/>
              <w:rPr>
                <w:rFonts w:ascii="仿宋_GB2312" w:hAnsi="仿宋_GB2312" w:eastAsia="仿宋_GB2312" w:cs="仿宋_GB2312"/>
              </w:rPr>
            </w:pPr>
            <w:r>
              <w:rPr>
                <w:rFonts w:hint="eastAsia" w:ascii="仿宋_GB2312" w:hAnsi="仿宋_GB2312" w:eastAsia="仿宋_GB2312" w:cs="仿宋_GB2312"/>
              </w:rPr>
              <w:t>技术方案</w:t>
            </w:r>
          </w:p>
        </w:tc>
        <w:tc>
          <w:tcPr>
            <w:tcW w:w="6381" w:type="dxa"/>
            <w:tcBorders>
              <w:top w:val="single" w:color="auto" w:sz="4" w:space="0"/>
              <w:left w:val="single" w:color="auto" w:sz="4" w:space="0"/>
              <w:bottom w:val="single" w:color="auto" w:sz="4" w:space="0"/>
              <w:right w:val="single" w:color="auto" w:sz="4" w:space="0"/>
            </w:tcBorders>
            <w:vAlign w:val="center"/>
          </w:tcPr>
          <w:p>
            <w:pPr>
              <w:pStyle w:val="33"/>
              <w:snapToGrid w:val="0"/>
              <w:rPr>
                <w:rFonts w:ascii="仿宋_GB2312" w:hAnsi="仿宋_GB2312" w:eastAsia="仿宋_GB2312" w:cs="仿宋_GB2312"/>
              </w:rPr>
            </w:pPr>
            <w:r>
              <w:rPr>
                <w:rFonts w:hint="eastAsia" w:ascii="仿宋_GB2312" w:hAnsi="仿宋_GB2312" w:eastAsia="仿宋_GB2312" w:cs="仿宋_GB2312"/>
              </w:rPr>
              <w:t>投标技术规范应答与需求的吻合程度和偏差情况，是否能够满足标书要求，满分25分；</w:t>
            </w:r>
            <w:r>
              <w:rPr>
                <w:rFonts w:hint="eastAsia" w:ascii="仿宋_GB2312" w:hAnsi="仿宋_GB2312" w:eastAsia="仿宋_GB2312" w:cs="仿宋_GB2312"/>
                <w:u w:val="single"/>
              </w:rPr>
              <w:t>带“★”为关键技术指标，不允许负偏离；其他技术指标负偏离的每项扣2分；▲其他技术技术指标负偏离超过5项，作无效标处理。</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snapToGrid w:val="0"/>
              <w:jc w:val="center"/>
              <w:rPr>
                <w:rFonts w:ascii="仿宋_GB2312" w:hAnsi="仿宋_GB2312" w:eastAsia="仿宋_GB2312" w:cs="仿宋_GB2312"/>
              </w:rPr>
            </w:pPr>
            <w:r>
              <w:rPr>
                <w:rFonts w:hint="eastAsia" w:ascii="仿宋_GB2312" w:hAnsi="仿宋_GB2312" w:eastAsia="仿宋_GB2312" w:cs="仿宋_GB2312"/>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58" w:type="dxa"/>
            <w:vMerge w:val="continue"/>
            <w:tcBorders>
              <w:left w:val="single" w:color="auto" w:sz="4" w:space="0"/>
              <w:right w:val="single" w:color="auto" w:sz="4" w:space="0"/>
            </w:tcBorders>
            <w:vAlign w:val="center"/>
          </w:tcPr>
          <w:p>
            <w:pPr>
              <w:jc w:val="left"/>
              <w:rPr>
                <w:rFonts w:ascii="仿宋_GB2312" w:hAnsi="仿宋_GB2312" w:eastAsia="仿宋_GB2312" w:cs="仿宋_GB2312"/>
                <w:kern w:val="0"/>
                <w:szCs w:val="21"/>
              </w:rPr>
            </w:pPr>
          </w:p>
        </w:tc>
        <w:tc>
          <w:tcPr>
            <w:tcW w:w="1308" w:type="dxa"/>
            <w:tcBorders>
              <w:top w:val="single" w:color="auto" w:sz="4" w:space="0"/>
              <w:left w:val="single" w:color="auto" w:sz="4" w:space="0"/>
              <w:right w:val="single" w:color="auto" w:sz="4" w:space="0"/>
            </w:tcBorders>
            <w:vAlign w:val="center"/>
          </w:tcPr>
          <w:p>
            <w:pPr>
              <w:widowControl/>
              <w:adjustRightInd/>
              <w:jc w:val="center"/>
              <w:rPr>
                <w:rFonts w:ascii="仿宋_GB2312" w:hAnsi="仿宋_GB2312" w:eastAsia="仿宋_GB2312" w:cs="仿宋_GB2312"/>
                <w:szCs w:val="21"/>
              </w:rPr>
            </w:pPr>
            <w:r>
              <w:rPr>
                <w:rFonts w:hint="eastAsia" w:ascii="仿宋_GB2312" w:hAnsi="仿宋_GB2312" w:eastAsia="仿宋_GB2312" w:cs="仿宋_GB2312"/>
                <w:szCs w:val="21"/>
              </w:rPr>
              <w:t>服务方案</w:t>
            </w:r>
          </w:p>
        </w:tc>
        <w:tc>
          <w:tcPr>
            <w:tcW w:w="6381" w:type="dxa"/>
            <w:tcBorders>
              <w:top w:val="single" w:color="auto" w:sz="4" w:space="0"/>
              <w:left w:val="single" w:color="auto" w:sz="4" w:space="0"/>
              <w:bottom w:val="single" w:color="auto" w:sz="4" w:space="0"/>
              <w:right w:val="single" w:color="auto" w:sz="4" w:space="0"/>
            </w:tcBorders>
            <w:vAlign w:val="center"/>
          </w:tcPr>
          <w:p>
            <w:pPr>
              <w:pStyle w:val="33"/>
              <w:snapToGrid w:val="0"/>
              <w:rPr>
                <w:rFonts w:ascii="仿宋_GB2312" w:hAnsi="仿宋_GB2312" w:eastAsia="仿宋_GB2312" w:cs="仿宋_GB2312"/>
              </w:rPr>
            </w:pPr>
            <w:r>
              <w:rPr>
                <w:rFonts w:hint="eastAsia" w:ascii="仿宋_GB2312" w:hAnsi="仿宋_GB2312" w:eastAsia="仿宋_GB2312" w:cs="仿宋_GB2312"/>
              </w:rPr>
              <w:t>1、投标方案与需求的吻合程度，是否根据用户方网络、计算环境、网络安全防护体系等资产的实际情况和实际需要，提供针对性的服务方案。（0-5分）；</w:t>
            </w:r>
          </w:p>
          <w:p>
            <w:pPr>
              <w:pStyle w:val="33"/>
              <w:snapToGrid w:val="0"/>
              <w:rPr>
                <w:rFonts w:ascii="仿宋_GB2312" w:hAnsi="仿宋_GB2312" w:eastAsia="仿宋_GB2312" w:cs="仿宋_GB2312"/>
              </w:rPr>
            </w:pPr>
            <w:r>
              <w:rPr>
                <w:rFonts w:hint="eastAsia" w:ascii="仿宋_GB2312" w:hAnsi="仿宋_GB2312" w:eastAsia="仿宋_GB2312" w:cs="仿宋_GB2312"/>
              </w:rPr>
              <w:t>2、服务方案的全面性、完整性，是否详尽涵盖全部采购需求。（0-3分）；</w:t>
            </w:r>
          </w:p>
          <w:p>
            <w:pPr>
              <w:pStyle w:val="33"/>
              <w:snapToGrid w:val="0"/>
              <w:rPr>
                <w:rFonts w:ascii="仿宋_GB2312" w:hAnsi="仿宋_GB2312" w:eastAsia="仿宋_GB2312" w:cs="仿宋_GB2312"/>
              </w:rPr>
            </w:pPr>
            <w:r>
              <w:rPr>
                <w:rFonts w:hint="eastAsia" w:ascii="仿宋_GB2312" w:hAnsi="仿宋_GB2312" w:eastAsia="仿宋_GB2312" w:cs="仿宋_GB2312"/>
              </w:rPr>
              <w:t>3、服务方案的科学性、合理性，服务设计方案描述是否满足招标文件服务内容、范围、目标等要求。（0-2分）</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snapToGrid w:val="0"/>
              <w:jc w:val="center"/>
              <w:rPr>
                <w:rFonts w:ascii="仿宋_GB2312" w:hAnsi="仿宋_GB2312" w:eastAsia="仿宋_GB2312" w:cs="仿宋_GB2312"/>
              </w:rPr>
            </w:pPr>
            <w:r>
              <w:rPr>
                <w:rFonts w:hint="eastAsia" w:ascii="仿宋_GB2312" w:hAnsi="仿宋_GB2312" w:eastAsia="仿宋_GB2312" w:cs="仿宋_GB231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858" w:type="dxa"/>
            <w:vMerge w:val="continue"/>
            <w:tcBorders>
              <w:left w:val="single" w:color="auto" w:sz="4" w:space="0"/>
              <w:right w:val="single" w:color="auto" w:sz="4" w:space="0"/>
            </w:tcBorders>
            <w:vAlign w:val="center"/>
          </w:tcPr>
          <w:p>
            <w:pPr>
              <w:jc w:val="left"/>
              <w:rPr>
                <w:rFonts w:ascii="仿宋_GB2312" w:hAnsi="仿宋_GB2312" w:eastAsia="仿宋_GB2312" w:cs="仿宋_GB2312"/>
                <w:kern w:val="0"/>
                <w:szCs w:val="21"/>
              </w:rPr>
            </w:pPr>
          </w:p>
        </w:tc>
        <w:tc>
          <w:tcPr>
            <w:tcW w:w="1308" w:type="dxa"/>
            <w:tcBorders>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组织实施方案</w:t>
            </w:r>
          </w:p>
        </w:tc>
        <w:tc>
          <w:tcPr>
            <w:tcW w:w="6381" w:type="dxa"/>
            <w:tcBorders>
              <w:top w:val="single" w:color="auto" w:sz="4" w:space="0"/>
              <w:left w:val="single" w:color="auto" w:sz="4" w:space="0"/>
              <w:bottom w:val="single" w:color="auto" w:sz="4" w:space="0"/>
              <w:right w:val="single" w:color="auto" w:sz="4" w:space="0"/>
            </w:tcBorders>
            <w:vAlign w:val="center"/>
          </w:tcPr>
          <w:p>
            <w:pPr>
              <w:pStyle w:val="33"/>
              <w:snapToGrid w:val="0"/>
              <w:rPr>
                <w:rFonts w:ascii="仿宋_GB2312" w:hAnsi="仿宋_GB2312" w:eastAsia="仿宋_GB2312" w:cs="仿宋_GB2312"/>
              </w:rPr>
            </w:pPr>
            <w:r>
              <w:rPr>
                <w:rFonts w:hint="eastAsia" w:ascii="仿宋_GB2312" w:hAnsi="仿宋_GB2312" w:eastAsia="仿宋_GB2312" w:cs="仿宋_GB2312"/>
              </w:rPr>
              <w:t>1、投标人组织实施方案的科学性、合理性、规范性、安全性和可操作性，以及组织机构、工作时间进度表、工作程序和步骤、管理和协调方法、关键步骤的思路和要点等；（0-4分）</w:t>
            </w:r>
          </w:p>
          <w:p>
            <w:pPr>
              <w:pStyle w:val="33"/>
              <w:snapToGrid w:val="0"/>
              <w:rPr>
                <w:rFonts w:ascii="仿宋_GB2312" w:hAnsi="仿宋_GB2312" w:eastAsia="仿宋_GB2312" w:cs="仿宋_GB2312"/>
              </w:rPr>
            </w:pPr>
            <w:r>
              <w:rPr>
                <w:rFonts w:hint="eastAsia" w:ascii="仿宋_GB2312" w:hAnsi="仿宋_GB2312" w:eastAsia="仿宋_GB2312" w:cs="仿宋_GB2312"/>
              </w:rPr>
              <w:t>2、投标人提出的应急预案的合理性、可行性情况；（0-3分）</w:t>
            </w:r>
          </w:p>
          <w:p>
            <w:pPr>
              <w:pStyle w:val="33"/>
              <w:snapToGrid w:val="0"/>
              <w:rPr>
                <w:rFonts w:ascii="仿宋_GB2312" w:hAnsi="仿宋_GB2312" w:eastAsia="仿宋_GB2312" w:cs="仿宋_GB2312"/>
              </w:rPr>
            </w:pPr>
            <w:r>
              <w:rPr>
                <w:rFonts w:hint="eastAsia" w:ascii="仿宋_GB2312" w:hAnsi="仿宋_GB2312" w:eastAsia="仿宋_GB2312" w:cs="仿宋_GB2312"/>
              </w:rPr>
              <w:t>3、投标人按采购人要求是否有明确的质量保证目标，质量保证措施和体系合理先进并具有详细的实施内容。（0-3分）</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snapToGrid w:val="0"/>
              <w:jc w:val="center"/>
              <w:rPr>
                <w:rFonts w:ascii="仿宋_GB2312" w:hAnsi="仿宋_GB2312" w:eastAsia="仿宋_GB2312" w:cs="仿宋_GB2312"/>
              </w:rPr>
            </w:pPr>
            <w:r>
              <w:rPr>
                <w:rFonts w:hint="eastAsia" w:ascii="仿宋_GB2312" w:hAnsi="仿宋_GB2312" w:eastAsia="仿宋_GB2312" w:cs="仿宋_GB231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858" w:type="dxa"/>
            <w:vMerge w:val="continue"/>
            <w:tcBorders>
              <w:left w:val="single" w:color="auto" w:sz="4" w:space="0"/>
              <w:right w:val="single" w:color="auto" w:sz="4" w:space="0"/>
            </w:tcBorders>
            <w:vAlign w:val="center"/>
          </w:tcPr>
          <w:p>
            <w:pPr>
              <w:widowControl/>
              <w:adjustRightInd/>
              <w:jc w:val="left"/>
              <w:rPr>
                <w:rFonts w:ascii="仿宋_GB2312" w:hAnsi="仿宋_GB2312" w:eastAsia="仿宋_GB2312" w:cs="仿宋_GB2312"/>
                <w:kern w:val="0"/>
                <w:szCs w:val="21"/>
              </w:rPr>
            </w:pPr>
          </w:p>
        </w:tc>
        <w:tc>
          <w:tcPr>
            <w:tcW w:w="1308" w:type="dxa"/>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售后服务保障情况</w:t>
            </w:r>
          </w:p>
        </w:tc>
        <w:tc>
          <w:tcPr>
            <w:tcW w:w="6381" w:type="dxa"/>
            <w:tcBorders>
              <w:top w:val="single" w:color="auto" w:sz="4" w:space="0"/>
              <w:left w:val="single" w:color="auto" w:sz="4" w:space="0"/>
              <w:bottom w:val="single" w:color="auto" w:sz="4" w:space="0"/>
              <w:right w:val="single" w:color="auto" w:sz="4" w:space="0"/>
            </w:tcBorders>
            <w:vAlign w:val="center"/>
          </w:tcPr>
          <w:p>
            <w:pPr>
              <w:pStyle w:val="33"/>
              <w:snapToGrid w:val="0"/>
              <w:rPr>
                <w:rFonts w:ascii="仿宋_GB2312" w:hAnsi="仿宋_GB2312" w:eastAsia="仿宋_GB2312" w:cs="仿宋_GB2312"/>
              </w:rPr>
            </w:pPr>
            <w:r>
              <w:rPr>
                <w:rFonts w:hint="eastAsia" w:ascii="仿宋_GB2312" w:hAnsi="仿宋_GB2312" w:eastAsia="仿宋_GB2312" w:cs="仿宋_GB2312"/>
              </w:rPr>
              <w:t>1、投标人提供的售后服务方案及服务承诺的可行性、完整性，售后服务响应时间、到达现场时间、处理速度、服务承诺落实的保障措施等情况；（0-3分）</w:t>
            </w:r>
          </w:p>
          <w:p>
            <w:pPr>
              <w:pStyle w:val="33"/>
              <w:snapToGrid w:val="0"/>
              <w:rPr>
                <w:rFonts w:ascii="仿宋_GB2312" w:hAnsi="仿宋_GB2312" w:eastAsia="仿宋_GB2312" w:cs="仿宋_GB2312"/>
              </w:rPr>
            </w:pPr>
            <w:r>
              <w:rPr>
                <w:rFonts w:hint="eastAsia" w:ascii="仿宋_GB2312" w:hAnsi="仿宋_GB2312" w:eastAsia="仿宋_GB2312" w:cs="仿宋_GB2312"/>
              </w:rPr>
              <w:t>2、投标人提供的售后服务团队和人员情况，是否具有丰富经验和较强的技术服务能力：售后服务团队人员拥有CCNP/HCIP及以上网络认证、CISP信息安全工程师、MCSE微软系统工程师、LINUX认证证书、深信服认证安全资深工程师证书（SCSP）；每提供一种证书得2分，最高得10分。（0-10分）</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napToGrid w:val="0"/>
                <w:szCs w:val="21"/>
              </w:rPr>
            </w:pPr>
            <w:r>
              <w:rPr>
                <w:rFonts w:hint="eastAsia" w:ascii="仿宋_GB2312" w:hAnsi="仿宋_GB2312" w:eastAsia="仿宋_GB2312" w:cs="仿宋_GB2312"/>
                <w:snapToGrid w:val="0"/>
                <w:szCs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58" w:type="dxa"/>
            <w:vMerge w:val="continue"/>
            <w:tcBorders>
              <w:left w:val="single" w:color="auto" w:sz="4" w:space="0"/>
              <w:right w:val="single" w:color="auto" w:sz="4" w:space="0"/>
            </w:tcBorders>
            <w:vAlign w:val="center"/>
          </w:tcPr>
          <w:p>
            <w:pPr>
              <w:widowControl/>
              <w:adjustRightInd/>
              <w:jc w:val="left"/>
              <w:rPr>
                <w:rFonts w:ascii="仿宋_GB2312" w:hAnsi="仿宋_GB2312" w:eastAsia="仿宋_GB2312" w:cs="仿宋_GB2312"/>
                <w:kern w:val="0"/>
                <w:szCs w:val="21"/>
              </w:rPr>
            </w:pPr>
          </w:p>
        </w:tc>
        <w:tc>
          <w:tcPr>
            <w:tcW w:w="1308" w:type="dxa"/>
            <w:tcBorders>
              <w:left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项目组人员素质情况</w:t>
            </w:r>
          </w:p>
        </w:tc>
        <w:tc>
          <w:tcPr>
            <w:tcW w:w="6381" w:type="dxa"/>
            <w:tcBorders>
              <w:top w:val="single" w:color="auto" w:sz="4" w:space="0"/>
              <w:left w:val="single" w:color="auto" w:sz="4" w:space="0"/>
              <w:bottom w:val="single" w:color="auto" w:sz="4" w:space="0"/>
              <w:right w:val="single" w:color="auto" w:sz="4" w:space="0"/>
            </w:tcBorders>
            <w:vAlign w:val="center"/>
          </w:tcPr>
          <w:p>
            <w:pPr>
              <w:pStyle w:val="33"/>
              <w:snapToGrid w:val="0"/>
              <w:rPr>
                <w:rFonts w:ascii="仿宋_GB2312" w:hAnsi="仿宋_GB2312" w:eastAsia="仿宋_GB2312" w:cs="仿宋_GB2312"/>
                <w:lang w:val="zh-CN"/>
              </w:rPr>
            </w:pPr>
            <w:r>
              <w:rPr>
                <w:rFonts w:hint="eastAsia" w:ascii="仿宋_GB2312" w:hAnsi="仿宋_GB2312" w:eastAsia="仿宋_GB2312" w:cs="仿宋_GB2312"/>
              </w:rPr>
              <w:t>1、</w:t>
            </w:r>
            <w:r>
              <w:rPr>
                <w:rFonts w:hint="eastAsia" w:ascii="仿宋_GB2312" w:hAnsi="仿宋_GB2312" w:eastAsia="仿宋_GB2312" w:cs="仿宋_GB2312"/>
                <w:lang w:val="zh-CN"/>
              </w:rPr>
              <w:t>项目经理具备信息系统项目管理师资质，得</w:t>
            </w:r>
            <w:r>
              <w:rPr>
                <w:rFonts w:hint="eastAsia" w:ascii="仿宋_GB2312" w:hAnsi="仿宋_GB2312" w:eastAsia="仿宋_GB2312" w:cs="仿宋_GB2312"/>
              </w:rPr>
              <w:t>2</w:t>
            </w:r>
            <w:r>
              <w:rPr>
                <w:rFonts w:hint="eastAsia" w:ascii="仿宋_GB2312" w:hAnsi="仿宋_GB2312" w:eastAsia="仿宋_GB2312" w:cs="仿宋_GB2312"/>
                <w:lang w:val="zh-CN"/>
              </w:rPr>
              <w:t>分；</w:t>
            </w:r>
          </w:p>
          <w:p>
            <w:pPr>
              <w:pStyle w:val="33"/>
              <w:snapToGrid w:val="0"/>
              <w:rPr>
                <w:rFonts w:ascii="仿宋_GB2312" w:hAnsi="仿宋_GB2312" w:eastAsia="仿宋_GB2312" w:cs="仿宋_GB2312"/>
                <w:lang w:val="zh-CN"/>
              </w:rPr>
            </w:pPr>
            <w:r>
              <w:rPr>
                <w:rFonts w:hint="eastAsia" w:ascii="仿宋_GB2312" w:hAnsi="仿宋_GB2312" w:eastAsia="仿宋_GB2312" w:cs="仿宋_GB2312"/>
              </w:rPr>
              <w:t>2、</w:t>
            </w:r>
            <w:r>
              <w:rPr>
                <w:rFonts w:hint="eastAsia" w:ascii="仿宋_GB2312" w:hAnsi="仿宋_GB2312" w:eastAsia="仿宋_GB2312" w:cs="仿宋_GB2312"/>
                <w:lang w:val="zh-CN"/>
              </w:rPr>
              <w:t>根据运维服务范围内核心关键资产情况，以及运维人员能力要求，人员具备网络类认证（CCNP或HCIP及以上）、虚拟化平台类认证（VMware VCP或深信服虚拟化高级工程师）、数据库类认证Oracle OCM认证证书，以上三类</w:t>
            </w:r>
            <w:r>
              <w:rPr>
                <w:rFonts w:hint="eastAsia" w:ascii="仿宋_GB2312" w:hAnsi="仿宋_GB2312" w:eastAsia="仿宋_GB2312" w:cs="仿宋_GB2312"/>
              </w:rPr>
              <w:t>每提供一种证书得2分，最高得6分。</w:t>
            </w:r>
          </w:p>
          <w:p>
            <w:pPr>
              <w:pStyle w:val="33"/>
              <w:snapToGrid w:val="0"/>
              <w:rPr>
                <w:rFonts w:ascii="仿宋_GB2312" w:hAnsi="仿宋_GB2312" w:eastAsia="仿宋_GB2312" w:cs="仿宋_GB2312"/>
              </w:rPr>
            </w:pPr>
            <w:r>
              <w:rPr>
                <w:rFonts w:hint="eastAsia" w:ascii="仿宋_GB2312" w:hAnsi="仿宋_GB2312" w:eastAsia="仿宋_GB2312" w:cs="仿宋_GB2312"/>
              </w:rPr>
              <w:t>注：</w:t>
            </w:r>
            <w:r>
              <w:rPr>
                <w:rFonts w:hint="eastAsia" w:ascii="仿宋_GB2312" w:hAnsi="仿宋_GB2312" w:eastAsia="仿宋_GB2312" w:cs="仿宋_GB2312"/>
                <w:lang w:val="zh-CN"/>
              </w:rPr>
              <w:t>项目组人员应为投标人在职人员，服务期内未经用户同意不得更换。</w:t>
            </w:r>
            <w:r>
              <w:rPr>
                <w:rFonts w:hint="eastAsia" w:ascii="仿宋_GB2312" w:hAnsi="仿宋_GB2312" w:eastAsia="仿宋_GB2312" w:cs="仿宋_GB2312"/>
              </w:rPr>
              <w:t>根据投标文件中提供的项目组人员、社保证明、证书进行评分，未提供或不符合以上条件不得分。</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snapToGrid w:val="0"/>
              <w:jc w:val="center"/>
              <w:rPr>
                <w:rFonts w:ascii="仿宋_GB2312" w:hAnsi="仿宋_GB2312" w:eastAsia="仿宋_GB2312" w:cs="仿宋_GB2312"/>
              </w:rPr>
            </w:pPr>
            <w:r>
              <w:rPr>
                <w:rFonts w:hint="eastAsia" w:ascii="仿宋_GB2312" w:hAnsi="仿宋_GB2312" w:eastAsia="仿宋_GB2312" w:cs="仿宋_GB231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8" w:type="dxa"/>
            <w:vMerge w:val="continue"/>
            <w:tcBorders>
              <w:left w:val="single" w:color="auto" w:sz="4" w:space="0"/>
              <w:right w:val="single" w:color="auto" w:sz="4" w:space="0"/>
            </w:tcBorders>
            <w:vAlign w:val="center"/>
          </w:tcPr>
          <w:p>
            <w:pPr>
              <w:widowControl/>
              <w:adjustRightInd/>
              <w:jc w:val="left"/>
              <w:rPr>
                <w:rFonts w:ascii="仿宋_GB2312" w:hAnsi="仿宋_GB2312" w:eastAsia="仿宋_GB2312" w:cs="仿宋_GB2312"/>
                <w:kern w:val="0"/>
                <w:szCs w:val="21"/>
              </w:rPr>
            </w:pPr>
          </w:p>
        </w:tc>
        <w:tc>
          <w:tcPr>
            <w:tcW w:w="1308" w:type="dxa"/>
            <w:tcBorders>
              <w:top w:val="single" w:color="auto" w:sz="4" w:space="0"/>
              <w:left w:val="single" w:color="auto" w:sz="4" w:space="0"/>
              <w:right w:val="single" w:color="auto" w:sz="4" w:space="0"/>
            </w:tcBorders>
            <w:vAlign w:val="center"/>
          </w:tcPr>
          <w:p>
            <w:pPr>
              <w:pStyle w:val="33"/>
              <w:snapToGrid w:val="0"/>
              <w:jc w:val="center"/>
              <w:rPr>
                <w:rFonts w:ascii="仿宋_GB2312" w:hAnsi="仿宋_GB2312" w:eastAsia="仿宋_GB2312" w:cs="仿宋_GB2312"/>
              </w:rPr>
            </w:pPr>
            <w:r>
              <w:rPr>
                <w:rFonts w:hint="eastAsia" w:ascii="仿宋_GB2312" w:hAnsi="仿宋_GB2312" w:eastAsia="仿宋_GB2312" w:cs="仿宋_GB2312"/>
              </w:rPr>
              <w:t>投标人情况</w:t>
            </w:r>
          </w:p>
        </w:tc>
        <w:tc>
          <w:tcPr>
            <w:tcW w:w="63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kern w:val="0"/>
                <w:szCs w:val="21"/>
              </w:rPr>
              <w:t>投标人已取得AAA级</w:t>
            </w:r>
            <w:r>
              <w:rPr>
                <w:rFonts w:hint="eastAsia" w:ascii="仿宋_GB2312" w:hAnsi="仿宋_GB2312" w:eastAsia="仿宋_GB2312" w:cs="仿宋_GB2312"/>
                <w:szCs w:val="21"/>
              </w:rPr>
              <w:t>企业信用等级证书、ISO9001质量管理体系认证资质、信息技术服务运行维护资质、信息系统集成服务资质，且均在有效期内，每提供一项有效证明得1分，最高得4分；</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jc w:val="center"/>
              <w:rPr>
                <w:rFonts w:ascii="仿宋_GB2312" w:hAnsi="仿宋_GB2312" w:eastAsia="仿宋_GB2312" w:cs="仿宋_GB2312"/>
              </w:rPr>
            </w:pPr>
            <w:r>
              <w:rPr>
                <w:rFonts w:hint="eastAsia" w:ascii="仿宋_GB2312" w:hAnsi="仿宋_GB2312" w:eastAsia="仿宋_GB2312" w:cs="仿宋_GB231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8" w:type="dxa"/>
            <w:vMerge w:val="continue"/>
            <w:tcBorders>
              <w:left w:val="single" w:color="auto" w:sz="4" w:space="0"/>
              <w:bottom w:val="single" w:color="auto" w:sz="4" w:space="0"/>
              <w:right w:val="single" w:color="auto" w:sz="4" w:space="0"/>
            </w:tcBorders>
            <w:vAlign w:val="center"/>
          </w:tcPr>
          <w:p>
            <w:pPr>
              <w:widowControl/>
              <w:adjustRightInd/>
              <w:jc w:val="left"/>
              <w:rPr>
                <w:rFonts w:ascii="仿宋_GB2312" w:hAnsi="仿宋_GB2312" w:eastAsia="仿宋_GB2312" w:cs="仿宋_GB2312"/>
                <w:kern w:val="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pStyle w:val="33"/>
              <w:snapToGrid w:val="0"/>
              <w:jc w:val="center"/>
              <w:rPr>
                <w:rFonts w:ascii="仿宋_GB2312" w:hAnsi="仿宋_GB2312" w:eastAsia="仿宋_GB2312" w:cs="仿宋_GB2312"/>
              </w:rPr>
            </w:pPr>
            <w:r>
              <w:rPr>
                <w:rFonts w:hint="eastAsia" w:ascii="仿宋_GB2312" w:hAnsi="仿宋_GB2312" w:eastAsia="仿宋_GB2312" w:cs="仿宋_GB2312"/>
              </w:rPr>
              <w:t>类似业绩</w:t>
            </w:r>
          </w:p>
        </w:tc>
        <w:tc>
          <w:tcPr>
            <w:tcW w:w="63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2018年1月1日（合同签订时间）以来，投标人承担政府单位运维服务、设备维保案例，每个得1分，此项最高得5分。</w:t>
            </w:r>
          </w:p>
          <w:p>
            <w:pPr>
              <w:snapToGrid w:val="0"/>
              <w:rPr>
                <w:rFonts w:ascii="仿宋_GB2312" w:hAnsi="仿宋_GB2312" w:eastAsia="仿宋_GB2312" w:cs="仿宋_GB2312"/>
                <w:szCs w:val="21"/>
              </w:rPr>
            </w:pPr>
            <w:r>
              <w:rPr>
                <w:rFonts w:hint="eastAsia" w:ascii="仿宋_GB2312" w:hAnsi="仿宋_GB2312" w:eastAsia="仿宋_GB2312" w:cs="仿宋_GB2312"/>
                <w:szCs w:val="21"/>
              </w:rPr>
              <w:t>注：提供业绩合同复印件，未提供或不符合以上条件不得分。</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jc w:val="center"/>
              <w:rPr>
                <w:rFonts w:ascii="仿宋_GB2312" w:hAnsi="仿宋_GB2312" w:eastAsia="仿宋_GB2312" w:cs="仿宋_GB2312"/>
              </w:rPr>
            </w:pPr>
            <w:r>
              <w:rPr>
                <w:rFonts w:hint="eastAsia" w:ascii="仿宋_GB2312" w:hAnsi="仿宋_GB2312" w:eastAsia="仿宋_GB2312" w:cs="仿宋_GB231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合     计</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90</w:t>
            </w:r>
          </w:p>
        </w:tc>
      </w:tr>
    </w:tbl>
    <w:p>
      <w:pPr>
        <w:pStyle w:val="78"/>
        <w:spacing w:line="360" w:lineRule="auto"/>
        <w:ind w:firstLine="481" w:firstLineChars="200"/>
        <w:rPr>
          <w:rFonts w:ascii="仿宋" w:hAnsi="仿宋" w:eastAsia="仿宋" w:cs="仿宋"/>
          <w:b/>
          <w:bCs/>
          <w:sz w:val="24"/>
        </w:rPr>
      </w:pPr>
    </w:p>
    <w:p>
      <w:pPr>
        <w:pStyle w:val="61"/>
        <w:spacing w:line="360" w:lineRule="auto"/>
        <w:ind w:left="840" w:leftChars="400" w:firstLine="0" w:firstLineChars="0"/>
      </w:pPr>
      <w:r>
        <w:rPr>
          <w:rFonts w:hint="eastAsia"/>
        </w:rPr>
        <w:br w:type="page"/>
      </w: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bookmarkEnd w:id="36"/>
      <w:r>
        <w:rPr>
          <w:rFonts w:hint="eastAsia" w:ascii="仿宋_GB2312" w:hAnsi="仿宋" w:eastAsia="仿宋_GB2312" w:cs="仿宋_GB2312"/>
          <w:b/>
          <w:sz w:val="36"/>
          <w:szCs w:val="36"/>
        </w:rPr>
        <w:t xml:space="preserve">  政府采购合同指引</w:t>
      </w:r>
    </w:p>
    <w:p>
      <w:pPr>
        <w:spacing w:line="360" w:lineRule="auto"/>
        <w:rPr>
          <w:rFonts w:ascii="仿宋_GB2312" w:hAnsi="楷体" w:eastAsia="仿宋_GB2312"/>
          <w:sz w:val="24"/>
        </w:rPr>
      </w:pPr>
      <w:bookmarkStart w:id="404" w:name="第五部分"/>
      <w:bookmarkStart w:id="405" w:name="_Toc86217003"/>
    </w:p>
    <w:p>
      <w:pPr>
        <w:snapToGrid w:val="0"/>
        <w:spacing w:line="300" w:lineRule="auto"/>
        <w:jc w:val="center"/>
        <w:rPr>
          <w:rFonts w:ascii="宋体" w:hAnsi="宋体" w:cs="宋体"/>
          <w:b/>
          <w:sz w:val="32"/>
          <w:szCs w:val="32"/>
        </w:rPr>
      </w:pPr>
    </w:p>
    <w:p>
      <w:pPr>
        <w:snapToGrid w:val="0"/>
        <w:spacing w:line="300" w:lineRule="auto"/>
        <w:jc w:val="center"/>
        <w:rPr>
          <w:rFonts w:ascii="宋体" w:hAnsi="宋体" w:cs="宋体"/>
          <w:b/>
          <w:sz w:val="32"/>
          <w:szCs w:val="32"/>
        </w:rPr>
      </w:pPr>
      <w:r>
        <w:rPr>
          <w:rFonts w:hint="eastAsia" w:ascii="宋体" w:hAnsi="宋体" w:cs="宋体"/>
          <w:b/>
          <w:sz w:val="32"/>
          <w:szCs w:val="32"/>
        </w:rPr>
        <w:t>【2021年拱墅区信息化综合运维与服务项目】</w:t>
      </w:r>
    </w:p>
    <w:p>
      <w:pPr>
        <w:snapToGrid w:val="0"/>
        <w:spacing w:line="300" w:lineRule="auto"/>
        <w:jc w:val="center"/>
        <w:rPr>
          <w:rFonts w:ascii="宋体" w:hAnsi="宋体" w:cs="宋体"/>
          <w:b/>
          <w:sz w:val="32"/>
          <w:szCs w:val="32"/>
        </w:rPr>
      </w:pPr>
      <w:r>
        <w:rPr>
          <w:rFonts w:hint="eastAsia" w:ascii="宋体" w:hAnsi="宋体" w:cs="宋体"/>
          <w:b/>
          <w:sz w:val="32"/>
          <w:szCs w:val="32"/>
        </w:rPr>
        <w:t>采购合同</w:t>
      </w:r>
    </w:p>
    <w:p>
      <w:pPr>
        <w:snapToGrid w:val="0"/>
        <w:spacing w:line="300" w:lineRule="auto"/>
        <w:jc w:val="right"/>
        <w:rPr>
          <w:rFonts w:ascii="宋体" w:hAnsi="宋体" w:cs="宋体"/>
          <w:b/>
          <w:sz w:val="28"/>
          <w:szCs w:val="28"/>
        </w:rPr>
      </w:pPr>
    </w:p>
    <w:p>
      <w:pPr>
        <w:snapToGrid w:val="0"/>
        <w:spacing w:line="300" w:lineRule="auto"/>
        <w:jc w:val="center"/>
        <w:rPr>
          <w:rFonts w:ascii="仿宋_GB2312" w:hAnsi="仿宋" w:eastAsia="仿宋_GB2312" w:cs="仿宋_GB2312"/>
          <w:kern w:val="0"/>
          <w:sz w:val="28"/>
          <w:szCs w:val="28"/>
          <w:lang w:val="zh-CN"/>
        </w:rPr>
      </w:pPr>
      <w:r>
        <w:rPr>
          <w:rFonts w:hint="eastAsia" w:ascii="宋体" w:hAnsi="宋体" w:cs="宋体"/>
          <w:b/>
          <w:sz w:val="28"/>
          <w:szCs w:val="28"/>
        </w:rPr>
        <w:t>项目编号：</w:t>
      </w:r>
      <w:r>
        <w:rPr>
          <w:rFonts w:hint="eastAsia" w:ascii="仿宋_GB2312" w:hAnsi="仿宋" w:eastAsia="仿宋_GB2312" w:cs="仿宋_GB2312"/>
          <w:kern w:val="0"/>
          <w:sz w:val="28"/>
          <w:szCs w:val="28"/>
          <w:lang w:val="zh-CN"/>
        </w:rPr>
        <w:t>DLZB2021D-GK-C038</w:t>
      </w:r>
    </w:p>
    <w:p>
      <w:pPr>
        <w:pStyle w:val="78"/>
        <w:jc w:val="center"/>
      </w:pPr>
      <w:r>
        <w:rPr>
          <w:rFonts w:hint="eastAsia" w:ascii="仿宋_GB2312" w:hAnsi="仿宋" w:eastAsia="仿宋_GB2312" w:cs="仿宋_GB2312"/>
          <w:kern w:val="0"/>
          <w:szCs w:val="28"/>
          <w:lang w:val="zh-CN"/>
        </w:rPr>
        <w:t>合同编号【】</w:t>
      </w:r>
    </w:p>
    <w:p>
      <w:pPr>
        <w:pStyle w:val="78"/>
        <w:ind w:firstLine="0"/>
        <w:rPr>
          <w:rFonts w:ascii="宋体" w:hAnsi="宋体" w:cs="宋体"/>
          <w:sz w:val="32"/>
          <w:szCs w:val="32"/>
        </w:rPr>
      </w:pPr>
    </w:p>
    <w:p>
      <w:pPr>
        <w:pStyle w:val="78"/>
        <w:ind w:firstLine="0"/>
        <w:rPr>
          <w:rFonts w:ascii="宋体" w:hAnsi="宋体" w:cs="宋体"/>
          <w:sz w:val="32"/>
          <w:szCs w:val="32"/>
        </w:rPr>
      </w:pPr>
    </w:p>
    <w:p>
      <w:pPr>
        <w:pStyle w:val="78"/>
        <w:ind w:firstLine="0"/>
        <w:rPr>
          <w:rFonts w:ascii="宋体" w:hAnsi="宋体" w:cs="宋体"/>
          <w:sz w:val="32"/>
          <w:szCs w:val="32"/>
        </w:rPr>
      </w:pPr>
    </w:p>
    <w:p>
      <w:pPr>
        <w:pStyle w:val="78"/>
        <w:ind w:firstLine="0"/>
        <w:rPr>
          <w:rFonts w:ascii="宋体" w:hAnsi="宋体" w:cs="宋体"/>
          <w:sz w:val="32"/>
          <w:szCs w:val="32"/>
        </w:rPr>
      </w:pPr>
    </w:p>
    <w:p>
      <w:pPr>
        <w:pStyle w:val="78"/>
        <w:ind w:firstLine="0"/>
        <w:rPr>
          <w:rFonts w:ascii="宋体" w:hAnsi="宋体" w:cs="宋体"/>
          <w:sz w:val="32"/>
          <w:szCs w:val="32"/>
        </w:rPr>
      </w:pPr>
    </w:p>
    <w:p>
      <w:pPr>
        <w:pStyle w:val="78"/>
        <w:ind w:firstLine="0"/>
        <w:rPr>
          <w:rFonts w:ascii="宋体" w:hAnsi="宋体" w:cs="宋体"/>
          <w:sz w:val="32"/>
          <w:szCs w:val="32"/>
        </w:rPr>
      </w:pPr>
    </w:p>
    <w:p>
      <w:pPr>
        <w:pStyle w:val="78"/>
        <w:ind w:firstLine="0"/>
        <w:rPr>
          <w:rFonts w:ascii="宋体" w:hAnsi="宋体" w:cs="宋体"/>
          <w:sz w:val="32"/>
          <w:szCs w:val="32"/>
        </w:rPr>
      </w:pPr>
    </w:p>
    <w:p>
      <w:pPr>
        <w:pStyle w:val="78"/>
        <w:ind w:firstLine="0"/>
        <w:rPr>
          <w:rFonts w:ascii="宋体" w:hAnsi="宋体" w:cs="宋体"/>
          <w:sz w:val="32"/>
          <w:szCs w:val="32"/>
        </w:rPr>
      </w:pPr>
    </w:p>
    <w:p>
      <w:pPr>
        <w:pStyle w:val="78"/>
        <w:ind w:firstLine="0"/>
        <w:rPr>
          <w:rFonts w:ascii="宋体" w:hAnsi="宋体" w:cs="宋体"/>
          <w:sz w:val="32"/>
          <w:szCs w:val="32"/>
        </w:rPr>
      </w:pPr>
    </w:p>
    <w:p>
      <w:pPr>
        <w:pStyle w:val="78"/>
        <w:ind w:firstLine="0"/>
        <w:rPr>
          <w:rFonts w:ascii="宋体" w:hAnsi="宋体" w:cs="宋体"/>
          <w:sz w:val="32"/>
          <w:szCs w:val="32"/>
        </w:rPr>
      </w:pPr>
    </w:p>
    <w:p>
      <w:pPr>
        <w:pStyle w:val="78"/>
        <w:ind w:firstLine="0"/>
        <w:rPr>
          <w:rFonts w:ascii="宋体" w:hAnsi="宋体" w:cs="宋体"/>
          <w:sz w:val="32"/>
          <w:szCs w:val="32"/>
        </w:rPr>
      </w:pPr>
    </w:p>
    <w:p>
      <w:pPr>
        <w:pStyle w:val="78"/>
        <w:ind w:firstLine="0"/>
        <w:rPr>
          <w:rFonts w:ascii="宋体" w:hAnsi="宋体" w:cs="宋体"/>
          <w:sz w:val="32"/>
          <w:szCs w:val="32"/>
        </w:rPr>
      </w:pPr>
    </w:p>
    <w:p>
      <w:pPr>
        <w:pStyle w:val="78"/>
        <w:ind w:firstLine="0"/>
        <w:rPr>
          <w:rFonts w:ascii="宋体" w:hAnsi="宋体" w:cs="宋体"/>
          <w:sz w:val="32"/>
          <w:szCs w:val="32"/>
        </w:rPr>
      </w:pPr>
    </w:p>
    <w:p>
      <w:pPr>
        <w:pStyle w:val="78"/>
        <w:ind w:firstLine="0"/>
        <w:rPr>
          <w:rFonts w:ascii="宋体" w:hAnsi="宋体" w:cs="宋体"/>
          <w:sz w:val="32"/>
          <w:szCs w:val="32"/>
        </w:rPr>
      </w:pPr>
    </w:p>
    <w:p>
      <w:pPr>
        <w:pStyle w:val="78"/>
        <w:ind w:firstLine="0"/>
        <w:rPr>
          <w:rFonts w:ascii="宋体" w:hAnsi="宋体" w:cs="宋体"/>
          <w:sz w:val="32"/>
          <w:szCs w:val="32"/>
        </w:rPr>
      </w:pPr>
    </w:p>
    <w:p>
      <w:pPr>
        <w:pStyle w:val="78"/>
        <w:ind w:firstLine="0"/>
        <w:rPr>
          <w:rFonts w:ascii="宋体" w:hAnsi="宋体" w:cs="宋体"/>
          <w:sz w:val="32"/>
          <w:szCs w:val="32"/>
        </w:rPr>
      </w:pPr>
    </w:p>
    <w:p>
      <w:pPr>
        <w:pStyle w:val="78"/>
        <w:ind w:firstLine="0"/>
        <w:jc w:val="center"/>
        <w:rPr>
          <w:rFonts w:ascii="宋体" w:hAnsi="宋体" w:cs="宋体"/>
          <w:szCs w:val="28"/>
          <w:u w:val="single"/>
        </w:rPr>
      </w:pPr>
      <w:r>
        <w:rPr>
          <w:rFonts w:hint="eastAsia" w:ascii="宋体" w:hAnsi="宋体" w:cs="宋体"/>
          <w:szCs w:val="28"/>
        </w:rPr>
        <w:t>甲方：</w:t>
      </w:r>
      <w:r>
        <w:rPr>
          <w:rFonts w:hint="eastAsia" w:ascii="宋体" w:hAnsi="宋体" w:cs="宋体"/>
          <w:szCs w:val="28"/>
          <w:u w:val="single"/>
        </w:rPr>
        <w:t>杭州市拱墅区数据资源管理局</w:t>
      </w:r>
    </w:p>
    <w:p>
      <w:pPr>
        <w:pStyle w:val="78"/>
        <w:ind w:firstLine="2298" w:firstLineChars="821"/>
        <w:jc w:val="left"/>
        <w:rPr>
          <w:rFonts w:ascii="宋体" w:hAnsi="宋体" w:cs="宋体"/>
          <w:szCs w:val="28"/>
        </w:rPr>
      </w:pPr>
      <w:r>
        <w:rPr>
          <w:rFonts w:hint="eastAsia" w:ascii="宋体" w:hAnsi="宋体" w:cs="宋体"/>
          <w:szCs w:val="28"/>
        </w:rPr>
        <w:t xml:space="preserve">乙方：                          </w:t>
      </w:r>
    </w:p>
    <w:p>
      <w:pPr>
        <w:pStyle w:val="78"/>
        <w:ind w:firstLine="0"/>
        <w:jc w:val="center"/>
        <w:rPr>
          <w:rFonts w:ascii="宋体" w:hAnsi="宋体" w:cs="宋体"/>
          <w:szCs w:val="28"/>
        </w:rPr>
      </w:pPr>
      <w:r>
        <w:rPr>
          <w:rFonts w:hint="eastAsia" w:ascii="宋体" w:hAnsi="宋体" w:cs="宋体"/>
          <w:szCs w:val="28"/>
        </w:rPr>
        <w:t>签署日期：        年    月    日</w:t>
      </w:r>
    </w:p>
    <w:p>
      <w:pPr>
        <w:spacing w:line="360" w:lineRule="auto"/>
        <w:rPr>
          <w:rFonts w:ascii="仿宋_GB2312" w:hAnsi="楷体" w:eastAsia="仿宋_GB2312"/>
          <w:sz w:val="24"/>
        </w:rPr>
      </w:pPr>
      <w:r>
        <w:rPr>
          <w:rFonts w:ascii="Arial" w:hAnsi="Arial" w:cs="Arial"/>
          <w:b/>
          <w:bCs/>
          <w:sz w:val="32"/>
          <w:szCs w:val="32"/>
        </w:rPr>
        <w:br w:type="page"/>
      </w:r>
    </w:p>
    <w:p>
      <w:pPr>
        <w:pStyle w:val="78"/>
        <w:snapToGrid w:val="0"/>
        <w:ind w:firstLine="0"/>
        <w:jc w:val="center"/>
        <w:rPr>
          <w:rFonts w:ascii="Arial" w:hAnsi="Arial" w:cs="Arial"/>
          <w:b/>
          <w:bCs/>
          <w:sz w:val="32"/>
          <w:szCs w:val="32"/>
        </w:rPr>
      </w:pPr>
      <w:r>
        <w:rPr>
          <w:rFonts w:ascii="Arial" w:hAnsi="Arial" w:cs="Arial"/>
          <w:b/>
          <w:bCs/>
          <w:sz w:val="32"/>
          <w:szCs w:val="32"/>
        </w:rPr>
        <w:t>合同条款</w:t>
      </w:r>
    </w:p>
    <w:p>
      <w:pPr>
        <w:pStyle w:val="78"/>
        <w:snapToGrid w:val="0"/>
        <w:ind w:firstLine="0"/>
        <w:jc w:val="center"/>
        <w:rPr>
          <w:rFonts w:ascii="Arial" w:hAnsi="Arial" w:cs="Arial"/>
          <w:sz w:val="18"/>
          <w:szCs w:val="18"/>
        </w:rPr>
      </w:pPr>
    </w:p>
    <w:p>
      <w:pPr>
        <w:pStyle w:val="78"/>
        <w:snapToGrid w:val="0"/>
        <w:ind w:firstLine="0"/>
        <w:jc w:val="center"/>
        <w:rPr>
          <w:rFonts w:ascii="Arial" w:hAnsi="Arial" w:cs="Arial"/>
          <w:sz w:val="18"/>
          <w:szCs w:val="18"/>
        </w:rPr>
      </w:pPr>
    </w:p>
    <w:p>
      <w:pPr>
        <w:adjustRightInd/>
        <w:snapToGrid w:val="0"/>
        <w:spacing w:line="360" w:lineRule="auto"/>
        <w:ind w:firstLine="420" w:firstLineChars="200"/>
        <w:rPr>
          <w:rFonts w:ascii="宋体" w:hAnsi="宋体" w:cs="宋体"/>
          <w:szCs w:val="21"/>
        </w:rPr>
      </w:pPr>
      <w:r>
        <w:rPr>
          <w:rFonts w:hint="eastAsia" w:ascii="宋体" w:hAnsi="宋体" w:cs="宋体"/>
          <w:kern w:val="0"/>
          <w:szCs w:val="21"/>
          <w:u w:val="single"/>
        </w:rPr>
        <w:t>杭州市拱墅区数据资源管理局</w:t>
      </w:r>
      <w:r>
        <w:rPr>
          <w:rFonts w:hint="eastAsia" w:ascii="宋体" w:hAnsi="宋体" w:cs="宋体"/>
          <w:szCs w:val="21"/>
        </w:rPr>
        <w:t>（甲方）</w:t>
      </w:r>
      <w:r>
        <w:rPr>
          <w:rFonts w:hint="eastAsia" w:ascii="宋体" w:hAnsi="宋体" w:cs="宋体"/>
          <w:szCs w:val="21"/>
          <w:u w:val="single"/>
        </w:rPr>
        <w:t>【】</w:t>
      </w:r>
      <w:r>
        <w:rPr>
          <w:rFonts w:hint="eastAsia" w:ascii="宋体" w:hAnsi="宋体" w:cs="宋体"/>
          <w:szCs w:val="21"/>
        </w:rPr>
        <w:t>（项目名称）中所需</w:t>
      </w:r>
      <w:r>
        <w:rPr>
          <w:rFonts w:hint="eastAsia" w:ascii="宋体" w:hAnsi="宋体" w:cs="宋体"/>
          <w:szCs w:val="21"/>
          <w:u w:val="single"/>
        </w:rPr>
        <w:t>【】</w:t>
      </w:r>
      <w:r>
        <w:rPr>
          <w:rFonts w:hint="eastAsia" w:ascii="宋体" w:hAnsi="宋体" w:cs="宋体"/>
          <w:szCs w:val="21"/>
        </w:rPr>
        <w:t>（标项名称）经</w:t>
      </w:r>
      <w:r>
        <w:rPr>
          <w:rFonts w:hint="eastAsia" w:ascii="宋体" w:hAnsi="宋体" w:cs="宋体"/>
          <w:kern w:val="0"/>
          <w:szCs w:val="21"/>
          <w:u w:val="single"/>
        </w:rPr>
        <w:t>杭州市拱墅区数据资源管理局</w:t>
      </w:r>
      <w:r>
        <w:rPr>
          <w:rFonts w:hint="eastAsia" w:ascii="宋体" w:hAnsi="宋体" w:cs="宋体"/>
          <w:kern w:val="0"/>
          <w:szCs w:val="21"/>
        </w:rPr>
        <w:t>（采购人）</w:t>
      </w:r>
      <w:r>
        <w:rPr>
          <w:rFonts w:hint="eastAsia" w:ascii="宋体" w:hAnsi="宋体" w:cs="宋体"/>
          <w:szCs w:val="21"/>
        </w:rPr>
        <w:t>以招标文件（项目编号：</w:t>
      </w:r>
      <w:r>
        <w:rPr>
          <w:rFonts w:hint="eastAsia" w:ascii="宋体" w:hAnsi="宋体" w:cs="宋体"/>
          <w:szCs w:val="21"/>
          <w:u w:val="single"/>
        </w:rPr>
        <w:t>【】</w:t>
      </w:r>
      <w:r>
        <w:rPr>
          <w:rFonts w:hint="eastAsia" w:ascii="宋体" w:hAnsi="宋体" w:cs="宋体"/>
          <w:szCs w:val="21"/>
        </w:rPr>
        <w:t>）进行公开招标，确定</w:t>
      </w:r>
      <w:r>
        <w:rPr>
          <w:rFonts w:hint="eastAsia" w:ascii="宋体" w:hAnsi="宋体" w:cs="宋体"/>
          <w:szCs w:val="21"/>
          <w:u w:val="single"/>
        </w:rPr>
        <w:t>【】</w:t>
      </w:r>
      <w:r>
        <w:rPr>
          <w:rFonts w:hint="eastAsia" w:ascii="宋体" w:hAnsi="宋体" w:cs="宋体"/>
          <w:szCs w:val="21"/>
        </w:rPr>
        <w:t>（乙方）为中标人。甲、乙双方依据《中华人民共和国政府采购法》、《民法典》等相关法律法规以及本项目招标文件的规定，在平等自愿的基础上，达成如下合同。</w:t>
      </w:r>
    </w:p>
    <w:p>
      <w:pPr>
        <w:spacing w:line="360" w:lineRule="auto"/>
        <w:ind w:firstLine="421" w:firstLineChars="200"/>
        <w:rPr>
          <w:rFonts w:ascii="宋体" w:hAnsi="宋体" w:cs="宋体"/>
          <w:szCs w:val="21"/>
        </w:rPr>
      </w:pPr>
      <w:r>
        <w:rPr>
          <w:rFonts w:hint="eastAsia" w:ascii="宋体" w:hAnsi="宋体" w:cs="宋体"/>
          <w:b/>
          <w:bCs/>
          <w:szCs w:val="21"/>
        </w:rPr>
        <w:t>一、下列文件构成本合同的组成部分</w:t>
      </w:r>
    </w:p>
    <w:p>
      <w:pPr>
        <w:snapToGrid w:val="0"/>
        <w:spacing w:line="360" w:lineRule="auto"/>
        <w:ind w:firstLine="420" w:firstLineChars="200"/>
        <w:rPr>
          <w:rFonts w:ascii="宋体" w:hAnsi="宋体" w:cs="宋体"/>
          <w:szCs w:val="21"/>
        </w:rPr>
      </w:pPr>
      <w:r>
        <w:rPr>
          <w:rFonts w:hint="eastAsia" w:ascii="宋体" w:hAnsi="宋体" w:cs="宋体"/>
          <w:szCs w:val="21"/>
        </w:rPr>
        <w:t>组成本合同的文件及优先解释顺序如下：</w:t>
      </w:r>
    </w:p>
    <w:p>
      <w:pPr>
        <w:snapToGrid w:val="0"/>
        <w:spacing w:line="360" w:lineRule="auto"/>
        <w:ind w:firstLine="420" w:firstLineChars="200"/>
        <w:rPr>
          <w:rFonts w:ascii="宋体" w:hAnsi="宋体" w:cs="宋体"/>
          <w:szCs w:val="21"/>
        </w:rPr>
      </w:pPr>
      <w:r>
        <w:rPr>
          <w:rFonts w:hint="eastAsia" w:ascii="宋体" w:hAnsi="宋体" w:cs="宋体"/>
          <w:szCs w:val="21"/>
        </w:rPr>
        <w:t>1.本合同书</w:t>
      </w:r>
    </w:p>
    <w:p>
      <w:pPr>
        <w:snapToGrid w:val="0"/>
        <w:spacing w:line="360" w:lineRule="auto"/>
        <w:ind w:firstLine="420" w:firstLineChars="200"/>
        <w:rPr>
          <w:rFonts w:ascii="宋体" w:hAnsi="宋体" w:cs="宋体"/>
          <w:szCs w:val="21"/>
        </w:rPr>
      </w:pPr>
      <w:r>
        <w:rPr>
          <w:rFonts w:hint="eastAsia" w:ascii="宋体" w:hAnsi="宋体" w:cs="宋体"/>
          <w:szCs w:val="21"/>
        </w:rPr>
        <w:t>2.中标通知书</w:t>
      </w:r>
    </w:p>
    <w:p>
      <w:pPr>
        <w:snapToGrid w:val="0"/>
        <w:spacing w:line="360" w:lineRule="auto"/>
        <w:ind w:firstLine="420" w:firstLineChars="200"/>
        <w:rPr>
          <w:rFonts w:ascii="宋体" w:hAnsi="宋体" w:cs="宋体"/>
          <w:szCs w:val="21"/>
        </w:rPr>
      </w:pPr>
      <w:r>
        <w:rPr>
          <w:rFonts w:hint="eastAsia" w:ascii="宋体" w:hAnsi="宋体" w:cs="宋体"/>
          <w:szCs w:val="21"/>
        </w:rPr>
        <w:t>3.询标承诺</w:t>
      </w:r>
    </w:p>
    <w:p>
      <w:pPr>
        <w:snapToGrid w:val="0"/>
        <w:spacing w:line="360" w:lineRule="auto"/>
        <w:ind w:firstLine="420" w:firstLineChars="200"/>
        <w:rPr>
          <w:rFonts w:ascii="宋体" w:hAnsi="宋体" w:cs="宋体"/>
          <w:szCs w:val="21"/>
        </w:rPr>
      </w:pPr>
      <w:r>
        <w:rPr>
          <w:rFonts w:hint="eastAsia" w:ascii="宋体" w:hAnsi="宋体" w:cs="宋体"/>
          <w:szCs w:val="21"/>
        </w:rPr>
        <w:t>4.投标文件</w:t>
      </w:r>
    </w:p>
    <w:p>
      <w:pPr>
        <w:snapToGrid w:val="0"/>
        <w:spacing w:line="360" w:lineRule="auto"/>
        <w:ind w:firstLine="420" w:firstLineChars="200"/>
        <w:rPr>
          <w:rFonts w:ascii="宋体" w:hAnsi="宋体" w:cs="宋体"/>
          <w:szCs w:val="21"/>
        </w:rPr>
      </w:pPr>
      <w:r>
        <w:rPr>
          <w:rFonts w:hint="eastAsia" w:ascii="宋体" w:hAnsi="宋体" w:cs="宋体"/>
          <w:szCs w:val="21"/>
        </w:rPr>
        <w:t>5.招标文件</w:t>
      </w:r>
    </w:p>
    <w:p>
      <w:pPr>
        <w:pStyle w:val="78"/>
        <w:spacing w:line="360" w:lineRule="auto"/>
        <w:ind w:firstLineChars="200"/>
        <w:rPr>
          <w:rFonts w:ascii="宋体" w:hAnsi="宋体" w:cs="宋体"/>
          <w:sz w:val="21"/>
          <w:szCs w:val="21"/>
        </w:rPr>
      </w:pPr>
      <w:r>
        <w:rPr>
          <w:rFonts w:hint="eastAsia" w:ascii="宋体" w:hAnsi="宋体" w:cs="宋体"/>
          <w:sz w:val="21"/>
          <w:szCs w:val="21"/>
        </w:rPr>
        <w:t>以上文件应该认为是一个整体，彼此相互解释和补充。</w:t>
      </w:r>
    </w:p>
    <w:p>
      <w:pPr>
        <w:spacing w:line="360" w:lineRule="auto"/>
        <w:ind w:firstLine="421" w:firstLineChars="200"/>
        <w:rPr>
          <w:rFonts w:ascii="宋体" w:hAnsi="宋体" w:cs="宋体"/>
          <w:b/>
          <w:bCs/>
          <w:szCs w:val="21"/>
        </w:rPr>
      </w:pPr>
      <w:r>
        <w:rPr>
          <w:rFonts w:hint="eastAsia" w:ascii="宋体" w:hAnsi="宋体" w:cs="宋体"/>
          <w:b/>
          <w:bCs/>
          <w:szCs w:val="21"/>
        </w:rPr>
        <w:t>二、合同标的物</w:t>
      </w:r>
      <w:r>
        <w:rPr>
          <w:rFonts w:hint="eastAsia" w:ascii="宋体" w:hAnsi="宋体" w:cs="宋体"/>
          <w:szCs w:val="21"/>
        </w:rPr>
        <w:t>（详见附件清单）</w:t>
      </w:r>
    </w:p>
    <w:p>
      <w:pPr>
        <w:snapToGrid w:val="0"/>
        <w:spacing w:line="360" w:lineRule="auto"/>
        <w:ind w:firstLine="420" w:firstLineChars="200"/>
        <w:rPr>
          <w:rFonts w:ascii="宋体" w:hAnsi="宋体" w:cs="宋体"/>
          <w:szCs w:val="21"/>
        </w:rPr>
      </w:pPr>
      <w:r>
        <w:rPr>
          <w:rFonts w:hint="eastAsia" w:ascii="宋体" w:hAnsi="宋体" w:cs="宋体"/>
          <w:szCs w:val="21"/>
        </w:rPr>
        <w:t>本合同标的物名称：</w:t>
      </w:r>
      <w:r>
        <w:rPr>
          <w:rFonts w:hint="eastAsia" w:ascii="宋体" w:hAnsi="宋体" w:cs="宋体"/>
          <w:szCs w:val="21"/>
          <w:u w:val="single"/>
        </w:rPr>
        <w:t>【】</w:t>
      </w:r>
    </w:p>
    <w:p>
      <w:pPr>
        <w:pStyle w:val="78"/>
        <w:spacing w:line="360" w:lineRule="auto"/>
        <w:ind w:firstLineChars="200"/>
        <w:rPr>
          <w:rFonts w:ascii="宋体" w:hAnsi="宋体" w:cs="宋体"/>
          <w:sz w:val="21"/>
          <w:szCs w:val="21"/>
        </w:rPr>
      </w:pPr>
      <w:r>
        <w:rPr>
          <w:rFonts w:hint="eastAsia" w:ascii="宋体" w:hAnsi="宋体" w:cs="宋体"/>
          <w:sz w:val="21"/>
          <w:szCs w:val="21"/>
        </w:rPr>
        <w:t>本合同标的物数量：</w:t>
      </w:r>
      <w:r>
        <w:rPr>
          <w:rFonts w:hint="eastAsia" w:ascii="宋体" w:hAnsi="宋体" w:cs="宋体"/>
          <w:sz w:val="21"/>
          <w:szCs w:val="21"/>
          <w:u w:val="single"/>
        </w:rPr>
        <w:t>【】</w:t>
      </w:r>
    </w:p>
    <w:p>
      <w:pPr>
        <w:spacing w:line="360" w:lineRule="auto"/>
        <w:ind w:firstLine="421" w:firstLineChars="200"/>
        <w:rPr>
          <w:rFonts w:ascii="宋体" w:hAnsi="宋体" w:cs="宋体"/>
          <w:b/>
          <w:bCs/>
          <w:szCs w:val="21"/>
        </w:rPr>
      </w:pPr>
      <w:r>
        <w:rPr>
          <w:rFonts w:hint="eastAsia" w:ascii="宋体" w:hAnsi="宋体" w:cs="宋体"/>
          <w:b/>
          <w:bCs/>
          <w:szCs w:val="21"/>
        </w:rPr>
        <w:t>三、合同价款与支付方式</w:t>
      </w:r>
    </w:p>
    <w:p>
      <w:pPr>
        <w:spacing w:line="300" w:lineRule="auto"/>
        <w:ind w:firstLine="420"/>
        <w:rPr>
          <w:rFonts w:ascii="宋体" w:hAnsi="宋体" w:cs="宋体"/>
          <w:szCs w:val="21"/>
        </w:rPr>
      </w:pPr>
      <w:r>
        <w:rPr>
          <w:rFonts w:hint="eastAsia" w:ascii="宋体" w:hAnsi="宋体" w:cs="宋体"/>
          <w:szCs w:val="21"/>
        </w:rPr>
        <w:t>本合同总价为：￥</w:t>
      </w:r>
      <w:r>
        <w:rPr>
          <w:rFonts w:hint="eastAsia" w:ascii="宋体" w:hAnsi="宋体" w:cs="宋体"/>
          <w:szCs w:val="21"/>
          <w:u w:val="single"/>
        </w:rPr>
        <w:t>【          】</w:t>
      </w:r>
      <w:r>
        <w:rPr>
          <w:rFonts w:hint="eastAsia" w:ascii="宋体" w:hAnsi="宋体" w:cs="宋体"/>
          <w:szCs w:val="21"/>
        </w:rPr>
        <w:t>万元人民币（大写：万圆整）（含税价，合同价款不受费率变动影响）。</w:t>
      </w:r>
    </w:p>
    <w:p>
      <w:pPr>
        <w:spacing w:line="300" w:lineRule="auto"/>
        <w:ind w:firstLine="420"/>
        <w:rPr>
          <w:rFonts w:ascii="宋体" w:hAnsi="宋体" w:cs="宋体"/>
          <w:szCs w:val="21"/>
        </w:rPr>
      </w:pPr>
      <w:r>
        <w:rPr>
          <w:rFonts w:hint="eastAsia" w:ascii="宋体" w:hAnsi="宋体" w:cs="宋体"/>
          <w:szCs w:val="21"/>
        </w:rPr>
        <w:t>本合同中的支付条件与方式如下（单位：</w:t>
      </w:r>
      <w:r>
        <w:rPr>
          <w:rFonts w:hint="eastAsia" w:ascii="宋体" w:hAnsi="宋体" w:cs="宋体"/>
          <w:szCs w:val="21"/>
          <w:u w:val="single"/>
        </w:rPr>
        <w:t>万元</w:t>
      </w:r>
      <w:r>
        <w:rPr>
          <w:rFonts w:hint="eastAsia" w:ascii="宋体" w:hAnsi="宋体" w:cs="宋体"/>
          <w:szCs w:val="21"/>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122"/>
        <w:gridCol w:w="204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62" w:type="dxa"/>
            <w:vAlign w:val="center"/>
          </w:tcPr>
          <w:p>
            <w:pPr>
              <w:jc w:val="center"/>
              <w:rPr>
                <w:rFonts w:ascii="仿宋" w:hAnsi="仿宋" w:eastAsia="仿宋"/>
                <w:b/>
                <w:bCs/>
                <w:sz w:val="24"/>
              </w:rPr>
            </w:pPr>
            <w:r>
              <w:rPr>
                <w:rFonts w:hint="eastAsia" w:ascii="仿宋" w:hAnsi="仿宋" w:eastAsia="仿宋"/>
                <w:b/>
                <w:bCs/>
                <w:sz w:val="24"/>
              </w:rPr>
              <w:t>付款</w:t>
            </w:r>
          </w:p>
          <w:p>
            <w:pPr>
              <w:jc w:val="center"/>
              <w:rPr>
                <w:rFonts w:ascii="仿宋" w:hAnsi="仿宋" w:eastAsia="仿宋"/>
                <w:b/>
                <w:bCs/>
                <w:sz w:val="24"/>
              </w:rPr>
            </w:pPr>
            <w:r>
              <w:rPr>
                <w:rFonts w:hint="eastAsia" w:ascii="仿宋" w:hAnsi="仿宋" w:eastAsia="仿宋"/>
                <w:b/>
                <w:bCs/>
                <w:sz w:val="24"/>
              </w:rPr>
              <w:t>阶段</w:t>
            </w:r>
          </w:p>
        </w:tc>
        <w:tc>
          <w:tcPr>
            <w:tcW w:w="5122" w:type="dxa"/>
            <w:vAlign w:val="center"/>
          </w:tcPr>
          <w:p>
            <w:pPr>
              <w:jc w:val="center"/>
              <w:rPr>
                <w:rFonts w:ascii="仿宋" w:hAnsi="仿宋" w:eastAsia="仿宋"/>
                <w:b/>
                <w:bCs/>
                <w:sz w:val="24"/>
              </w:rPr>
            </w:pPr>
            <w:r>
              <w:rPr>
                <w:rFonts w:hint="eastAsia" w:ascii="仿宋" w:hAnsi="仿宋" w:eastAsia="仿宋"/>
                <w:b/>
                <w:bCs/>
                <w:sz w:val="24"/>
              </w:rPr>
              <w:t>付款条件</w:t>
            </w:r>
          </w:p>
        </w:tc>
        <w:tc>
          <w:tcPr>
            <w:tcW w:w="2040" w:type="dxa"/>
            <w:vAlign w:val="center"/>
          </w:tcPr>
          <w:p>
            <w:pPr>
              <w:jc w:val="center"/>
              <w:rPr>
                <w:rFonts w:ascii="仿宋" w:hAnsi="仿宋" w:eastAsia="仿宋"/>
                <w:b/>
                <w:bCs/>
                <w:sz w:val="24"/>
              </w:rPr>
            </w:pPr>
            <w:r>
              <w:rPr>
                <w:rFonts w:hint="eastAsia" w:ascii="仿宋" w:hAnsi="仿宋" w:eastAsia="仿宋"/>
                <w:b/>
                <w:bCs/>
                <w:sz w:val="24"/>
              </w:rPr>
              <w:t>支付内容</w:t>
            </w:r>
          </w:p>
        </w:tc>
        <w:tc>
          <w:tcPr>
            <w:tcW w:w="959" w:type="dxa"/>
            <w:vAlign w:val="center"/>
          </w:tcPr>
          <w:p>
            <w:pPr>
              <w:jc w:val="center"/>
              <w:rPr>
                <w:rFonts w:ascii="仿宋" w:hAnsi="仿宋" w:eastAsia="仿宋"/>
                <w:b/>
                <w:bCs/>
                <w:sz w:val="24"/>
              </w:rPr>
            </w:pPr>
            <w:r>
              <w:rPr>
                <w:rFonts w:hint="eastAsia" w:ascii="仿宋" w:hAnsi="仿宋" w:eastAsia="仿宋"/>
                <w:b/>
                <w:bCs/>
                <w:sz w:val="24"/>
              </w:rPr>
              <w:t>支付</w:t>
            </w:r>
          </w:p>
          <w:p>
            <w:pPr>
              <w:jc w:val="center"/>
              <w:rPr>
                <w:rFonts w:ascii="仿宋" w:hAnsi="仿宋" w:eastAsia="仿宋"/>
                <w:b/>
                <w:bCs/>
                <w:sz w:val="24"/>
              </w:rPr>
            </w:pPr>
            <w:r>
              <w:rPr>
                <w:rFonts w:hint="eastAsia" w:ascii="仿宋" w:hAnsi="仿宋" w:eastAsia="仿宋"/>
                <w:b/>
                <w:bCs/>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862" w:type="dxa"/>
            <w:vAlign w:val="center"/>
          </w:tcPr>
          <w:p>
            <w:pPr>
              <w:jc w:val="center"/>
              <w:rPr>
                <w:rFonts w:ascii="宋体" w:hAnsi="宋体" w:cs="宋体"/>
                <w:szCs w:val="21"/>
              </w:rPr>
            </w:pPr>
            <w:r>
              <w:rPr>
                <w:rFonts w:hint="eastAsia" w:ascii="宋体" w:hAnsi="宋体" w:cs="宋体"/>
                <w:szCs w:val="21"/>
              </w:rPr>
              <w:t>第1次</w:t>
            </w:r>
          </w:p>
        </w:tc>
        <w:tc>
          <w:tcPr>
            <w:tcW w:w="5122" w:type="dxa"/>
            <w:vAlign w:val="center"/>
          </w:tcPr>
          <w:p>
            <w:pPr>
              <w:numPr>
                <w:ilvl w:val="0"/>
                <w:numId w:val="11"/>
              </w:numPr>
              <w:rPr>
                <w:rFonts w:ascii="宋体" w:hAnsi="宋体" w:cs="宋体"/>
                <w:szCs w:val="21"/>
              </w:rPr>
            </w:pPr>
            <w:r>
              <w:rPr>
                <w:rFonts w:hint="eastAsia" w:ascii="宋体" w:hAnsi="宋体" w:cs="宋体"/>
                <w:szCs w:val="21"/>
              </w:rPr>
              <w:t>双方签订合同，甲方收到履约保证金之日起15个工作日内；</w:t>
            </w:r>
          </w:p>
          <w:p>
            <w:pPr>
              <w:numPr>
                <w:ilvl w:val="0"/>
                <w:numId w:val="11"/>
              </w:numPr>
              <w:rPr>
                <w:rFonts w:ascii="宋体" w:hAnsi="宋体" w:cs="宋体"/>
                <w:szCs w:val="21"/>
              </w:rPr>
            </w:pPr>
            <w:r>
              <w:rPr>
                <w:rFonts w:hint="eastAsia" w:ascii="宋体" w:hAnsi="宋体" w:cs="宋体"/>
                <w:szCs w:val="21"/>
              </w:rPr>
              <w:t>乙方提交《拱墅区网络与信息安全承诺书》（单位）；</w:t>
            </w:r>
          </w:p>
          <w:p>
            <w:pPr>
              <w:numPr>
                <w:ilvl w:val="0"/>
                <w:numId w:val="11"/>
              </w:numPr>
              <w:rPr>
                <w:rFonts w:ascii="宋体" w:hAnsi="宋体" w:cs="宋体"/>
                <w:szCs w:val="21"/>
              </w:rPr>
            </w:pPr>
            <w:r>
              <w:rPr>
                <w:rFonts w:hint="eastAsia" w:ascii="宋体" w:hAnsi="宋体" w:cs="宋体"/>
                <w:szCs w:val="21"/>
              </w:rPr>
              <w:t>乙方提交《拱墅区网络与信息安全保密承诺书》（个人）；</w:t>
            </w:r>
          </w:p>
          <w:p>
            <w:pPr>
              <w:numPr>
                <w:ilvl w:val="0"/>
                <w:numId w:val="11"/>
              </w:numPr>
              <w:rPr>
                <w:rFonts w:ascii="宋体" w:hAnsi="宋体" w:cs="宋体"/>
                <w:szCs w:val="21"/>
              </w:rPr>
            </w:pPr>
            <w:r>
              <w:rPr>
                <w:rFonts w:hint="eastAsia" w:ascii="宋体" w:hAnsi="宋体" w:cs="宋体"/>
                <w:szCs w:val="21"/>
              </w:rPr>
              <w:t>乙方提交《廉政承诺书》。</w:t>
            </w:r>
          </w:p>
        </w:tc>
        <w:tc>
          <w:tcPr>
            <w:tcW w:w="2040" w:type="dxa"/>
            <w:vAlign w:val="center"/>
          </w:tcPr>
          <w:p>
            <w:pPr>
              <w:jc w:val="left"/>
              <w:rPr>
                <w:rFonts w:hint="eastAsia" w:ascii="宋体" w:hAnsi="宋体" w:cs="宋体"/>
                <w:b/>
                <w:bCs/>
                <w:color w:val="auto"/>
                <w:szCs w:val="21"/>
                <w:lang w:eastAsia="zh-CN"/>
              </w:rPr>
            </w:pPr>
            <w:r>
              <w:rPr>
                <w:rFonts w:hint="eastAsia" w:ascii="宋体" w:hAnsi="宋体" w:cs="宋体"/>
                <w:b/>
                <w:bCs/>
                <w:color w:val="auto"/>
                <w:szCs w:val="21"/>
                <w:lang w:val="en-US" w:eastAsia="zh-CN"/>
              </w:rPr>
              <w:t>其中</w:t>
            </w:r>
            <w:r>
              <w:rPr>
                <w:rFonts w:hint="eastAsia" w:ascii="宋体" w:hAnsi="宋体" w:cs="宋体"/>
                <w:b/>
                <w:bCs/>
                <w:color w:val="auto"/>
                <w:szCs w:val="21"/>
                <w:lang w:eastAsia="zh-CN"/>
              </w:rPr>
              <w:t>标项</w:t>
            </w:r>
            <w:r>
              <w:rPr>
                <w:rFonts w:hint="eastAsia" w:ascii="宋体" w:hAnsi="宋体" w:cs="宋体"/>
                <w:b/>
                <w:bCs/>
                <w:color w:val="auto"/>
                <w:szCs w:val="21"/>
                <w:lang w:val="en-US" w:eastAsia="zh-CN"/>
              </w:rPr>
              <w:t>2中</w:t>
            </w:r>
            <w:r>
              <w:rPr>
                <w:rFonts w:hint="eastAsia" w:ascii="宋体" w:hAnsi="宋体" w:cs="宋体"/>
                <w:b/>
                <w:bCs/>
                <w:color w:val="auto"/>
                <w:szCs w:val="21"/>
              </w:rPr>
              <w:t>“机房设备维保服务”的100%</w:t>
            </w:r>
            <w:r>
              <w:rPr>
                <w:rFonts w:hint="eastAsia" w:ascii="宋体" w:hAnsi="宋体" w:cs="宋体"/>
                <w:b/>
                <w:bCs/>
                <w:color w:val="auto"/>
                <w:szCs w:val="21"/>
                <w:lang w:eastAsia="zh-CN"/>
              </w:rPr>
              <w:t>；</w:t>
            </w:r>
          </w:p>
          <w:p>
            <w:pPr>
              <w:ind w:firstLine="0"/>
              <w:jc w:val="left"/>
              <w:rPr>
                <w:rFonts w:ascii="宋体" w:hAnsi="宋体" w:cs="宋体"/>
                <w:sz w:val="21"/>
                <w:szCs w:val="21"/>
              </w:rPr>
            </w:pPr>
            <w:r>
              <w:rPr>
                <w:rFonts w:hint="eastAsia" w:ascii="宋体" w:hAnsi="宋体" w:cs="宋体"/>
                <w:sz w:val="21"/>
                <w:szCs w:val="21"/>
              </w:rPr>
              <w:t>其他</w:t>
            </w:r>
            <w:r>
              <w:rPr>
                <w:rFonts w:hint="eastAsia" w:ascii="宋体" w:hAnsi="宋体" w:cs="宋体"/>
                <w:sz w:val="21"/>
                <w:szCs w:val="21"/>
                <w:lang w:eastAsia="zh-CN"/>
              </w:rPr>
              <w:t>部分</w:t>
            </w:r>
            <w:r>
              <w:rPr>
                <w:rFonts w:hint="eastAsia" w:ascii="宋体" w:hAnsi="宋体" w:cs="宋体"/>
                <w:sz w:val="21"/>
                <w:szCs w:val="21"/>
              </w:rPr>
              <w:t>的40%</w:t>
            </w:r>
          </w:p>
        </w:tc>
        <w:tc>
          <w:tcPr>
            <w:tcW w:w="95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62" w:type="dxa"/>
            <w:vAlign w:val="center"/>
          </w:tcPr>
          <w:p>
            <w:pPr>
              <w:jc w:val="center"/>
              <w:rPr>
                <w:rFonts w:ascii="宋体" w:hAnsi="宋体" w:cs="宋体"/>
                <w:szCs w:val="21"/>
              </w:rPr>
            </w:pPr>
            <w:r>
              <w:rPr>
                <w:rFonts w:hint="eastAsia" w:ascii="宋体" w:hAnsi="宋体" w:cs="宋体"/>
                <w:szCs w:val="21"/>
              </w:rPr>
              <w:t>第2次</w:t>
            </w:r>
          </w:p>
        </w:tc>
        <w:tc>
          <w:tcPr>
            <w:tcW w:w="5122" w:type="dxa"/>
            <w:vAlign w:val="center"/>
          </w:tcPr>
          <w:p>
            <w:pPr>
              <w:numPr>
                <w:ilvl w:val="0"/>
                <w:numId w:val="11"/>
              </w:numPr>
              <w:rPr>
                <w:rFonts w:ascii="宋体" w:hAnsi="宋体" w:cs="宋体"/>
                <w:szCs w:val="21"/>
              </w:rPr>
            </w:pPr>
            <w:r>
              <w:rPr>
                <w:rFonts w:hint="eastAsia" w:ascii="宋体" w:hAnsi="宋体" w:cs="宋体"/>
                <w:szCs w:val="21"/>
              </w:rPr>
              <w:t>合同签订（服务期）满半年且完成初验。</w:t>
            </w:r>
          </w:p>
        </w:tc>
        <w:tc>
          <w:tcPr>
            <w:tcW w:w="2040" w:type="dxa"/>
            <w:vAlign w:val="center"/>
          </w:tcPr>
          <w:p>
            <w:pPr>
              <w:jc w:val="center"/>
              <w:rPr>
                <w:rFonts w:ascii="宋体" w:hAnsi="宋体" w:cs="宋体"/>
                <w:szCs w:val="21"/>
              </w:rPr>
            </w:pPr>
            <w:r>
              <w:rPr>
                <w:rFonts w:hint="eastAsia" w:ascii="宋体" w:hAnsi="宋体" w:cs="宋体"/>
                <w:szCs w:val="21"/>
              </w:rPr>
              <w:t>其他部分的40%</w:t>
            </w:r>
          </w:p>
        </w:tc>
        <w:tc>
          <w:tcPr>
            <w:tcW w:w="95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62" w:type="dxa"/>
            <w:vAlign w:val="center"/>
          </w:tcPr>
          <w:p>
            <w:pPr>
              <w:jc w:val="center"/>
              <w:rPr>
                <w:rFonts w:ascii="宋体" w:hAnsi="宋体" w:cs="宋体"/>
                <w:szCs w:val="21"/>
              </w:rPr>
            </w:pPr>
            <w:r>
              <w:rPr>
                <w:rFonts w:hint="eastAsia" w:ascii="宋体" w:hAnsi="宋体" w:cs="宋体"/>
                <w:szCs w:val="21"/>
              </w:rPr>
              <w:t>第3次</w:t>
            </w:r>
          </w:p>
        </w:tc>
        <w:tc>
          <w:tcPr>
            <w:tcW w:w="5122" w:type="dxa"/>
            <w:vAlign w:val="center"/>
          </w:tcPr>
          <w:p>
            <w:pPr>
              <w:numPr>
                <w:ilvl w:val="0"/>
                <w:numId w:val="11"/>
              </w:numPr>
              <w:rPr>
                <w:rFonts w:ascii="宋体" w:hAnsi="宋体" w:cs="宋体"/>
                <w:szCs w:val="21"/>
              </w:rPr>
            </w:pPr>
            <w:r>
              <w:rPr>
                <w:rFonts w:hint="eastAsia" w:ascii="宋体" w:hAnsi="宋体" w:cs="宋体"/>
                <w:szCs w:val="21"/>
              </w:rPr>
              <w:t>服务期满并完成终验；</w:t>
            </w:r>
          </w:p>
          <w:p>
            <w:pPr>
              <w:numPr>
                <w:ilvl w:val="0"/>
                <w:numId w:val="11"/>
              </w:numPr>
              <w:rPr>
                <w:rFonts w:ascii="宋体" w:hAnsi="宋体" w:cs="宋体"/>
                <w:szCs w:val="21"/>
              </w:rPr>
            </w:pPr>
            <w:r>
              <w:rPr>
                <w:rFonts w:hint="eastAsia" w:ascii="宋体" w:hAnsi="宋体" w:cs="宋体"/>
                <w:szCs w:val="21"/>
              </w:rPr>
              <w:t>运行期间未发生合同第六款中描述的情况或已按照合同约定扣除履约保证金。</w:t>
            </w:r>
          </w:p>
        </w:tc>
        <w:tc>
          <w:tcPr>
            <w:tcW w:w="2040" w:type="dxa"/>
            <w:vAlign w:val="center"/>
          </w:tcPr>
          <w:p>
            <w:pPr>
              <w:jc w:val="center"/>
              <w:rPr>
                <w:rFonts w:ascii="宋体" w:hAnsi="宋体" w:cs="宋体"/>
                <w:szCs w:val="21"/>
              </w:rPr>
            </w:pPr>
            <w:r>
              <w:rPr>
                <w:rFonts w:hint="eastAsia" w:ascii="宋体" w:hAnsi="宋体" w:cs="宋体"/>
                <w:szCs w:val="21"/>
              </w:rPr>
              <w:t>其他部分的20%</w:t>
            </w:r>
          </w:p>
        </w:tc>
        <w:tc>
          <w:tcPr>
            <w:tcW w:w="95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983" w:type="dxa"/>
            <w:gridSpan w:val="4"/>
            <w:vAlign w:val="center"/>
          </w:tcPr>
          <w:p>
            <w:pPr>
              <w:ind w:firstLine="420" w:firstLineChars="200"/>
              <w:rPr>
                <w:rFonts w:ascii="宋体" w:hAnsi="宋体" w:cs="宋体"/>
                <w:szCs w:val="21"/>
              </w:rPr>
            </w:pPr>
            <w:r>
              <w:rPr>
                <w:rFonts w:hint="eastAsia" w:ascii="宋体" w:hAnsi="宋体" w:cs="宋体"/>
                <w:szCs w:val="21"/>
              </w:rPr>
              <w:t>终验合格后，履约保证金在服务期满后无息退还。</w:t>
            </w:r>
          </w:p>
        </w:tc>
      </w:tr>
    </w:tbl>
    <w:p>
      <w:pPr>
        <w:spacing w:line="300" w:lineRule="auto"/>
        <w:ind w:firstLine="420"/>
        <w:rPr>
          <w:rFonts w:ascii="宋体" w:hAnsi="宋体" w:cs="宋体"/>
          <w:szCs w:val="21"/>
        </w:rPr>
      </w:pPr>
      <w:r>
        <w:rPr>
          <w:rFonts w:hint="eastAsia" w:ascii="宋体" w:hAnsi="宋体" w:cs="宋体"/>
          <w:szCs w:val="21"/>
        </w:rPr>
        <w:t>备注：其他部分（智慧电子政务综合运维服务、项目需求管理服务、咨询服务、运维服务、三级数据仓驻场服务、一体化智能化公共数据平台驻场服务）</w:t>
      </w:r>
    </w:p>
    <w:p>
      <w:pPr>
        <w:pStyle w:val="78"/>
        <w:rPr>
          <w:rFonts w:ascii="宋体" w:hAnsi="宋体" w:cs="宋体"/>
          <w:sz w:val="21"/>
          <w:szCs w:val="21"/>
          <w:u w:val="single"/>
        </w:rPr>
      </w:pPr>
    </w:p>
    <w:p>
      <w:pPr>
        <w:spacing w:line="360" w:lineRule="auto"/>
        <w:ind w:firstLine="420" w:firstLineChars="200"/>
        <w:rPr>
          <w:rFonts w:ascii="宋体" w:hAnsi="宋体" w:cs="宋体"/>
          <w:szCs w:val="21"/>
        </w:rPr>
      </w:pPr>
      <w:r>
        <w:rPr>
          <w:rFonts w:hint="eastAsia" w:ascii="宋体" w:hAnsi="宋体" w:cs="宋体"/>
          <w:szCs w:val="21"/>
        </w:rPr>
        <w:t>合同款支付时，乙方需提供同等金额的正规发票给甲方，甲方收到发票后按规定向财政部门申请支付。以上付款时间是指在乙方提供发票后，甲方完成向财政部门申报支付手续的时间，财政部门审查及实际支付可能造成的时间延误不视为甲方违约。</w:t>
      </w:r>
    </w:p>
    <w:p>
      <w:pPr>
        <w:pStyle w:val="78"/>
        <w:spacing w:line="360" w:lineRule="auto"/>
        <w:ind w:firstLineChars="200"/>
        <w:rPr>
          <w:rFonts w:ascii="宋体" w:hAnsi="宋体" w:cs="宋体"/>
          <w:sz w:val="21"/>
          <w:szCs w:val="21"/>
        </w:rPr>
      </w:pPr>
      <w:r>
        <w:rPr>
          <w:rFonts w:hint="eastAsia" w:ascii="宋体" w:hAnsi="宋体" w:cs="宋体"/>
          <w:sz w:val="21"/>
          <w:szCs w:val="21"/>
        </w:rPr>
        <w:t>乙方收款账户信息：</w:t>
      </w:r>
    </w:p>
    <w:p>
      <w:pPr>
        <w:spacing w:line="360" w:lineRule="auto"/>
        <w:ind w:firstLine="420" w:firstLineChars="200"/>
        <w:rPr>
          <w:rFonts w:ascii="宋体" w:hAnsi="宋体" w:cs="宋体"/>
          <w:szCs w:val="21"/>
        </w:rPr>
      </w:pPr>
      <w:r>
        <w:rPr>
          <w:rFonts w:hint="eastAsia" w:ascii="宋体" w:hAnsi="宋体" w:cs="宋体"/>
          <w:szCs w:val="21"/>
        </w:rPr>
        <w:t>账户名：</w:t>
      </w:r>
    </w:p>
    <w:p>
      <w:pPr>
        <w:spacing w:line="360" w:lineRule="auto"/>
        <w:ind w:firstLine="420" w:firstLineChars="200"/>
        <w:rPr>
          <w:rFonts w:ascii="宋体" w:hAnsi="宋体" w:cs="宋体"/>
          <w:szCs w:val="21"/>
        </w:rPr>
      </w:pPr>
      <w:r>
        <w:rPr>
          <w:rFonts w:hint="eastAsia" w:ascii="宋体" w:hAnsi="宋体" w:cs="宋体"/>
          <w:szCs w:val="21"/>
        </w:rPr>
        <w:t>银行账号：</w:t>
      </w:r>
    </w:p>
    <w:p>
      <w:pPr>
        <w:spacing w:line="360" w:lineRule="auto"/>
        <w:ind w:firstLine="420" w:firstLineChars="200"/>
        <w:rPr>
          <w:rFonts w:ascii="宋体" w:hAnsi="宋体" w:cs="宋体"/>
          <w:szCs w:val="21"/>
        </w:rPr>
      </w:pPr>
      <w:r>
        <w:rPr>
          <w:rFonts w:hint="eastAsia" w:ascii="宋体" w:hAnsi="宋体" w:cs="宋体"/>
          <w:szCs w:val="21"/>
        </w:rPr>
        <w:t>开户银行：</w:t>
      </w:r>
    </w:p>
    <w:p>
      <w:pPr>
        <w:spacing w:line="360" w:lineRule="auto"/>
        <w:ind w:firstLine="421" w:firstLineChars="200"/>
        <w:rPr>
          <w:rFonts w:ascii="宋体" w:hAnsi="宋体" w:cs="宋体"/>
          <w:b/>
          <w:bCs/>
          <w:szCs w:val="21"/>
        </w:rPr>
      </w:pPr>
      <w:r>
        <w:rPr>
          <w:rFonts w:hint="eastAsia" w:ascii="宋体" w:hAnsi="宋体" w:cs="宋体"/>
          <w:b/>
          <w:bCs/>
          <w:szCs w:val="21"/>
        </w:rPr>
        <w:t>四、履约保证金</w:t>
      </w:r>
    </w:p>
    <w:p>
      <w:pPr>
        <w:snapToGrid w:val="0"/>
        <w:spacing w:line="360" w:lineRule="auto"/>
        <w:ind w:firstLine="420" w:firstLineChars="200"/>
        <w:rPr>
          <w:rFonts w:ascii="宋体" w:hAnsi="宋体" w:cs="宋体"/>
          <w:szCs w:val="21"/>
        </w:rPr>
      </w:pPr>
      <w:r>
        <w:rPr>
          <w:rFonts w:hint="eastAsia" w:ascii="宋体" w:hAnsi="宋体" w:cs="宋体"/>
          <w:szCs w:val="21"/>
        </w:rPr>
        <w:t>1.乙方应在合同签订后15个工作日内向甲方提交履约保证金为￥</w:t>
      </w:r>
      <w:r>
        <w:rPr>
          <w:rFonts w:hint="eastAsia" w:ascii="宋体" w:hAnsi="宋体" w:cs="宋体"/>
          <w:szCs w:val="21"/>
          <w:u w:val="single"/>
        </w:rPr>
        <w:t>【万】</w:t>
      </w:r>
      <w:r>
        <w:rPr>
          <w:rFonts w:hint="eastAsia" w:ascii="宋体" w:hAnsi="宋体" w:cs="宋体"/>
          <w:szCs w:val="21"/>
        </w:rPr>
        <w:t>元（合同金额的5%）。</w:t>
      </w:r>
    </w:p>
    <w:p>
      <w:pPr>
        <w:snapToGrid w:val="0"/>
        <w:spacing w:line="360" w:lineRule="auto"/>
        <w:ind w:firstLine="420" w:firstLineChars="200"/>
        <w:rPr>
          <w:rFonts w:ascii="宋体" w:hAnsi="宋体" w:cs="宋体"/>
          <w:szCs w:val="21"/>
        </w:rPr>
      </w:pPr>
      <w:r>
        <w:rPr>
          <w:rFonts w:hint="eastAsia" w:ascii="宋体" w:hAnsi="宋体" w:cs="宋体"/>
          <w:szCs w:val="21"/>
        </w:rPr>
        <w:t>2.逾期缴纳履约保证金的，每延迟一周，按履约保证金总金额的0.5%支付违约金，一周按7天计算，不足7天按一周计算。</w:t>
      </w:r>
    </w:p>
    <w:p>
      <w:pPr>
        <w:snapToGrid w:val="0"/>
        <w:spacing w:line="360" w:lineRule="auto"/>
        <w:ind w:firstLine="420" w:firstLineChars="200"/>
        <w:rPr>
          <w:rFonts w:ascii="宋体" w:hAnsi="宋体" w:cs="宋体"/>
          <w:szCs w:val="21"/>
        </w:rPr>
      </w:pPr>
      <w:r>
        <w:rPr>
          <w:rFonts w:hint="eastAsia" w:ascii="宋体" w:hAnsi="宋体" w:cs="宋体"/>
          <w:szCs w:val="21"/>
        </w:rPr>
        <w:t>3.履约保证金用于赔偿甲方因乙方不能正常履行其合同义务或项目在开发、运行期间产生的安全事故而蒙受的损失。</w:t>
      </w:r>
    </w:p>
    <w:p>
      <w:pPr>
        <w:snapToGrid w:val="0"/>
        <w:spacing w:line="360" w:lineRule="auto"/>
        <w:ind w:firstLine="420" w:firstLineChars="200"/>
        <w:rPr>
          <w:rFonts w:ascii="宋体" w:hAnsi="宋体" w:cs="宋体"/>
          <w:szCs w:val="21"/>
        </w:rPr>
      </w:pPr>
      <w:r>
        <w:rPr>
          <w:rFonts w:hint="eastAsia" w:ascii="宋体" w:hAnsi="宋体" w:cs="宋体"/>
          <w:szCs w:val="21"/>
        </w:rPr>
        <w:t>4.履约保证金采用转账/银行保函/保险保证等非现金形式缴纳，使用转账形式的，将履约保证金汇入指定账号：</w:t>
      </w:r>
    </w:p>
    <w:p>
      <w:pPr>
        <w:spacing w:line="360" w:lineRule="auto"/>
        <w:ind w:firstLine="420" w:firstLineChars="200"/>
        <w:rPr>
          <w:rFonts w:ascii="宋体" w:hAnsi="宋体" w:cs="宋体"/>
          <w:szCs w:val="21"/>
        </w:rPr>
      </w:pPr>
      <w:r>
        <w:rPr>
          <w:rFonts w:hint="eastAsia" w:ascii="宋体" w:hAnsi="宋体" w:cs="宋体"/>
          <w:szCs w:val="21"/>
        </w:rPr>
        <w:t>账户名：杭州市拱墅区数据资源管理局</w:t>
      </w:r>
    </w:p>
    <w:p>
      <w:pPr>
        <w:spacing w:line="360" w:lineRule="auto"/>
        <w:ind w:firstLine="420" w:firstLineChars="200"/>
        <w:rPr>
          <w:rFonts w:ascii="宋体" w:hAnsi="宋体" w:cs="宋体"/>
          <w:szCs w:val="21"/>
        </w:rPr>
      </w:pPr>
      <w:r>
        <w:rPr>
          <w:rFonts w:hint="eastAsia" w:ascii="宋体" w:hAnsi="宋体" w:cs="宋体"/>
          <w:szCs w:val="21"/>
        </w:rPr>
        <w:t>银行账号：3301040160012668425</w:t>
      </w:r>
    </w:p>
    <w:p>
      <w:pPr>
        <w:spacing w:line="360" w:lineRule="auto"/>
        <w:ind w:firstLine="420" w:firstLineChars="200"/>
        <w:rPr>
          <w:rFonts w:ascii="宋体" w:hAnsi="宋体" w:cs="宋体"/>
          <w:szCs w:val="21"/>
        </w:rPr>
      </w:pPr>
      <w:r>
        <w:rPr>
          <w:rFonts w:hint="eastAsia" w:ascii="宋体" w:hAnsi="宋体" w:cs="宋体"/>
          <w:szCs w:val="21"/>
        </w:rPr>
        <w:t>开户银行：杭州银行湖墅支行</w:t>
      </w:r>
    </w:p>
    <w:p>
      <w:pPr>
        <w:spacing w:line="360" w:lineRule="auto"/>
        <w:ind w:firstLine="420" w:firstLineChars="200"/>
        <w:rPr>
          <w:rFonts w:ascii="宋体" w:hAnsi="宋体" w:cs="宋体"/>
          <w:szCs w:val="21"/>
        </w:rPr>
      </w:pPr>
      <w:r>
        <w:rPr>
          <w:rFonts w:hint="eastAsia" w:ascii="宋体" w:hAnsi="宋体" w:cs="宋体"/>
          <w:szCs w:val="21"/>
        </w:rPr>
        <w:t>5.项目建设内容通过竣工验收，服务（维保）期满后双方不存在任何争议的，甲方无息一次性退还履约保证金。</w:t>
      </w:r>
    </w:p>
    <w:p>
      <w:pPr>
        <w:spacing w:line="360" w:lineRule="auto"/>
        <w:ind w:firstLine="421" w:firstLineChars="200"/>
        <w:rPr>
          <w:rFonts w:ascii="宋体" w:hAnsi="宋体" w:cs="宋体"/>
          <w:b/>
          <w:bCs/>
          <w:szCs w:val="21"/>
        </w:rPr>
      </w:pPr>
      <w:r>
        <w:rPr>
          <w:rFonts w:hint="eastAsia" w:ascii="宋体" w:hAnsi="宋体" w:cs="宋体"/>
          <w:b/>
          <w:bCs/>
          <w:szCs w:val="21"/>
        </w:rPr>
        <w:t>五、甲乙双方的权利义务</w:t>
      </w:r>
    </w:p>
    <w:p>
      <w:pPr>
        <w:snapToGrid w:val="0"/>
        <w:spacing w:line="360" w:lineRule="auto"/>
        <w:ind w:firstLine="420" w:firstLineChars="200"/>
        <w:rPr>
          <w:rFonts w:ascii="宋体" w:hAnsi="宋体" w:cs="宋体"/>
          <w:szCs w:val="21"/>
        </w:rPr>
      </w:pPr>
      <w:r>
        <w:rPr>
          <w:rFonts w:hint="eastAsia" w:ascii="宋体" w:hAnsi="宋体" w:cs="宋体"/>
          <w:szCs w:val="21"/>
        </w:rPr>
        <w:t>1.甲方的权利义务</w:t>
      </w:r>
    </w:p>
    <w:p>
      <w:pPr>
        <w:snapToGrid w:val="0"/>
        <w:spacing w:line="360" w:lineRule="auto"/>
        <w:ind w:firstLine="420" w:firstLineChars="200"/>
        <w:rPr>
          <w:rFonts w:ascii="宋体" w:hAnsi="宋体" w:cs="宋体"/>
          <w:szCs w:val="21"/>
        </w:rPr>
      </w:pPr>
      <w:r>
        <w:rPr>
          <w:rFonts w:hint="eastAsia" w:ascii="宋体" w:hAnsi="宋体" w:cs="宋体"/>
          <w:szCs w:val="21"/>
        </w:rPr>
        <w:t>（1）甲方将依据本协议对项目进行验收、书面确认。</w:t>
      </w:r>
    </w:p>
    <w:p>
      <w:pPr>
        <w:snapToGrid w:val="0"/>
        <w:spacing w:line="360" w:lineRule="auto"/>
        <w:ind w:firstLine="420" w:firstLineChars="200"/>
        <w:rPr>
          <w:rFonts w:ascii="宋体" w:hAnsi="宋体" w:cs="宋体"/>
          <w:szCs w:val="21"/>
        </w:rPr>
      </w:pPr>
      <w:r>
        <w:rPr>
          <w:rFonts w:hint="eastAsia" w:ascii="宋体" w:hAnsi="宋体" w:cs="宋体"/>
          <w:szCs w:val="21"/>
        </w:rPr>
        <w:t>（2）乙方将项目制作完成后，项目版权归甲方所有（详见合同第八款）。</w:t>
      </w:r>
    </w:p>
    <w:p>
      <w:pPr>
        <w:snapToGrid w:val="0"/>
        <w:spacing w:line="360" w:lineRule="auto"/>
        <w:ind w:firstLine="420" w:firstLineChars="200"/>
        <w:rPr>
          <w:rFonts w:ascii="宋体" w:hAnsi="宋体" w:cs="宋体"/>
          <w:szCs w:val="21"/>
        </w:rPr>
      </w:pPr>
      <w:r>
        <w:rPr>
          <w:rFonts w:hint="eastAsia" w:ascii="宋体" w:hAnsi="宋体" w:cs="宋体"/>
          <w:szCs w:val="21"/>
        </w:rPr>
        <w:t>（3）甲方提供项目制作的文本资料和图片，并保证提供的资料不违反国家有关法律，不涉及任何版权的不确定性或者纠纷，如甲方提供的资料涉及上述问题，所引发的经济、法律问题，由甲方承担相应的责任。</w:t>
      </w:r>
    </w:p>
    <w:p>
      <w:pPr>
        <w:snapToGrid w:val="0"/>
        <w:spacing w:line="360" w:lineRule="auto"/>
        <w:ind w:firstLine="420" w:firstLineChars="200"/>
        <w:rPr>
          <w:rFonts w:ascii="宋体" w:hAnsi="宋体" w:cs="宋体"/>
          <w:szCs w:val="21"/>
        </w:rPr>
      </w:pPr>
      <w:r>
        <w:rPr>
          <w:rFonts w:hint="eastAsia" w:ascii="宋体" w:hAnsi="宋体" w:cs="宋体"/>
          <w:szCs w:val="21"/>
        </w:rPr>
        <w:t>（4）甲方须按照协议金额向乙方支付相关费用。</w:t>
      </w:r>
    </w:p>
    <w:p>
      <w:pPr>
        <w:snapToGrid w:val="0"/>
        <w:spacing w:line="360" w:lineRule="auto"/>
        <w:ind w:firstLine="420" w:firstLineChars="200"/>
        <w:rPr>
          <w:rFonts w:ascii="宋体" w:hAnsi="宋体" w:cs="宋体"/>
          <w:szCs w:val="21"/>
        </w:rPr>
      </w:pPr>
      <w:r>
        <w:rPr>
          <w:rFonts w:hint="eastAsia" w:ascii="宋体" w:hAnsi="宋体" w:cs="宋体"/>
          <w:szCs w:val="21"/>
        </w:rPr>
        <w:t>（5）甲方有权利对乙方的工作进展情况进行询问和监督。</w:t>
      </w:r>
    </w:p>
    <w:p>
      <w:pPr>
        <w:snapToGrid w:val="0"/>
        <w:spacing w:line="360" w:lineRule="auto"/>
        <w:ind w:firstLine="420" w:firstLineChars="200"/>
        <w:rPr>
          <w:rFonts w:ascii="宋体" w:hAnsi="宋体" w:cs="宋体"/>
          <w:szCs w:val="21"/>
        </w:rPr>
      </w:pPr>
      <w:r>
        <w:rPr>
          <w:rFonts w:hint="eastAsia" w:ascii="宋体" w:hAnsi="宋体" w:cs="宋体"/>
          <w:szCs w:val="21"/>
        </w:rPr>
        <w:t>（6）甲方有权对软件进行修改或提出修改意见。</w:t>
      </w:r>
    </w:p>
    <w:p>
      <w:pPr>
        <w:snapToGrid w:val="0"/>
        <w:spacing w:line="360" w:lineRule="auto"/>
        <w:ind w:firstLine="420" w:firstLineChars="200"/>
        <w:rPr>
          <w:rFonts w:ascii="宋体" w:hAnsi="宋体" w:cs="宋体"/>
          <w:szCs w:val="21"/>
        </w:rPr>
      </w:pPr>
      <w:r>
        <w:rPr>
          <w:rFonts w:hint="eastAsia" w:ascii="宋体" w:hAnsi="宋体" w:cs="宋体"/>
          <w:szCs w:val="21"/>
          <w:lang w:eastAsia="zh-Hans"/>
        </w:rPr>
        <w:t>（7）甲方有权按法律规定和本合同约定解除合同。</w:t>
      </w:r>
    </w:p>
    <w:p>
      <w:pPr>
        <w:snapToGrid w:val="0"/>
        <w:spacing w:line="360" w:lineRule="auto"/>
        <w:ind w:firstLine="420" w:firstLineChars="200"/>
        <w:rPr>
          <w:rFonts w:ascii="宋体" w:hAnsi="宋体" w:cs="宋体"/>
          <w:szCs w:val="21"/>
        </w:rPr>
      </w:pPr>
      <w:r>
        <w:rPr>
          <w:rFonts w:hint="eastAsia" w:ascii="宋体" w:hAnsi="宋体" w:cs="宋体"/>
          <w:szCs w:val="21"/>
        </w:rPr>
        <w:t>2.乙方的权利义务</w:t>
      </w:r>
    </w:p>
    <w:p>
      <w:pPr>
        <w:snapToGrid w:val="0"/>
        <w:spacing w:line="360" w:lineRule="auto"/>
        <w:ind w:firstLine="420" w:firstLineChars="200"/>
        <w:rPr>
          <w:rFonts w:ascii="宋体" w:hAnsi="宋体" w:cs="宋体"/>
          <w:szCs w:val="21"/>
        </w:rPr>
      </w:pPr>
      <w:r>
        <w:rPr>
          <w:rFonts w:hint="eastAsia" w:ascii="宋体" w:hAnsi="宋体" w:cs="宋体"/>
          <w:szCs w:val="21"/>
        </w:rPr>
        <w:t>（1）乙方应按合同约定的时间、质量完成工作。</w:t>
      </w:r>
    </w:p>
    <w:p>
      <w:pPr>
        <w:snapToGrid w:val="0"/>
        <w:spacing w:line="360" w:lineRule="auto"/>
        <w:ind w:firstLine="420" w:firstLineChars="200"/>
        <w:rPr>
          <w:rFonts w:ascii="宋体" w:hAnsi="宋体" w:cs="宋体"/>
          <w:szCs w:val="21"/>
        </w:rPr>
      </w:pPr>
      <w:r>
        <w:rPr>
          <w:rFonts w:hint="eastAsia" w:ascii="宋体" w:hAnsi="宋体" w:cs="宋体"/>
          <w:szCs w:val="21"/>
        </w:rPr>
        <w:t>（2）乙方有义务保证其制作的网站不侵犯任何第三方的知识产权、商业秘密、个人隐私信息。</w:t>
      </w:r>
    </w:p>
    <w:p>
      <w:pPr>
        <w:snapToGrid w:val="0"/>
        <w:spacing w:line="360" w:lineRule="auto"/>
        <w:ind w:firstLine="420" w:firstLineChars="200"/>
        <w:rPr>
          <w:rFonts w:ascii="宋体" w:hAnsi="宋体" w:cs="宋体"/>
          <w:szCs w:val="21"/>
        </w:rPr>
      </w:pPr>
      <w:r>
        <w:rPr>
          <w:rFonts w:hint="eastAsia" w:ascii="宋体" w:hAnsi="宋体" w:cs="宋体"/>
          <w:szCs w:val="21"/>
        </w:rPr>
        <w:t>（3）乙方有义务保证其制作的项目内容健康，不违反国家法律法规、社会善良风俗。</w:t>
      </w:r>
    </w:p>
    <w:p>
      <w:pPr>
        <w:snapToGrid w:val="0"/>
        <w:spacing w:line="360" w:lineRule="auto"/>
        <w:ind w:firstLine="420" w:firstLineChars="200"/>
        <w:rPr>
          <w:rFonts w:ascii="宋体" w:hAnsi="宋体" w:cs="宋体"/>
          <w:szCs w:val="21"/>
        </w:rPr>
      </w:pPr>
      <w:r>
        <w:rPr>
          <w:rFonts w:hint="eastAsia" w:ascii="宋体" w:hAnsi="宋体" w:cs="宋体"/>
          <w:szCs w:val="21"/>
        </w:rPr>
        <w:t>（4）乙方应按招标文件要求派出工作需要的驻场人员。</w:t>
      </w:r>
    </w:p>
    <w:p>
      <w:pPr>
        <w:snapToGrid w:val="0"/>
        <w:spacing w:line="360" w:lineRule="auto"/>
        <w:ind w:firstLine="420" w:firstLineChars="200"/>
        <w:rPr>
          <w:rFonts w:ascii="宋体" w:hAnsi="宋体" w:cs="宋体"/>
          <w:szCs w:val="21"/>
        </w:rPr>
      </w:pPr>
      <w:r>
        <w:rPr>
          <w:rFonts w:hint="eastAsia" w:ascii="宋体" w:hAnsi="宋体" w:cs="宋体"/>
          <w:szCs w:val="21"/>
        </w:rPr>
        <w:t>（5）乙方有义务保证其制作的项目符合合同约定的其他要求。</w:t>
      </w:r>
    </w:p>
    <w:p>
      <w:pPr>
        <w:pStyle w:val="78"/>
        <w:spacing w:line="360" w:lineRule="auto"/>
        <w:ind w:firstLineChars="200"/>
        <w:rPr>
          <w:rFonts w:ascii="宋体" w:hAnsi="宋体" w:cs="宋体"/>
          <w:sz w:val="21"/>
          <w:szCs w:val="21"/>
          <w:lang w:eastAsia="zh-Hans"/>
        </w:rPr>
      </w:pPr>
      <w:r>
        <w:rPr>
          <w:rFonts w:hint="eastAsia" w:ascii="宋体" w:hAnsi="宋体" w:cs="宋体"/>
          <w:sz w:val="21"/>
          <w:szCs w:val="21"/>
        </w:rPr>
        <w:t>（6）</w:t>
      </w:r>
      <w:r>
        <w:rPr>
          <w:rFonts w:hint="eastAsia" w:ascii="宋体" w:hAnsi="宋体" w:cs="宋体"/>
          <w:sz w:val="21"/>
          <w:szCs w:val="21"/>
          <w:lang w:eastAsia="zh-Hans"/>
        </w:rPr>
        <w:t>乙方不得对本合同项目进行转包或者</w:t>
      </w:r>
      <w:r>
        <w:rPr>
          <w:rFonts w:hint="eastAsia" w:ascii="宋体" w:hAnsi="宋体" w:cs="宋体"/>
          <w:sz w:val="21"/>
          <w:szCs w:val="21"/>
        </w:rPr>
        <w:t>未经甲方书面同意采取分包</w:t>
      </w:r>
      <w:r>
        <w:rPr>
          <w:rFonts w:hint="eastAsia" w:ascii="宋体" w:hAnsi="宋体" w:cs="宋体"/>
          <w:sz w:val="21"/>
          <w:szCs w:val="21"/>
          <w:lang w:eastAsia="zh-Hans"/>
        </w:rPr>
        <w:t>。</w:t>
      </w:r>
    </w:p>
    <w:p>
      <w:pPr>
        <w:pStyle w:val="78"/>
        <w:spacing w:line="360" w:lineRule="auto"/>
        <w:ind w:firstLineChars="200"/>
        <w:rPr>
          <w:rFonts w:ascii="宋体" w:hAnsi="宋体" w:cs="宋体"/>
          <w:sz w:val="21"/>
          <w:szCs w:val="21"/>
        </w:rPr>
      </w:pPr>
      <w:r>
        <w:rPr>
          <w:rFonts w:hint="eastAsia" w:ascii="宋体" w:hAnsi="宋体" w:cs="宋体"/>
          <w:sz w:val="21"/>
          <w:szCs w:val="21"/>
        </w:rPr>
        <w:t>（7）乙方需签订《廉政承诺书》，并遵守相关承诺。</w:t>
      </w:r>
    </w:p>
    <w:p>
      <w:pPr>
        <w:spacing w:line="360" w:lineRule="auto"/>
        <w:ind w:firstLine="421" w:firstLineChars="200"/>
        <w:rPr>
          <w:rFonts w:ascii="宋体" w:hAnsi="宋体" w:cs="宋体"/>
          <w:b/>
          <w:bCs/>
          <w:szCs w:val="21"/>
        </w:rPr>
      </w:pPr>
      <w:r>
        <w:rPr>
          <w:rFonts w:hint="eastAsia" w:ascii="宋体" w:hAnsi="宋体" w:cs="宋体"/>
          <w:b/>
          <w:bCs/>
          <w:szCs w:val="21"/>
        </w:rPr>
        <w:t>六、违约责任</w:t>
      </w:r>
    </w:p>
    <w:p>
      <w:pPr>
        <w:snapToGrid w:val="0"/>
        <w:spacing w:line="360" w:lineRule="auto"/>
        <w:ind w:firstLine="420" w:firstLineChars="200"/>
        <w:rPr>
          <w:rFonts w:ascii="宋体" w:hAnsi="宋体" w:cs="宋体"/>
          <w:szCs w:val="21"/>
        </w:rPr>
      </w:pPr>
      <w:r>
        <w:rPr>
          <w:rFonts w:hint="eastAsia" w:ascii="宋体" w:hAnsi="宋体" w:cs="宋体"/>
          <w:szCs w:val="21"/>
        </w:rPr>
        <w:t>1.除合同规定的不可抗力外，如果乙方没有按照合同规定的时间提供服务，甲方可要求乙方支付违约金。每延迟一周，按合同总价的0.5%支付违约金，一周按7天计算，不足7天按一周计算。如果违约金累计达到合同金额的5%，甲方有权解除合同。</w:t>
      </w:r>
      <w:r>
        <w:rPr>
          <w:rFonts w:hint="eastAsia" w:ascii="宋体" w:hAnsi="宋体" w:cs="宋体"/>
          <w:szCs w:val="21"/>
          <w:lang w:eastAsia="zh-Hans"/>
        </w:rPr>
        <w:t>若违约金不足以补偿甲方损失的，超出部分由乙方继续承担。</w:t>
      </w:r>
    </w:p>
    <w:p>
      <w:pPr>
        <w:snapToGrid w:val="0"/>
        <w:spacing w:line="360" w:lineRule="auto"/>
        <w:ind w:firstLine="420" w:firstLineChars="200"/>
        <w:rPr>
          <w:rFonts w:ascii="宋体" w:hAnsi="宋体" w:cs="宋体"/>
          <w:szCs w:val="21"/>
        </w:rPr>
      </w:pPr>
      <w:r>
        <w:rPr>
          <w:rFonts w:hint="eastAsia" w:ascii="宋体" w:hAnsi="宋体" w:cs="宋体"/>
          <w:szCs w:val="21"/>
        </w:rPr>
        <w:t>2.乙方应严格按照合同约定的内容和标准完成项目，若乙方不能按合同约定完成建设内容或所完成的建设内容存在严重质量问题，经确认后，乙方应向甲方</w:t>
      </w:r>
      <w:r>
        <w:rPr>
          <w:rFonts w:hint="eastAsia" w:ascii="宋体" w:hAnsi="宋体" w:cs="宋体"/>
          <w:szCs w:val="21"/>
          <w:lang w:eastAsia="zh-Hans"/>
        </w:rPr>
        <w:t>支付合同总金额5%的违约金</w:t>
      </w:r>
      <w:r>
        <w:rPr>
          <w:rFonts w:hint="eastAsia" w:ascii="宋体" w:hAnsi="宋体" w:cs="宋体"/>
          <w:szCs w:val="21"/>
        </w:rPr>
        <w:t>，如</w:t>
      </w:r>
      <w:r>
        <w:rPr>
          <w:rFonts w:hint="eastAsia" w:ascii="宋体" w:hAnsi="宋体" w:cs="宋体"/>
          <w:szCs w:val="21"/>
          <w:lang w:eastAsia="zh-Hans"/>
        </w:rPr>
        <w:t>经甲方催告后7个工作日内</w:t>
      </w:r>
      <w:r>
        <w:rPr>
          <w:rFonts w:hint="eastAsia" w:ascii="宋体" w:hAnsi="宋体" w:cs="宋体"/>
          <w:szCs w:val="21"/>
        </w:rPr>
        <w:t>，</w:t>
      </w:r>
      <w:r>
        <w:rPr>
          <w:rFonts w:hint="eastAsia" w:ascii="宋体" w:hAnsi="宋体" w:cs="宋体"/>
          <w:szCs w:val="21"/>
          <w:lang w:eastAsia="zh-Hans"/>
        </w:rPr>
        <w:t>乙方拒不改正或者没有改正意向的，</w:t>
      </w:r>
      <w:r>
        <w:rPr>
          <w:rFonts w:hint="eastAsia" w:ascii="宋体" w:hAnsi="宋体" w:cs="宋体"/>
          <w:szCs w:val="21"/>
        </w:rPr>
        <w:t>甲方有权解除合同</w:t>
      </w:r>
      <w:r>
        <w:rPr>
          <w:rFonts w:hint="eastAsia" w:ascii="宋体" w:hAnsi="宋体" w:cs="宋体"/>
          <w:szCs w:val="21"/>
          <w:lang w:eastAsia="zh-Hans"/>
        </w:rPr>
        <w:t>，违约金不足以补偿甲方损失的，超出部分由乙方继续承担</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3.乙方在项目开发或运行期间由于乙方管理不善等原因，造成安全事故并造成重大影响的，乙方向甲方赔偿合同金额的5%的违约金，违约金不足以赔偿甲方损失的，以甲方实际损失为准，并且，相关法律、经济责任由乙方一并承担。</w:t>
      </w:r>
    </w:p>
    <w:p>
      <w:pPr>
        <w:snapToGrid w:val="0"/>
        <w:spacing w:line="360" w:lineRule="auto"/>
        <w:ind w:firstLine="420" w:firstLineChars="200"/>
        <w:rPr>
          <w:rFonts w:ascii="宋体" w:hAnsi="宋体" w:cs="宋体"/>
          <w:szCs w:val="21"/>
        </w:rPr>
      </w:pPr>
      <w:r>
        <w:rPr>
          <w:rFonts w:hint="eastAsia" w:ascii="宋体" w:hAnsi="宋体" w:cs="宋体"/>
          <w:szCs w:val="21"/>
        </w:rPr>
        <w:t>4.解除合同时，乙方应在收到甲方通知后一周内退还甲方已支付的合同款，逾期退还合同款的，自超过之日起，每日按未退还金额的0.1%支付违约金。</w:t>
      </w:r>
    </w:p>
    <w:p>
      <w:pPr>
        <w:pStyle w:val="78"/>
        <w:spacing w:line="360" w:lineRule="auto"/>
        <w:ind w:firstLineChars="200"/>
        <w:rPr>
          <w:rFonts w:ascii="宋体" w:hAnsi="宋体" w:cs="宋体"/>
          <w:sz w:val="21"/>
          <w:szCs w:val="21"/>
        </w:rPr>
      </w:pPr>
      <w:r>
        <w:rPr>
          <w:rFonts w:hint="eastAsia" w:ascii="宋体" w:hAnsi="宋体" w:cs="宋体"/>
          <w:sz w:val="21"/>
          <w:szCs w:val="21"/>
        </w:rPr>
        <w:t>5.乙方应按招标文件要求派出工作需要的驻场人员，驻场人员不能按承诺时间到位，或因故退出及无法直接参与项目工作时，乙方应承担违约责任，并向甲方支付每人每天1000元的违约金。</w:t>
      </w:r>
    </w:p>
    <w:p>
      <w:pPr>
        <w:pStyle w:val="78"/>
        <w:spacing w:line="360" w:lineRule="auto"/>
        <w:ind w:firstLineChars="200"/>
        <w:rPr>
          <w:rFonts w:ascii="宋体" w:hAnsi="宋体" w:cs="宋体"/>
          <w:sz w:val="21"/>
          <w:szCs w:val="21"/>
        </w:rPr>
      </w:pPr>
      <w:r>
        <w:rPr>
          <w:rFonts w:hint="eastAsia" w:ascii="宋体" w:hAnsi="宋体" w:cs="宋体"/>
          <w:sz w:val="21"/>
          <w:szCs w:val="21"/>
        </w:rPr>
        <w:t>6.乙方对监理工程师提出的整改意见不能按时按要求整改完成超过1次，并可能导致项目延期的，自第2次起，每次按5000元支付违约金。</w:t>
      </w:r>
    </w:p>
    <w:p>
      <w:pPr>
        <w:pStyle w:val="78"/>
        <w:spacing w:line="360" w:lineRule="auto"/>
        <w:ind w:firstLineChars="200"/>
        <w:rPr>
          <w:rFonts w:ascii="宋体" w:hAnsi="宋体" w:cs="宋体"/>
          <w:sz w:val="21"/>
          <w:szCs w:val="21"/>
          <w:lang w:eastAsia="zh-Hans"/>
        </w:rPr>
      </w:pPr>
      <w:r>
        <w:rPr>
          <w:rFonts w:hint="eastAsia" w:ascii="宋体" w:hAnsi="宋体" w:cs="宋体"/>
          <w:sz w:val="21"/>
          <w:szCs w:val="21"/>
        </w:rPr>
        <w:t>7.</w:t>
      </w:r>
      <w:r>
        <w:rPr>
          <w:rFonts w:hint="eastAsia" w:ascii="宋体" w:hAnsi="宋体" w:cs="宋体"/>
          <w:sz w:val="21"/>
          <w:szCs w:val="21"/>
          <w:lang w:eastAsia="zh-Hans"/>
        </w:rPr>
        <w:t>乙方违反本合同6.2.2和6.2.3的，应当向甲方支付合同总金额5%的违约金，并且甲方有权解除合同。若违约金不足以补偿甲方损失的，超出部分由乙方继续承担，并且，因乙方违反本合同6.2.2和6.2.3所引起的法律、经济责任均由乙方承担。</w:t>
      </w:r>
    </w:p>
    <w:p>
      <w:pPr>
        <w:pStyle w:val="78"/>
        <w:spacing w:line="360" w:lineRule="auto"/>
        <w:ind w:firstLineChars="200"/>
        <w:rPr>
          <w:rFonts w:ascii="宋体" w:hAnsi="宋体" w:cs="宋体"/>
          <w:sz w:val="21"/>
          <w:szCs w:val="21"/>
          <w:lang w:eastAsia="zh-Hans"/>
        </w:rPr>
      </w:pPr>
      <w:r>
        <w:rPr>
          <w:rFonts w:hint="eastAsia" w:ascii="宋体" w:hAnsi="宋体" w:cs="宋体"/>
          <w:sz w:val="21"/>
          <w:szCs w:val="21"/>
          <w:lang w:eastAsia="zh-Hans"/>
        </w:rPr>
        <w:t>8.</w:t>
      </w:r>
      <w:r>
        <w:rPr>
          <w:rFonts w:hint="eastAsia" w:ascii="宋体" w:hAnsi="宋体" w:cs="宋体"/>
          <w:sz w:val="21"/>
          <w:szCs w:val="21"/>
        </w:rPr>
        <w:t>乙方转包，或者未经甲方书面同意采取分包方式履行合同</w:t>
      </w:r>
      <w:r>
        <w:rPr>
          <w:rFonts w:hint="eastAsia" w:ascii="宋体" w:hAnsi="宋体" w:cs="宋体"/>
          <w:sz w:val="21"/>
          <w:szCs w:val="21"/>
          <w:lang w:eastAsia="zh-Hans"/>
        </w:rPr>
        <w:t>的，甲方有权解除合同，乙方应向甲方支付合同总金额5%的违约金，违约金不足以补偿甲方损失的，超出部分由乙方继续承担。</w:t>
      </w:r>
    </w:p>
    <w:p>
      <w:pPr>
        <w:pStyle w:val="78"/>
        <w:spacing w:line="360" w:lineRule="auto"/>
        <w:ind w:firstLineChars="200"/>
        <w:rPr>
          <w:rFonts w:ascii="宋体" w:hAnsi="宋体" w:cs="宋体"/>
          <w:sz w:val="21"/>
          <w:szCs w:val="21"/>
        </w:rPr>
      </w:pPr>
      <w:r>
        <w:rPr>
          <w:rFonts w:hint="eastAsia" w:ascii="宋体" w:hAnsi="宋体" w:cs="宋体"/>
          <w:sz w:val="21"/>
          <w:szCs w:val="21"/>
        </w:rPr>
        <w:t>9.若因一方违约，守约方为主张自身权利而支出的律师费、保全费、诉讼费、差旅费、误工费等相关费用，均由违约方承担。</w:t>
      </w:r>
    </w:p>
    <w:p>
      <w:pPr>
        <w:spacing w:line="360" w:lineRule="auto"/>
        <w:ind w:firstLine="421" w:firstLineChars="200"/>
        <w:rPr>
          <w:rFonts w:ascii="宋体" w:hAnsi="宋体" w:cs="宋体"/>
          <w:b/>
          <w:bCs/>
          <w:szCs w:val="21"/>
        </w:rPr>
      </w:pPr>
      <w:r>
        <w:rPr>
          <w:rFonts w:hint="eastAsia" w:ascii="宋体" w:hAnsi="宋体" w:cs="宋体"/>
          <w:b/>
          <w:bCs/>
          <w:szCs w:val="21"/>
        </w:rPr>
        <w:t>七、产权与安全</w:t>
      </w:r>
    </w:p>
    <w:p>
      <w:pPr>
        <w:snapToGrid w:val="0"/>
        <w:spacing w:line="360" w:lineRule="auto"/>
        <w:ind w:firstLine="420" w:firstLineChars="200"/>
        <w:rPr>
          <w:rFonts w:ascii="宋体" w:hAnsi="宋体" w:cs="宋体"/>
          <w:szCs w:val="21"/>
        </w:rPr>
      </w:pPr>
      <w:r>
        <w:rPr>
          <w:rFonts w:hint="eastAsia" w:ascii="宋体" w:hAnsi="宋体" w:cs="宋体"/>
          <w:szCs w:val="21"/>
        </w:rPr>
        <w:t>本项目建设内容中的定制化软件部分知识产权和所有业务应用相关数据产权归甲方所有，乙方不得未经甲方书面许可，擅自使用或提供给第三方。乙方必须提供项目的所有源代码和开发文档，甲方有权对软件进行修改或提出修改意见。乙方应该对项目建设过程中的业务资料、技术资料、设计方案等一切资料、秘密予以严格保密，建设中由甲方主导产生的系统和软件设计、开发、应用创新想法、做法、实现方案等，乙方不得未经甲方书面许可，擅自使用或提供给第三方。</w:t>
      </w:r>
    </w:p>
    <w:p>
      <w:pPr>
        <w:snapToGrid w:val="0"/>
        <w:spacing w:line="360" w:lineRule="auto"/>
        <w:ind w:firstLine="420" w:firstLineChars="200"/>
        <w:rPr>
          <w:rFonts w:ascii="宋体" w:hAnsi="宋体" w:cs="宋体"/>
          <w:szCs w:val="21"/>
        </w:rPr>
      </w:pPr>
      <w:r>
        <w:rPr>
          <w:rFonts w:hint="eastAsia" w:ascii="宋体" w:hAnsi="宋体" w:cs="宋体"/>
          <w:szCs w:val="21"/>
        </w:rPr>
        <w:t>软件系统建设一般需满足二级或以上信息安全等级保护标准，在项目验收时出具第三方测评报告。参与软件应用开发的企业，以及相关项目管理人员、开发人员需在项目合同签订后提交《拱墅区网络与信息安全承诺书》（单位签订）和《拱墅区网络与信息安全保密承诺书》（个人签订）。</w:t>
      </w:r>
    </w:p>
    <w:p>
      <w:pPr>
        <w:spacing w:line="360" w:lineRule="auto"/>
        <w:ind w:firstLine="421" w:firstLineChars="200"/>
        <w:rPr>
          <w:rFonts w:ascii="宋体" w:hAnsi="宋体" w:cs="宋体"/>
          <w:b/>
          <w:bCs/>
          <w:szCs w:val="21"/>
        </w:rPr>
      </w:pPr>
      <w:r>
        <w:rPr>
          <w:rFonts w:hint="eastAsia" w:ascii="宋体" w:hAnsi="宋体" w:cs="宋体"/>
          <w:b/>
          <w:bCs/>
          <w:szCs w:val="21"/>
        </w:rPr>
        <w:t>八、转让和分包</w:t>
      </w:r>
    </w:p>
    <w:p>
      <w:pPr>
        <w:snapToGrid w:val="0"/>
        <w:spacing w:line="360" w:lineRule="auto"/>
        <w:ind w:firstLine="420" w:firstLineChars="200"/>
        <w:rPr>
          <w:rFonts w:ascii="宋体" w:hAnsi="宋体" w:cs="宋体"/>
          <w:szCs w:val="21"/>
        </w:rPr>
      </w:pPr>
      <w:r>
        <w:rPr>
          <w:rFonts w:hint="eastAsia" w:ascii="宋体" w:hAnsi="宋体" w:cs="宋体"/>
          <w:szCs w:val="21"/>
        </w:rPr>
        <w:t>政府采购合同不能转让。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pPr>
        <w:spacing w:line="360" w:lineRule="auto"/>
        <w:ind w:firstLine="421" w:firstLineChars="200"/>
        <w:rPr>
          <w:rFonts w:ascii="宋体" w:hAnsi="宋体" w:cs="宋体"/>
          <w:b/>
          <w:bCs/>
          <w:szCs w:val="21"/>
        </w:rPr>
      </w:pPr>
      <w:r>
        <w:rPr>
          <w:rFonts w:hint="eastAsia" w:ascii="宋体" w:hAnsi="宋体" w:cs="宋体"/>
          <w:b/>
          <w:bCs/>
          <w:szCs w:val="21"/>
        </w:rPr>
        <w:t>九、合同变更、解除</w:t>
      </w:r>
    </w:p>
    <w:p>
      <w:pPr>
        <w:snapToGrid w:val="0"/>
        <w:spacing w:line="360" w:lineRule="auto"/>
        <w:ind w:firstLine="420" w:firstLineChars="200"/>
        <w:rPr>
          <w:rFonts w:ascii="宋体" w:hAnsi="宋体" w:cs="宋体"/>
          <w:szCs w:val="21"/>
        </w:rPr>
      </w:pPr>
      <w:r>
        <w:rPr>
          <w:rFonts w:hint="eastAsia" w:ascii="宋体" w:hAnsi="宋体" w:cs="宋体"/>
          <w:szCs w:val="21"/>
        </w:rPr>
        <w:t>1.甲方和乙方都不得擅自变更本合同，但合同继续履行将损害国家和社会公共利益的除外。如必须对合同条款进行改动时，当事人双方须共同签署书面文件，做为合同的补充，并报同级政府采购监督管理部门备案。有下列情形之一的，双方协商一致可以变更合同：</w:t>
      </w:r>
    </w:p>
    <w:p>
      <w:pPr>
        <w:snapToGrid w:val="0"/>
        <w:spacing w:line="360" w:lineRule="auto"/>
        <w:ind w:firstLine="420" w:firstLineChars="200"/>
        <w:rPr>
          <w:rFonts w:ascii="宋体" w:hAnsi="宋体" w:cs="宋体"/>
          <w:szCs w:val="21"/>
        </w:rPr>
      </w:pPr>
      <w:r>
        <w:rPr>
          <w:rFonts w:hint="eastAsia" w:ascii="宋体" w:hAnsi="宋体" w:cs="宋体"/>
          <w:szCs w:val="21"/>
        </w:rPr>
        <w:t>（1）发生不可预见的紧急情况，继续按照原合同履行不能实现采购目的，又不能从其他投标人处采购；</w:t>
      </w:r>
    </w:p>
    <w:p>
      <w:pPr>
        <w:snapToGrid w:val="0"/>
        <w:spacing w:line="360" w:lineRule="auto"/>
        <w:ind w:firstLine="420" w:firstLineChars="200"/>
        <w:rPr>
          <w:rFonts w:ascii="宋体" w:hAnsi="宋体" w:cs="宋体"/>
          <w:szCs w:val="21"/>
        </w:rPr>
      </w:pPr>
      <w:r>
        <w:rPr>
          <w:rFonts w:hint="eastAsia" w:ascii="宋体" w:hAnsi="宋体" w:cs="宋体"/>
          <w:szCs w:val="21"/>
        </w:rPr>
        <w:t>（2）因甲方的过错导致不能实现采购目的，重新采购费用和违约金、违约损失赔偿金额占合同金额比例过大，但违背国家利益或社会公共利益的除外。</w:t>
      </w:r>
    </w:p>
    <w:p>
      <w:pPr>
        <w:pStyle w:val="78"/>
        <w:spacing w:line="360" w:lineRule="auto"/>
        <w:ind w:firstLineChars="200"/>
        <w:rPr>
          <w:rFonts w:ascii="宋体" w:hAnsi="宋体" w:cs="宋体"/>
          <w:sz w:val="21"/>
          <w:szCs w:val="21"/>
        </w:rPr>
      </w:pPr>
      <w:r>
        <w:rPr>
          <w:rFonts w:hint="eastAsia" w:ascii="宋体" w:hAnsi="宋体" w:cs="宋体"/>
          <w:sz w:val="21"/>
          <w:szCs w:val="21"/>
        </w:rPr>
        <w:t>（3）属于合同主要条款确定的事项，但变更不改变合同实质性内容；</w:t>
      </w:r>
    </w:p>
    <w:p>
      <w:pPr>
        <w:pStyle w:val="78"/>
        <w:spacing w:line="360" w:lineRule="auto"/>
        <w:ind w:firstLineChars="200"/>
        <w:rPr>
          <w:rFonts w:ascii="宋体" w:hAnsi="宋体" w:cs="宋体"/>
          <w:sz w:val="21"/>
          <w:szCs w:val="21"/>
        </w:rPr>
      </w:pPr>
      <w:r>
        <w:rPr>
          <w:rFonts w:hint="eastAsia" w:ascii="宋体" w:hAnsi="宋体" w:cs="宋体"/>
          <w:sz w:val="21"/>
          <w:szCs w:val="21"/>
        </w:rPr>
        <w:t>（4）合同主要条款以外的内容；</w:t>
      </w:r>
    </w:p>
    <w:p>
      <w:pPr>
        <w:snapToGrid w:val="0"/>
        <w:spacing w:line="360" w:lineRule="auto"/>
        <w:ind w:firstLine="420" w:firstLineChars="200"/>
        <w:rPr>
          <w:rFonts w:ascii="宋体" w:hAnsi="宋体" w:cs="宋体"/>
          <w:szCs w:val="21"/>
        </w:rPr>
      </w:pPr>
      <w:r>
        <w:rPr>
          <w:rFonts w:hint="eastAsia" w:ascii="宋体" w:hAnsi="宋体" w:cs="宋体"/>
          <w:szCs w:val="21"/>
        </w:rPr>
        <w:t>2.有下列情形之一的，政府采购合同的双方当事人合意后可以解除合同：</w:t>
      </w:r>
    </w:p>
    <w:p>
      <w:pPr>
        <w:snapToGrid w:val="0"/>
        <w:spacing w:line="360" w:lineRule="auto"/>
        <w:ind w:firstLine="420" w:firstLineChars="200"/>
        <w:rPr>
          <w:rFonts w:ascii="宋体" w:hAnsi="宋体" w:cs="宋体"/>
          <w:szCs w:val="21"/>
        </w:rPr>
      </w:pPr>
      <w:r>
        <w:rPr>
          <w:rFonts w:hint="eastAsia" w:ascii="宋体" w:hAnsi="宋体" w:cs="宋体"/>
          <w:szCs w:val="21"/>
        </w:rPr>
        <w:t>（1）因不可抗力致使不能实现合同目的；</w:t>
      </w:r>
    </w:p>
    <w:p>
      <w:pPr>
        <w:snapToGrid w:val="0"/>
        <w:spacing w:line="360" w:lineRule="auto"/>
        <w:ind w:firstLine="420" w:firstLineChars="200"/>
        <w:rPr>
          <w:rFonts w:ascii="宋体" w:hAnsi="宋体" w:cs="宋体"/>
          <w:szCs w:val="21"/>
        </w:rPr>
      </w:pPr>
      <w:r>
        <w:rPr>
          <w:rFonts w:hint="eastAsia" w:ascii="宋体" w:hAnsi="宋体" w:cs="宋体"/>
          <w:szCs w:val="21"/>
        </w:rPr>
        <w:t>（2）在履行期限届满之前，乙方明确表示或者以自己的行为表示不履行主要义务；</w:t>
      </w:r>
    </w:p>
    <w:p>
      <w:pPr>
        <w:snapToGrid w:val="0"/>
        <w:spacing w:line="360" w:lineRule="auto"/>
        <w:ind w:firstLine="420" w:firstLineChars="200"/>
        <w:rPr>
          <w:rFonts w:ascii="宋体" w:hAnsi="宋体" w:cs="宋体"/>
          <w:szCs w:val="21"/>
        </w:rPr>
      </w:pPr>
      <w:r>
        <w:rPr>
          <w:rFonts w:hint="eastAsia" w:ascii="宋体" w:hAnsi="宋体" w:cs="宋体"/>
          <w:szCs w:val="21"/>
        </w:rPr>
        <w:t>（3）法律、法规规定的其他情形。</w:t>
      </w:r>
    </w:p>
    <w:p>
      <w:pPr>
        <w:snapToGrid w:val="0"/>
        <w:spacing w:line="360" w:lineRule="auto"/>
        <w:ind w:firstLine="420" w:firstLineChars="200"/>
        <w:rPr>
          <w:rFonts w:ascii="宋体" w:hAnsi="宋体" w:cs="宋体"/>
          <w:szCs w:val="21"/>
        </w:rPr>
      </w:pPr>
      <w:r>
        <w:rPr>
          <w:rFonts w:hint="eastAsia" w:ascii="宋体" w:hAnsi="宋体" w:cs="宋体"/>
          <w:szCs w:val="21"/>
        </w:rPr>
        <w:t>3.有下列情形之一的，甲方可以单方解除合同：</w:t>
      </w:r>
    </w:p>
    <w:p>
      <w:pPr>
        <w:snapToGrid w:val="0"/>
        <w:spacing w:line="360" w:lineRule="auto"/>
        <w:ind w:firstLine="420" w:firstLineChars="200"/>
        <w:rPr>
          <w:rFonts w:ascii="宋体" w:hAnsi="宋体" w:cs="宋体"/>
          <w:szCs w:val="21"/>
        </w:rPr>
      </w:pPr>
      <w:r>
        <w:rPr>
          <w:rFonts w:hint="eastAsia" w:ascii="宋体" w:hAnsi="宋体" w:cs="宋体"/>
          <w:szCs w:val="21"/>
        </w:rPr>
        <w:t>（1）乙方迟延履行主要义务，经催告后在合理期限内仍未履行；</w:t>
      </w:r>
    </w:p>
    <w:p>
      <w:pPr>
        <w:snapToGrid w:val="0"/>
        <w:spacing w:line="360" w:lineRule="auto"/>
        <w:ind w:firstLine="420" w:firstLineChars="200"/>
        <w:rPr>
          <w:rFonts w:ascii="宋体" w:hAnsi="宋体" w:cs="宋体"/>
          <w:szCs w:val="21"/>
        </w:rPr>
      </w:pPr>
      <w:r>
        <w:rPr>
          <w:rFonts w:hint="eastAsia" w:ascii="宋体" w:hAnsi="宋体" w:cs="宋体"/>
          <w:szCs w:val="21"/>
        </w:rPr>
        <w:t>（2）乙方迟延履行义务或者有其他违约行为致使不能实现合同目的；</w:t>
      </w:r>
    </w:p>
    <w:p>
      <w:pPr>
        <w:snapToGrid w:val="0"/>
        <w:spacing w:line="360" w:lineRule="auto"/>
        <w:ind w:firstLine="420" w:firstLineChars="200"/>
        <w:rPr>
          <w:rFonts w:ascii="宋体" w:hAnsi="宋体" w:cs="宋体"/>
          <w:szCs w:val="21"/>
        </w:rPr>
      </w:pPr>
      <w:r>
        <w:rPr>
          <w:rFonts w:hint="eastAsia" w:ascii="宋体" w:hAnsi="宋体" w:cs="宋体"/>
          <w:szCs w:val="21"/>
        </w:rPr>
        <w:t>（3）乙方转包，或者未经甲方书面同意采取分包方式履行合同；</w:t>
      </w:r>
    </w:p>
    <w:p>
      <w:pPr>
        <w:snapToGrid w:val="0"/>
        <w:spacing w:line="360" w:lineRule="auto"/>
        <w:ind w:firstLine="420" w:firstLineChars="200"/>
        <w:rPr>
          <w:rFonts w:ascii="宋体" w:hAnsi="宋体" w:cs="宋体"/>
          <w:szCs w:val="21"/>
        </w:rPr>
      </w:pPr>
      <w:r>
        <w:rPr>
          <w:rFonts w:hint="eastAsia" w:ascii="宋体" w:hAnsi="宋体" w:cs="宋体"/>
          <w:szCs w:val="21"/>
        </w:rPr>
        <w:t>（4）法律、法规规定和合同约定的其他情形。</w:t>
      </w:r>
    </w:p>
    <w:p>
      <w:pPr>
        <w:snapToGrid w:val="0"/>
        <w:spacing w:line="360" w:lineRule="auto"/>
        <w:ind w:firstLine="420" w:firstLineChars="200"/>
        <w:rPr>
          <w:rFonts w:ascii="宋体" w:hAnsi="宋体" w:cs="宋体"/>
          <w:szCs w:val="21"/>
        </w:rPr>
      </w:pPr>
      <w:r>
        <w:rPr>
          <w:rFonts w:hint="eastAsia" w:ascii="宋体" w:hAnsi="宋体" w:cs="宋体"/>
          <w:szCs w:val="21"/>
        </w:rPr>
        <w:t>（5）甲方认为乙方在本合同履行过程中有腐败和欺诈行为的。“腐败行为”是指提供/给予/接受或索取任何有价值的东西来影响甲方在合同签定、履行过程中的行为。“欺诈行为”是指为了影响合同签定、履行过程，以谎报事实的方法，损害甲方的利益的行为。</w:t>
      </w:r>
    </w:p>
    <w:p>
      <w:pPr>
        <w:snapToGrid w:val="0"/>
        <w:spacing w:line="360" w:lineRule="auto"/>
        <w:ind w:firstLine="420" w:firstLineChars="200"/>
        <w:rPr>
          <w:rFonts w:ascii="宋体" w:hAnsi="宋体" w:cs="宋体"/>
          <w:szCs w:val="21"/>
        </w:rPr>
      </w:pPr>
      <w:r>
        <w:rPr>
          <w:rFonts w:hint="eastAsia" w:ascii="宋体" w:hAnsi="宋体" w:cs="宋体"/>
          <w:szCs w:val="21"/>
        </w:rPr>
        <w:t>4.甲方依据本合同约定解除合同的，自甲方作出的书面解除合同通知书送达乙方之日起解除，同时应当报</w:t>
      </w:r>
      <w:r>
        <w:rPr>
          <w:rFonts w:hint="eastAsia" w:ascii="宋体" w:hAnsi="宋体" w:cs="宋体"/>
          <w:kern w:val="0"/>
          <w:szCs w:val="21"/>
        </w:rPr>
        <w:t>同级政府采购监督管理部门</w:t>
      </w:r>
      <w:r>
        <w:rPr>
          <w:rFonts w:hint="eastAsia" w:ascii="宋体" w:hAnsi="宋体" w:cs="宋体"/>
          <w:szCs w:val="21"/>
        </w:rPr>
        <w:t>备案。</w:t>
      </w:r>
    </w:p>
    <w:p>
      <w:pPr>
        <w:snapToGrid w:val="0"/>
        <w:spacing w:line="360" w:lineRule="auto"/>
        <w:ind w:firstLine="420" w:firstLineChars="200"/>
        <w:rPr>
          <w:rFonts w:ascii="宋体" w:hAnsi="宋体" w:cs="宋体"/>
          <w:szCs w:val="21"/>
        </w:rPr>
      </w:pPr>
      <w:r>
        <w:rPr>
          <w:rFonts w:hint="eastAsia" w:ascii="宋体" w:hAnsi="宋体" w:cs="宋体"/>
          <w:szCs w:val="21"/>
        </w:rPr>
        <w:t>5.如乙方自身存在经营困难无清偿能力、破产或出现任何可能导致甲方的权利无法得到保障的情形时，甲方经报同级政府采购监督管理部门审批后，可在任何时候以书面通知乙方，提出终止合同而不必给乙方补偿。该合同的终止将不损害或不影响甲方已经采取或将要采取任何行动或补救措施的权利。</w:t>
      </w:r>
    </w:p>
    <w:p>
      <w:pPr>
        <w:spacing w:line="360" w:lineRule="auto"/>
        <w:ind w:firstLine="421" w:firstLineChars="200"/>
        <w:rPr>
          <w:rFonts w:ascii="宋体" w:hAnsi="宋体" w:cs="宋体"/>
          <w:b/>
          <w:bCs/>
          <w:szCs w:val="21"/>
        </w:rPr>
      </w:pPr>
      <w:r>
        <w:rPr>
          <w:rFonts w:hint="eastAsia" w:ascii="宋体" w:hAnsi="宋体" w:cs="宋体"/>
          <w:b/>
          <w:bCs/>
          <w:szCs w:val="21"/>
        </w:rPr>
        <w:t>十、不可抗力</w:t>
      </w:r>
    </w:p>
    <w:p>
      <w:pPr>
        <w:snapToGrid w:val="0"/>
        <w:spacing w:line="360" w:lineRule="auto"/>
        <w:ind w:firstLine="420" w:firstLineChars="200"/>
        <w:rPr>
          <w:rFonts w:ascii="宋体" w:hAnsi="宋体" w:cs="宋体"/>
          <w:szCs w:val="21"/>
        </w:rPr>
      </w:pPr>
      <w:r>
        <w:rPr>
          <w:rFonts w:hint="eastAsia" w:ascii="宋体" w:hAnsi="宋体" w:cs="宋体"/>
          <w:szCs w:val="21"/>
        </w:rPr>
        <w:t>1.不可抗力是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snapToGrid w:val="0"/>
        <w:spacing w:line="360" w:lineRule="auto"/>
        <w:ind w:firstLine="420" w:firstLineChars="200"/>
        <w:rPr>
          <w:rFonts w:ascii="宋体" w:hAnsi="宋体" w:cs="宋体"/>
          <w:szCs w:val="21"/>
        </w:rPr>
      </w:pPr>
      <w:r>
        <w:rPr>
          <w:rFonts w:hint="eastAsia" w:ascii="宋体" w:hAnsi="宋体" w:cs="宋体"/>
          <w:szCs w:val="21"/>
        </w:rPr>
        <w:t>2.如果双方中任何一方遭遇法律规定的不可抗力，致使合同履行受阻时，履行合同的期限应予延长，延长的期限应相当于不可抗力所影响的时间。但当不可抗力事故持续超过</w:t>
      </w:r>
      <w:r>
        <w:rPr>
          <w:rFonts w:hint="eastAsia" w:ascii="宋体" w:hAnsi="宋体" w:cs="宋体"/>
          <w:szCs w:val="21"/>
          <w:u w:val="single"/>
        </w:rPr>
        <w:t>120</w:t>
      </w:r>
      <w:r>
        <w:rPr>
          <w:rFonts w:hint="eastAsia" w:ascii="宋体" w:hAnsi="宋体" w:cs="宋体"/>
          <w:szCs w:val="21"/>
        </w:rPr>
        <w:t xml:space="preserve"> 天的，且双方未就合同的继续履行达成一致意见的，未受不可抗力影响的一方有权书面通知受阻方终止合同。</w:t>
      </w:r>
    </w:p>
    <w:p>
      <w:pPr>
        <w:snapToGrid w:val="0"/>
        <w:spacing w:line="360" w:lineRule="auto"/>
        <w:ind w:firstLine="420" w:firstLineChars="200"/>
        <w:rPr>
          <w:rFonts w:ascii="宋体" w:hAnsi="宋体" w:cs="宋体"/>
          <w:szCs w:val="21"/>
        </w:rPr>
      </w:pPr>
      <w:r>
        <w:rPr>
          <w:rFonts w:hint="eastAsia" w:ascii="宋体" w:hAnsi="宋体" w:cs="宋体"/>
          <w:szCs w:val="21"/>
        </w:rPr>
        <w:t>3.受事故影响的一方应在不可抗力的事故发生后尽快书面形式通知另一方，并在事故影响消除后</w:t>
      </w:r>
      <w:r>
        <w:rPr>
          <w:rFonts w:hint="eastAsia" w:ascii="宋体" w:hAnsi="宋体" w:cs="宋体"/>
          <w:szCs w:val="21"/>
          <w:u w:val="single"/>
        </w:rPr>
        <w:t>10</w:t>
      </w:r>
      <w:r>
        <w:rPr>
          <w:rFonts w:hint="eastAsia" w:ascii="宋体" w:hAnsi="宋体" w:cs="宋体"/>
          <w:szCs w:val="21"/>
        </w:rPr>
        <w:t>个工作日内，将有关部门出具的证明文件、详细情况报告以及不可抗力对履行合同影响程度的说明用特快专递或挂号信寄给对方。</w:t>
      </w:r>
    </w:p>
    <w:p>
      <w:pPr>
        <w:snapToGrid w:val="0"/>
        <w:spacing w:line="360" w:lineRule="auto"/>
        <w:ind w:firstLine="420" w:firstLineChars="200"/>
        <w:rPr>
          <w:rFonts w:ascii="宋体" w:hAnsi="宋体" w:cs="宋体"/>
          <w:szCs w:val="21"/>
        </w:rPr>
      </w:pPr>
      <w:r>
        <w:rPr>
          <w:rFonts w:hint="eastAsia" w:ascii="宋体" w:hAnsi="宋体" w:cs="宋体"/>
          <w:szCs w:val="21"/>
        </w:rPr>
        <w:t>4.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snapToGrid w:val="0"/>
        <w:spacing w:line="360" w:lineRule="auto"/>
        <w:ind w:firstLine="420" w:firstLineChars="200"/>
        <w:rPr>
          <w:rFonts w:ascii="宋体" w:hAnsi="宋体" w:cs="宋体"/>
          <w:szCs w:val="21"/>
        </w:rPr>
      </w:pPr>
      <w:r>
        <w:rPr>
          <w:rFonts w:hint="eastAsia" w:ascii="宋体" w:hAnsi="宋体" w:cs="宋体"/>
          <w:szCs w:val="21"/>
        </w:rPr>
        <w:t>5.不可抗力使合同的某些内容有变更必要的，双方应通过协商达成进一步履行合同的协议，因不可抗力致使合同不能履行的，合同终止。</w:t>
      </w:r>
    </w:p>
    <w:p>
      <w:pPr>
        <w:snapToGrid w:val="0"/>
        <w:spacing w:line="360" w:lineRule="auto"/>
        <w:ind w:firstLine="420" w:firstLineChars="200"/>
        <w:rPr>
          <w:rFonts w:ascii="宋体" w:hAnsi="宋体" w:cs="宋体"/>
          <w:szCs w:val="21"/>
        </w:rPr>
      </w:pPr>
      <w:r>
        <w:rPr>
          <w:rFonts w:hint="eastAsia" w:ascii="宋体" w:hAnsi="宋体" w:cs="宋体"/>
          <w:szCs w:val="21"/>
        </w:rPr>
        <w:t>6.金钱债务的迟延责任不得因不可抗力而免除；迟延履行期间发生的不可抗力不具有免责效力。</w:t>
      </w:r>
    </w:p>
    <w:p>
      <w:pPr>
        <w:spacing w:line="360" w:lineRule="auto"/>
        <w:ind w:firstLine="421" w:firstLineChars="200"/>
        <w:rPr>
          <w:rFonts w:ascii="宋体" w:hAnsi="宋体" w:cs="宋体"/>
          <w:b/>
          <w:bCs/>
          <w:szCs w:val="21"/>
        </w:rPr>
      </w:pPr>
      <w:r>
        <w:rPr>
          <w:rFonts w:hint="eastAsia" w:ascii="宋体" w:hAnsi="宋体" w:cs="宋体"/>
          <w:b/>
          <w:bCs/>
          <w:szCs w:val="21"/>
        </w:rPr>
        <w:t>十一、服务人员</w:t>
      </w:r>
    </w:p>
    <w:p>
      <w:pPr>
        <w:snapToGrid w:val="0"/>
        <w:spacing w:line="360" w:lineRule="auto"/>
        <w:ind w:firstLine="420" w:firstLineChars="200"/>
        <w:rPr>
          <w:rFonts w:ascii="宋体" w:hAnsi="宋体" w:cs="宋体"/>
          <w:szCs w:val="21"/>
        </w:rPr>
      </w:pPr>
      <w:r>
        <w:rPr>
          <w:rFonts w:hint="eastAsia" w:ascii="宋体" w:hAnsi="宋体" w:cs="宋体"/>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snapToGrid w:val="0"/>
        <w:spacing w:line="360" w:lineRule="auto"/>
        <w:ind w:firstLine="420" w:firstLineChars="200"/>
        <w:rPr>
          <w:rFonts w:ascii="宋体" w:hAnsi="宋体" w:cs="宋体"/>
          <w:szCs w:val="21"/>
        </w:rPr>
      </w:pPr>
      <w:r>
        <w:rPr>
          <w:rFonts w:hint="eastAsia" w:ascii="宋体" w:hAnsi="宋体" w:cs="宋体"/>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snapToGrid w:val="0"/>
        <w:spacing w:line="360" w:lineRule="auto"/>
        <w:ind w:firstLine="420" w:firstLineChars="200"/>
        <w:rPr>
          <w:rFonts w:ascii="宋体" w:hAnsi="宋体" w:cs="宋体"/>
          <w:szCs w:val="21"/>
        </w:rPr>
      </w:pPr>
      <w:r>
        <w:rPr>
          <w:rFonts w:hint="eastAsia" w:ascii="宋体" w:hAnsi="宋体" w:cs="宋体"/>
          <w:szCs w:val="21"/>
        </w:rPr>
        <w:t>甲乙双方指定代表，作为履行本合同服务事宜的主要联系人。</w:t>
      </w:r>
    </w:p>
    <w:p>
      <w:pPr>
        <w:snapToGrid w:val="0"/>
        <w:spacing w:line="360" w:lineRule="auto"/>
        <w:ind w:firstLine="420" w:firstLineChars="200"/>
        <w:rPr>
          <w:rFonts w:ascii="宋体" w:hAnsi="宋体" w:cs="宋体"/>
          <w:szCs w:val="21"/>
        </w:rPr>
      </w:pPr>
      <w:r>
        <w:rPr>
          <w:rFonts w:hint="eastAsia" w:ascii="宋体" w:hAnsi="宋体" w:cs="宋体"/>
          <w:szCs w:val="21"/>
        </w:rPr>
        <w:t>甲方代表：</w:t>
      </w:r>
      <w:r>
        <w:rPr>
          <w:rFonts w:hint="eastAsia" w:ascii="宋体" w:hAnsi="宋体" w:cs="宋体"/>
          <w:szCs w:val="21"/>
          <w:u w:val="single"/>
        </w:rPr>
        <w:t>【】</w:t>
      </w:r>
      <w:r>
        <w:rPr>
          <w:rFonts w:hint="eastAsia" w:ascii="宋体" w:hAnsi="宋体" w:cs="宋体"/>
          <w:szCs w:val="21"/>
        </w:rPr>
        <w:t xml:space="preserve">  电话：</w:t>
      </w:r>
      <w:r>
        <w:rPr>
          <w:rFonts w:hint="eastAsia" w:ascii="宋体" w:hAnsi="宋体" w:cs="宋体"/>
          <w:szCs w:val="21"/>
          <w:u w:val="single"/>
        </w:rPr>
        <w:t>【】</w:t>
      </w:r>
    </w:p>
    <w:p>
      <w:pPr>
        <w:snapToGrid w:val="0"/>
        <w:spacing w:line="360" w:lineRule="auto"/>
        <w:ind w:firstLine="420" w:firstLineChars="200"/>
        <w:rPr>
          <w:rFonts w:ascii="宋体" w:hAnsi="宋体" w:cs="宋体"/>
          <w:szCs w:val="21"/>
        </w:rPr>
      </w:pPr>
      <w:r>
        <w:rPr>
          <w:rFonts w:hint="eastAsia" w:ascii="宋体" w:hAnsi="宋体" w:cs="宋体"/>
          <w:szCs w:val="21"/>
        </w:rPr>
        <w:t>乙方代表：</w:t>
      </w:r>
      <w:r>
        <w:rPr>
          <w:rFonts w:hint="eastAsia" w:ascii="宋体" w:hAnsi="宋体" w:cs="宋体"/>
          <w:szCs w:val="21"/>
          <w:u w:val="single"/>
        </w:rPr>
        <w:t>【】</w:t>
      </w:r>
      <w:r>
        <w:rPr>
          <w:rFonts w:hint="eastAsia" w:ascii="宋体" w:hAnsi="宋体" w:cs="宋体"/>
          <w:szCs w:val="21"/>
        </w:rPr>
        <w:t xml:space="preserve">  电话：</w:t>
      </w:r>
      <w:r>
        <w:rPr>
          <w:rFonts w:hint="eastAsia" w:ascii="宋体" w:hAnsi="宋体" w:cs="宋体"/>
          <w:szCs w:val="21"/>
          <w:u w:val="single"/>
        </w:rPr>
        <w:t>【】</w:t>
      </w:r>
    </w:p>
    <w:p>
      <w:pPr>
        <w:spacing w:line="360" w:lineRule="auto"/>
        <w:ind w:firstLine="421" w:firstLineChars="200"/>
        <w:rPr>
          <w:rFonts w:ascii="宋体" w:hAnsi="宋体" w:cs="宋体"/>
          <w:b/>
          <w:bCs/>
          <w:szCs w:val="21"/>
        </w:rPr>
      </w:pPr>
      <w:r>
        <w:rPr>
          <w:rFonts w:hint="eastAsia" w:ascii="宋体" w:hAnsi="宋体" w:cs="宋体"/>
          <w:b/>
          <w:bCs/>
          <w:szCs w:val="21"/>
        </w:rPr>
        <w:t>十二、服务考核</w:t>
      </w:r>
    </w:p>
    <w:p>
      <w:pPr>
        <w:snapToGrid w:val="0"/>
        <w:spacing w:line="360" w:lineRule="auto"/>
        <w:ind w:firstLine="420" w:firstLineChars="200"/>
        <w:rPr>
          <w:rFonts w:ascii="宋体" w:hAnsi="宋体" w:cs="宋体"/>
          <w:szCs w:val="21"/>
        </w:rPr>
      </w:pPr>
      <w:r>
        <w:rPr>
          <w:rFonts w:hint="eastAsia" w:ascii="宋体" w:hAnsi="宋体" w:cs="宋体"/>
          <w:szCs w:val="21"/>
        </w:rPr>
        <w:t>甲方对乙方服务质量进行客观评估，具体考核办法（如有）作为合同附件。</w:t>
      </w:r>
    </w:p>
    <w:p>
      <w:pPr>
        <w:snapToGrid w:val="0"/>
        <w:spacing w:line="360" w:lineRule="auto"/>
        <w:ind w:firstLine="420" w:firstLineChars="200"/>
        <w:rPr>
          <w:rFonts w:ascii="宋体" w:hAnsi="宋体" w:cs="宋体"/>
          <w:szCs w:val="21"/>
        </w:rPr>
      </w:pPr>
      <w:r>
        <w:rPr>
          <w:rFonts w:hint="eastAsia" w:ascii="宋体" w:hAnsi="宋体" w:cs="宋体"/>
          <w:szCs w:val="21"/>
        </w:rPr>
        <w:t>项目完成后，乙方应及时向甲方发出书面履约完成通知，甲方在收到乙方履约完成通知后，应及时做好组织验收的准备工作，制定验收方案，成立验收小组，组织实施验收和履约评价。</w:t>
      </w:r>
    </w:p>
    <w:p>
      <w:pPr>
        <w:snapToGrid w:val="0"/>
        <w:spacing w:line="360" w:lineRule="auto"/>
        <w:ind w:firstLine="420" w:firstLineChars="200"/>
        <w:rPr>
          <w:rFonts w:ascii="宋体" w:hAnsi="宋体" w:cs="宋体"/>
          <w:szCs w:val="21"/>
        </w:rPr>
      </w:pPr>
      <w:r>
        <w:rPr>
          <w:rFonts w:hint="eastAsia" w:ascii="宋体" w:hAnsi="宋体" w:cs="宋体"/>
          <w:szCs w:val="21"/>
        </w:rPr>
        <w:t>验收小组完成验收后应出具验收书，验收书应包括每一项技术、服务、安全等标准的履约情况。如果发现与合同中要求不符，乙方须承担由此产的一切损失和费用。</w:t>
      </w:r>
    </w:p>
    <w:p>
      <w:pPr>
        <w:spacing w:line="360" w:lineRule="auto"/>
        <w:ind w:firstLine="421" w:firstLineChars="200"/>
        <w:rPr>
          <w:rFonts w:ascii="宋体" w:hAnsi="宋体" w:cs="宋体"/>
          <w:b/>
          <w:bCs/>
          <w:szCs w:val="21"/>
        </w:rPr>
      </w:pPr>
      <w:r>
        <w:rPr>
          <w:rFonts w:hint="eastAsia" w:ascii="宋体" w:hAnsi="宋体" w:cs="宋体"/>
          <w:b/>
          <w:bCs/>
          <w:szCs w:val="21"/>
        </w:rPr>
        <w:t>十三、合同的生效及其他</w:t>
      </w:r>
    </w:p>
    <w:p>
      <w:pPr>
        <w:spacing w:line="360" w:lineRule="auto"/>
        <w:ind w:firstLine="420" w:firstLineChars="200"/>
        <w:rPr>
          <w:rFonts w:ascii="宋体" w:hAnsi="宋体" w:cs="宋体"/>
          <w:szCs w:val="21"/>
        </w:rPr>
      </w:pPr>
      <w:r>
        <w:rPr>
          <w:rFonts w:hint="eastAsia" w:ascii="宋体" w:hAnsi="宋体" w:cs="宋体"/>
          <w:szCs w:val="21"/>
        </w:rPr>
        <w:t>合同将在双方签字盖章后开始生效。政府采购项目的采购合同内容的确定应以招标文件和投标文件为基础，不得违背其实质性内容。</w:t>
      </w:r>
    </w:p>
    <w:p>
      <w:pPr>
        <w:spacing w:line="360" w:lineRule="auto"/>
        <w:ind w:firstLine="420" w:firstLineChars="200"/>
        <w:rPr>
          <w:rFonts w:ascii="宋体" w:hAnsi="宋体" w:cs="宋体"/>
          <w:szCs w:val="21"/>
        </w:rPr>
      </w:pPr>
      <w:r>
        <w:rPr>
          <w:rFonts w:hint="eastAsia" w:ascii="宋体" w:hAnsi="宋体" w:cs="宋体"/>
          <w:szCs w:val="21"/>
        </w:rPr>
        <w:t>甲乙双方在合作过程中，应自觉维护双方共同声誉，不得损害对方的形象和声誉。保密义务在本协议期满、解除或终止后仍然有效。本合同未尽事宜，双方可再协商签订补充协议，补充协议同合同具有同等法律效力。</w:t>
      </w:r>
    </w:p>
    <w:p>
      <w:pPr>
        <w:spacing w:line="360" w:lineRule="auto"/>
        <w:ind w:firstLine="421" w:firstLineChars="200"/>
        <w:rPr>
          <w:rFonts w:ascii="宋体" w:hAnsi="宋体" w:cs="宋体"/>
          <w:b/>
          <w:bCs/>
          <w:szCs w:val="21"/>
        </w:rPr>
      </w:pPr>
      <w:r>
        <w:rPr>
          <w:rFonts w:hint="eastAsia" w:ascii="宋体" w:hAnsi="宋体" w:cs="宋体"/>
          <w:b/>
          <w:bCs/>
          <w:szCs w:val="21"/>
        </w:rPr>
        <w:t>十四、解决争议的方法</w:t>
      </w:r>
    </w:p>
    <w:p>
      <w:pPr>
        <w:spacing w:line="360" w:lineRule="auto"/>
        <w:ind w:firstLine="420" w:firstLineChars="200"/>
        <w:rPr>
          <w:rFonts w:ascii="宋体" w:hAnsi="宋体" w:cs="宋体"/>
          <w:szCs w:val="21"/>
        </w:rPr>
      </w:pPr>
      <w:r>
        <w:rPr>
          <w:rFonts w:hint="eastAsia" w:ascii="宋体" w:hAnsi="宋体" w:cs="宋体"/>
          <w:szCs w:val="21"/>
        </w:rPr>
        <w:t>合同履行中发生的争议，可通过合同当事人双方友好协商解决。如自协商开始之起15日内得不到解决，双方应将争议提交同级政府采购监督管理部门调解。调解不成的，应向甲方所在地人民法院提起诉讼。</w:t>
      </w:r>
    </w:p>
    <w:p>
      <w:pPr>
        <w:spacing w:line="360" w:lineRule="auto"/>
        <w:ind w:firstLine="420" w:firstLineChars="200"/>
        <w:rPr>
          <w:rFonts w:ascii="宋体" w:hAnsi="宋体" w:cs="宋体"/>
          <w:szCs w:val="21"/>
        </w:rPr>
      </w:pPr>
      <w:r>
        <w:rPr>
          <w:rFonts w:hint="eastAsia" w:ascii="宋体" w:hAnsi="宋体" w:cs="宋体"/>
          <w:szCs w:val="21"/>
        </w:rPr>
        <w:t>仲裁费用除人民法院另有裁决外，应由败诉方负担。</w:t>
      </w:r>
    </w:p>
    <w:p>
      <w:pPr>
        <w:spacing w:line="360" w:lineRule="auto"/>
        <w:ind w:firstLine="421" w:firstLineChars="200"/>
        <w:rPr>
          <w:rFonts w:ascii="宋体" w:hAnsi="宋体" w:cs="宋体"/>
          <w:b/>
          <w:bCs/>
          <w:szCs w:val="21"/>
        </w:rPr>
      </w:pPr>
      <w:r>
        <w:rPr>
          <w:rFonts w:hint="eastAsia" w:ascii="宋体" w:hAnsi="宋体" w:cs="宋体"/>
          <w:b/>
          <w:bCs/>
          <w:szCs w:val="21"/>
        </w:rPr>
        <w:t>十五、合同份数</w:t>
      </w:r>
    </w:p>
    <w:p>
      <w:pPr>
        <w:pStyle w:val="78"/>
        <w:spacing w:line="360" w:lineRule="auto"/>
        <w:ind w:firstLineChars="200"/>
        <w:rPr>
          <w:rFonts w:ascii="宋体" w:hAnsi="宋体" w:cs="宋体"/>
          <w:sz w:val="21"/>
          <w:szCs w:val="21"/>
        </w:rPr>
      </w:pPr>
      <w:r>
        <w:rPr>
          <w:rFonts w:hint="eastAsia" w:ascii="宋体" w:hAnsi="宋体" w:cs="宋体"/>
          <w:sz w:val="21"/>
          <w:szCs w:val="21"/>
        </w:rPr>
        <w:t>本合同一式五份，具有同等法律效力。甲乙双方各执贰份，采购代理机构壹份。</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9"/>
        <w:gridCol w:w="4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049"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甲方（单位章）：</w:t>
            </w:r>
          </w:p>
          <w:p>
            <w:pPr>
              <w:snapToGrid w:val="0"/>
              <w:spacing w:line="360" w:lineRule="auto"/>
              <w:ind w:firstLine="420" w:firstLineChars="200"/>
              <w:rPr>
                <w:rFonts w:ascii="宋体" w:hAnsi="宋体" w:cs="宋体"/>
                <w:szCs w:val="21"/>
              </w:rPr>
            </w:pPr>
            <w:r>
              <w:rPr>
                <w:rFonts w:hint="eastAsia" w:ascii="宋体" w:hAnsi="宋体" w:cs="宋体"/>
                <w:szCs w:val="21"/>
              </w:rPr>
              <w:t>杭州市拱墅区数据资源管理局</w:t>
            </w:r>
          </w:p>
        </w:tc>
        <w:tc>
          <w:tcPr>
            <w:tcW w:w="4313"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乙方（单位章）：</w:t>
            </w:r>
          </w:p>
          <w:p>
            <w:pPr>
              <w:snapToGrid w:val="0"/>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法定代表人：姜云洲</w:t>
            </w:r>
          </w:p>
        </w:tc>
        <w:tc>
          <w:tcPr>
            <w:tcW w:w="4313"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或授权代表：陈群伟</w:t>
            </w:r>
          </w:p>
        </w:tc>
        <w:tc>
          <w:tcPr>
            <w:tcW w:w="4313"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或授权代表：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地　　址：杭州市拱墅区台州路1号</w:t>
            </w:r>
          </w:p>
        </w:tc>
        <w:tc>
          <w:tcPr>
            <w:tcW w:w="4313"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邮政编码：310000</w:t>
            </w:r>
          </w:p>
        </w:tc>
        <w:tc>
          <w:tcPr>
            <w:tcW w:w="4313"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电　　话：0571-88253359</w:t>
            </w:r>
          </w:p>
        </w:tc>
        <w:tc>
          <w:tcPr>
            <w:tcW w:w="4313"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开户银行： 杭州银行湖墅支行</w:t>
            </w:r>
          </w:p>
        </w:tc>
        <w:tc>
          <w:tcPr>
            <w:tcW w:w="4313"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账　　号： 3301040160012015429</w:t>
            </w:r>
          </w:p>
        </w:tc>
        <w:tc>
          <w:tcPr>
            <w:tcW w:w="4313"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税    号： 11330105MB1665661J</w:t>
            </w:r>
          </w:p>
        </w:tc>
        <w:tc>
          <w:tcPr>
            <w:tcW w:w="4313"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税    号：</w:t>
            </w:r>
          </w:p>
        </w:tc>
      </w:tr>
    </w:tbl>
    <w:p>
      <w:pPr>
        <w:spacing w:line="360" w:lineRule="auto"/>
        <w:ind w:firstLine="420" w:firstLineChars="200"/>
        <w:rPr>
          <w:rFonts w:ascii="宋体" w:hAnsi="宋体" w:cs="宋体"/>
          <w:szCs w:val="21"/>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5" w:type="dxa"/>
          </w:tcPr>
          <w:p>
            <w:pPr>
              <w:snapToGrid w:val="0"/>
              <w:spacing w:line="360" w:lineRule="auto"/>
              <w:ind w:firstLine="420" w:firstLineChars="200"/>
              <w:rPr>
                <w:rFonts w:ascii="宋体" w:hAnsi="宋体" w:cs="宋体"/>
                <w:szCs w:val="21"/>
              </w:rPr>
            </w:pPr>
            <w:r>
              <w:rPr>
                <w:rFonts w:hint="eastAsia" w:ascii="宋体" w:hAnsi="宋体" w:cs="宋体"/>
                <w:szCs w:val="21"/>
              </w:rPr>
              <w:t>鉴证方（单位盖章）：</w:t>
            </w:r>
          </w:p>
          <w:p>
            <w:pPr>
              <w:snapToGrid w:val="0"/>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25" w:type="dxa"/>
          </w:tcPr>
          <w:p>
            <w:pPr>
              <w:snapToGrid w:val="0"/>
              <w:spacing w:line="360" w:lineRule="auto"/>
              <w:ind w:firstLine="420" w:firstLineChars="200"/>
              <w:rPr>
                <w:rFonts w:ascii="宋体" w:hAnsi="宋体" w:cs="宋体"/>
                <w:szCs w:val="21"/>
              </w:rPr>
            </w:pPr>
          </w:p>
          <w:p>
            <w:pPr>
              <w:snapToGrid w:val="0"/>
              <w:spacing w:line="360" w:lineRule="auto"/>
              <w:ind w:firstLine="420" w:firstLineChars="200"/>
              <w:rPr>
                <w:rFonts w:ascii="宋体" w:hAnsi="宋体" w:cs="宋体"/>
                <w:szCs w:val="21"/>
              </w:rPr>
            </w:pPr>
            <w:r>
              <w:rPr>
                <w:rFonts w:hint="eastAsia" w:ascii="宋体" w:hAnsi="宋体" w:cs="宋体"/>
                <w:szCs w:val="21"/>
              </w:rPr>
              <w:t>鉴证时间：    年   月   日</w:t>
            </w:r>
          </w:p>
        </w:tc>
      </w:tr>
    </w:tbl>
    <w:p>
      <w:pPr>
        <w:snapToGrid w:val="0"/>
        <w:spacing w:line="360" w:lineRule="auto"/>
        <w:ind w:firstLine="420" w:firstLineChars="200"/>
        <w:rPr>
          <w:rFonts w:ascii="宋体" w:hAnsi="宋体" w:cs="宋体"/>
          <w:szCs w:val="21"/>
        </w:rPr>
      </w:pPr>
    </w:p>
    <w:p>
      <w:pPr>
        <w:snapToGrid w:val="0"/>
        <w:spacing w:line="360" w:lineRule="auto"/>
        <w:ind w:firstLine="420" w:firstLineChars="200"/>
        <w:rPr>
          <w:rFonts w:ascii="宋体" w:hAnsi="宋体" w:cs="宋体"/>
          <w:b/>
          <w:bCs/>
          <w:szCs w:val="21"/>
        </w:rPr>
      </w:pPr>
      <w:r>
        <w:rPr>
          <w:rFonts w:hint="eastAsia" w:ascii="宋体" w:hAnsi="宋体" w:cs="宋体"/>
          <w:szCs w:val="21"/>
        </w:rPr>
        <w:br w:type="page"/>
      </w:r>
      <w:r>
        <w:rPr>
          <w:rFonts w:hint="eastAsia" w:ascii="宋体" w:hAnsi="宋体" w:cs="宋体"/>
          <w:b/>
          <w:bCs/>
          <w:szCs w:val="21"/>
        </w:rPr>
        <w:t>附件：内容清单（内容、数量、质保、服务期，等保、三方测评备注等）</w:t>
      </w:r>
    </w:p>
    <w:p>
      <w:pPr>
        <w:snapToGrid w:val="0"/>
        <w:spacing w:line="300" w:lineRule="auto"/>
        <w:rPr>
          <w:rFonts w:ascii="宋体" w:hAnsi="宋体" w:cs="宋体"/>
          <w:szCs w:val="21"/>
        </w:rPr>
      </w:pP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36"/>
        </w:rPr>
        <w:t>第六部分</w:t>
      </w:r>
      <w:bookmarkEnd w:id="404"/>
      <w:r>
        <w:rPr>
          <w:rFonts w:hint="eastAsia" w:ascii="仿宋_GB2312" w:hAnsi="仿宋" w:eastAsia="仿宋_GB2312" w:cs="仿宋_GB2312"/>
          <w:b/>
          <w:sz w:val="36"/>
          <w:szCs w:val="36"/>
        </w:rPr>
        <w:t xml:space="preserve">  </w:t>
      </w:r>
      <w:bookmarkEnd w:id="405"/>
      <w:r>
        <w:rPr>
          <w:rFonts w:hint="eastAsia" w:ascii="仿宋_GB2312" w:hAnsi="仿宋" w:eastAsia="仿宋_GB2312" w:cs="仿宋_GB2312"/>
          <w:b/>
          <w:sz w:val="36"/>
          <w:szCs w:val="36"/>
        </w:rPr>
        <w:t>应提交的有关格式范例</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投标人按照以下格式编制投标文件。</w:t>
      </w:r>
    </w:p>
    <w:p>
      <w:pPr>
        <w:spacing w:line="360" w:lineRule="auto"/>
        <w:jc w:val="center"/>
        <w:rPr>
          <w:rFonts w:ascii="仿宋_GB2312" w:hAnsi="仿宋" w:eastAsia="仿宋_GB2312" w:cs="仿宋_GB2312"/>
          <w:sz w:val="36"/>
          <w:szCs w:val="36"/>
          <w:lang w:val="zh-CN"/>
        </w:rPr>
      </w:pPr>
    </w:p>
    <w:p>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资格文件部分</w:t>
      </w:r>
    </w:p>
    <w:p>
      <w:pPr>
        <w:spacing w:line="360" w:lineRule="auto"/>
        <w:jc w:val="center"/>
        <w:outlineLvl w:val="2"/>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（1）</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sz w:val="24"/>
        </w:rPr>
        <w:t>、税务登记证(或其它缴纳证明材料)复印件、社保登记证</w:t>
      </w:r>
      <w:r>
        <w:rPr>
          <w:rFonts w:hint="eastAsia" w:ascii="仿宋_GB2312" w:hAnsi="仿宋" w:eastAsia="仿宋_GB2312"/>
          <w:sz w:val="24"/>
        </w:rPr>
        <w:t>（或其它缴纳证明材料）</w:t>
      </w:r>
      <w:r>
        <w:rPr>
          <w:rFonts w:hint="eastAsia" w:ascii="仿宋_GB2312" w:hAnsi="仿宋" w:eastAsia="仿宋_GB2312" w:cs="仿宋_GB2312"/>
          <w:sz w:val="24"/>
        </w:rPr>
        <w:t>复印件</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sz w:val="24"/>
        </w:rPr>
      </w:pPr>
      <w:r>
        <w:rPr>
          <w:rFonts w:hint="eastAsia" w:ascii="仿宋_GB2312" w:hAnsi="仿宋" w:eastAsia="仿宋_GB2312"/>
          <w:sz w:val="24"/>
        </w:rPr>
        <w:t>（2）法人授权书 ……………………………………………………………………（页码）</w:t>
      </w:r>
    </w:p>
    <w:p>
      <w:pPr>
        <w:snapToGrid w:val="0"/>
        <w:spacing w:line="360" w:lineRule="auto"/>
        <w:rPr>
          <w:rFonts w:ascii="仿宋_GB2312" w:hAnsi="仿宋" w:eastAsia="仿宋_GB2312"/>
          <w:sz w:val="24"/>
        </w:rPr>
      </w:pPr>
      <w:r>
        <w:rPr>
          <w:rFonts w:hint="eastAsia" w:ascii="仿宋_GB2312" w:hAnsi="仿宋" w:eastAsia="仿宋_GB2312"/>
          <w:sz w:val="24"/>
        </w:rPr>
        <w:t>（3）授权代表的身份证（复印件）………………………………………………（页码）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kern w:val="0"/>
          <w:sz w:val="24"/>
        </w:rPr>
        <w:t>（4）</w:t>
      </w:r>
      <w:r>
        <w:rPr>
          <w:rFonts w:hint="eastAsia" w:ascii="仿宋_GB2312" w:hAnsi="仿宋" w:eastAsia="仿宋_GB2312" w:cs="仿宋_GB2312"/>
          <w:sz w:val="24"/>
        </w:rPr>
        <w:t>2019年度资产负债表等财务报表资料文件(新成立的公司，提供情况说明)</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（5）具有履行合同所必需的设备和专业技术能力的承诺函………………………（页码）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（6）参加政府采购活动前三年内，在经营活动中没有重大违法记录的声明</w:t>
      </w:r>
      <w:r>
        <w:rPr>
          <w:rFonts w:hint="eastAsia" w:ascii="仿宋_GB2312" w:hAnsi="仿宋" w:eastAsia="仿宋_GB2312" w:cs="仿宋_GB2312"/>
          <w:kern w:val="0"/>
          <w:sz w:val="24"/>
        </w:rPr>
        <w:t xml:space="preserve">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（7）具有良好商业信誉特别声明</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（8）</w:t>
      </w:r>
      <w:r>
        <w:rPr>
          <w:rFonts w:hint="eastAsia" w:ascii="仿宋_GB2312" w:hAnsi="仿宋" w:eastAsia="仿宋_GB2312" w:cs="仿宋_GB2312"/>
          <w:sz w:val="24"/>
        </w:rPr>
        <w:t>符合特定资格条件（如果项目要求）的有关证明材料（复印件）</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sz w:val="24"/>
        </w:rPr>
      </w:pPr>
    </w:p>
    <w:p>
      <w:pPr>
        <w:snapToGrid w:val="0"/>
        <w:spacing w:line="360" w:lineRule="auto"/>
        <w:outlineLvl w:val="2"/>
        <w:rPr>
          <w:rFonts w:ascii="仿宋_GB2312" w:hAnsi="仿宋" w:eastAsia="仿宋_GB2312" w:cs="仿宋_GB2312"/>
          <w:b/>
          <w:sz w:val="30"/>
          <w:szCs w:val="30"/>
        </w:rPr>
      </w:pPr>
      <w:r>
        <w:rPr>
          <w:rFonts w:hint="eastAsia" w:ascii="仿宋_GB2312" w:hAnsi="仿宋" w:eastAsia="仿宋_GB2312" w:cs="仿宋_GB2312"/>
          <w:kern w:val="0"/>
          <w:sz w:val="24"/>
        </w:rPr>
        <w:br w:type="page"/>
      </w: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营业执照或事业法人登记证证明材料（复印件）、税务缴纳证明文件（复印件）、社保缴纳证明文件（复印件）</w:t>
      </w:r>
    </w:p>
    <w:p>
      <w:pPr>
        <w:spacing w:line="360" w:lineRule="auto"/>
        <w:jc w:val="center"/>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b/>
          <w:sz w:val="30"/>
          <w:szCs w:val="30"/>
        </w:rPr>
      </w:pPr>
    </w:p>
    <w:p>
      <w:pPr>
        <w:spacing w:line="360" w:lineRule="auto"/>
        <w:jc w:val="center"/>
        <w:rPr>
          <w:rFonts w:ascii="仿宋_GB2312" w:hAnsi="仿宋" w:eastAsia="仿宋_GB2312" w:cs="仿宋_GB2312"/>
          <w:b/>
          <w:sz w:val="30"/>
          <w:szCs w:val="30"/>
        </w:rPr>
      </w:pPr>
    </w:p>
    <w:p>
      <w:pPr>
        <w:snapToGrid w:val="0"/>
        <w:spacing w:line="360" w:lineRule="auto"/>
        <w:jc w:val="center"/>
        <w:outlineLvl w:val="2"/>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二、法人授权书</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拱墅区数据资源管理局、</w:t>
      </w:r>
      <w:r>
        <w:rPr>
          <w:rFonts w:hint="eastAsia" w:ascii="仿宋_GB2312" w:hAnsi="仿宋" w:eastAsia="仿宋_GB2312" w:cs="仿宋_GB2312"/>
          <w:sz w:val="24"/>
        </w:rPr>
        <w:t>杭州鼎廉招标代理有限公司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lang w:val="zh-CN"/>
        </w:rPr>
        <w:t>兹委派我公司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先生/女士(其在本公司的职务是：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)，代表我公司全权处理</w:t>
      </w:r>
      <w:r>
        <w:rPr>
          <w:rFonts w:hint="eastAsia" w:ascii="仿宋" w:hAnsi="仿宋" w:eastAsia="仿宋" w:cs="仿宋"/>
          <w:kern w:val="0"/>
          <w:sz w:val="24"/>
          <w:lang w:eastAsia="zh-CN"/>
        </w:rPr>
        <w:t>2021年拱墅区信息化综合运维与服务项目（标项1/标项2）</w:t>
      </w:r>
      <w:r>
        <w:rPr>
          <w:rFonts w:hint="eastAsia" w:ascii="仿宋_GB2312" w:hAnsi="仿宋" w:eastAsia="仿宋_GB2312"/>
          <w:sz w:val="24"/>
        </w:rPr>
        <w:t xml:space="preserve"> </w:t>
      </w:r>
      <w:r>
        <w:rPr>
          <w:rFonts w:hint="eastAsia" w:ascii="仿宋_GB2312" w:hAnsi="仿宋" w:eastAsia="仿宋_GB2312" w:cs="仿宋_GB2312"/>
          <w:kern w:val="0"/>
          <w:sz w:val="24"/>
          <w:lang w:val="zh-CN"/>
        </w:rPr>
        <w:t>【项目编号：DLZB2021D-GK-C038】政府采购投标的一切事项，若中标则全权代表本公司签订相关合同，并负责处理合同履行等事宜。</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签发日期：  年  月   日</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 xml:space="preserve">   联合体投标授权书（适用联合体投标）</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lang w:val="zh-CN"/>
        </w:rPr>
        <w:t>兹委派</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)；……，代表本联合体全权处理</w:t>
      </w:r>
      <w:r>
        <w:rPr>
          <w:rFonts w:hint="eastAsia" w:ascii="仿宋" w:hAnsi="仿宋" w:eastAsia="仿宋" w:cs="仿宋"/>
          <w:kern w:val="0"/>
          <w:sz w:val="24"/>
          <w:lang w:eastAsia="zh-CN"/>
        </w:rPr>
        <w:t>2021年拱墅区信息化综合运维与服务项目（标项1/标项2）</w:t>
      </w:r>
      <w:r>
        <w:rPr>
          <w:rFonts w:hint="eastAsia" w:ascii="仿宋_GB2312" w:hAnsi="仿宋" w:eastAsia="仿宋_GB2312"/>
          <w:sz w:val="24"/>
        </w:rPr>
        <w:t xml:space="preserve"> </w:t>
      </w:r>
      <w:r>
        <w:rPr>
          <w:rFonts w:hint="eastAsia" w:ascii="仿宋_GB2312" w:hAnsi="仿宋" w:eastAsia="仿宋_GB2312" w:cs="仿宋_GB2312"/>
          <w:kern w:val="0"/>
          <w:sz w:val="24"/>
          <w:lang w:val="zh-CN"/>
        </w:rPr>
        <w:t>【项目编号：DLZB2021D-GK-C038】政府采购投标的一切事项，若中标则全权代表本联合体签订相关合同，并负责处理合同履行等事宜。</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单位：            （电子签名）         单位：          （电子签名）</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pacing w:line="360" w:lineRule="auto"/>
        <w:rPr>
          <w:rFonts w:ascii="仿宋_GB2312" w:hAnsi="仿宋" w:eastAsia="仿宋_GB2312" w:cs="仿宋_GB2312"/>
          <w:sz w:val="28"/>
          <w:szCs w:val="28"/>
        </w:rPr>
      </w:pPr>
    </w:p>
    <w:p>
      <w:pPr>
        <w:spacing w:line="360" w:lineRule="auto"/>
        <w:rPr>
          <w:rFonts w:ascii="仿宋_GB2312" w:hAnsi="仿宋" w:eastAsia="仿宋_GB2312" w:cs="仿宋_GB2312"/>
          <w:sz w:val="28"/>
          <w:szCs w:val="28"/>
        </w:rPr>
      </w:pPr>
    </w:p>
    <w:p>
      <w:pPr>
        <w:snapToGrid w:val="0"/>
        <w:spacing w:line="360" w:lineRule="auto"/>
        <w:jc w:val="center"/>
        <w:outlineLvl w:val="2"/>
        <w:rPr>
          <w:rFonts w:ascii="仿宋_GB2312" w:hAnsi="仿宋" w:eastAsia="仿宋_GB2312" w:cs="仿宋_GB2312"/>
          <w:sz w:val="24"/>
        </w:rPr>
      </w:pPr>
      <w:r>
        <w:rPr>
          <w:rFonts w:hint="eastAsia" w:ascii="仿宋_GB2312" w:hAnsi="仿宋" w:eastAsia="仿宋_GB2312" w:cs="仿宋_GB2312"/>
          <w:b/>
          <w:bCs/>
          <w:sz w:val="30"/>
          <w:szCs w:val="30"/>
        </w:rPr>
        <w:br w:type="page"/>
      </w:r>
      <w:r>
        <w:rPr>
          <w:rFonts w:hint="eastAsia" w:ascii="仿宋_GB2312" w:hAnsi="仿宋" w:eastAsia="仿宋_GB2312" w:cs="仿宋_GB2312"/>
          <w:b/>
          <w:kern w:val="0"/>
          <w:sz w:val="32"/>
          <w:szCs w:val="32"/>
          <w:lang w:val="zh-CN"/>
        </w:rPr>
        <w:t>三、授权代表的身份证（复印件）</w:t>
      </w:r>
    </w:p>
    <w:p>
      <w:pPr>
        <w:pStyle w:val="28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87"/>
              <w:spacing w:line="360" w:lineRule="auto"/>
              <w:rPr>
                <w:rFonts w:ascii="仿宋_GB2312" w:hAnsi="仿宋" w:eastAsia="仿宋_GB2312"/>
                <w:bCs/>
                <w:sz w:val="24"/>
              </w:rPr>
            </w:pPr>
            <w:r>
              <w:rPr>
                <w:rFonts w:hint="eastAsia" w:ascii="仿宋_GB2312" w:hAnsi="仿宋" w:eastAsia="仿宋_GB2312"/>
                <w:bCs/>
                <w:sz w:val="24"/>
              </w:rPr>
              <w:t>正面：                                 反面：</w:t>
            </w:r>
          </w:p>
          <w:p>
            <w:pPr>
              <w:pStyle w:val="287"/>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kern w:val="0"/>
          <w:sz w:val="24"/>
          <w:lang w:val="zh-CN"/>
        </w:rPr>
      </w:pPr>
    </w:p>
    <w:p>
      <w:pPr>
        <w:spacing w:line="360" w:lineRule="auto"/>
        <w:jc w:val="center"/>
        <w:rPr>
          <w:rFonts w:ascii="仿宋_GB2312" w:hAnsi="仿宋" w:eastAsia="仿宋_GB2312" w:cs="仿宋_GB2312"/>
          <w:b/>
          <w:sz w:val="30"/>
          <w:szCs w:val="30"/>
        </w:rPr>
      </w:pPr>
    </w:p>
    <w:p>
      <w:pPr>
        <w:snapToGrid w:val="0"/>
        <w:spacing w:line="360" w:lineRule="auto"/>
        <w:jc w:val="center"/>
        <w:outlineLvl w:val="2"/>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四、2020年度资产负债表等财务报表资料文件（复印件）</w:t>
      </w:r>
    </w:p>
    <w:p>
      <w:pPr>
        <w:spacing w:line="360" w:lineRule="auto"/>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napToGrid w:val="0"/>
        <w:spacing w:line="360" w:lineRule="auto"/>
        <w:ind w:right="480"/>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snapToGrid w:val="0"/>
        <w:spacing w:line="360" w:lineRule="auto"/>
        <w:ind w:right="480"/>
        <w:jc w:val="center"/>
        <w:rPr>
          <w:rFonts w:ascii="仿宋_GB2312" w:hAnsi="仿宋" w:eastAsia="仿宋_GB2312" w:cs="仿宋_GB2312"/>
          <w:b/>
          <w:kern w:val="0"/>
          <w:sz w:val="32"/>
          <w:szCs w:val="32"/>
          <w:lang w:val="zh-CN"/>
        </w:rPr>
      </w:pPr>
    </w:p>
    <w:p>
      <w:pPr>
        <w:snapToGrid w:val="0"/>
        <w:spacing w:line="360" w:lineRule="auto"/>
        <w:jc w:val="center"/>
        <w:outlineLvl w:val="2"/>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val="zh-CN"/>
        </w:rPr>
        <w:t>五、具有履行合同所必需的设备和专业技术能力的承诺函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拱墅区数据资源管理局、杭州鼎廉招标代理有限公司：</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我方郑重承诺，我方具有履行</w:t>
      </w:r>
      <w:r>
        <w:rPr>
          <w:rFonts w:hint="eastAsia" w:ascii="仿宋" w:hAnsi="仿宋" w:eastAsia="仿宋" w:cs="仿宋"/>
          <w:kern w:val="0"/>
          <w:sz w:val="24"/>
          <w:lang w:eastAsia="zh-CN"/>
        </w:rPr>
        <w:t>2021年拱墅区信息化综合运维与服务项目（标项1/标项2）</w:t>
      </w:r>
      <w:r>
        <w:rPr>
          <w:rFonts w:hint="eastAsia" w:ascii="仿宋_GB2312" w:hAnsi="仿宋" w:eastAsia="仿宋_GB2312"/>
          <w:sz w:val="24"/>
        </w:rPr>
        <w:t xml:space="preserve"> </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项目编号：DLZB2021D-GK-C038</w:t>
      </w:r>
      <w:r>
        <w:rPr>
          <w:rFonts w:hint="eastAsia" w:ascii="仿宋_GB2312" w:hAnsi="仿宋" w:eastAsia="仿宋_GB2312" w:cs="仿宋_GB2312"/>
          <w:sz w:val="24"/>
        </w:rPr>
        <w:t>】合同所必需的设备和专业技术能力。如中标，我方将保证合同顺利履行。</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2"/>
          <w:szCs w:val="32"/>
        </w:rPr>
      </w:pPr>
    </w:p>
    <w:p>
      <w:pPr>
        <w:snapToGrid w:val="0"/>
        <w:spacing w:line="360" w:lineRule="auto"/>
        <w:jc w:val="center"/>
        <w:outlineLvl w:val="2"/>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六、参加政府采购活动前三年内，在经营活动中</w:t>
      </w:r>
      <w:r>
        <w:rPr>
          <w:rFonts w:hint="eastAsia" w:ascii="仿宋_GB2312" w:hAnsi="仿宋" w:eastAsia="仿宋_GB2312" w:cs="仿宋_GB2312"/>
          <w:b/>
          <w:kern w:val="0"/>
          <w:sz w:val="32"/>
          <w:szCs w:val="32"/>
        </w:rPr>
        <w:t>没有重大违法记录的声明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拱墅区数据资源管理局、杭州鼎廉招标代理有限公司</w:t>
      </w:r>
      <w:r>
        <w:rPr>
          <w:rFonts w:hint="eastAsia"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lang w:val="zh-CN"/>
        </w:rPr>
        <w:t>我方</w:t>
      </w:r>
      <w:r>
        <w:rPr>
          <w:rFonts w:hint="eastAsia" w:ascii="仿宋_GB2312" w:hAnsi="仿宋" w:eastAsia="仿宋_GB2312" w:cs="仿宋_GB2312"/>
          <w:sz w:val="24"/>
        </w:rPr>
        <w:t>声明投标截止时间前三年，在</w:t>
      </w:r>
      <w:r>
        <w:rPr>
          <w:rFonts w:hint="eastAsia" w:ascii="仿宋_GB2312" w:hAnsi="仿宋" w:eastAsia="仿宋_GB2312" w:cs="仿宋_GB2312"/>
          <w:kern w:val="0"/>
          <w:sz w:val="24"/>
        </w:rPr>
        <w:t>经营活动中</w:t>
      </w:r>
      <w:r>
        <w:rPr>
          <w:rFonts w:hint="eastAsia" w:ascii="仿宋_GB2312" w:hAnsi="仿宋" w:eastAsia="仿宋_GB2312" w:cs="仿宋_GB2312"/>
          <w:sz w:val="24"/>
        </w:rPr>
        <w:t xml:space="preserve">没有重大违法记录。 </w:t>
      </w:r>
    </w:p>
    <w:p>
      <w:pPr>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firstLine="5160" w:firstLineChars="2150"/>
        <w:rPr>
          <w:rFonts w:ascii="仿宋_GB2312" w:hAnsi="仿宋" w:eastAsia="仿宋_GB2312" w:cs="仿宋_GB2312"/>
          <w:kern w:val="0"/>
          <w:sz w:val="24"/>
          <w:lang w:val="zh-CN"/>
        </w:rPr>
      </w:pPr>
    </w:p>
    <w:p>
      <w:pPr>
        <w:snapToGrid w:val="0"/>
        <w:spacing w:line="360" w:lineRule="auto"/>
        <w:ind w:firstLine="5160" w:firstLineChars="2150"/>
        <w:rPr>
          <w:rFonts w:ascii="仿宋_GB2312" w:hAnsi="仿宋" w:eastAsia="仿宋_GB2312" w:cs="仿宋_GB2312"/>
          <w:kern w:val="0"/>
          <w:sz w:val="24"/>
          <w:lang w:val="zh-CN"/>
        </w:rPr>
      </w:pPr>
    </w:p>
    <w:p>
      <w:pPr>
        <w:snapToGrid w:val="0"/>
        <w:spacing w:line="360" w:lineRule="auto"/>
        <w:ind w:firstLine="5160" w:firstLineChars="2150"/>
        <w:rPr>
          <w:rFonts w:ascii="仿宋_GB2312" w:hAnsi="仿宋" w:eastAsia="仿宋_GB2312" w:cs="仿宋_GB2312"/>
          <w:kern w:val="0"/>
          <w:sz w:val="24"/>
          <w:lang w:val="zh-CN"/>
        </w:rPr>
      </w:pPr>
    </w:p>
    <w:p>
      <w:pPr>
        <w:keepNext/>
        <w:keepLines/>
        <w:numPr>
          <w:ins w:id="1" w:author="user" w:date=""/>
        </w:numPr>
        <w:adjustRightInd/>
        <w:spacing w:line="579" w:lineRule="auto"/>
        <w:ind w:left="431" w:hanging="431"/>
        <w:outlineLvl w:val="9"/>
        <w:rPr>
          <w:lang w:val="zh-CN"/>
        </w:rPr>
      </w:pPr>
    </w:p>
    <w:p>
      <w:pPr>
        <w:snapToGrid w:val="0"/>
        <w:spacing w:line="360" w:lineRule="auto"/>
        <w:ind w:firstLine="5160" w:firstLineChars="2150"/>
        <w:rPr>
          <w:rFonts w:ascii="仿宋_GB2312" w:hAnsi="仿宋" w:eastAsia="仿宋_GB2312" w:cs="仿宋_GB2312"/>
          <w:kern w:val="0"/>
          <w:sz w:val="24"/>
          <w:lang w:val="zh-CN"/>
        </w:rPr>
      </w:pPr>
    </w:p>
    <w:p>
      <w:pPr>
        <w:snapToGrid w:val="0"/>
        <w:spacing w:line="360" w:lineRule="auto"/>
        <w:ind w:firstLine="5160" w:firstLineChars="2150"/>
        <w:rPr>
          <w:rFonts w:ascii="仿宋_GB2312" w:hAnsi="仿宋" w:eastAsia="仿宋_GB2312" w:cs="仿宋_GB2312"/>
          <w:kern w:val="0"/>
          <w:sz w:val="24"/>
          <w:lang w:val="zh-CN"/>
        </w:rPr>
      </w:pPr>
    </w:p>
    <w:p>
      <w:pPr>
        <w:snapToGrid w:val="0"/>
        <w:spacing w:line="360" w:lineRule="auto"/>
        <w:ind w:firstLine="1606" w:firstLineChars="500"/>
        <w:rPr>
          <w:rFonts w:ascii="仿宋_GB2312" w:hAnsi="仿宋" w:eastAsia="仿宋_GB2312" w:cs="仿宋_GB2312"/>
          <w:b/>
          <w:kern w:val="0"/>
          <w:sz w:val="32"/>
          <w:szCs w:val="32"/>
        </w:rPr>
      </w:pPr>
    </w:p>
    <w:p>
      <w:pPr>
        <w:snapToGrid w:val="0"/>
        <w:spacing w:line="360" w:lineRule="auto"/>
        <w:jc w:val="center"/>
        <w:outlineLvl w:val="2"/>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七、具有良好商业信誉特别声明</w:t>
      </w:r>
    </w:p>
    <w:p>
      <w:pPr>
        <w:snapToGrid w:val="0"/>
        <w:spacing w:line="360" w:lineRule="auto"/>
        <w:ind w:firstLine="480"/>
        <w:rPr>
          <w:rFonts w:ascii="仿宋_GB2312" w:hAnsi="仿宋" w:eastAsia="仿宋_GB2312" w:cs="仿宋_GB2312"/>
          <w:kern w:val="0"/>
          <w:sz w:val="24"/>
        </w:rPr>
      </w:pPr>
      <w:r>
        <w:rPr>
          <w:rFonts w:hint="eastAsia" w:ascii="仿宋_GB2312" w:hAnsi="仿宋" w:eastAsia="仿宋_GB2312" w:cs="仿宋_GB2312"/>
          <w:sz w:val="24"/>
        </w:rPr>
        <w:t>拱墅区数据资源管理局、杭州鼎廉招标代理有限公司</w:t>
      </w:r>
      <w:r>
        <w:rPr>
          <w:rFonts w:hint="eastAsia" w:ascii="仿宋_GB2312" w:hAnsi="仿宋" w:eastAsia="仿宋_GB2312" w:cs="仿宋_GB2312"/>
          <w:kern w:val="0"/>
          <w:sz w:val="24"/>
          <w:lang w:val="zh-CN"/>
        </w:rPr>
        <w:t>：</w:t>
      </w:r>
    </w:p>
    <w:p>
      <w:pPr>
        <w:snapToGrid w:val="0"/>
        <w:spacing w:line="360" w:lineRule="auto"/>
        <w:ind w:firstLine="480"/>
        <w:rPr>
          <w:rFonts w:ascii="仿宋_GB2312" w:hAnsi="仿宋" w:eastAsia="仿宋_GB2312" w:cs="仿宋_GB2312"/>
          <w:kern w:val="0"/>
          <w:sz w:val="24"/>
          <w:lang w:val="zh-CN"/>
        </w:rPr>
      </w:pPr>
      <w:r>
        <w:rPr>
          <w:rFonts w:hint="eastAsia" w:ascii="仿宋_GB2312" w:hAnsi="仿宋" w:eastAsia="仿宋_GB2312" w:cs="仿宋_GB2312"/>
          <w:sz w:val="24"/>
        </w:rPr>
        <w:t>截至投标截止时间，我方具有良好的商业信誉，不存在下列情形（包括但不限于）。否则，我方将承担在资格审查时不被通过的后果。</w:t>
      </w:r>
    </w:p>
    <w:p>
      <w:pPr>
        <w:pStyle w:val="264"/>
        <w:spacing w:before="0"/>
        <w:ind w:firstLine="495" w:firstLineChars="0"/>
        <w:rPr>
          <w:rFonts w:ascii="仿宋_GB2312" w:hAnsi="仿宋" w:eastAsia="仿宋_GB2312"/>
        </w:rPr>
      </w:pPr>
      <w:r>
        <w:rPr>
          <w:rFonts w:hint="eastAsia" w:ascii="仿宋_GB2312" w:hAnsi="仿宋" w:eastAsia="仿宋_GB2312"/>
        </w:rPr>
        <w:t>1</w:t>
      </w:r>
      <w:r>
        <w:rPr>
          <w:rFonts w:hint="eastAsia" w:ascii="仿宋_GB2312" w:hAnsi="仿宋" w:eastAsia="仿宋_GB2312" w:cs="仿宋_GB2312"/>
          <w:b/>
          <w:szCs w:val="24"/>
        </w:rPr>
        <w:t>、</w:t>
      </w:r>
      <w:r>
        <w:rPr>
          <w:rFonts w:hint="eastAsia" w:ascii="仿宋_GB2312" w:hAnsi="仿宋" w:eastAsia="仿宋_GB2312"/>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sz w:val="24"/>
        </w:rPr>
      </w:pPr>
    </w:p>
    <w:p>
      <w:pPr>
        <w:snapToGrid w:val="0"/>
        <w:spacing w:line="360" w:lineRule="auto"/>
        <w:ind w:firstLine="4680" w:firstLineChars="19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sz w:val="30"/>
          <w:szCs w:val="30"/>
        </w:rPr>
      </w:pPr>
    </w:p>
    <w:p>
      <w:pPr>
        <w:spacing w:line="360" w:lineRule="auto"/>
        <w:jc w:val="center"/>
        <w:rPr>
          <w:rFonts w:ascii="仿宋_GB2312" w:hAnsi="仿宋" w:eastAsia="仿宋_GB2312" w:cs="仿宋_GB2312"/>
          <w:b/>
          <w:sz w:val="32"/>
          <w:szCs w:val="32"/>
        </w:rPr>
      </w:pPr>
    </w:p>
    <w:p>
      <w:pPr>
        <w:snapToGrid w:val="0"/>
        <w:spacing w:line="360" w:lineRule="auto"/>
        <w:jc w:val="center"/>
        <w:outlineLvl w:val="2"/>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八、特定资格条件要求的资质文件（复印件）</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bCs/>
          <w:sz w:val="32"/>
          <w:szCs w:val="32"/>
        </w:rPr>
        <w:br w:type="page"/>
      </w:r>
      <w:r>
        <w:rPr>
          <w:rFonts w:hint="eastAsia" w:ascii="仿宋_GB2312" w:hAnsi="仿宋" w:eastAsia="仿宋_GB2312" w:cs="仿宋_GB2312"/>
          <w:b/>
          <w:kern w:val="0"/>
          <w:sz w:val="36"/>
          <w:szCs w:val="36"/>
        </w:rPr>
        <w:t>▲报价文件部分</w:t>
      </w:r>
    </w:p>
    <w:p>
      <w:pPr>
        <w:spacing w:line="360" w:lineRule="auto"/>
        <w:jc w:val="center"/>
        <w:rPr>
          <w:rFonts w:ascii="仿宋_GB2312" w:hAnsi="仿宋" w:eastAsia="仿宋_GB2312" w:cs="仿宋_GB2312"/>
          <w:b/>
          <w:kern w:val="0"/>
          <w:sz w:val="24"/>
        </w:rPr>
      </w:pPr>
    </w:p>
    <w:p>
      <w:pPr>
        <w:snapToGrid w:val="0"/>
        <w:spacing w:line="360" w:lineRule="auto"/>
        <w:jc w:val="center"/>
        <w:outlineLvl w:val="2"/>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目录</w:t>
      </w:r>
    </w:p>
    <w:p>
      <w:pPr>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（1）投标响应函……………………………………………………（页码）</w:t>
      </w:r>
    </w:p>
    <w:p>
      <w:pPr>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（2）投标（开标）一览表…………………………………………（页码）</w:t>
      </w:r>
    </w:p>
    <w:p>
      <w:pPr>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（3）中小企业声明函………………………………………………（页码）</w:t>
      </w:r>
    </w:p>
    <w:p>
      <w:pPr>
        <w:spacing w:line="360" w:lineRule="auto"/>
        <w:ind w:left="2" w:firstLine="480" w:firstLineChars="200"/>
        <w:rPr>
          <w:rFonts w:ascii="仿宋_GB2312" w:hAnsi="仿宋" w:eastAsia="仿宋_GB2312" w:cs="仿宋_GB2312"/>
          <w:sz w:val="24"/>
        </w:rPr>
      </w:pPr>
    </w:p>
    <w:p>
      <w:pPr>
        <w:spacing w:line="360" w:lineRule="auto"/>
        <w:ind w:left="2" w:firstLine="480" w:firstLineChars="200"/>
        <w:rPr>
          <w:rFonts w:ascii="仿宋_GB2312" w:hAnsi="仿宋" w:eastAsia="仿宋_GB2312" w:cs="仿宋_GB2312"/>
          <w:sz w:val="24"/>
        </w:rPr>
      </w:pPr>
    </w:p>
    <w:p>
      <w:pPr>
        <w:spacing w:line="360" w:lineRule="auto"/>
        <w:ind w:left="2" w:firstLine="480" w:firstLineChars="200"/>
        <w:rPr>
          <w:rFonts w:ascii="仿宋_GB2312" w:hAnsi="仿宋" w:eastAsia="仿宋_GB2312" w:cs="仿宋_GB2312"/>
          <w:sz w:val="24"/>
        </w:rPr>
      </w:pPr>
    </w:p>
    <w:p>
      <w:pPr>
        <w:spacing w:line="360" w:lineRule="auto"/>
        <w:ind w:left="2" w:firstLine="480" w:firstLineChars="200"/>
        <w:rPr>
          <w:rFonts w:ascii="仿宋_GB2312" w:hAnsi="仿宋" w:eastAsia="仿宋_GB2312" w:cs="仿宋_GB2312"/>
          <w:sz w:val="24"/>
        </w:rPr>
      </w:pPr>
    </w:p>
    <w:p>
      <w:pPr>
        <w:spacing w:line="360" w:lineRule="auto"/>
        <w:ind w:left="2" w:firstLine="480" w:firstLineChars="200"/>
        <w:rPr>
          <w:rFonts w:ascii="仿宋_GB2312" w:hAnsi="仿宋" w:eastAsia="仿宋_GB2312" w:cs="仿宋_GB2312"/>
          <w:sz w:val="24"/>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pStyle w:val="78"/>
        <w:rPr>
          <w:rFonts w:ascii="Arial" w:hAnsi="Arial" w:eastAsia="黑体" w:cs="Arial"/>
          <w:snapToGrid w:val="0"/>
          <w:kern w:val="0"/>
          <w:szCs w:val="21"/>
        </w:rPr>
      </w:pPr>
    </w:p>
    <w:p>
      <w:pPr>
        <w:snapToGrid w:val="0"/>
        <w:spacing w:line="360" w:lineRule="auto"/>
        <w:jc w:val="center"/>
        <w:outlineLvl w:val="2"/>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一、投标响应函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拱墅区数据资源管理局、杭州鼎廉招标代理有限公司：</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(投标人全称)授权</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(全权代表姓名)</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(职务、职称)为全权代表，参加贵方组织的</w:t>
      </w:r>
      <w:r>
        <w:rPr>
          <w:rFonts w:hint="eastAsia" w:ascii="仿宋" w:hAnsi="仿宋" w:eastAsia="仿宋" w:cs="仿宋"/>
          <w:kern w:val="0"/>
          <w:sz w:val="24"/>
          <w:lang w:eastAsia="zh-CN"/>
        </w:rPr>
        <w:t>2021年拱墅区信息化综合运维与服务项目（标项1/标项2）</w:t>
      </w:r>
      <w:r>
        <w:rPr>
          <w:rFonts w:hint="eastAsia" w:ascii="仿宋_GB2312" w:hAnsi="仿宋" w:eastAsia="仿宋_GB2312"/>
          <w:sz w:val="24"/>
        </w:rPr>
        <w:t xml:space="preserve"> </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项目编号：DLZB2021D-GK-C038</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1、我方同意在投标人</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规定的开标日期起遵守本投标文件中的承诺且在投标有效期满之前均具有约束力。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(1)具有独立承担民事责任的能力；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(2)遵守国家法律、行政法规，具有良好的信誉和商业道德；</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(3)具有履行合同的能力和良好的履行合同记录；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(4)良好的资金、财务状况；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(5)产品及生产所需装备符合中国政府规定的相应技术标准和环保标准；</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(6)没有违反政府采购法规、政策的记录；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(7)没有发生重大经济纠纷和走私犯罪记录。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3、我方中标后拟在中标后将</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工作分包，分包承担主体是</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，我方承诺分包承担主体具备相应资质条件</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（若有分包可填</w:t>
      </w:r>
      <w:r>
        <w:rPr>
          <w:rFonts w:hint="eastAsia" w:ascii="仿宋_GB2312" w:hAnsi="仿宋" w:eastAsia="仿宋_GB2312" w:cs="仿宋_GB2312"/>
          <w:b/>
          <w:bCs/>
          <w:sz w:val="24"/>
          <w:u w:val="single"/>
        </w:rPr>
        <w:t>见附件</w:t>
      </w:r>
      <w:r>
        <w:rPr>
          <w:rFonts w:hint="eastAsia" w:ascii="仿宋_GB2312" w:hAnsi="仿宋" w:eastAsia="仿宋_GB2312" w:cs="仿宋_GB2312"/>
          <w:b/>
          <w:bCs/>
          <w:sz w:val="24"/>
        </w:rPr>
        <w:t>：</w:t>
      </w:r>
      <w:r>
        <w:rPr>
          <w:rFonts w:hint="eastAsia" w:ascii="仿宋_GB2312" w:hAnsi="仿宋_GB2312" w:eastAsia="仿宋_GB2312" w:cs="仿宋_GB2312"/>
          <w:sz w:val="24"/>
        </w:rPr>
        <w:t>附件主要包括</w:t>
      </w:r>
      <w:r>
        <w:rPr>
          <w:rFonts w:hint="eastAsia" w:ascii="仿宋_GB2312" w:hAnsi="仿宋_GB2312" w:eastAsia="仿宋_GB2312" w:cs="仿宋_GB2312"/>
          <w:sz w:val="24"/>
          <w:shd w:val="clear" w:color="auto" w:fill="FFFFFF"/>
        </w:rPr>
        <w:t>分包单位的营业执照、主要业绩、项目经理、技术负责人，以及其他特殊资质（若有）等情况</w:t>
      </w:r>
      <w:r>
        <w:rPr>
          <w:rFonts w:hint="eastAsia" w:ascii="仿宋_GB2312" w:hAnsi="仿宋" w:eastAsia="仿宋_GB2312" w:cs="仿宋_GB2312"/>
          <w:sz w:val="24"/>
        </w:rPr>
        <w:t>），且不再次分包。（若不进行分包或本项目不允许分包的，下划线处填写“/”。）</w:t>
      </w:r>
    </w:p>
    <w:p>
      <w:pPr>
        <w:pStyle w:val="33"/>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4、提供</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规定的全部投标文件</w:t>
      </w:r>
      <w:r>
        <w:rPr>
          <w:rFonts w:hint="eastAsia" w:ascii="仿宋_GB2312" w:hAnsi="仿宋" w:eastAsia="仿宋_GB2312" w:cs="仿宋_GB2312"/>
          <w:kern w:val="44"/>
          <w:sz w:val="24"/>
        </w:rPr>
        <w:t>。</w:t>
      </w:r>
      <w:r>
        <w:rPr>
          <w:rFonts w:hint="eastAsia" w:ascii="仿宋_GB2312" w:hAnsi="仿宋" w:eastAsia="仿宋_GB2312" w:cs="仿宋_GB2312"/>
          <w:sz w:val="24"/>
        </w:rPr>
        <w:t>具体内容为：</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(1)投标(开标)一览表；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(2)投标</w:t>
      </w:r>
      <w:r>
        <w:rPr>
          <w:rFonts w:hint="eastAsia" w:ascii="仿宋_GB2312" w:hAnsi="仿宋" w:eastAsia="仿宋_GB2312" w:cs="仿宋_GB2312"/>
          <w:kern w:val="0"/>
          <w:sz w:val="24"/>
          <w:lang w:val="zh-CN"/>
        </w:rPr>
        <w:t>技术文件和</w:t>
      </w:r>
      <w:r>
        <w:rPr>
          <w:rFonts w:hint="eastAsia" w:ascii="仿宋_GB2312" w:hAnsi="仿宋" w:eastAsia="仿宋_GB2312" w:cs="仿宋_GB2312"/>
          <w:sz w:val="24"/>
          <w:lang w:val="zh-CN"/>
        </w:rPr>
        <w:t>商务文件</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要求投标人提交的全部文件；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 (4)按招标文件要求提供和交付的货物和服务的投标报价详见投标(开标)一览表；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(5)保证忠实地执行双方所签订的合同，并承担合同规定的责任和义务；</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(6)保证遵守招标文件中的其他有关规定。</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5、我方承诺投标有效期从提交投标文件的截止之日起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天，不少于招标文件中载明的投标有效期（从提交投标文件的截止之日起90天）。</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6、我方完全理解贵方不一定要接受最低价的投标。</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8、我方已详细审核全部招标文件，包括招标文件修改书(如果有)、参考资料及有关附件，确认无误。</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a)提供虚假材料谋取中标、成交的；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b)采取不正当手段诋毁、排挤其他供应商的；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c)与采购人、其它供应商或者采购机构恶意串通的；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d)向采购人、采购机构行贿或者提供其他不正当利益的；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e)在招标采购过程中与采购人进行协商谈判的；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f)拒绝有关部门监督检查或提供虚假情况的。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供应商有前款第a)至e)项情形之一的，中标、成交无效。</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投标人名称（电子签名）：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联系人：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联系电话： </w:t>
      </w:r>
      <w:r>
        <w:rPr>
          <w:rFonts w:hint="eastAsia" w:ascii="仿宋_GB2312" w:hAnsi="仿宋" w:eastAsia="仿宋_GB2312" w:cs="仿宋_GB2312"/>
          <w:kern w:val="0"/>
          <w:sz w:val="24"/>
          <w:u w:val="single"/>
          <w:lang w:val="zh-CN"/>
        </w:rPr>
        <w:t xml:space="preserve">                </w:t>
      </w: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联系地址：</w:t>
      </w:r>
      <w:r>
        <w:rPr>
          <w:rFonts w:hint="eastAsia" w:ascii="仿宋_GB2312" w:hAnsi="仿宋" w:eastAsia="仿宋_GB2312" w:cs="仿宋_GB2312"/>
          <w:kern w:val="0"/>
          <w:sz w:val="24"/>
          <w:u w:val="single"/>
          <w:lang w:val="zh-CN"/>
        </w:rPr>
        <w:t xml:space="preserve">                                                    </w:t>
      </w: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邮政编码：</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传真号码：</w:t>
      </w:r>
      <w:r>
        <w:rPr>
          <w:rFonts w:hint="eastAsia" w:ascii="仿宋_GB2312" w:hAnsi="仿宋" w:eastAsia="仿宋_GB2312" w:cs="仿宋_GB2312"/>
          <w:kern w:val="0"/>
          <w:sz w:val="24"/>
          <w:u w:val="single"/>
          <w:lang w:val="zh-CN"/>
        </w:rPr>
        <w:t xml:space="preserve">                     </w:t>
      </w:r>
    </w:p>
    <w:p>
      <w:pPr>
        <w:snapToGrid w:val="0"/>
        <w:spacing w:line="360" w:lineRule="auto"/>
        <w:rPr>
          <w:rFonts w:ascii="仿宋_GB2312" w:hAnsi="仿宋" w:eastAsia="仿宋_GB2312" w:cs="仿宋_GB2312"/>
          <w:sz w:val="24"/>
        </w:rPr>
      </w:pPr>
      <w:r>
        <w:rPr>
          <w:rFonts w:hint="eastAsia" w:ascii="仿宋_GB2312" w:hAnsi="仿宋" w:eastAsia="仿宋_GB2312" w:cs="仿宋_GB2312"/>
          <w:b/>
          <w:kern w:val="0"/>
          <w:sz w:val="24"/>
          <w:lang w:val="zh-CN"/>
        </w:rPr>
        <w:t>注：未按照本投标响应函要求填报的将被视为非实质性响应投标，从而可能导致该投标被拒绝。</w:t>
      </w:r>
    </w:p>
    <w:p>
      <w:pPr>
        <w:pStyle w:val="75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rtlGutter w:val="1"/>
          <w:docGrid w:linePitch="312" w:charSpace="0"/>
        </w:sectPr>
      </w:pPr>
    </w:p>
    <w:p>
      <w:pPr>
        <w:snapToGrid w:val="0"/>
        <w:spacing w:line="360" w:lineRule="auto"/>
        <w:jc w:val="center"/>
        <w:outlineLvl w:val="2"/>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二、投标(开标)一览表</w:t>
      </w:r>
    </w:p>
    <w:p>
      <w:pPr>
        <w:snapToGrid w:val="0"/>
        <w:spacing w:line="360" w:lineRule="auto"/>
        <w:rPr>
          <w:rFonts w:ascii="仿宋_GB2312" w:hAnsi="仿宋" w:eastAsia="仿宋_GB2312" w:cs="仿宋_GB2312"/>
          <w:kern w:val="0"/>
          <w:sz w:val="24"/>
        </w:rPr>
      </w:pPr>
      <w:bookmarkStart w:id="406" w:name="_Toc86217005"/>
      <w:r>
        <w:rPr>
          <w:rFonts w:hint="eastAsia" w:ascii="仿宋_GB2312" w:hAnsi="仿宋" w:eastAsia="仿宋_GB2312" w:cs="仿宋_GB2312"/>
          <w:sz w:val="24"/>
        </w:rPr>
        <w:t>拱墅区数据资源管理局、杭州鼎廉招标代理有限公司</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
          <w:kern w:val="0"/>
          <w:sz w:val="24"/>
          <w:lang w:eastAsia="zh-CN"/>
        </w:rPr>
        <w:t>2021年拱墅区信息化综合运维与服务项目（标项1/标项2）</w:t>
      </w:r>
      <w:r>
        <w:rPr>
          <w:rFonts w:hint="eastAsia" w:ascii="仿宋_GB2312" w:hAnsi="仿宋" w:eastAsia="仿宋_GB2312"/>
          <w:sz w:val="24"/>
        </w:rPr>
        <w:t xml:space="preserve"> </w:t>
      </w:r>
      <w:r>
        <w:rPr>
          <w:rFonts w:hint="eastAsia" w:ascii="仿宋_GB2312" w:hAnsi="仿宋" w:eastAsia="仿宋_GB2312" w:cs="仿宋_GB2312"/>
          <w:kern w:val="0"/>
          <w:sz w:val="24"/>
          <w:lang w:val="zh-CN"/>
        </w:rPr>
        <w:t>【项目编号：DLZB2021D-GK-C038</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投标(开标)一览表(单位均为人民币元)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567" w:type="dxa"/>
            <w:gridSpan w:val="8"/>
            <w:vAlign w:val="center"/>
          </w:tcPr>
          <w:p>
            <w:pPr>
              <w:spacing w:line="360" w:lineRule="auto"/>
              <w:jc w:val="center"/>
              <w:rPr>
                <w:rFonts w:ascii="仿宋_GB2312" w:hAnsi="仿宋" w:eastAsia="仿宋_GB2312" w:cs="仿宋_GB2312"/>
                <w:sz w:val="24"/>
              </w:rPr>
            </w:pPr>
            <w:r>
              <w:rPr>
                <w:rFonts w:hint="eastAsia" w:ascii="仿宋_GB2312" w:hAnsi="仿宋" w:eastAsia="仿宋_GB2312"/>
                <w:b/>
                <w:sz w:val="24"/>
              </w:rPr>
              <w:t>其中核心产品，由</w:t>
            </w:r>
            <w:r>
              <w:rPr>
                <w:rFonts w:hint="eastAsia" w:ascii="仿宋_GB2312" w:hAnsi="仿宋" w:eastAsia="仿宋_GB2312"/>
                <w:b/>
                <w:sz w:val="24"/>
                <w:u w:val="single"/>
              </w:rPr>
              <w:t xml:space="preserve">            </w:t>
            </w:r>
            <w:r>
              <w:rPr>
                <w:rFonts w:hint="eastAsia" w:ascii="仿宋_GB2312" w:hAnsi="仿宋" w:eastAsia="仿宋_GB2312"/>
                <w:b/>
                <w:sz w:val="24"/>
              </w:rPr>
              <w:t>（请填写企业名称）制造，该企业</w:t>
            </w:r>
            <w:r>
              <w:rPr>
                <w:rFonts w:hint="eastAsia" w:ascii="仿宋_GB2312" w:hAnsi="仿宋" w:eastAsia="仿宋_GB2312"/>
                <w:b/>
                <w:sz w:val="24"/>
                <w:u w:val="single"/>
              </w:rPr>
              <w:t xml:space="preserve">         </w:t>
            </w:r>
            <w:r>
              <w:rPr>
                <w:rFonts w:hint="eastAsia" w:ascii="仿宋_GB2312" w:hAnsi="仿宋" w:eastAsia="仿宋_GB2312"/>
                <w:b/>
                <w:sz w:val="24"/>
              </w:rPr>
              <w:t>（请填写属于或不属于）小型、微型企业。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p>
    <w:p>
      <w:pPr>
        <w:snapToGrid w:val="0"/>
        <w:spacing w:line="360" w:lineRule="auto"/>
        <w:ind w:left="48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2、有关本项目实施所涉及的一切费用（详见前附表）均计入报价。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各项明细费用请按实填写（不得出现“0元”“免费赠送”等形式的无偿报价）。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ascii="仿宋_GB2312" w:hAnsi="仿宋" w:eastAsia="仿宋_GB2312" w:cs="仿宋_GB2312"/>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根据采购项目技术构成、产品价格比重等确定了本项目核心产品。投标人为小型、微型企业的，同时本项目所有核心产品均由小型、微型企业制造的，才视为投标人参加本项目采购活动提供了小型、微型企业产品，对投标报价给予10 %的扣除（专门面向中小企业的项目，对小微企业给予 8%的价格扣除），用扣除后的价格参与评审。符合上述条件的，请填写中小企业声明函。</w:t>
      </w:r>
    </w:p>
    <w:p>
      <w:pPr>
        <w:spacing w:line="360" w:lineRule="auto"/>
        <w:ind w:firstLine="481" w:firstLineChars="200"/>
        <w:rPr>
          <w:rFonts w:ascii="仿宋_GB2312" w:hAnsi="仿宋" w:eastAsia="仿宋_GB2312" w:cs="仿宋_GB2312"/>
          <w:kern w:val="0"/>
          <w:sz w:val="24"/>
          <w:u w:val="single"/>
          <w:lang w:val="zh-CN"/>
        </w:rPr>
      </w:pPr>
      <w:r>
        <w:rPr>
          <w:rFonts w:hint="eastAsia" w:ascii="仿宋_GB2312" w:hAnsi="仿宋" w:eastAsia="仿宋_GB2312"/>
          <w:b/>
          <w:sz w:val="24"/>
          <w:u w:val="single"/>
        </w:rPr>
        <w:t>投标人应如实填写是否可享受价格扣除，否则投标价格不可享受价格扣除。</w:t>
      </w:r>
    </w:p>
    <w:p>
      <w:pPr>
        <w:snapToGrid w:val="0"/>
        <w:spacing w:line="360" w:lineRule="auto"/>
        <w:ind w:firstLine="481" w:firstLineChars="200"/>
        <w:jc w:val="right"/>
        <w:rPr>
          <w:rFonts w:ascii="仿宋_GB2312" w:hAnsi="仿宋" w:eastAsia="仿宋_GB2312"/>
          <w:b/>
          <w:kern w:val="0"/>
          <w:sz w:val="24"/>
        </w:rPr>
      </w:pPr>
    </w:p>
    <w:p>
      <w:pPr>
        <w:spacing w:line="360" w:lineRule="auto"/>
        <w:ind w:right="960" w:firstLine="10440" w:firstLineChars="435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ind w:right="480"/>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bookmarkEnd w:id="406"/>
    <w:p>
      <w:pPr>
        <w:spacing w:line="360" w:lineRule="auto"/>
        <w:jc w:val="center"/>
        <w:rPr>
          <w:rFonts w:ascii="仿宋_GB2312" w:hAnsi="仿宋" w:eastAsia="仿宋_GB2312" w:cs="仿宋_GB2312"/>
          <w:sz w:val="36"/>
          <w:szCs w:val="36"/>
          <w:lang w:val="zh-CN"/>
        </w:rPr>
      </w:pPr>
    </w:p>
    <w:p>
      <w:pPr>
        <w:spacing w:line="360" w:lineRule="auto"/>
        <w:jc w:val="center"/>
        <w:rPr>
          <w:rFonts w:ascii="仿宋_GB2312" w:hAnsi="仿宋" w:eastAsia="仿宋_GB2312" w:cs="仿宋_GB2312"/>
          <w:sz w:val="36"/>
          <w:szCs w:val="36"/>
          <w:lang w:val="zh-CN"/>
        </w:rPr>
      </w:pPr>
    </w:p>
    <w:p>
      <w:pPr>
        <w:spacing w:line="360" w:lineRule="auto"/>
        <w:jc w:val="center"/>
        <w:rPr>
          <w:rFonts w:ascii="仿宋_GB2312" w:hAnsi="仿宋" w:eastAsia="仿宋_GB2312" w:cs="仿宋_GB2312"/>
          <w:sz w:val="36"/>
          <w:szCs w:val="36"/>
          <w:lang w:val="zh-CN"/>
        </w:rPr>
      </w:pPr>
    </w:p>
    <w:p>
      <w:pPr>
        <w:spacing w:line="360" w:lineRule="auto"/>
        <w:jc w:val="center"/>
        <w:rPr>
          <w:rFonts w:ascii="仿宋_GB2312" w:hAnsi="仿宋" w:eastAsia="仿宋_GB2312" w:cs="仿宋_GB2312"/>
          <w:sz w:val="36"/>
          <w:szCs w:val="36"/>
          <w:lang w:val="zh-CN"/>
        </w:rPr>
      </w:pPr>
    </w:p>
    <w:p>
      <w:pPr>
        <w:spacing w:line="360" w:lineRule="auto"/>
        <w:jc w:val="center"/>
        <w:outlineLvl w:val="0"/>
        <w:rPr>
          <w:rFonts w:ascii="仿宋_GB2312" w:hAnsi="仿宋" w:eastAsia="仿宋_GB2312" w:cs="仿宋_GB2312"/>
          <w:sz w:val="36"/>
          <w:szCs w:val="36"/>
          <w:lang w:val="zh-CN"/>
        </w:rPr>
        <w:sectPr>
          <w:pgSz w:w="16838" w:h="11906" w:orient="landscape"/>
          <w:pgMar w:top="1418" w:right="1276" w:bottom="1418" w:left="1247" w:header="851" w:footer="992" w:gutter="0"/>
          <w:cols w:space="720" w:num="1"/>
          <w:titlePg/>
          <w:rtlGutter w:val="1"/>
          <w:docGrid w:linePitch="312" w:charSpace="0"/>
        </w:sectPr>
      </w:pPr>
    </w:p>
    <w:p>
      <w:pPr>
        <w:snapToGrid w:val="0"/>
        <w:spacing w:line="360" w:lineRule="auto"/>
        <w:jc w:val="center"/>
        <w:outlineLvl w:val="2"/>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三、中小企业声明函</w:t>
      </w:r>
    </w:p>
    <w:p>
      <w:pPr>
        <w:spacing w:line="360" w:lineRule="auto"/>
        <w:rPr>
          <w:rFonts w:ascii="仿宋_GB2312" w:hAnsi="仿宋" w:eastAsia="仿宋_GB2312"/>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本公司郑重声明，根据《政府采购促进中小企业发展管理办法》（财库[2020]46号）的规定，本公司为</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（请填写：中型、小型、微型）企业。即，本公司同时满足以下条件：</w:t>
      </w:r>
    </w:p>
    <w:p>
      <w:pPr>
        <w:pStyle w:val="702"/>
        <w:widowControl/>
        <w:numPr>
          <w:ilvl w:val="0"/>
          <w:numId w:val="12"/>
        </w:numPr>
        <w:spacing w:after="120"/>
        <w:ind w:left="1320" w:firstLineChars="0"/>
        <w:rPr>
          <w:rFonts w:ascii="仿宋_GB2312" w:hAnsi="仿宋" w:eastAsia="仿宋_GB2312" w:cs="仿宋_GB2312"/>
          <w:szCs w:val="24"/>
        </w:rPr>
      </w:pPr>
      <w:r>
        <w:rPr>
          <w:rFonts w:hint="eastAsia" w:ascii="仿宋_GB2312" w:hAnsi="仿宋" w:eastAsia="仿宋_GB2312" w:cs="仿宋_GB2312"/>
          <w:szCs w:val="24"/>
        </w:rPr>
        <w:t>根据《工业和信息化部、国家统计局、国家发展和改革委员会、财政部关于印发中小企业划型标准规定的通知》（工信部联企业[2011]300号）规定的划分标准，本公司为</w:t>
      </w:r>
      <w:r>
        <w:rPr>
          <w:rFonts w:hint="eastAsia" w:ascii="仿宋_GB2312" w:hAnsi="仿宋" w:eastAsia="仿宋_GB2312" w:cs="仿宋_GB2312"/>
          <w:szCs w:val="24"/>
          <w:u w:val="single"/>
        </w:rPr>
        <w:t xml:space="preserve">   </w:t>
      </w:r>
      <w:r>
        <w:rPr>
          <w:rFonts w:hint="eastAsia" w:ascii="仿宋_GB2312" w:hAnsi="仿宋" w:eastAsia="仿宋_GB2312" w:cs="仿宋_GB2312"/>
          <w:szCs w:val="24"/>
        </w:rPr>
        <w:t>（请填写：中型、小型、微型）企业。</w:t>
      </w:r>
    </w:p>
    <w:p>
      <w:pPr>
        <w:pStyle w:val="702"/>
        <w:widowControl/>
        <w:numPr>
          <w:ilvl w:val="0"/>
          <w:numId w:val="12"/>
        </w:numPr>
        <w:spacing w:after="120"/>
        <w:ind w:left="1320" w:firstLineChars="0"/>
        <w:rPr>
          <w:rFonts w:ascii="仿宋_GB2312" w:hAnsi="仿宋" w:eastAsia="仿宋_GB2312" w:cs="仿宋_GB2312"/>
          <w:szCs w:val="24"/>
        </w:rPr>
      </w:pPr>
      <w:r>
        <w:rPr>
          <w:rFonts w:hint="eastAsia" w:ascii="仿宋_GB2312" w:hAnsi="仿宋" w:eastAsia="仿宋_GB2312" w:cs="仿宋_GB2312"/>
          <w:szCs w:val="24"/>
        </w:rPr>
        <w:t>本公司参加</w:t>
      </w:r>
      <w:r>
        <w:rPr>
          <w:rFonts w:hint="eastAsia" w:ascii="仿宋_GB2312" w:hAnsi="仿宋" w:eastAsia="仿宋_GB2312" w:cs="仿宋_GB2312"/>
          <w:szCs w:val="24"/>
          <w:u w:val="single"/>
        </w:rPr>
        <w:t xml:space="preserve">         </w:t>
      </w:r>
      <w:r>
        <w:rPr>
          <w:rFonts w:hint="eastAsia" w:ascii="仿宋_GB2312" w:hAnsi="仿宋" w:eastAsia="仿宋_GB2312" w:cs="仿宋_GB2312"/>
          <w:szCs w:val="24"/>
        </w:rPr>
        <w:t>单位的</w:t>
      </w:r>
      <w:r>
        <w:rPr>
          <w:rFonts w:hint="eastAsia" w:ascii="仿宋_GB2312" w:hAnsi="仿宋" w:eastAsia="仿宋_GB2312" w:cs="仿宋_GB2312"/>
          <w:szCs w:val="24"/>
          <w:u w:val="single"/>
        </w:rPr>
        <w:t xml:space="preserve">       </w:t>
      </w:r>
      <w:r>
        <w:rPr>
          <w:rFonts w:hint="eastAsia" w:ascii="仿宋_GB2312" w:hAnsi="仿宋" w:eastAsia="仿宋_GB2312" w:cs="仿宋_GB2312"/>
          <w:szCs w:val="24"/>
        </w:rPr>
        <w:t xml:space="preserve">项目采购活动提供本企业制造的货物，由本企业承担工程、提供服务，或者提供其他 </w:t>
      </w:r>
      <w:r>
        <w:rPr>
          <w:rFonts w:hint="eastAsia" w:ascii="仿宋_GB2312" w:hAnsi="仿宋" w:eastAsia="仿宋_GB2312" w:cs="仿宋_GB2312"/>
          <w:szCs w:val="24"/>
          <w:u w:val="single"/>
        </w:rPr>
        <w:t xml:space="preserve">        </w:t>
      </w:r>
      <w:r>
        <w:rPr>
          <w:rFonts w:hint="eastAsia" w:ascii="仿宋_GB2312" w:hAnsi="仿宋" w:eastAsia="仿宋_GB2312" w:cs="仿宋_GB2312"/>
          <w:szCs w:val="24"/>
        </w:rPr>
        <w:t>（请填写：中型、小型、微型）企业制造的货物。本条所称货物不包括使用大型企业注册商标的货物。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本公司对上述声明的真实性负责。如有虚假，将依法承担相应责任。</w:t>
      </w:r>
    </w:p>
    <w:p>
      <w:pPr>
        <w:spacing w:line="360" w:lineRule="auto"/>
        <w:jc w:val="right"/>
        <w:rPr>
          <w:rFonts w:ascii="仿宋_GB2312" w:hAnsi="仿宋" w:eastAsia="仿宋_GB2312" w:cs="仿宋_GB2312"/>
          <w:sz w:val="24"/>
        </w:rPr>
      </w:pPr>
    </w:p>
    <w:p>
      <w:pPr>
        <w:spacing w:line="360" w:lineRule="auto"/>
        <w:jc w:val="center"/>
        <w:rPr>
          <w:rFonts w:ascii="仿宋_GB2312" w:hAnsi="仿宋" w:eastAsia="仿宋_GB2312" w:cs="仿宋_GB2312"/>
          <w:sz w:val="36"/>
          <w:szCs w:val="36"/>
          <w:lang w:val="zh-CN"/>
        </w:rPr>
      </w:pPr>
      <w:r>
        <w:rPr>
          <w:rFonts w:hint="eastAsia" w:ascii="仿宋_GB2312" w:hAnsi="仿宋" w:eastAsia="仿宋_GB2312" w:cs="仿宋_GB2312"/>
          <w:sz w:val="24"/>
        </w:rPr>
        <w:t xml:space="preserve">投标人名称（电子签名）：               </w:t>
      </w:r>
    </w:p>
    <w:p>
      <w:pPr>
        <w:spacing w:line="360" w:lineRule="auto"/>
        <w:jc w:val="center"/>
        <w:rPr>
          <w:rFonts w:ascii="仿宋_GB2312" w:hAnsi="仿宋" w:eastAsia="仿宋_GB2312" w:cs="仿宋_GB2312"/>
          <w:sz w:val="36"/>
          <w:szCs w:val="36"/>
          <w:lang w:val="zh-CN"/>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注：</w:t>
      </w:r>
      <w:r>
        <w:rPr>
          <w:rFonts w:hint="eastAsia" w:ascii="仿宋_GB2312" w:hAnsi="仿宋" w:eastAsia="仿宋_GB2312"/>
          <w:b/>
          <w:sz w:val="24"/>
        </w:rPr>
        <w:t>▲投标人提供的中小企业声明函与实际情况不符的，视为投标人提供虚假材料投标的，投标无效。</w:t>
      </w:r>
      <w:r>
        <w:rPr>
          <w:rFonts w:hint="eastAsia"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ascii="仿宋_GB2312" w:hAnsi="仿宋" w:eastAsia="仿宋_GB2312" w:cs="仿宋_GB2312"/>
          <w:sz w:val="36"/>
          <w:szCs w:val="36"/>
        </w:rPr>
        <w:sectPr>
          <w:pgSz w:w="11906" w:h="16838"/>
          <w:pgMar w:top="1247" w:right="1418" w:bottom="1276" w:left="1418" w:header="851" w:footer="992" w:gutter="0"/>
          <w:cols w:space="720" w:num="1"/>
          <w:titlePg/>
          <w:rtlGutter w:val="1"/>
          <w:docGrid w:linePitch="312" w:charSpace="0"/>
        </w:sectPr>
      </w:pPr>
    </w:p>
    <w:p>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rPr>
          <w:rFonts w:ascii="仿宋_GB2312" w:hAnsi="仿宋" w:eastAsia="仿宋_GB2312" w:cs="仿宋_GB2312"/>
          <w:b/>
          <w:kern w:val="0"/>
          <w:sz w:val="24"/>
        </w:rPr>
      </w:pPr>
    </w:p>
    <w:p>
      <w:pPr>
        <w:spacing w:line="360" w:lineRule="auto"/>
        <w:jc w:val="center"/>
        <w:outlineLvl w:val="2"/>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pStyle w:val="797"/>
        <w:spacing w:line="360" w:lineRule="auto"/>
        <w:rPr>
          <w:rFonts w:cs="仿宋_GB2312"/>
        </w:rPr>
      </w:pPr>
      <w:r>
        <w:rPr>
          <w:rFonts w:hint="eastAsia" w:cs="仿宋_GB2312"/>
        </w:rPr>
        <w:t>（1）营业执照(或事业法人登记证或其他工商等登记证明材料)复印件（投标人为 然人的，提供自然人的身份证明）………………………………………（页码）</w:t>
      </w:r>
    </w:p>
    <w:p>
      <w:pPr>
        <w:pStyle w:val="797"/>
        <w:spacing w:line="360" w:lineRule="auto"/>
        <w:rPr>
          <w:rFonts w:cs="仿宋_GB2312"/>
        </w:rPr>
      </w:pPr>
      <w:r>
        <w:rPr>
          <w:rFonts w:hint="eastAsia" w:cs="仿宋_GB2312"/>
        </w:rPr>
        <w:t>（2）资信文件复印件（如果要求提供）……………………………（页码）</w:t>
      </w:r>
    </w:p>
    <w:p>
      <w:pPr>
        <w:pStyle w:val="797"/>
        <w:spacing w:line="360" w:lineRule="auto"/>
        <w:rPr>
          <w:rFonts w:cs="仿宋_GB2312"/>
        </w:rPr>
      </w:pPr>
      <w:r>
        <w:rPr>
          <w:rFonts w:hint="eastAsia" w:cs="仿宋_GB2312"/>
        </w:rPr>
        <w:t>（3）</w:t>
      </w:r>
      <w:r>
        <w:rPr>
          <w:rFonts w:hint="eastAsia" w:cs="仿宋_GB2312"/>
          <w:lang w:val="zh-CN"/>
        </w:rPr>
        <w:t>主要业绩证明… …………………………………………………</w:t>
      </w:r>
      <w:r>
        <w:rPr>
          <w:rFonts w:hint="eastAsia" w:cs="仿宋_GB2312"/>
        </w:rPr>
        <w:t>（页码）</w:t>
      </w:r>
    </w:p>
    <w:p>
      <w:pPr>
        <w:pStyle w:val="797"/>
        <w:spacing w:line="360" w:lineRule="auto"/>
        <w:rPr>
          <w:rFonts w:cs="仿宋_GB2312"/>
        </w:rPr>
      </w:pPr>
      <w:bookmarkStart w:id="407" w:name="OLE_LINK7"/>
      <w:bookmarkStart w:id="408" w:name="OLE_LINK6"/>
      <w:bookmarkStart w:id="409" w:name="OLE_LINK5"/>
      <w:r>
        <w:rPr>
          <w:rFonts w:hint="eastAsia" w:cs="仿宋_GB2312"/>
        </w:rPr>
        <w:t>（4）其他商务文件或说明</w:t>
      </w:r>
      <w:r>
        <w:rPr>
          <w:rFonts w:hint="eastAsia" w:cs="仿宋_GB2312"/>
          <w:lang w:val="zh-CN"/>
        </w:rPr>
        <w:t>………………………………………………</w:t>
      </w:r>
      <w:r>
        <w:rPr>
          <w:rFonts w:hint="eastAsia" w:cs="仿宋_GB2312"/>
        </w:rPr>
        <w:t>（页码）</w:t>
      </w:r>
      <w:bookmarkEnd w:id="407"/>
      <w:bookmarkEnd w:id="408"/>
    </w:p>
    <w:bookmarkEnd w:id="409"/>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（5）技术解决方案……………………………………………………（页码）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（6）技术偏离说明表…………………………………………………（页码）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（7）组织实施方案……………………………………………………（页码）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（8）售后服务方案……………………………………………………（页码）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（9）项目小组人员名单………………………………………………（页码）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（10）</w:t>
      </w:r>
      <w:r>
        <w:rPr>
          <w:rFonts w:hint="eastAsia" w:ascii="仿宋_GB2312" w:hAnsi="仿宋" w:eastAsia="仿宋_GB2312" w:cs="仿宋_GB2312"/>
          <w:kern w:val="0"/>
          <w:sz w:val="24"/>
          <w:lang w:val="zh-CN"/>
        </w:rPr>
        <w:t>优惠条件及特殊承诺……………………………………………</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（11）</w:t>
      </w:r>
      <w:r>
        <w:rPr>
          <w:rFonts w:hint="eastAsia" w:ascii="仿宋_GB2312" w:hAnsi="仿宋" w:eastAsia="仿宋_GB2312" w:cs="仿宋_GB2312"/>
          <w:kern w:val="0"/>
          <w:sz w:val="24"/>
          <w:lang w:val="zh-CN"/>
        </w:rPr>
        <w:t>备品备件及供选择的配套零部件清单…………………………</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（12）</w:t>
      </w:r>
      <w:r>
        <w:rPr>
          <w:rFonts w:hint="eastAsia" w:ascii="仿宋_GB2312" w:hAnsi="仿宋" w:eastAsia="仿宋_GB2312" w:cs="仿宋_GB2312"/>
          <w:kern w:val="0"/>
          <w:sz w:val="24"/>
          <w:lang w:val="zh-CN"/>
        </w:rPr>
        <w:t>培训计划…………………………………………………………</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b/>
          <w:bCs/>
          <w:sz w:val="24"/>
        </w:rPr>
      </w:pPr>
      <w:r>
        <w:rPr>
          <w:rFonts w:hint="eastAsia" w:ascii="仿宋_GB2312" w:hAnsi="仿宋" w:eastAsia="仿宋_GB2312" w:cs="仿宋_GB2312"/>
          <w:kern w:val="0"/>
          <w:sz w:val="24"/>
        </w:rPr>
        <w:t>（13）</w:t>
      </w:r>
      <w:r>
        <w:rPr>
          <w:rFonts w:hint="eastAsia" w:ascii="仿宋_GB2312" w:hAnsi="仿宋" w:eastAsia="仿宋_GB2312" w:cs="仿宋_GB2312"/>
          <w:kern w:val="0"/>
          <w:sz w:val="24"/>
          <w:lang w:val="zh-CN"/>
        </w:rPr>
        <w:t>认为需要的其他技术文件或说明………………………………</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rPr>
        <w:t>（14）</w:t>
      </w:r>
      <w:r>
        <w:rPr>
          <w:rFonts w:hint="eastAsia" w:ascii="仿宋_GB2312" w:hAnsi="仿宋" w:eastAsia="仿宋_GB2312" w:cs="仿宋_GB2312"/>
          <w:kern w:val="0"/>
          <w:sz w:val="24"/>
          <w:lang w:val="zh-CN"/>
        </w:rPr>
        <w:t>关于对招标文件中商务、合同有关条款的拒绝声明……………</w:t>
      </w:r>
      <w:r>
        <w:rPr>
          <w:rFonts w:hint="eastAsia" w:ascii="仿宋_GB2312" w:hAnsi="仿宋" w:eastAsia="仿宋_GB2312" w:cs="仿宋_GB2312"/>
          <w:kern w:val="0"/>
          <w:sz w:val="24"/>
        </w:rPr>
        <w:t>（页码）</w:t>
      </w:r>
    </w:p>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注：以上目录是基本格式要求，各投标人可根据自身情况进一步细化。</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61"/>
        <w:spacing w:line="360" w:lineRule="auto"/>
        <w:ind w:firstLine="420"/>
        <w:rPr>
          <w:rFonts w:ascii="Arial" w:hAnsi="Arial" w:eastAsia="黑体" w:cs="Arial"/>
          <w:snapToGrid w:val="0"/>
          <w:kern w:val="0"/>
          <w:szCs w:val="21"/>
          <w:lang w:val="zh-CN"/>
        </w:rPr>
      </w:pPr>
    </w:p>
    <w:p>
      <w:pPr>
        <w:snapToGrid w:val="0"/>
        <w:spacing w:line="360" w:lineRule="auto"/>
        <w:jc w:val="center"/>
        <w:rPr>
          <w:rFonts w:ascii="仿宋_GB2312" w:hAnsi="仿宋" w:eastAsia="仿宋_GB2312" w:cs="仿宋_GB2312"/>
          <w:b/>
          <w:kern w:val="0"/>
          <w:sz w:val="32"/>
          <w:szCs w:val="32"/>
          <w:lang w:val="zh-CN"/>
        </w:rPr>
      </w:pPr>
    </w:p>
    <w:p>
      <w:pPr>
        <w:spacing w:line="360" w:lineRule="auto"/>
        <w:jc w:val="center"/>
        <w:outlineLvl w:val="2"/>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营业执照(或事业法人登记证或其他工商等登记证明材料)复印件（投标人为自然人的，提供自然人的身份证明）</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投标人名称(电子签名)：                              </w:t>
      </w:r>
    </w:p>
    <w:p>
      <w:pPr>
        <w:snapToGrid w:val="0"/>
        <w:spacing w:line="360" w:lineRule="auto"/>
        <w:ind w:firstLine="1440" w:firstLineChars="600"/>
        <w:rPr>
          <w:rFonts w:ascii="仿宋_GB2312" w:hAnsi="仿宋" w:eastAsia="仿宋_GB2312" w:cs="仿宋_GB2312"/>
          <w:b/>
          <w:kern w:val="0"/>
          <w:sz w:val="32"/>
          <w:szCs w:val="32"/>
          <w:lang w:val="zh-CN"/>
        </w:rPr>
      </w:pPr>
      <w:r>
        <w:rPr>
          <w:rFonts w:hint="eastAsia" w:ascii="仿宋_GB2312" w:hAnsi="仿宋" w:eastAsia="仿宋_GB2312" w:cs="仿宋_GB2312"/>
          <w:kern w:val="0"/>
          <w:sz w:val="24"/>
          <w:lang w:val="zh-CN"/>
        </w:rPr>
        <w:t xml:space="preserve">                   日期：  年  月 日</w:t>
      </w: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1927" w:firstLineChars="600"/>
        <w:rPr>
          <w:rFonts w:ascii="仿宋_GB2312" w:hAnsi="仿宋" w:eastAsia="仿宋_GB2312" w:cs="仿宋_GB2312"/>
          <w:b/>
          <w:kern w:val="0"/>
          <w:sz w:val="32"/>
          <w:szCs w:val="32"/>
          <w:lang w:val="zh-CN"/>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pacing w:line="360" w:lineRule="auto"/>
        <w:jc w:val="center"/>
        <w:outlineLvl w:val="2"/>
        <w:rPr>
          <w:rFonts w:ascii="仿宋_GB2312" w:hAnsi="仿宋" w:eastAsia="仿宋_GB2312" w:cs="仿宋_GB2312"/>
          <w:b/>
          <w:sz w:val="32"/>
          <w:szCs w:val="32"/>
        </w:rPr>
      </w:pPr>
      <w:r>
        <w:rPr>
          <w:rFonts w:hint="eastAsia" w:ascii="仿宋_GB2312" w:hAnsi="仿宋" w:eastAsia="仿宋_GB2312" w:cs="仿宋_GB2312"/>
          <w:b/>
          <w:sz w:val="32"/>
          <w:szCs w:val="32"/>
        </w:rPr>
        <w:t>二、资信文件复印件（如果要求提供）</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pacing w:line="360" w:lineRule="auto"/>
        <w:jc w:val="center"/>
        <w:rPr>
          <w:rFonts w:ascii="仿宋_GB2312" w:hAnsi="仿宋" w:eastAsia="仿宋_GB2312" w:cs="仿宋_GB2312"/>
          <w:b/>
          <w:bCs/>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kern w:val="0"/>
          <w:sz w:val="24"/>
          <w:lang w:val="zh-CN"/>
        </w:rPr>
        <w:t xml:space="preserve">                   日期：  年  月 日</w:t>
      </w:r>
    </w:p>
    <w:p>
      <w:pPr>
        <w:spacing w:line="360" w:lineRule="auto"/>
        <w:jc w:val="center"/>
        <w:rPr>
          <w:rFonts w:ascii="仿宋_GB2312" w:hAnsi="仿宋" w:eastAsia="仿宋_GB2312" w:cs="仿宋_GB2312"/>
          <w:b/>
          <w:bCs/>
          <w:sz w:val="32"/>
          <w:szCs w:val="32"/>
        </w:rPr>
      </w:pPr>
    </w:p>
    <w:p>
      <w:pPr>
        <w:spacing w:line="360" w:lineRule="auto"/>
        <w:jc w:val="center"/>
        <w:outlineLvl w:val="2"/>
        <w:rPr>
          <w:rFonts w:ascii="仿宋_GB2312" w:hAnsi="仿宋" w:eastAsia="仿宋_GB2312" w:cs="仿宋_GB2312"/>
          <w:b/>
          <w:sz w:val="32"/>
          <w:szCs w:val="32"/>
        </w:rPr>
      </w:pPr>
      <w:r>
        <w:rPr>
          <w:rFonts w:hint="eastAsia" w:ascii="仿宋_GB2312" w:hAnsi="仿宋" w:eastAsia="仿宋_GB2312" w:cs="仿宋_GB2312"/>
          <w:b/>
          <w:sz w:val="32"/>
          <w:szCs w:val="32"/>
        </w:rPr>
        <w:t>三、主要业绩证明</w:t>
      </w:r>
    </w:p>
    <w:p>
      <w:pPr>
        <w:autoSpaceDE w:val="0"/>
        <w:autoSpaceDN w:val="0"/>
        <w:spacing w:line="360" w:lineRule="auto"/>
        <w:ind w:firstLine="120"/>
        <w:rPr>
          <w:rFonts w:ascii="仿宋_GB2312" w:hAnsi="仿宋" w:eastAsia="仿宋_GB2312" w:cs="仿宋_GB2312"/>
          <w:b/>
          <w:sz w:val="24"/>
        </w:rPr>
      </w:pPr>
      <w:r>
        <w:rPr>
          <w:rFonts w:hint="eastAsia" w:ascii="仿宋_GB2312" w:hAnsi="仿宋" w:eastAsia="仿宋_GB2312" w:cs="仿宋_GB2312"/>
          <w:b/>
          <w:sz w:val="24"/>
        </w:rPr>
        <w:t>附表 :相关项目建设业绩一览表</w:t>
      </w:r>
    </w:p>
    <w:tbl>
      <w:tblPr>
        <w:tblStyle w:val="62"/>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投资</w:t>
            </w:r>
          </w:p>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b/>
          <w:sz w:val="24"/>
        </w:rPr>
        <w:t>注：投标人可按上述的格式自行编制，须随表提交相应的合同复印件和用户单位验收证明并注明所在投标人商务技术文件页码。</w:t>
      </w:r>
    </w:p>
    <w:p>
      <w:pPr>
        <w:autoSpaceDE w:val="0"/>
        <w:autoSpaceDN w:val="0"/>
        <w:spacing w:line="360" w:lineRule="auto"/>
        <w:ind w:firstLine="4560" w:firstLineChars="1900"/>
        <w:rPr>
          <w:rFonts w:ascii="仿宋_GB2312" w:hAnsi="仿宋" w:eastAsia="仿宋_GB2312" w:cs="仿宋_GB2312"/>
          <w:kern w:val="0"/>
          <w:sz w:val="24"/>
        </w:rPr>
      </w:pPr>
    </w:p>
    <w:p>
      <w:pPr>
        <w:autoSpaceDE w:val="0"/>
        <w:autoSpaceDN w:val="0"/>
        <w:spacing w:line="360" w:lineRule="auto"/>
        <w:ind w:firstLine="4560" w:firstLineChars="1900"/>
        <w:rPr>
          <w:rFonts w:ascii="仿宋_GB2312" w:hAnsi="仿宋" w:eastAsia="仿宋_GB2312" w:cs="仿宋_GB2312"/>
          <w:kern w:val="0"/>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日期：  年  月   日</w:t>
      </w:r>
    </w:p>
    <w:p>
      <w:pPr>
        <w:spacing w:line="360" w:lineRule="auto"/>
        <w:rPr>
          <w:rFonts w:ascii="仿宋_GB2312" w:hAnsi="仿宋" w:eastAsia="仿宋_GB2312" w:cs="仿宋_GB2312"/>
          <w:kern w:val="0"/>
          <w:sz w:val="24"/>
        </w:rPr>
      </w:pPr>
    </w:p>
    <w:p>
      <w:pPr>
        <w:spacing w:line="360" w:lineRule="auto"/>
        <w:rPr>
          <w:rFonts w:ascii="仿宋_GB2312" w:hAnsi="仿宋" w:eastAsia="仿宋_GB2312" w:cs="仿宋_GB2312"/>
          <w:kern w:val="0"/>
          <w:sz w:val="24"/>
        </w:rPr>
      </w:pPr>
    </w:p>
    <w:p>
      <w:pPr>
        <w:spacing w:line="360" w:lineRule="auto"/>
        <w:jc w:val="center"/>
        <w:outlineLvl w:val="2"/>
        <w:rPr>
          <w:rFonts w:ascii="仿宋_GB2312" w:hAnsi="仿宋" w:eastAsia="仿宋_GB2312" w:cs="仿宋_GB2312"/>
          <w:b/>
          <w:sz w:val="32"/>
          <w:szCs w:val="32"/>
        </w:rPr>
      </w:pPr>
      <w:r>
        <w:rPr>
          <w:rFonts w:hint="eastAsia" w:ascii="仿宋_GB2312" w:hAnsi="仿宋" w:eastAsia="仿宋_GB2312" w:cs="仿宋_GB2312"/>
          <w:b/>
          <w:sz w:val="32"/>
          <w:szCs w:val="32"/>
        </w:rPr>
        <w:t>四、</w:t>
      </w:r>
      <w:bookmarkStart w:id="410" w:name="OLE_LINK16"/>
      <w:bookmarkStart w:id="411" w:name="OLE_LINK17"/>
      <w:r>
        <w:rPr>
          <w:rFonts w:hint="eastAsia" w:ascii="仿宋_GB2312" w:hAnsi="仿宋" w:eastAsia="仿宋_GB2312" w:cs="仿宋_GB2312"/>
          <w:b/>
          <w:sz w:val="32"/>
          <w:szCs w:val="32"/>
        </w:rPr>
        <w:t>其他商务文件或说明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bookmarkStart w:id="412" w:name="OLE_LINK11"/>
      <w:bookmarkStart w:id="413" w:name="OLE_LINK10"/>
      <w:r>
        <w:rPr>
          <w:rFonts w:hint="eastAsia" w:ascii="仿宋_GB2312" w:hAnsi="仿宋" w:eastAsia="仿宋_GB2312" w:cs="仿宋_GB2312"/>
          <w:sz w:val="24"/>
        </w:rPr>
        <w:t>其他商务文件或说明由投标人根据采购需求自行编制</w:t>
      </w:r>
      <w:bookmarkEnd w:id="412"/>
      <w:bookmarkEnd w:id="413"/>
      <w:r>
        <w:rPr>
          <w:rFonts w:hint="eastAsia" w:ascii="仿宋_GB2312" w:hAnsi="仿宋" w:eastAsia="仿宋_GB2312" w:cs="仿宋_GB2312"/>
          <w:sz w:val="24"/>
        </w:rPr>
        <w:t>）</w:t>
      </w:r>
    </w:p>
    <w:bookmarkEnd w:id="410"/>
    <w:bookmarkEnd w:id="411"/>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autoSpaceDE w:val="0"/>
        <w:autoSpaceDN w:val="0"/>
        <w:spacing w:line="360" w:lineRule="auto"/>
        <w:rPr>
          <w:rFonts w:ascii="仿宋_GB2312" w:hAnsi="仿宋" w:eastAsia="仿宋_GB2312" w:cs="仿宋_GB2312"/>
          <w:kern w:val="0"/>
          <w:sz w:val="24"/>
          <w:lang w:val="zh-CN"/>
        </w:rPr>
      </w:pPr>
    </w:p>
    <w:p>
      <w:pPr>
        <w:autoSpaceDE w:val="0"/>
        <w:autoSpaceDN w:val="0"/>
        <w:spacing w:line="360" w:lineRule="auto"/>
        <w:rPr>
          <w:rFonts w:ascii="仿宋_GB2312" w:hAnsi="仿宋" w:eastAsia="仿宋_GB2312" w:cs="仿宋_GB2312"/>
          <w:kern w:val="0"/>
          <w:sz w:val="24"/>
          <w:lang w:val="zh-CN"/>
        </w:rPr>
      </w:pPr>
    </w:p>
    <w:p>
      <w:pPr>
        <w:spacing w:line="360" w:lineRule="auto"/>
        <w:jc w:val="center"/>
        <w:outlineLvl w:val="2"/>
        <w:rPr>
          <w:rFonts w:ascii="仿宋_GB2312" w:hAnsi="仿宋" w:eastAsia="仿宋_GB2312" w:cs="仿宋_GB2312"/>
          <w:b/>
          <w:sz w:val="32"/>
          <w:szCs w:val="32"/>
        </w:rPr>
      </w:pPr>
      <w:r>
        <w:rPr>
          <w:rFonts w:hint="eastAsia" w:ascii="仿宋_GB2312" w:hAnsi="仿宋" w:eastAsia="仿宋_GB2312" w:cs="仿宋_GB2312"/>
          <w:b/>
          <w:sz w:val="32"/>
          <w:szCs w:val="32"/>
        </w:rPr>
        <w:t>五、技术解决方案</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napToGrid w:val="0"/>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（一）投标产品规格配置清单</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53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设备名称</w:t>
            </w:r>
          </w:p>
        </w:tc>
        <w:tc>
          <w:tcPr>
            <w:tcW w:w="216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投标品牌及型号</w:t>
            </w:r>
          </w:p>
        </w:tc>
        <w:tc>
          <w:tcPr>
            <w:tcW w:w="23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规格配置详细说明</w:t>
            </w:r>
          </w:p>
        </w:tc>
        <w:tc>
          <w:tcPr>
            <w:tcW w:w="108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数量</w:t>
            </w:r>
          </w:p>
        </w:tc>
        <w:tc>
          <w:tcPr>
            <w:tcW w:w="133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tabs>
          <w:tab w:val="left" w:pos="2790"/>
          <w:tab w:val="center" w:pos="3835"/>
          <w:tab w:val="left" w:pos="4230"/>
          <w:tab w:val="left" w:pos="4695"/>
        </w:tabs>
        <w:autoSpaceDE w:val="0"/>
        <w:autoSpaceDN w:val="0"/>
        <w:spacing w:line="360" w:lineRule="auto"/>
        <w:ind w:right="14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 xml:space="preserve">                        </w:t>
      </w:r>
    </w:p>
    <w:p>
      <w:pPr>
        <w:spacing w:line="360" w:lineRule="auto"/>
        <w:ind w:firstLine="1333" w:firstLineChars="400"/>
        <w:jc w:val="left"/>
        <w:rPr>
          <w:rFonts w:ascii="仿宋_GB2312" w:hAnsi="仿宋" w:eastAsia="仿宋_GB2312"/>
          <w:b/>
          <w:spacing w:val="6"/>
          <w:sz w:val="32"/>
          <w:szCs w:val="32"/>
        </w:rPr>
      </w:pPr>
      <w:r>
        <w:rPr>
          <w:rFonts w:hint="eastAsia" w:ascii="仿宋_GB2312" w:hAnsi="仿宋" w:eastAsia="仿宋_GB2312"/>
          <w:b/>
          <w:spacing w:val="6"/>
          <w:sz w:val="32"/>
          <w:szCs w:val="32"/>
        </w:rPr>
        <w:t>（二）节能产品认证证书复印件（电子签名）</w:t>
      </w:r>
    </w:p>
    <w:p>
      <w:pPr>
        <w:spacing w:line="360" w:lineRule="auto"/>
        <w:ind w:firstLine="1333" w:firstLineChars="400"/>
        <w:jc w:val="left"/>
        <w:rPr>
          <w:rFonts w:ascii="仿宋_GB2312" w:hAnsi="仿宋" w:eastAsia="仿宋_GB2312"/>
          <w:b/>
          <w:spacing w:val="6"/>
          <w:sz w:val="32"/>
          <w:szCs w:val="32"/>
        </w:rPr>
      </w:pPr>
    </w:p>
    <w:p>
      <w:pPr>
        <w:spacing w:line="360" w:lineRule="auto"/>
        <w:rPr>
          <w:rFonts w:ascii="仿宋_GB2312" w:hAnsi="仿宋" w:eastAsia="仿宋_GB2312"/>
          <w:b/>
          <w:bCs/>
          <w:sz w:val="24"/>
        </w:rPr>
      </w:pPr>
      <w:r>
        <w:rPr>
          <w:rFonts w:hint="eastAsia" w:ascii="仿宋_GB2312" w:hAnsi="仿宋" w:eastAsia="仿宋_GB2312"/>
          <w:b/>
          <w:bCs/>
          <w:sz w:val="24"/>
        </w:rPr>
        <w:t xml:space="preserve"> </w:t>
      </w:r>
    </w:p>
    <w:p>
      <w:pPr>
        <w:spacing w:line="360" w:lineRule="auto"/>
        <w:ind w:firstLine="999" w:firstLineChars="300"/>
        <w:jc w:val="left"/>
        <w:rPr>
          <w:rFonts w:ascii="仿宋_GB2312" w:hAnsi="仿宋" w:eastAsia="仿宋_GB2312"/>
          <w:b/>
          <w:spacing w:val="6"/>
          <w:sz w:val="32"/>
          <w:szCs w:val="32"/>
        </w:rPr>
      </w:pPr>
      <w:r>
        <w:rPr>
          <w:rFonts w:hint="eastAsia" w:ascii="仿宋_GB2312" w:hAnsi="仿宋" w:eastAsia="仿宋_GB2312"/>
          <w:b/>
          <w:spacing w:val="6"/>
          <w:sz w:val="32"/>
          <w:szCs w:val="32"/>
        </w:rPr>
        <w:t>（三）环境标志产品认证证书复印件（电子签名）</w:t>
      </w: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r>
        <w:rPr>
          <w:rFonts w:hint="eastAsia" w:ascii="仿宋_GB2312" w:hAnsi="仿宋" w:eastAsia="仿宋_GB2312"/>
          <w:kern w:val="0"/>
          <w:sz w:val="24"/>
        </w:rPr>
        <w:t xml:space="preserve">供应商名称（电子签名）：                       </w:t>
      </w:r>
    </w:p>
    <w:p>
      <w:pPr>
        <w:autoSpaceDE w:val="0"/>
        <w:autoSpaceDN w:val="0"/>
        <w:spacing w:line="360" w:lineRule="auto"/>
        <w:rPr>
          <w:rFonts w:ascii="仿宋_GB2312" w:hAnsi="仿宋" w:eastAsia="仿宋_GB2312"/>
          <w:kern w:val="0"/>
          <w:sz w:val="24"/>
        </w:rPr>
      </w:pPr>
      <w:r>
        <w:rPr>
          <w:rFonts w:hint="eastAsia" w:ascii="仿宋_GB2312" w:hAnsi="仿宋" w:eastAsia="仿宋_GB2312"/>
          <w:kern w:val="0"/>
          <w:sz w:val="24"/>
        </w:rPr>
        <w:t xml:space="preserve">                                      日期：   年  月   日</w:t>
      </w:r>
    </w:p>
    <w:p>
      <w:pPr>
        <w:pStyle w:val="78"/>
      </w:pPr>
    </w:p>
    <w:p>
      <w:pPr>
        <w:pStyle w:val="78"/>
      </w:pPr>
    </w:p>
    <w:p>
      <w:pPr>
        <w:spacing w:line="360" w:lineRule="auto"/>
        <w:jc w:val="center"/>
        <w:outlineLvl w:val="2"/>
        <w:rPr>
          <w:rFonts w:ascii="仿宋_GB2312" w:hAnsi="仿宋" w:eastAsia="仿宋_GB2312" w:cs="仿宋_GB2312"/>
          <w:b/>
          <w:sz w:val="32"/>
          <w:szCs w:val="32"/>
        </w:rPr>
      </w:pPr>
      <w:r>
        <w:rPr>
          <w:rFonts w:hint="eastAsia" w:ascii="仿宋_GB2312" w:hAnsi="仿宋" w:eastAsia="仿宋_GB2312" w:cs="仿宋_GB2312"/>
          <w:b/>
          <w:sz w:val="32"/>
          <w:szCs w:val="32"/>
        </w:rPr>
        <w:t>六、技术偏离说明表</w:t>
      </w:r>
    </w:p>
    <w:p>
      <w:pPr>
        <w:spacing w:line="360" w:lineRule="auto"/>
        <w:jc w:val="center"/>
        <w:rPr>
          <w:rFonts w:ascii="仿宋_GB2312" w:hAnsi="仿宋" w:eastAsia="仿宋_GB2312" w:cs="仿宋_GB2312"/>
          <w:b/>
          <w:bCs/>
          <w:sz w:val="18"/>
          <w:szCs w:val="18"/>
        </w:rPr>
      </w:pP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bl>
    <w:p>
      <w:pPr>
        <w:autoSpaceDE w:val="0"/>
        <w:autoSpaceDN w:val="0"/>
        <w:spacing w:line="360" w:lineRule="auto"/>
        <w:ind w:firstLine="5040" w:firstLineChars="2100"/>
        <w:rPr>
          <w:rFonts w:ascii="仿宋_GB2312" w:hAnsi="仿宋" w:eastAsia="仿宋_GB2312" w:cs="仿宋_GB2312"/>
          <w:kern w:val="0"/>
          <w:sz w:val="24"/>
          <w:lang w:val="zh-CN"/>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jc w:val="center"/>
        <w:rPr>
          <w:rFonts w:ascii="仿宋_GB2312" w:hAnsi="仿宋" w:eastAsia="仿宋_GB2312" w:cs="仿宋_GB2312"/>
          <w:b/>
          <w:sz w:val="24"/>
        </w:rPr>
      </w:pPr>
      <w:r>
        <w:rPr>
          <w:rFonts w:hint="eastAsia" w:ascii="仿宋_GB2312" w:hAnsi="仿宋" w:eastAsia="仿宋_GB2312" w:cs="仿宋_GB2312"/>
          <w:kern w:val="0"/>
          <w:sz w:val="24"/>
          <w:lang w:val="zh-CN"/>
        </w:rPr>
        <w:t xml:space="preserve">                           </w:t>
      </w:r>
    </w:p>
    <w:p>
      <w:pPr>
        <w:tabs>
          <w:tab w:val="left" w:pos="2790"/>
          <w:tab w:val="left" w:pos="4230"/>
        </w:tabs>
        <w:autoSpaceDE w:val="0"/>
        <w:autoSpaceDN w:val="0"/>
        <w:spacing w:line="360" w:lineRule="auto"/>
        <w:ind w:right="1400"/>
        <w:jc w:val="center"/>
        <w:rPr>
          <w:rFonts w:ascii="仿宋_GB2312" w:hAnsi="仿宋" w:eastAsia="仿宋_GB2312" w:cs="仿宋_GB2312"/>
          <w:b/>
          <w:bCs/>
          <w:kern w:val="0"/>
          <w:sz w:val="36"/>
          <w:szCs w:val="36"/>
          <w:lang w:val="zh-CN"/>
        </w:rPr>
      </w:pPr>
      <w:r>
        <w:rPr>
          <w:rFonts w:hint="eastAsia" w:ascii="仿宋_GB2312" w:hAnsi="仿宋" w:eastAsia="仿宋_GB2312" w:cs="仿宋_GB2312"/>
          <w:b/>
          <w:bCs/>
          <w:kern w:val="0"/>
          <w:sz w:val="36"/>
          <w:szCs w:val="36"/>
          <w:lang w:val="zh-CN"/>
        </w:rPr>
        <w:t xml:space="preserve"> </w:t>
      </w:r>
    </w:p>
    <w:p>
      <w:pPr>
        <w:tabs>
          <w:tab w:val="left" w:pos="2790"/>
          <w:tab w:val="left" w:pos="4230"/>
        </w:tabs>
        <w:autoSpaceDE w:val="0"/>
        <w:autoSpaceDN w:val="0"/>
        <w:spacing w:line="360" w:lineRule="auto"/>
        <w:ind w:right="1400"/>
        <w:jc w:val="center"/>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rPr>
          <w:rFonts w:ascii="仿宋_GB2312" w:hAnsi="仿宋" w:eastAsia="仿宋_GB2312" w:cs="仿宋_GB2312"/>
          <w:b/>
          <w:bCs/>
          <w:kern w:val="0"/>
          <w:sz w:val="32"/>
          <w:szCs w:val="32"/>
          <w:lang w:val="zh-CN"/>
        </w:rPr>
      </w:pPr>
    </w:p>
    <w:p>
      <w:pPr>
        <w:tabs>
          <w:tab w:val="left" w:pos="2790"/>
          <w:tab w:val="left" w:pos="4230"/>
        </w:tabs>
        <w:autoSpaceDE w:val="0"/>
        <w:autoSpaceDN w:val="0"/>
        <w:spacing w:line="360" w:lineRule="auto"/>
        <w:ind w:right="1400"/>
        <w:jc w:val="center"/>
        <w:rPr>
          <w:rFonts w:ascii="仿宋_GB2312" w:hAnsi="仿宋" w:eastAsia="仿宋_GB2312" w:cs="仿宋_GB2312"/>
          <w:b/>
          <w:bCs/>
          <w:kern w:val="0"/>
          <w:sz w:val="32"/>
          <w:szCs w:val="32"/>
          <w:lang w:val="zh-CN"/>
        </w:rPr>
      </w:pPr>
    </w:p>
    <w:p>
      <w:pPr>
        <w:spacing w:line="360" w:lineRule="auto"/>
        <w:jc w:val="center"/>
        <w:outlineLvl w:val="2"/>
        <w:rPr>
          <w:rFonts w:ascii="仿宋_GB2312" w:hAnsi="仿宋" w:eastAsia="仿宋_GB2312" w:cs="仿宋_GB2312"/>
          <w:b/>
          <w:sz w:val="32"/>
          <w:szCs w:val="32"/>
        </w:rPr>
      </w:pPr>
      <w:r>
        <w:rPr>
          <w:rFonts w:hint="eastAsia" w:ascii="仿宋_GB2312" w:hAnsi="仿宋" w:eastAsia="仿宋_GB2312" w:cs="仿宋_GB2312"/>
          <w:b/>
          <w:sz w:val="32"/>
          <w:szCs w:val="32"/>
        </w:rPr>
        <w:t>七、组织实施方案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tabs>
          <w:tab w:val="left" w:pos="2790"/>
          <w:tab w:val="left" w:pos="4230"/>
        </w:tabs>
        <w:autoSpaceDE w:val="0"/>
        <w:autoSpaceDN w:val="0"/>
        <w:spacing w:line="360" w:lineRule="auto"/>
        <w:ind w:right="1400"/>
        <w:rPr>
          <w:rFonts w:ascii="仿宋_GB2312" w:hAnsi="仿宋" w:eastAsia="仿宋_GB2312" w:cs="仿宋_GB2312"/>
          <w:b/>
          <w:bCs/>
          <w:kern w:val="0"/>
          <w:sz w:val="24"/>
          <w:lang w:val="zh-CN"/>
        </w:rPr>
      </w:pPr>
    </w:p>
    <w:p>
      <w:pPr>
        <w:tabs>
          <w:tab w:val="left" w:pos="2790"/>
          <w:tab w:val="left" w:pos="4230"/>
        </w:tabs>
        <w:autoSpaceDE w:val="0"/>
        <w:autoSpaceDN w:val="0"/>
        <w:spacing w:line="360" w:lineRule="auto"/>
        <w:ind w:right="1400"/>
        <w:rPr>
          <w:rFonts w:ascii="仿宋_GB2312" w:hAnsi="仿宋" w:eastAsia="仿宋_GB2312" w:cs="仿宋_GB2312"/>
          <w:b/>
          <w:sz w:val="24"/>
        </w:rPr>
      </w:pPr>
      <w:r>
        <w:rPr>
          <w:rFonts w:hint="eastAsia" w:ascii="仿宋_GB2312" w:hAnsi="仿宋" w:eastAsia="仿宋_GB2312" w:cs="仿宋_GB2312"/>
          <w:b/>
          <w:bCs/>
          <w:kern w:val="0"/>
          <w:sz w:val="24"/>
          <w:lang w:val="zh-CN"/>
        </w:rPr>
        <w:t>附表:项目实施进度计划表</w:t>
      </w:r>
      <w:r>
        <w:rPr>
          <w:rFonts w:hint="eastAsia" w:ascii="仿宋_GB2312" w:hAnsi="仿宋" w:eastAsia="仿宋_GB2312" w:cs="仿宋_GB2312"/>
          <w:b/>
          <w:sz w:val="24"/>
        </w:rPr>
        <w:t xml:space="preserve">(以生效日算起) </w:t>
      </w:r>
    </w:p>
    <w:tbl>
      <w:tblPr>
        <w:tblStyle w:val="6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188" w:type="dxa"/>
            <w:vAlign w:val="center"/>
          </w:tcPr>
          <w:p>
            <w:pPr>
              <w:spacing w:line="360" w:lineRule="auto"/>
              <w:rPr>
                <w:rFonts w:ascii="仿宋_GB2312" w:hAnsi="仿宋" w:eastAsia="仿宋_GB2312" w:cs="仿宋_GB2312"/>
                <w:sz w:val="24"/>
              </w:rPr>
            </w:pPr>
            <w:r>
              <mc:AlternateContent>
                <mc:Choice Requires="wpg">
                  <w:drawing>
                    <wp:anchor distT="0" distB="0" distL="114300" distR="114300" simplePos="0" relativeHeight="251658240"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1" name="组合 11"/>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6" name="直接连接符 6"/>
                              <wps:cNvCnPr/>
                              <wps:spPr>
                                <a:xfrm>
                                  <a:off x="0" y="0"/>
                                  <a:ext cx="1178" cy="1860"/>
                                </a:xfrm>
                                <a:prstGeom prst="line">
                                  <a:avLst/>
                                </a:prstGeom>
                                <a:ln w="6350" cap="flat" cmpd="sng">
                                  <a:solidFill>
                                    <a:srgbClr val="000000"/>
                                  </a:solidFill>
                                  <a:prstDash val="solid"/>
                                  <a:headEnd type="none" w="med" len="med"/>
                                  <a:tailEnd type="none" w="med" len="med"/>
                                </a:ln>
                              </wps:spPr>
                              <wps:bodyPr/>
                            </wps:wsp>
                            <wps:wsp>
                              <wps:cNvPr id="7" name="文本框 7"/>
                              <wps:cNvSpPr txBox="true"/>
                              <wps:spPr>
                                <a:xfrm>
                                  <a:off x="455" y="122"/>
                                  <a:ext cx="253" cy="263"/>
                                </a:xfrm>
                                <a:prstGeom prst="rect">
                                  <a:avLst/>
                                </a:prstGeom>
                                <a:noFill/>
                                <a:ln>
                                  <a:noFill/>
                                </a:ln>
                              </wps:spPr>
                              <wps:txbx>
                                <w:txbxContent>
                                  <w:p>
                                    <w:pPr>
                                      <w:snapToGrid w:val="0"/>
                                    </w:pPr>
                                    <w:r>
                                      <w:rPr>
                                        <w:rFonts w:hint="eastAsia"/>
                                      </w:rPr>
                                      <w:t>工</w:t>
                                    </w:r>
                                  </w:p>
                                </w:txbxContent>
                              </wps:txbx>
                              <wps:bodyPr lIns="0" tIns="0" rIns="0" bIns="0" upright="true"/>
                            </wps:wsp>
                            <wps:wsp>
                              <wps:cNvPr id="8" name="文本框 8"/>
                              <wps:cNvSpPr txBox="true"/>
                              <wps:spPr>
                                <a:xfrm>
                                  <a:off x="643" y="419"/>
                                  <a:ext cx="253" cy="263"/>
                                </a:xfrm>
                                <a:prstGeom prst="rect">
                                  <a:avLst/>
                                </a:prstGeom>
                                <a:noFill/>
                                <a:ln>
                                  <a:noFill/>
                                </a:ln>
                              </wps:spPr>
                              <wps:txbx>
                                <w:txbxContent>
                                  <w:p>
                                    <w:pPr>
                                      <w:snapToGrid w:val="0"/>
                                    </w:pPr>
                                    <w:r>
                                      <w:rPr>
                                        <w:rFonts w:hint="eastAsia"/>
                                      </w:rPr>
                                      <w:t>作</w:t>
                                    </w:r>
                                  </w:p>
                                </w:txbxContent>
                              </wps:txbx>
                              <wps:bodyPr lIns="0" tIns="0" rIns="0" bIns="0" upright="true"/>
                            </wps:wsp>
                            <wps:wsp>
                              <wps:cNvPr id="9" name="文本框 9"/>
                              <wps:cNvSpPr txBox="true"/>
                              <wps:spPr>
                                <a:xfrm>
                                  <a:off x="831" y="717"/>
                                  <a:ext cx="253" cy="262"/>
                                </a:xfrm>
                                <a:prstGeom prst="rect">
                                  <a:avLst/>
                                </a:prstGeom>
                                <a:noFill/>
                                <a:ln>
                                  <a:noFill/>
                                </a:ln>
                              </wps:spPr>
                              <wps:txbx>
                                <w:txbxContent>
                                  <w:p>
                                    <w:pPr>
                                      <w:snapToGrid w:val="0"/>
                                    </w:pPr>
                                    <w:r>
                                      <w:rPr>
                                        <w:rFonts w:hint="eastAsia"/>
                                      </w:rPr>
                                      <w:t>日</w:t>
                                    </w:r>
                                  </w:p>
                                </w:txbxContent>
                              </wps:txbx>
                              <wps:bodyPr lIns="0" tIns="0" rIns="0" bIns="0" upright="true"/>
                            </wps:wsp>
                          </wpg:wgp>
                        </a:graphicData>
                      </a:graphic>
                    </wp:anchor>
                  </w:drawing>
                </mc:Choice>
                <mc:Fallback>
                  <w:pict>
                    <v:group id="_x0000_s1026" o:spid="_x0000_s1026" o:spt="203" style="position:absolute;left:0pt;margin-left:-5.15pt;margin-top:0pt;height:93pt;width:58.9pt;z-index:251658240;mso-width-relative:page;mso-height-relative:page;" coordsize="1178,1860" o:gfxdata="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FgAAAGRycy9QSwECFAAUAAAACACHTuJA9ctc&#10;ntgAAAAIAQAADwAAAAAAAAABACAAAAA4AAAAZHJzL2Rvd25yZXYueG1sUEsBAhQAFAAAAAgAh07i&#10;QMW/99jwAgAAewkAAA4AAAAAAAAAAQAgAAAAPQEAAGRycy9lMm9Eb2MueG1sUEsFBgAAAAAGAAYA&#10;WQEAAJ8GAAAAAA==&#10;">
                      <o:lock v:ext="edit" aspectratio="f"/>
                      <v:line id="_x0000_s1026" o:spid="_x0000_s1026" o:spt="20" style="position:absolute;left:0;top:0;height:1860;width:1178;" filled="f" stroked="t" coordsize="21600,21600" o:gfxdata="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O6QCboAAADaAAAADwAAAAAAAAABACAAAAA4AAAAZHJzL2Rvd25yZXYueG1s&#10;UEsBAhQAFAAAAAgAh07iQDMvBZ47AAAAOQAAABAAAAAAAAAAAQAgAAAAHwEAAGRycy9zaGFwZXht&#10;bC54bWxQSwUGAAAAAAYABgBbAQAAyQMAAAAA&#10;">
                        <v:fill on="f" focussize="0,0"/>
                        <v:stroke weight="0.5pt" color="#000000" joinstyle="round"/>
                        <v:imagedata o:title=""/>
                        <o:lock v:ext="edit" aspectratio="f"/>
                      </v:line>
                      <v:shape id="_x0000_s1026" o:spid="_x0000_s1026" o:spt="202" type="#_x0000_t202" style="position:absolute;left:455;top:122;height:263;width:253;" filled="f" stroked="f" coordsize="21600,21600" o:gfxdata="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HS/pC+AAAA2g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pPr>
                              <w:r>
                                <w:rPr>
                                  <w:rFonts w:hint="eastAsia"/>
                                </w:rPr>
                                <w:t>工</w:t>
                              </w:r>
                            </w:p>
                          </w:txbxContent>
                        </v:textbox>
                      </v:shape>
                      <v:shape id="_x0000_s1026" o:spid="_x0000_s1026" o:spt="202" type="#_x0000_t202" style="position:absolute;left:643;top:419;height:263;width:253;" filled="f" stroked="f" coordsize="21600,21600" o:gfxdata="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&#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wTWriuQAAANoAAAAPAAAAAAAAAAEAIAAAADgAAABkcnMvZG93bnJldi54bWxQ&#10;SwECFAAUAAAACACHTuJAMy8FnjsAAAA5AAAAEAAAAAAAAAABACAAAAAeAQAAZHJzL3NoYXBleG1s&#10;LnhtbFBLBQYAAAAABgAGAFsBAADIAwAAAAA=&#10;">
                        <v:fill on="f" focussize="0,0"/>
                        <v:stroke on="f"/>
                        <v:imagedata o:title=""/>
                        <o:lock v:ext="edit" aspectratio="f"/>
                        <v:textbox inset="0mm,0mm,0mm,0mm">
                          <w:txbxContent>
                            <w:p>
                              <w:pPr>
                                <w:snapToGrid w:val="0"/>
                              </w:pPr>
                              <w:r>
                                <w:rPr>
                                  <w:rFonts w:hint="eastAsia"/>
                                </w:rPr>
                                <w:t>作</w:t>
                              </w:r>
                            </w:p>
                          </w:txbxContent>
                        </v:textbox>
                      </v:shape>
                      <v:shape id="_x0000_s1026" o:spid="_x0000_s1026" o:spt="202" type="#_x0000_t202" style="position:absolute;left:831;top:717;height:262;width:253;" filled="f" stroked="f" coordsize="21600,21600" o:gfxdata="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wHPeb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r>
              <w:rPr>
                <w:rFonts w:hint="eastAsia" w:ascii="仿宋_GB2312" w:hAnsi="仿宋" w:eastAsia="仿宋_GB2312" w:cs="仿宋_GB2312"/>
                <w:sz w:val="24"/>
              </w:rPr>
              <w:t>内容</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2</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3</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4</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5</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6</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7</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8</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9</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10</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11</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12</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13</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14</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15</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bl>
    <w:p>
      <w:pPr>
        <w:pStyle w:val="78"/>
        <w:rPr>
          <w:rFonts w:ascii="仿宋_GB2312" w:hAnsi="仿宋" w:eastAsia="仿宋_GB2312" w:cs="仿宋_GB2312"/>
          <w:b/>
          <w:sz w:val="24"/>
        </w:rPr>
      </w:pPr>
    </w:p>
    <w:p>
      <w:pPr>
        <w:pStyle w:val="78"/>
        <w:rPr>
          <w:rFonts w:ascii="仿宋_GB2312" w:hAnsi="仿宋" w:eastAsia="仿宋_GB2312" w:cs="仿宋_GB2312"/>
          <w:b/>
          <w:sz w:val="24"/>
        </w:rPr>
      </w:pP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sz w:val="24"/>
        </w:rPr>
        <w:t>注：投标人可按上述时间表的格式自行编制切合实际的具体时间表。</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32"/>
          <w:szCs w:val="32"/>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p>
    <w:p>
      <w:pPr>
        <w:spacing w:line="360" w:lineRule="auto"/>
        <w:jc w:val="center"/>
        <w:outlineLvl w:val="2"/>
        <w:rPr>
          <w:rFonts w:ascii="仿宋_GB2312" w:hAnsi="仿宋" w:eastAsia="仿宋_GB2312" w:cs="仿宋_GB2312"/>
          <w:b/>
          <w:sz w:val="32"/>
          <w:szCs w:val="32"/>
        </w:rPr>
      </w:pPr>
      <w:r>
        <w:rPr>
          <w:rFonts w:hint="eastAsia" w:ascii="仿宋_GB2312" w:hAnsi="仿宋" w:eastAsia="仿宋_GB2312" w:cs="仿宋_GB2312"/>
          <w:b/>
          <w:bCs/>
          <w:sz w:val="32"/>
          <w:szCs w:val="32"/>
        </w:rPr>
        <w:br w:type="page"/>
      </w:r>
      <w:r>
        <w:rPr>
          <w:rFonts w:hint="eastAsia" w:ascii="仿宋_GB2312" w:hAnsi="仿宋" w:eastAsia="仿宋_GB2312" w:cs="仿宋_GB2312"/>
          <w:b/>
          <w:sz w:val="32"/>
          <w:szCs w:val="32"/>
        </w:rPr>
        <w:t>八、售后服务方案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注：关于项目涉及的所有售后服务机构均在本表注明，包括投标人本单位和符合条件的第三方服务机构；</w:t>
      </w: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62"/>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序号</w:t>
            </w:r>
          </w:p>
          <w:p>
            <w:pPr>
              <w:autoSpaceDE w:val="0"/>
              <w:autoSpaceDN w:val="0"/>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outlineLvl w:val="2"/>
        <w:rPr>
          <w:rFonts w:ascii="仿宋_GB2312" w:hAnsi="仿宋" w:eastAsia="仿宋_GB2312" w:cs="仿宋_GB2312"/>
          <w:b/>
          <w:sz w:val="32"/>
          <w:szCs w:val="32"/>
        </w:rPr>
      </w:pPr>
      <w:r>
        <w:rPr>
          <w:rFonts w:hint="eastAsia" w:ascii="仿宋_GB2312" w:hAnsi="仿宋" w:eastAsia="仿宋_GB2312" w:cs="仿宋_GB2312"/>
          <w:b/>
          <w:bCs/>
          <w:sz w:val="32"/>
          <w:szCs w:val="32"/>
        </w:rPr>
        <w:br w:type="page"/>
      </w:r>
      <w:r>
        <w:rPr>
          <w:rFonts w:hint="eastAsia" w:ascii="仿宋_GB2312" w:hAnsi="仿宋" w:eastAsia="仿宋_GB2312" w:cs="仿宋_GB2312"/>
          <w:b/>
          <w:sz w:val="32"/>
          <w:szCs w:val="32"/>
        </w:rPr>
        <w:t>九、项目小组人员名单</w:t>
      </w:r>
    </w:p>
    <w:p>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62"/>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6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注：投标人可按上述的格式自行编制，须随表提交相应的证书复印件并注明所在投标技术文件页码。</w:t>
      </w:r>
    </w:p>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2"/>
          <w:szCs w:val="32"/>
        </w:rPr>
      </w:pPr>
    </w:p>
    <w:p>
      <w:pPr>
        <w:spacing w:line="360" w:lineRule="auto"/>
        <w:jc w:val="center"/>
        <w:outlineLvl w:val="2"/>
        <w:rPr>
          <w:rFonts w:ascii="仿宋_GB2312" w:hAnsi="仿宋" w:eastAsia="仿宋_GB2312" w:cs="仿宋_GB2312"/>
          <w:b/>
          <w:sz w:val="32"/>
          <w:szCs w:val="32"/>
        </w:rPr>
      </w:pPr>
      <w:r>
        <w:rPr>
          <w:rFonts w:hint="eastAsia" w:ascii="仿宋_GB2312" w:hAnsi="仿宋" w:eastAsia="仿宋_GB2312" w:cs="仿宋_GB2312"/>
          <w:b/>
          <w:sz w:val="32"/>
          <w:szCs w:val="32"/>
        </w:rPr>
        <w:t>十、优惠条件及特殊承诺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outlineLvl w:val="2"/>
        <w:rPr>
          <w:rFonts w:ascii="仿宋_GB2312" w:hAnsi="仿宋" w:eastAsia="仿宋_GB2312" w:cs="仿宋_GB2312"/>
          <w:b/>
          <w:sz w:val="32"/>
          <w:szCs w:val="32"/>
        </w:rPr>
      </w:pPr>
      <w:r>
        <w:rPr>
          <w:rFonts w:hint="eastAsia" w:ascii="仿宋_GB2312" w:hAnsi="仿宋" w:eastAsia="仿宋_GB2312" w:cs="仿宋_GB2312"/>
          <w:b/>
          <w:sz w:val="32"/>
          <w:szCs w:val="32"/>
        </w:rPr>
        <w:t>十一、备品备件及供选择的配套零部件清单</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outlineLvl w:val="2"/>
        <w:rPr>
          <w:rFonts w:ascii="仿宋_GB2312" w:hAnsi="仿宋" w:eastAsia="仿宋_GB2312" w:cs="仿宋_GB2312"/>
          <w:b/>
          <w:sz w:val="32"/>
          <w:szCs w:val="32"/>
        </w:rPr>
      </w:pPr>
      <w:r>
        <w:rPr>
          <w:rFonts w:hint="eastAsia" w:ascii="仿宋_GB2312" w:hAnsi="仿宋" w:eastAsia="仿宋_GB2312" w:cs="仿宋_GB2312"/>
          <w:b/>
          <w:sz w:val="32"/>
          <w:szCs w:val="32"/>
        </w:rPr>
        <w:t>十二、培训计划</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keepNext/>
        <w:autoSpaceDE w:val="0"/>
        <w:autoSpaceDN w:val="0"/>
        <w:spacing w:line="360" w:lineRule="auto"/>
        <w:ind w:firstLine="477"/>
        <w:jc w:val="left"/>
        <w:rPr>
          <w:rFonts w:ascii="仿宋_GB2312" w:hAnsi="仿宋" w:eastAsia="仿宋_GB2312" w:cs="仿宋_GB2312"/>
          <w:b/>
          <w:sz w:val="24"/>
        </w:rPr>
      </w:pPr>
      <w:r>
        <w:rPr>
          <w:rFonts w:hint="eastAsia" w:ascii="仿宋_GB2312" w:hAnsi="仿宋" w:eastAsia="仿宋_GB2312" w:cs="仿宋_GB2312"/>
          <w:b/>
          <w:sz w:val="24"/>
        </w:rPr>
        <w:t>附表: 培训日程及费用</w:t>
      </w:r>
    </w:p>
    <w:tbl>
      <w:tblPr>
        <w:tblStyle w:val="62"/>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rPr>
                <w:rFonts w:ascii="仿宋_GB2312" w:hAnsi="仿宋" w:eastAsia="仿宋_GB2312" w:cs="仿宋_GB2312"/>
                <w:sz w:val="24"/>
              </w:rPr>
            </w:pPr>
          </w:p>
        </w:tc>
      </w:tr>
      <w:tr>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rPr>
                <w:rFonts w:ascii="仿宋_GB2312" w:hAnsi="仿宋" w:eastAsia="仿宋_GB2312" w:cs="仿宋_GB2312"/>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jc w:val="center"/>
              <w:rPr>
                <w:rFonts w:ascii="仿宋_GB2312" w:hAnsi="仿宋" w:eastAsia="仿宋_GB2312" w:cs="仿宋_GB2312"/>
                <w:sz w:val="24"/>
              </w:rPr>
            </w:pPr>
            <w:r>
              <w:rPr>
                <w:rFonts w:hint="eastAsia" w:ascii="仿宋_GB2312" w:hAnsi="仿宋" w:eastAsia="仿宋_GB2312"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rPr>
                <w:rFonts w:ascii="仿宋_GB2312" w:hAnsi="仿宋" w:eastAsia="仿宋_GB2312" w:cs="仿宋_GB2312"/>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rPr>
                <w:rFonts w:ascii="仿宋_GB2312" w:hAnsi="仿宋" w:eastAsia="仿宋_GB2312" w:cs="仿宋_GB2312"/>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rPr>
                <w:rFonts w:ascii="仿宋_GB2312" w:hAnsi="仿宋" w:eastAsia="仿宋_GB2312" w:cs="仿宋_GB2312"/>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rPr>
                <w:rFonts w:ascii="仿宋_GB2312" w:hAnsi="仿宋" w:eastAsia="仿宋_GB2312" w:cs="仿宋_GB2312"/>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rPr>
                <w:rFonts w:ascii="仿宋_GB2312" w:hAnsi="仿宋" w:eastAsia="仿宋_GB2312" w:cs="仿宋_GB2312"/>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rPr>
                <w:rFonts w:ascii="仿宋_GB2312" w:hAnsi="仿宋" w:eastAsia="仿宋_GB2312"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注解:A</w:t>
      </w:r>
      <w:r>
        <w:rPr>
          <w:rFonts w:hint="eastAsia" w:ascii="仿宋_GB2312" w:hAnsi="仿宋" w:eastAsia="仿宋_GB2312" w:cs="仿宋_GB2312"/>
          <w:sz w:val="24"/>
        </w:rPr>
        <w:tab/>
      </w:r>
      <w:r>
        <w:rPr>
          <w:rFonts w:hint="eastAsia" w:ascii="仿宋_GB2312" w:hAnsi="仿宋" w:eastAsia="仿宋_GB2312" w:cs="仿宋_GB2312"/>
          <w:sz w:val="24"/>
        </w:rPr>
        <w:t>课程清单按时间顺序排列，并提供以下详细资料：</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课程概要</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课程目的</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教学方式</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先决条件</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教材目录</w:t>
      </w:r>
    </w:p>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B  按照附表A提供授课教师的简历</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ind w:firstLine="120"/>
        <w:rPr>
          <w:rFonts w:ascii="仿宋_GB2312" w:hAnsi="仿宋" w:eastAsia="仿宋_GB2312" w:cs="仿宋_GB2312"/>
          <w:sz w:val="24"/>
        </w:rPr>
      </w:pPr>
    </w:p>
    <w:p>
      <w:pPr>
        <w:spacing w:line="360" w:lineRule="auto"/>
        <w:jc w:val="center"/>
        <w:outlineLvl w:val="2"/>
        <w:rPr>
          <w:rFonts w:ascii="仿宋_GB2312" w:hAnsi="仿宋" w:eastAsia="仿宋_GB2312" w:cs="仿宋_GB2312"/>
          <w:b/>
          <w:sz w:val="32"/>
          <w:szCs w:val="32"/>
        </w:rPr>
      </w:pPr>
      <w:r>
        <w:rPr>
          <w:rFonts w:hint="eastAsia" w:ascii="仿宋_GB2312" w:hAnsi="仿宋" w:eastAsia="仿宋_GB2312" w:cs="仿宋_GB2312"/>
          <w:b/>
          <w:sz w:val="32"/>
          <w:szCs w:val="32"/>
        </w:rPr>
        <w:t>十三、认为需要的其他技术文件或说明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0"/>
          <w:szCs w:val="30"/>
        </w:rPr>
      </w:pPr>
    </w:p>
    <w:p>
      <w:pPr>
        <w:spacing w:line="360" w:lineRule="auto"/>
        <w:jc w:val="center"/>
        <w:outlineLvl w:val="2"/>
        <w:rPr>
          <w:rFonts w:ascii="仿宋_GB2312" w:hAnsi="仿宋" w:eastAsia="仿宋_GB2312" w:cs="仿宋_GB2312"/>
          <w:b/>
          <w:sz w:val="32"/>
          <w:szCs w:val="32"/>
        </w:rPr>
      </w:pPr>
      <w:r>
        <w:rPr>
          <w:rFonts w:hint="eastAsia" w:ascii="仿宋_GB2312" w:hAnsi="仿宋" w:eastAsia="仿宋_GB2312" w:cs="仿宋_GB2312"/>
          <w:b/>
          <w:sz w:val="32"/>
          <w:szCs w:val="32"/>
        </w:rPr>
        <w:t>十四、关于对招标文件中有关商务、合同条款的拒绝声明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rPr>
          <w:rFonts w:ascii="仿宋_GB2312" w:hAnsi="仿宋" w:eastAsia="仿宋_GB2312" w:cs="仿宋_GB2312"/>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pgSz w:w="11906" w:h="16838"/>
          <w:pgMar w:top="1247" w:right="1418" w:bottom="1276" w:left="1418" w:header="851" w:footer="992" w:gutter="0"/>
          <w:cols w:space="720" w:num="1"/>
          <w:titlePg/>
          <w:rtlGutter w:val="1"/>
          <w:docGrid w:linePitch="312" w:charSpace="0"/>
        </w:sectPr>
      </w:pPr>
    </w:p>
    <w:p>
      <w:pPr>
        <w:tabs>
          <w:tab w:val="left" w:pos="8085"/>
        </w:tabs>
        <w:spacing w:line="360" w:lineRule="auto"/>
        <w:jc w:val="left"/>
        <w:rPr>
          <w:rFonts w:ascii="仿宋_GB2312" w:hAnsi="仿宋" w:eastAsia="仿宋_GB2312" w:cs="仿宋_GB2312"/>
          <w:b/>
          <w:sz w:val="32"/>
          <w:szCs w:val="32"/>
        </w:rPr>
      </w:pPr>
    </w:p>
    <w:p>
      <w:pPr>
        <w:spacing w:line="360" w:lineRule="auto"/>
        <w:jc w:val="center"/>
        <w:outlineLvl w:val="2"/>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1" w:firstLineChars="200"/>
        <w:rPr>
          <w:rFonts w:ascii="仿宋_GB2312" w:hAnsi="仿宋" w:eastAsia="仿宋_GB2312"/>
          <w:b/>
          <w:sz w:val="24"/>
        </w:rPr>
      </w:pPr>
      <w:r>
        <w:rPr>
          <w:rFonts w:hint="eastAsia" w:ascii="仿宋_GB2312" w:hAnsi="仿宋" w:eastAsia="仿宋_GB2312"/>
          <w:b/>
          <w:sz w:val="24"/>
        </w:rPr>
        <w:t>一、适用对象</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在浙江政府采购网注册入库，并取得杭州市政府采购合同的杭州市内中小企业供应商。</w:t>
      </w:r>
    </w:p>
    <w:p>
      <w:pPr>
        <w:spacing w:line="360" w:lineRule="auto"/>
        <w:ind w:firstLine="481" w:firstLineChars="200"/>
        <w:rPr>
          <w:rFonts w:ascii="仿宋_GB2312" w:hAnsi="仿宋" w:eastAsia="仿宋_GB2312"/>
          <w:b/>
          <w:sz w:val="24"/>
        </w:rPr>
      </w:pPr>
      <w:r>
        <w:rPr>
          <w:rFonts w:hint="eastAsia" w:ascii="仿宋_GB2312" w:hAnsi="仿宋" w:eastAsia="仿宋_GB2312"/>
          <w:b/>
          <w:sz w:val="24"/>
        </w:rPr>
        <w:t>二、相关信息获取方式</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请登陆杭州市政府采购网“中小企业信用融资”模块，查看信用融资政策文件及各相关银行服务方案。</w:t>
      </w:r>
    </w:p>
    <w:p>
      <w:pPr>
        <w:spacing w:line="360" w:lineRule="auto"/>
        <w:ind w:firstLine="481" w:firstLineChars="200"/>
        <w:rPr>
          <w:rFonts w:ascii="仿宋_GB2312" w:hAnsi="仿宋" w:eastAsia="仿宋_GB2312"/>
          <w:b/>
          <w:sz w:val="24"/>
        </w:rPr>
      </w:pPr>
      <w:r>
        <w:rPr>
          <w:rFonts w:hint="eastAsia" w:ascii="仿宋_GB2312" w:hAnsi="仿宋" w:eastAsia="仿宋_GB2312"/>
          <w:b/>
          <w:sz w:val="24"/>
        </w:rPr>
        <w:t>三、申请方式和步骤</w:t>
      </w:r>
    </w:p>
    <w:p>
      <w:pPr>
        <w:spacing w:line="360" w:lineRule="auto"/>
        <w:ind w:firstLine="481" w:firstLineChars="200"/>
        <w:rPr>
          <w:rFonts w:ascii="仿宋_GB2312" w:hAnsi="仿宋" w:eastAsia="仿宋_GB2312"/>
          <w:b/>
          <w:bCs/>
          <w:sz w:val="24"/>
        </w:rPr>
      </w:pPr>
      <w:r>
        <w:rPr>
          <w:rFonts w:hint="eastAsia" w:ascii="仿宋_GB2312" w:hAnsi="仿宋" w:eastAsia="仿宋_GB2312"/>
          <w:b/>
          <w:bCs/>
          <w:sz w:val="24"/>
        </w:rPr>
        <w:t>（一）“云采贷”融资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1、供应商先与银行对接，办理融资前期手续；</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2、供应商中标后，登陆“中小企业信用融资”模块测算授信额度，并向银行发出融资申请；</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3、银行线上审批通过后，办理放贷手续。</w:t>
      </w:r>
    </w:p>
    <w:p>
      <w:pPr>
        <w:spacing w:line="360" w:lineRule="auto"/>
        <w:ind w:firstLine="481" w:firstLineChars="200"/>
        <w:rPr>
          <w:rFonts w:ascii="仿宋_GB2312" w:hAnsi="仿宋" w:eastAsia="仿宋_GB2312"/>
          <w:b/>
          <w:bCs/>
          <w:sz w:val="24"/>
        </w:rPr>
      </w:pPr>
      <w:r>
        <w:rPr>
          <w:rFonts w:hint="eastAsia" w:ascii="仿宋_GB2312" w:hAnsi="仿宋" w:eastAsia="仿宋_GB2312"/>
          <w:b/>
          <w:bCs/>
          <w:sz w:val="24"/>
        </w:rPr>
        <w:t>（二）一般融资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1、供应商先与银行对接，办理融资前期手续；</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2、供应商中标后，登陆杭州市政府采购网“中小企业信用融资”模块，向相关合作银行发出融资申请；</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3、银行在“中小企业信用融资”模块受理申请；</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4、银行、供应商线下办理审批、放贷事宜。</w:t>
      </w:r>
    </w:p>
    <w:p>
      <w:pPr>
        <w:spacing w:line="360" w:lineRule="auto"/>
        <w:ind w:firstLine="481" w:firstLineChars="200"/>
        <w:rPr>
          <w:rFonts w:ascii="仿宋_GB2312" w:hAnsi="仿宋" w:eastAsia="仿宋_GB2312"/>
          <w:b/>
          <w:sz w:val="24"/>
        </w:rPr>
      </w:pPr>
      <w:r>
        <w:rPr>
          <w:rFonts w:hint="eastAsia" w:ascii="仿宋_GB2312" w:hAnsi="仿宋" w:eastAsia="仿宋_GB2312"/>
          <w:b/>
          <w:sz w:val="24"/>
        </w:rPr>
        <w:t>四、注意事项</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1、供应商需确保政府采购合同的收款银行与融资银行一致。</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2、请各采购单位积极支持和配合政府采购信用融资工作，在合同备案环节仔细核对收款银行、账号信息等内容，一旦录入将无法修改。</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3、技术服务热线：87210880；如有业务问题可与各合作银行联系</w:t>
      </w:r>
      <w:r>
        <w:rPr>
          <w:rFonts w:hint="eastAsia" w:ascii="仿宋_GB2312" w:hAnsi="仿宋" w:eastAsia="仿宋_GB2312" w:cs="仿宋_GB2312"/>
          <w:sz w:val="24"/>
        </w:rPr>
        <w:t>。</w:t>
      </w:r>
    </w:p>
    <w:p>
      <w:pPr>
        <w:spacing w:line="360" w:lineRule="auto"/>
        <w:ind w:left="5060" w:hanging="5059" w:hangingChars="2100"/>
        <w:rPr>
          <w:rFonts w:ascii="仿宋_GB2312" w:hAnsi="仿宋" w:eastAsia="仿宋_GB2312" w:cs="仿宋_GB2312"/>
          <w:b/>
          <w:bCs/>
          <w:kern w:val="0"/>
          <w:sz w:val="24"/>
        </w:rPr>
      </w:pPr>
    </w:p>
    <w:p>
      <w:pPr>
        <w:pStyle w:val="2"/>
        <w:keepNext w:val="0"/>
        <w:keepLines w:val="0"/>
        <w:pageBreakBefore/>
        <w:widowControl/>
        <w:numPr>
          <w:ilvl w:val="0"/>
          <w:numId w:val="0"/>
        </w:numPr>
        <w:spacing w:before="100" w:beforeAutospacing="1" w:after="100" w:afterAutospacing="1" w:line="360" w:lineRule="auto"/>
        <w:jc w:val="center"/>
        <w:rPr>
          <w:rFonts w:ascii="仿宋_GB2312" w:hAnsi="仿宋" w:eastAsia="仿宋_GB2312"/>
        </w:rPr>
      </w:pPr>
      <w:bookmarkStart w:id="414" w:name="_Toc465665161"/>
      <w:r>
        <w:rPr>
          <w:rFonts w:hint="eastAsia" w:ascii="仿宋_GB2312" w:hAnsi="仿宋" w:eastAsia="仿宋_GB2312"/>
        </w:rPr>
        <w:t>附件</w:t>
      </w:r>
      <w:bookmarkEnd w:id="414"/>
    </w:p>
    <w:p>
      <w:pPr>
        <w:spacing w:line="360" w:lineRule="auto"/>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附件1：</w:t>
      </w:r>
      <w:bookmarkStart w:id="415" w:name="OLE_LINK13"/>
      <w:bookmarkStart w:id="416" w:name="OLE_LINK14"/>
      <w:r>
        <w:rPr>
          <w:rFonts w:hint="eastAsia" w:ascii="仿宋_GB2312" w:hAnsi="仿宋" w:eastAsia="仿宋_GB2312"/>
          <w:b/>
          <w:spacing w:val="6"/>
          <w:sz w:val="32"/>
          <w:szCs w:val="32"/>
        </w:rPr>
        <w:t>残疾人福利性单位声明函</w:t>
      </w:r>
    </w:p>
    <w:bookmarkEnd w:id="415"/>
    <w:bookmarkEnd w:id="416"/>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pStyle w:val="25"/>
        <w:rPr>
          <w:rFonts w:ascii="Arial" w:hAnsi="Arial" w:eastAsia="黑体" w:cs="Arial"/>
          <w:snapToGrid w:val="0"/>
          <w:kern w:val="0"/>
          <w:szCs w:val="21"/>
        </w:rPr>
      </w:pPr>
    </w:p>
    <w:p>
      <w:pPr>
        <w:pStyle w:val="25"/>
        <w:rPr>
          <w:rFonts w:ascii="Arial" w:hAnsi="Arial" w:eastAsia="黑体" w:cs="Arial"/>
          <w:snapToGrid w:val="0"/>
          <w:kern w:val="0"/>
          <w:szCs w:val="21"/>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hint="eastAsia"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hint="eastAsia" w:ascii="仿宋_GB2312" w:hAnsi="仿宋" w:eastAsia="仿宋_GB2312" w:cs="仿宋"/>
          <w:sz w:val="24"/>
          <w:u w:val="dotted"/>
        </w:rPr>
        <w:t xml:space="preserve">                      </w:t>
      </w: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hint="eastAsia"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r>
        <w:rPr>
          <w:rFonts w:hint="eastAsia"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 xml:space="preserve">地址： </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hint="eastAsia"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hint="eastAsia" w:ascii="仿宋_GB2312" w:hAnsi="仿宋" w:eastAsia="仿宋_GB2312" w:cs="仿宋"/>
          <w:sz w:val="24"/>
          <w:u w:val="dotted"/>
        </w:rPr>
        <w:t xml:space="preserve">               </w:t>
      </w:r>
      <w:r>
        <w:rPr>
          <w:rFonts w:hint="eastAsia" w:ascii="仿宋_GB2312" w:hAnsi="仿宋" w:eastAsia="仿宋_GB2312" w:cs="仿宋"/>
          <w:sz w:val="24"/>
        </w:rPr>
        <w:t>包号：</w:t>
      </w:r>
      <w:r>
        <w:rPr>
          <w:rFonts w:hint="eastAsia"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hint="eastAsia"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hint="eastAsia"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质疑事项1：</w:t>
      </w:r>
      <w:r>
        <w:rPr>
          <w:rFonts w:hint="eastAsia"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hint="eastAsia"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hint="eastAsia"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hint="eastAsia"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ascii="仿宋_GB2312" w:hAnsi="仿宋" w:eastAsia="仿宋_GB2312"/>
          <w:sz w:val="24"/>
        </w:rPr>
      </w:pPr>
      <w:r>
        <w:rPr>
          <w:rFonts w:hint="eastAsia" w:ascii="仿宋_GB2312" w:hAnsi="仿宋" w:eastAsia="仿宋_GB2312"/>
          <w:sz w:val="24"/>
        </w:rPr>
        <w:t xml:space="preserve">日期：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2.质疑供应商若委托代理人进行质疑的，质疑函应按要求列明“授权代表”的有关内容，并在附件中提交由质疑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hint="eastAsia"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法定代表人/主要负责人：</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r>
        <w:rPr>
          <w:rFonts w:hint="eastAsia"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被投诉人1：</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hint="eastAsia"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hint="eastAsia" w:ascii="仿宋_GB2312" w:hAnsi="仿宋" w:eastAsia="仿宋_GB2312"/>
          <w:sz w:val="24"/>
          <w:u w:val="dotted"/>
        </w:rPr>
        <w:t xml:space="preserve">                 </w:t>
      </w:r>
      <w:r>
        <w:rPr>
          <w:rFonts w:hint="eastAsia" w:ascii="仿宋_GB2312" w:hAnsi="仿宋" w:eastAsia="仿宋_GB2312"/>
          <w:sz w:val="24"/>
        </w:rPr>
        <w:t>包号：</w:t>
      </w:r>
      <w:r>
        <w:rPr>
          <w:rFonts w:hint="eastAsia"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hint="eastAsia"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日,向</w:t>
      </w:r>
      <w:r>
        <w:rPr>
          <w:rFonts w:hint="eastAsia" w:ascii="仿宋_GB2312" w:hAnsi="仿宋" w:eastAsia="仿宋_GB2312"/>
          <w:sz w:val="24"/>
          <w:u w:val="dotted"/>
        </w:rPr>
        <w:t xml:space="preserve">                   </w:t>
      </w:r>
      <w:r>
        <w:rPr>
          <w:rFonts w:hint="eastAsia" w:ascii="仿宋_GB2312" w:hAnsi="仿宋" w:eastAsia="仿宋_GB2312"/>
          <w:sz w:val="24"/>
        </w:rPr>
        <w:t>提出质疑，质疑事项为：</w:t>
      </w:r>
      <w:r>
        <w:rPr>
          <w:rFonts w:hint="eastAsia"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采购人/代理机构</w:t>
      </w:r>
      <w:r>
        <w:rPr>
          <w:rFonts w:hint="eastAsia" w:ascii="仿宋_GB2312" w:hAnsi="仿宋" w:eastAsia="仿宋_GB2312"/>
          <w:sz w:val="24"/>
        </w:rPr>
        <w:t>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日,就质疑事项作出了答复/没有在法定期限内作出答复。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 1：</w:t>
      </w:r>
      <w:r>
        <w:rPr>
          <w:rFonts w:hint="eastAsia"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hint="eastAsia"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hint="eastAsia"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ascii="仿宋_GB2312" w:hAnsi="仿宋" w:eastAsia="仿宋_GB2312"/>
          <w:sz w:val="24"/>
        </w:rPr>
      </w:pPr>
      <w:r>
        <w:rPr>
          <w:rFonts w:hint="eastAsia" w:ascii="仿宋_GB2312" w:hAnsi="仿宋" w:eastAsia="仿宋_GB2312"/>
          <w:sz w:val="24"/>
        </w:rPr>
        <w:t xml:space="preserve">日期：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hint="eastAsia"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hint="eastAsia"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hint="eastAsia"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sectPr>
      <w:headerReference r:id="rId15" w:type="first"/>
      <w:footerReference r:id="rId18" w:type="first"/>
      <w:headerReference r:id="rId14" w:type="default"/>
      <w:footerReference r:id="rId16" w:type="default"/>
      <w:footerReference r:id="rId17" w:type="even"/>
      <w:pgSz w:w="11906" w:h="16838"/>
      <w:pgMar w:top="1440" w:right="1797" w:bottom="1440" w:left="1559" w:header="851" w:footer="992" w:gutter="0"/>
      <w:cols w:space="720" w:num="1"/>
      <w:titlePg/>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Lucida Sans">
    <w:altName w:val="汉仪叶叶相思体简"/>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MS Sans Serif">
    <w:altName w:val="汉仪叶叶相思体简"/>
    <w:panose1 w:val="00000000000000000000"/>
    <w:charset w:val="00"/>
    <w:family w:val="swiss"/>
    <w:pitch w:val="default"/>
    <w:sig w:usb0="00000000" w:usb1="00000000" w:usb2="00000000" w:usb3="00000000" w:csb0="00000001" w:csb1="00000000"/>
  </w:font>
  <w:font w:name="ˎ̥">
    <w:altName w:val="汉仪新人文宋简"/>
    <w:panose1 w:val="00000000000000000000"/>
    <w:charset w:val="00"/>
    <w:family w:val="roman"/>
    <w:pitch w:val="default"/>
    <w:sig w:usb0="00000000" w:usb1="00000000" w:usb2="00000000" w:usb3="00000000" w:csb0="00040001" w:csb1="00000000"/>
  </w:font>
  <w:font w:name="Futura Bk">
    <w:altName w:val="汉仪中秀体简"/>
    <w:panose1 w:val="00000000000000000000"/>
    <w:charset w:val="00"/>
    <w:family w:val="swiss"/>
    <w:pitch w:val="default"/>
    <w:sig w:usb0="00000000" w:usb1="00000000" w:usb2="00000000" w:usb3="00000000" w:csb0="0000009F" w:csb1="00000000"/>
  </w:font>
  <w:font w:name="Arial Unicode MS">
    <w:altName w:val="Nimbus Roman No9 L"/>
    <w:panose1 w:val="020B0604020202020204"/>
    <w:charset w:val="86"/>
    <w:family w:val="swiss"/>
    <w:pitch w:val="default"/>
    <w:sig w:usb0="00000000" w:usb1="00000000" w:usb2="0000003F" w:usb3="00000000" w:csb0="003F01FF" w:csb1="00000000"/>
  </w:font>
  <w:font w:name="Century Gothic">
    <w:altName w:val="汉仪中秀体简"/>
    <w:panose1 w:val="00000000000000000000"/>
    <w:charset w:val="00"/>
    <w:family w:val="swiss"/>
    <w:pitch w:val="default"/>
    <w:sig w:usb0="00000000" w:usb1="00000000" w:usb2="00000000" w:usb3="00000000" w:csb0="0000009F" w:csb1="00000000"/>
  </w:font>
  <w:font w:name="Aldine401 BT">
    <w:altName w:val="汉仪中秀体简"/>
    <w:panose1 w:val="00000000000000000000"/>
    <w:charset w:val="00"/>
    <w:family w:val="roman"/>
    <w:pitch w:val="default"/>
    <w:sig w:usb0="00000000" w:usb1="00000000" w:usb2="00000000" w:usb3="00000000" w:csb0="00000011" w:csb1="00000000"/>
  </w:font>
  <w:font w:name="Arial (W1)">
    <w:altName w:val="Nimbus Roman No9 L"/>
    <w:panose1 w:val="00000000000000000000"/>
    <w:charset w:val="00"/>
    <w:family w:val="swiss"/>
    <w:pitch w:val="default"/>
    <w:sig w:usb0="00000000" w:usb1="00000000" w:usb2="00000008" w:usb3="00000000" w:csb0="000001FF" w:csb1="00000000"/>
  </w:font>
  <w:font w:name="Arial Narrow">
    <w:altName w:val="Nimbus Roman No9 L"/>
    <w:panose1 w:val="00000000000000000000"/>
    <w:charset w:val="00"/>
    <w:family w:val="swiss"/>
    <w:pitch w:val="default"/>
    <w:sig w:usb0="00000000" w:usb1="00000000" w:usb2="00000000" w:usb3="00000000" w:csb0="0000009F" w:csb1="00000000"/>
  </w:font>
  <w:font w:name="Futura Hv">
    <w:altName w:val="汉仪中秀体简"/>
    <w:panose1 w:val="00000000000000000000"/>
    <w:charset w:val="00"/>
    <w:family w:val="swiss"/>
    <w:pitch w:val="default"/>
    <w:sig w:usb0="00000000" w:usb1="00000000" w:usb2="00000000" w:usb3="00000000" w:csb0="0000009F" w:csb1="00000000"/>
  </w:font>
  <w:font w:name="新宋体">
    <w:panose1 w:val="02010609030101010101"/>
    <w:charset w:val="86"/>
    <w:family w:val="modern"/>
    <w:pitch w:val="default"/>
    <w:sig w:usb0="00000003" w:usb1="288F0000" w:usb2="00000006" w:usb3="00000000" w:csb0="00040001" w:csb1="00000000"/>
  </w:font>
  <w:font w:name="Helvetica">
    <w:altName w:val="汉仪君黑-35简"/>
    <w:panose1 w:val="020B0604020202020204"/>
    <w:charset w:val="00"/>
    <w:family w:val="swiss"/>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Lucida Sans Unicode">
    <w:altName w:val="Noto Music"/>
    <w:panose1 w:val="020B0602030504020204"/>
    <w:charset w:val="00"/>
    <w:family w:val="swiss"/>
    <w:pitch w:val="default"/>
    <w:sig w:usb0="00000000" w:usb1="00000000" w:usb2="00000000" w:usb3="00000000" w:csb0="000000BF" w:csb1="00000000"/>
  </w:font>
  <w:font w:name="Segoe UI">
    <w:altName w:val="微软雅黑 Light"/>
    <w:panose1 w:val="020B0502040204020203"/>
    <w:charset w:val="00"/>
    <w:family w:val="swiss"/>
    <w:pitch w:val="default"/>
    <w:sig w:usb0="00000000" w:usb1="00000000" w:usb2="00000009" w:usb3="00000000" w:csb0="000001FF" w:csb1="00000000"/>
  </w:font>
  <w:font w:name="Latha">
    <w:altName w:val="DejaVu Math TeX Gyre"/>
    <w:panose1 w:val="020004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幼圆">
    <w:altName w:val="仿宋"/>
    <w:panose1 w:val="0201050906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汉仪新人文宋简">
    <w:panose1 w:val="00020600040101010101"/>
    <w:charset w:val="86"/>
    <w:family w:val="auto"/>
    <w:pitch w:val="default"/>
    <w:sig w:usb0="A00002BF" w:usb1="1ACF7CFA" w:usb2="00000016" w:usb3="00000000" w:csb0="0004009F" w:csb1="DFD70000"/>
  </w:font>
  <w:font w:name="汉仪中秀体简">
    <w:panose1 w:val="00020600040101010101"/>
    <w:charset w:val="86"/>
    <w:family w:val="auto"/>
    <w:pitch w:val="default"/>
    <w:sig w:usb0="A00002BF" w:usb1="1ACF7CFA" w:usb2="00000016" w:usb3="00000000" w:csb0="0004009F" w:csb1="00000000"/>
  </w:font>
  <w:font w:name="汉仪君黑-35简">
    <w:panose1 w:val="020B0604020202020204"/>
    <w:charset w:val="86"/>
    <w:family w:val="auto"/>
    <w:pitch w:val="default"/>
    <w:sig w:usb0="A00002BF" w:usb1="0ACF7CFA" w:usb2="00000016" w:usb3="00000000" w:csb0="2004000F" w:csb1="00000000"/>
  </w:font>
  <w:font w:name="Noto Music">
    <w:panose1 w:val="020B0502040504020204"/>
    <w:charset w:val="00"/>
    <w:family w:val="auto"/>
    <w:pitch w:val="default"/>
    <w:sig w:usb0="00000003" w:usb1="02006000" w:usb2="01000000" w:usb3="00000000" w:csb0="00000001" w:csb1="00000000"/>
  </w:font>
  <w:font w:name="微软雅黑 Light">
    <w:panose1 w:val="020B0502040204020203"/>
    <w:charset w:val="86"/>
    <w:family w:val="auto"/>
    <w:pitch w:val="default"/>
    <w:sig w:usb0="80000287" w:usb1="2ACF001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Align="top"/>
      <w:rPr>
        <w:rStyle w:val="71"/>
      </w:rPr>
    </w:pPr>
    <w:r>
      <w:fldChar w:fldCharType="begin"/>
    </w:r>
    <w:r>
      <w:rPr>
        <w:rStyle w:val="71"/>
      </w:rPr>
      <w:instrText xml:space="preserve">PAGE  </w:instrText>
    </w:r>
    <w:r>
      <w:fldChar w:fldCharType="separate"/>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Align="top"/>
      <w:rPr>
        <w:rStyle w:val="71"/>
      </w:rPr>
    </w:pPr>
    <w:r>
      <w:fldChar w:fldCharType="begin"/>
    </w:r>
    <w:r>
      <w:rPr>
        <w:rStyle w:val="71"/>
      </w:rPr>
      <w:instrText xml:space="preserve">PAGE  </w:instrText>
    </w:r>
    <w:r>
      <w:fldChar w:fldCharType="separate"/>
    </w:r>
    <w:r>
      <w:fldChar w:fldCharType="end"/>
    </w:r>
  </w:p>
  <w:p>
    <w:pPr>
      <w:pStyle w:val="39"/>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Align="top"/>
      <w:rPr>
        <w:rStyle w:val="71"/>
      </w:rPr>
    </w:pPr>
    <w:r>
      <w:fldChar w:fldCharType="begin"/>
    </w:r>
    <w:r>
      <w:rPr>
        <w:rStyle w:val="71"/>
      </w:rPr>
      <w:instrText xml:space="preserve">PAGE  </w:instrText>
    </w:r>
    <w:r>
      <w:fldChar w:fldCharType="separate"/>
    </w:r>
    <w:r>
      <w:fldChar w:fldCharType="end"/>
    </w:r>
  </w:p>
  <w:p>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114</w:t>
    </w:r>
    <w:r>
      <w:rPr>
        <w:rFonts w:hint="eastAsia" w:ascii="仿宋_GB2312" w:eastAsia="仿宋_GB2312"/>
        <w:kern w:val="0"/>
        <w:szCs w:val="21"/>
      </w:rPr>
      <w:fldChar w:fldCharType="end"/>
    </w:r>
    <w:bookmarkStart w:id="417" w:name="_Toc36110187"/>
    <w:bookmarkStart w:id="418" w:name="_Toc91899912"/>
    <w:bookmarkStart w:id="419" w:name="_Toc131845147"/>
    <w:bookmarkStart w:id="420" w:name="_Toc164085800"/>
    <w:r>
      <w:rPr>
        <w:rFonts w:hint="eastAsia" w:ascii="仿宋_GB2312" w:eastAsia="仿宋_GB2312"/>
        <w:kern w:val="0"/>
        <w:szCs w:val="21"/>
      </w:rPr>
      <w:t xml:space="preserve"> 页</w:t>
    </w:r>
    <w:bookmarkEnd w:id="417"/>
    <w:bookmarkEnd w:id="418"/>
    <w:bookmarkEnd w:id="419"/>
    <w:bookmarkEnd w:id="42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pPr>
    <w:r>
      <w:rPr>
        <w:rFonts w:hint="eastAsia"/>
      </w:rPr>
      <w:t xml:space="preserve">                                                                </w:t>
    </w:r>
  </w:p>
  <w:p>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ascii="仿宋_GB2312" w:eastAsia="仿宋_GB2312"/>
        <w:b/>
        <w:i/>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ascii="仿宋_GB2312" w:eastAsia="仿宋_GB2312"/>
        <w:b/>
        <w:i/>
        <w:iCs/>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460"/>
      <w:lvlText w:val=""/>
      <w:lvlJc w:val="left"/>
      <w:pPr>
        <w:tabs>
          <w:tab w:val="left" w:pos="1260"/>
        </w:tabs>
        <w:ind w:left="1260" w:hanging="420"/>
      </w:pPr>
      <w:rPr>
        <w:rFonts w:hint="default" w:ascii="Wingdings" w:hAnsi="Wingdings"/>
      </w:rPr>
    </w:lvl>
    <w:lvl w:ilvl="2" w:tentative="0">
      <w:start w:val="1"/>
      <w:numFmt w:val="bullet"/>
      <w:pStyle w:val="817"/>
      <w:lvlText w:val=""/>
      <w:lvlJc w:val="left"/>
      <w:pPr>
        <w:tabs>
          <w:tab w:val="left" w:pos="1680"/>
        </w:tabs>
        <w:ind w:left="1680" w:hanging="420"/>
      </w:pPr>
      <w:rPr>
        <w:rFonts w:hint="default" w:ascii="Wingdings" w:hAnsi="Wingdings"/>
      </w:rPr>
    </w:lvl>
    <w:lvl w:ilvl="3" w:tentative="0">
      <w:start w:val="1"/>
      <w:numFmt w:val="bullet"/>
      <w:pStyle w:val="588"/>
      <w:lvlText w:val=""/>
      <w:lvlJc w:val="left"/>
      <w:pPr>
        <w:tabs>
          <w:tab w:val="left" w:pos="2100"/>
        </w:tabs>
        <w:ind w:left="2100" w:hanging="420"/>
      </w:pPr>
      <w:rPr>
        <w:rFonts w:hint="default" w:ascii="Wingdings" w:hAnsi="Wingdings"/>
      </w:rPr>
    </w:lvl>
    <w:lvl w:ilvl="4" w:tentative="0">
      <w:start w:val="1"/>
      <w:numFmt w:val="bullet"/>
      <w:pStyle w:val="688"/>
      <w:lvlText w:val=""/>
      <w:lvlJc w:val="left"/>
      <w:pPr>
        <w:tabs>
          <w:tab w:val="left" w:pos="2520"/>
        </w:tabs>
        <w:ind w:left="2520" w:hanging="420"/>
      </w:pPr>
      <w:rPr>
        <w:rFonts w:hint="default" w:ascii="Wingdings" w:hAnsi="Wingdings"/>
      </w:rPr>
    </w:lvl>
    <w:lvl w:ilvl="5" w:tentative="0">
      <w:start w:val="1"/>
      <w:numFmt w:val="bullet"/>
      <w:pStyle w:val="437"/>
      <w:lvlText w:val=""/>
      <w:lvlJc w:val="left"/>
      <w:pPr>
        <w:tabs>
          <w:tab w:val="left" w:pos="2940"/>
        </w:tabs>
        <w:ind w:left="2940" w:hanging="420"/>
      </w:pPr>
      <w:rPr>
        <w:rFonts w:hint="default" w:ascii="Wingdings" w:hAnsi="Wingdings"/>
      </w:rPr>
    </w:lvl>
    <w:lvl w:ilvl="6" w:tentative="0">
      <w:start w:val="1"/>
      <w:numFmt w:val="bullet"/>
      <w:pStyle w:val="436"/>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46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11F3D51"/>
    <w:multiLevelType w:val="multilevel"/>
    <w:tmpl w:val="011F3D51"/>
    <w:lvl w:ilvl="0" w:tentative="0">
      <w:start w:val="1"/>
      <w:numFmt w:val="decimal"/>
      <w:pStyle w:val="118"/>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553"/>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1D155B99"/>
    <w:multiLevelType w:val="multilevel"/>
    <w:tmpl w:val="1D155B99"/>
    <w:lvl w:ilvl="0" w:tentative="0">
      <w:start w:val="1"/>
      <w:numFmt w:val="chineseCountingThousand"/>
      <w:pStyle w:val="725"/>
      <w:suff w:val="nothing"/>
      <w:lvlText w:val="%1、"/>
      <w:lvlJc w:val="left"/>
      <w:pPr>
        <w:ind w:left="0" w:firstLine="0"/>
      </w:pPr>
      <w:rPr>
        <w:rFonts w:hint="eastAsia"/>
      </w:rPr>
    </w:lvl>
    <w:lvl w:ilvl="1" w:tentative="0">
      <w:start w:val="1"/>
      <w:numFmt w:val="chineseCountingThousand"/>
      <w:pStyle w:val="726"/>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482"/>
      <w:suff w:val="nothing"/>
      <w:lvlText w:val="%3."/>
      <w:lvlJc w:val="left"/>
      <w:pPr>
        <w:ind w:left="0" w:firstLine="0"/>
      </w:pPr>
      <w:rPr>
        <w:rFonts w:hint="eastAsia"/>
      </w:rPr>
    </w:lvl>
    <w:lvl w:ilvl="3" w:tentative="0">
      <w:start w:val="1"/>
      <w:numFmt w:val="decimal"/>
      <w:pStyle w:val="483"/>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218B0932"/>
    <w:multiLevelType w:val="multilevel"/>
    <w:tmpl w:val="218B0932"/>
    <w:lvl w:ilvl="0" w:tentative="0">
      <w:start w:val="1"/>
      <w:numFmt w:val="decimal"/>
      <w:pStyle w:val="776"/>
      <w:lvlText w:val="图%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78B3BD2"/>
    <w:multiLevelType w:val="multilevel"/>
    <w:tmpl w:val="578B3BD2"/>
    <w:lvl w:ilvl="0" w:tentative="0">
      <w:start w:val="1"/>
      <w:numFmt w:val="decimal"/>
      <w:pStyle w:val="782"/>
      <w:lvlText w:val="%1"/>
      <w:lvlJc w:val="left"/>
      <w:pPr>
        <w:tabs>
          <w:tab w:val="left" w:pos="480"/>
        </w:tabs>
        <w:ind w:left="480" w:hanging="480"/>
      </w:pPr>
      <w:rPr>
        <w:rFonts w:hint="eastAsia"/>
        <w:sz w:val="44"/>
        <w:szCs w:val="44"/>
      </w:rPr>
    </w:lvl>
    <w:lvl w:ilvl="1" w:tentative="0">
      <w:start w:val="1"/>
      <w:numFmt w:val="decimal"/>
      <w:pStyle w:val="60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628"/>
      <w:lvlText w:val="%1.%2.%3.%4.%5"/>
      <w:lvlJc w:val="left"/>
      <w:pPr>
        <w:tabs>
          <w:tab w:val="left" w:pos="1080"/>
        </w:tabs>
        <w:ind w:left="1080" w:hanging="1080"/>
      </w:pPr>
      <w:rPr>
        <w:rFonts w:hint="default"/>
      </w:rPr>
    </w:lvl>
    <w:lvl w:ilvl="5" w:tentative="0">
      <w:start w:val="1"/>
      <w:numFmt w:val="decimal"/>
      <w:pStyle w:val="50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F156929"/>
    <w:multiLevelType w:val="singleLevel"/>
    <w:tmpl w:val="5F156929"/>
    <w:lvl w:ilvl="0" w:tentative="0">
      <w:start w:val="1"/>
      <w:numFmt w:val="bullet"/>
      <w:lvlText w:val=""/>
      <w:lvlJc w:val="left"/>
      <w:pPr>
        <w:ind w:left="420" w:hanging="420"/>
      </w:pPr>
      <w:rPr>
        <w:rFonts w:hint="default" w:ascii="Wingdings" w:hAnsi="Wingdings"/>
      </w:rPr>
    </w:lvl>
  </w:abstractNum>
  <w:abstractNum w:abstractNumId="10">
    <w:nsid w:val="73596DCC"/>
    <w:multiLevelType w:val="multilevel"/>
    <w:tmpl w:val="73596DCC"/>
    <w:lvl w:ilvl="0" w:tentative="0">
      <w:start w:val="1"/>
      <w:numFmt w:val="bullet"/>
      <w:pStyle w:val="68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E265E1C"/>
    <w:multiLevelType w:val="multilevel"/>
    <w:tmpl w:val="7E265E1C"/>
    <w:lvl w:ilvl="0" w:tentative="0">
      <w:start w:val="1"/>
      <w:numFmt w:val="decimal"/>
      <w:pStyle w:val="23"/>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1"/>
  </w:num>
  <w:num w:numId="5">
    <w:abstractNumId w:val="1"/>
  </w:num>
  <w:num w:numId="6">
    <w:abstractNumId w:val="3"/>
  </w:num>
  <w:num w:numId="7">
    <w:abstractNumId w:val="5"/>
  </w:num>
  <w:num w:numId="8">
    <w:abstractNumId w:val="8"/>
  </w:num>
  <w:num w:numId="9">
    <w:abstractNumId w:val="10"/>
  </w:num>
  <w:num w:numId="10">
    <w:abstractNumId w:val="6"/>
  </w:num>
  <w:num w:numId="11">
    <w:abstractNumId w:val="9"/>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true"/>
  <w:bordersDoNotSurroundFooter w:val="tru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9AE"/>
    <w:rsid w:val="000313B7"/>
    <w:rsid w:val="000A6AAD"/>
    <w:rsid w:val="000B3FB0"/>
    <w:rsid w:val="000E3ACE"/>
    <w:rsid w:val="001030F6"/>
    <w:rsid w:val="001574EE"/>
    <w:rsid w:val="0016025B"/>
    <w:rsid w:val="00172A27"/>
    <w:rsid w:val="001861DB"/>
    <w:rsid w:val="001A1553"/>
    <w:rsid w:val="001F235F"/>
    <w:rsid w:val="001F7DBD"/>
    <w:rsid w:val="00250399"/>
    <w:rsid w:val="002A4426"/>
    <w:rsid w:val="002E37C6"/>
    <w:rsid w:val="002F0649"/>
    <w:rsid w:val="002F14F1"/>
    <w:rsid w:val="002F30B2"/>
    <w:rsid w:val="003033D0"/>
    <w:rsid w:val="00374B81"/>
    <w:rsid w:val="00374D66"/>
    <w:rsid w:val="00394E2D"/>
    <w:rsid w:val="003C41EF"/>
    <w:rsid w:val="003D4D69"/>
    <w:rsid w:val="00406425"/>
    <w:rsid w:val="00414BCD"/>
    <w:rsid w:val="0042038A"/>
    <w:rsid w:val="004214C1"/>
    <w:rsid w:val="00444791"/>
    <w:rsid w:val="0045648C"/>
    <w:rsid w:val="00484645"/>
    <w:rsid w:val="004971CC"/>
    <w:rsid w:val="00533D6F"/>
    <w:rsid w:val="00554770"/>
    <w:rsid w:val="00572654"/>
    <w:rsid w:val="00591650"/>
    <w:rsid w:val="005A6DF1"/>
    <w:rsid w:val="00603E77"/>
    <w:rsid w:val="00680D01"/>
    <w:rsid w:val="006A06FD"/>
    <w:rsid w:val="006C7941"/>
    <w:rsid w:val="006D7693"/>
    <w:rsid w:val="006F06BC"/>
    <w:rsid w:val="007379AD"/>
    <w:rsid w:val="00784175"/>
    <w:rsid w:val="007A7E62"/>
    <w:rsid w:val="008104ED"/>
    <w:rsid w:val="00844EC4"/>
    <w:rsid w:val="00860E6D"/>
    <w:rsid w:val="00883A74"/>
    <w:rsid w:val="00896388"/>
    <w:rsid w:val="008B1DA0"/>
    <w:rsid w:val="008D6EA0"/>
    <w:rsid w:val="00924D6D"/>
    <w:rsid w:val="009506B2"/>
    <w:rsid w:val="009847EE"/>
    <w:rsid w:val="00991273"/>
    <w:rsid w:val="009C4672"/>
    <w:rsid w:val="009C5932"/>
    <w:rsid w:val="009C6E5E"/>
    <w:rsid w:val="009D241F"/>
    <w:rsid w:val="009E63A3"/>
    <w:rsid w:val="00A01ED8"/>
    <w:rsid w:val="00A03CB6"/>
    <w:rsid w:val="00A84CBC"/>
    <w:rsid w:val="00A851CF"/>
    <w:rsid w:val="00AA075D"/>
    <w:rsid w:val="00B7166E"/>
    <w:rsid w:val="00B91F6A"/>
    <w:rsid w:val="00B95968"/>
    <w:rsid w:val="00BC594E"/>
    <w:rsid w:val="00BD1AA8"/>
    <w:rsid w:val="00BD6541"/>
    <w:rsid w:val="00C01668"/>
    <w:rsid w:val="00C226E2"/>
    <w:rsid w:val="00C855EC"/>
    <w:rsid w:val="00CE4B8F"/>
    <w:rsid w:val="00D2432C"/>
    <w:rsid w:val="00D34BB2"/>
    <w:rsid w:val="00D356FC"/>
    <w:rsid w:val="00D424A0"/>
    <w:rsid w:val="00D779B5"/>
    <w:rsid w:val="00DE06A1"/>
    <w:rsid w:val="00DE44B4"/>
    <w:rsid w:val="00E5431B"/>
    <w:rsid w:val="00E61C33"/>
    <w:rsid w:val="00E61DDF"/>
    <w:rsid w:val="00EC3C67"/>
    <w:rsid w:val="00EC68DF"/>
    <w:rsid w:val="00ED68C5"/>
    <w:rsid w:val="00F330AD"/>
    <w:rsid w:val="00F53D60"/>
    <w:rsid w:val="00FA5710"/>
    <w:rsid w:val="01AB2E00"/>
    <w:rsid w:val="03343087"/>
    <w:rsid w:val="03F8268D"/>
    <w:rsid w:val="049A238F"/>
    <w:rsid w:val="056A392B"/>
    <w:rsid w:val="05EC736A"/>
    <w:rsid w:val="07EA0936"/>
    <w:rsid w:val="0B2E28BB"/>
    <w:rsid w:val="0B9350D2"/>
    <w:rsid w:val="0BFF3A93"/>
    <w:rsid w:val="0DAD74D4"/>
    <w:rsid w:val="0E146042"/>
    <w:rsid w:val="0F9E99F4"/>
    <w:rsid w:val="0FC05418"/>
    <w:rsid w:val="1046652F"/>
    <w:rsid w:val="1197602F"/>
    <w:rsid w:val="129A4E0D"/>
    <w:rsid w:val="16763603"/>
    <w:rsid w:val="1A39075A"/>
    <w:rsid w:val="1C584175"/>
    <w:rsid w:val="1DE75332"/>
    <w:rsid w:val="1DF15D44"/>
    <w:rsid w:val="1DFF58BA"/>
    <w:rsid w:val="1E526E0C"/>
    <w:rsid w:val="1F6B68BF"/>
    <w:rsid w:val="1FC5420D"/>
    <w:rsid w:val="1FE41AAB"/>
    <w:rsid w:val="1FF69AC9"/>
    <w:rsid w:val="1FFC4733"/>
    <w:rsid w:val="208C63B4"/>
    <w:rsid w:val="23EE7946"/>
    <w:rsid w:val="24115870"/>
    <w:rsid w:val="276F4573"/>
    <w:rsid w:val="28403954"/>
    <w:rsid w:val="2A0401DD"/>
    <w:rsid w:val="2D7529D5"/>
    <w:rsid w:val="2DD9F4EB"/>
    <w:rsid w:val="2E671733"/>
    <w:rsid w:val="2EC57C23"/>
    <w:rsid w:val="301D3612"/>
    <w:rsid w:val="317F3F2D"/>
    <w:rsid w:val="31A37AE1"/>
    <w:rsid w:val="31C30F58"/>
    <w:rsid w:val="32230D8A"/>
    <w:rsid w:val="34441E6F"/>
    <w:rsid w:val="3BE4463C"/>
    <w:rsid w:val="3C062780"/>
    <w:rsid w:val="3C327CD0"/>
    <w:rsid w:val="3DBF4707"/>
    <w:rsid w:val="3E4F0670"/>
    <w:rsid w:val="3E704F34"/>
    <w:rsid w:val="43922F7A"/>
    <w:rsid w:val="4523744C"/>
    <w:rsid w:val="4AF22407"/>
    <w:rsid w:val="4D7261C9"/>
    <w:rsid w:val="4F93390E"/>
    <w:rsid w:val="54C91C45"/>
    <w:rsid w:val="58DF22E3"/>
    <w:rsid w:val="5BE79C46"/>
    <w:rsid w:val="5DDC66C3"/>
    <w:rsid w:val="5EC430B5"/>
    <w:rsid w:val="5EE7EA0C"/>
    <w:rsid w:val="5FEDB1CB"/>
    <w:rsid w:val="62024A00"/>
    <w:rsid w:val="63A10B0D"/>
    <w:rsid w:val="6B7F73FE"/>
    <w:rsid w:val="6D321EE0"/>
    <w:rsid w:val="6EF07422"/>
    <w:rsid w:val="6EFA3877"/>
    <w:rsid w:val="70FF6C7C"/>
    <w:rsid w:val="71D30204"/>
    <w:rsid w:val="723F7C06"/>
    <w:rsid w:val="742B3D1B"/>
    <w:rsid w:val="751F1D34"/>
    <w:rsid w:val="75F60787"/>
    <w:rsid w:val="768F70D5"/>
    <w:rsid w:val="76EB2CED"/>
    <w:rsid w:val="777EFA57"/>
    <w:rsid w:val="777FE5EC"/>
    <w:rsid w:val="77BC1C53"/>
    <w:rsid w:val="77D17E06"/>
    <w:rsid w:val="77FE2891"/>
    <w:rsid w:val="77FE5464"/>
    <w:rsid w:val="789E39D8"/>
    <w:rsid w:val="79F55E4A"/>
    <w:rsid w:val="7A3E0C29"/>
    <w:rsid w:val="7BD57DF6"/>
    <w:rsid w:val="7EEF0F6A"/>
    <w:rsid w:val="7EFB7B72"/>
    <w:rsid w:val="7EFED3D6"/>
    <w:rsid w:val="7F459607"/>
    <w:rsid w:val="7F7EF7A4"/>
    <w:rsid w:val="7FB1669F"/>
    <w:rsid w:val="7FDF44B3"/>
    <w:rsid w:val="7FF6C4B4"/>
    <w:rsid w:val="7FFD452C"/>
    <w:rsid w:val="9D770D8D"/>
    <w:rsid w:val="AD5F23A9"/>
    <w:rsid w:val="BFFD19A8"/>
    <w:rsid w:val="CD23CBD7"/>
    <w:rsid w:val="CEFB959B"/>
    <w:rsid w:val="D44FF2AF"/>
    <w:rsid w:val="D5FEC4B2"/>
    <w:rsid w:val="D71EB121"/>
    <w:rsid w:val="DCBB553E"/>
    <w:rsid w:val="DFF315F6"/>
    <w:rsid w:val="DFFF555D"/>
    <w:rsid w:val="E4FE0547"/>
    <w:rsid w:val="E5BF5118"/>
    <w:rsid w:val="E6BB0AF2"/>
    <w:rsid w:val="EBFEE5AC"/>
    <w:rsid w:val="EBFF12D9"/>
    <w:rsid w:val="ECFDF151"/>
    <w:rsid w:val="EFCF408F"/>
    <w:rsid w:val="EFEE385B"/>
    <w:rsid w:val="F3D6527E"/>
    <w:rsid w:val="FB7B439B"/>
    <w:rsid w:val="FBFF68F1"/>
    <w:rsid w:val="FC774965"/>
    <w:rsid w:val="FD7B63A7"/>
    <w:rsid w:val="FDDBCA97"/>
    <w:rsid w:val="FFBFB722"/>
    <w:rsid w:val="FFDB0A39"/>
    <w:rsid w:val="FFDFF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qFormat="1" w:unhideWhenUsed="0" w:uiPriority="0" w:semiHidden="0" w:name="Table Grid 5"/>
    <w:lsdException w:uiPriority="1" w:name="Table Grid 6"/>
    <w:lsdException w:uiPriority="1" w:name="Table Grid 7"/>
    <w:lsdException w:qFormat="1" w:unhideWhenUsed="0" w:uiPriority="0" w:semiHidden="0"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qFormat="1" w:unhideWhenUsed="0" w:uiPriority="0" w:semiHidden="0" w:name="Table Elegant"/>
    <w:lsdException w:qFormat="1" w:unhideWhenUsed="0" w:uiPriority="0" w:semiHidden="0"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7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2"/>
    <w:next w:val="1"/>
    <w:link w:val="80"/>
    <w:qFormat/>
    <w:uiPriority w:val="9"/>
    <w:pPr>
      <w:numPr>
        <w:ilvl w:val="3"/>
      </w:numPr>
      <w:tabs>
        <w:tab w:val="clear" w:pos="432"/>
      </w:tabs>
      <w:spacing w:before="280" w:after="290" w:line="376" w:lineRule="auto"/>
      <w:outlineLvl w:val="3"/>
    </w:pPr>
    <w:rPr>
      <w:rFonts w:ascii="Arial" w:hAnsi="Arial" w:eastAsia="黑体"/>
      <w:kern w:val="2"/>
      <w:sz w:val="28"/>
      <w:szCs w:val="28"/>
      <w:lang w:val="zh-CN"/>
    </w:rPr>
  </w:style>
  <w:style w:type="paragraph" w:styleId="7">
    <w:name w:val="heading 5"/>
    <w:basedOn w:val="1"/>
    <w:next w:val="1"/>
    <w:link w:val="8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8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83"/>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8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85"/>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3">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8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8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88"/>
    <w:qFormat/>
    <w:uiPriority w:val="0"/>
    <w:pPr>
      <w:shd w:val="clear" w:color="auto" w:fill="000080"/>
    </w:pPr>
  </w:style>
  <w:style w:type="paragraph" w:styleId="20">
    <w:name w:val="annotation text"/>
    <w:basedOn w:val="1"/>
    <w:link w:val="89"/>
    <w:qFormat/>
    <w:uiPriority w:val="0"/>
    <w:pPr>
      <w:jc w:val="left"/>
    </w:pPr>
  </w:style>
  <w:style w:type="paragraph" w:styleId="21">
    <w:name w:val="Salutation"/>
    <w:basedOn w:val="1"/>
    <w:next w:val="1"/>
    <w:link w:val="90"/>
    <w:qFormat/>
    <w:uiPriority w:val="0"/>
    <w:rPr>
      <w:rFonts w:ascii="仿宋_GB2312" w:eastAsia="仿宋_GB2312"/>
      <w:sz w:val="28"/>
      <w:szCs w:val="20"/>
    </w:rPr>
  </w:style>
  <w:style w:type="paragraph" w:styleId="22">
    <w:name w:val="Body Text 3"/>
    <w:basedOn w:val="1"/>
    <w:link w:val="91"/>
    <w:qFormat/>
    <w:uiPriority w:val="0"/>
    <w:pPr>
      <w:jc w:val="center"/>
    </w:pPr>
    <w:rPr>
      <w:szCs w:val="20"/>
    </w:rPr>
  </w:style>
  <w:style w:type="paragraph" w:styleId="23">
    <w:name w:val="List Bullet 3"/>
    <w:basedOn w:val="1"/>
    <w:unhideWhenUsed/>
    <w:qFormat/>
    <w:uiPriority w:val="0"/>
    <w:pPr>
      <w:numPr>
        <w:ilvl w:val="0"/>
        <w:numId w:val="4"/>
      </w:numPr>
      <w:snapToGrid w:val="0"/>
      <w:spacing w:line="360" w:lineRule="auto"/>
      <w:ind w:right="238"/>
      <w:contextualSpacing/>
    </w:pPr>
    <w:rPr>
      <w:sz w:val="24"/>
    </w:rPr>
  </w:style>
  <w:style w:type="paragraph" w:styleId="24">
    <w:name w:val="Body Text"/>
    <w:basedOn w:val="1"/>
    <w:link w:val="9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9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5"/>
    <w:qFormat/>
    <w:uiPriority w:val="0"/>
    <w:rPr>
      <w:rFonts w:ascii="宋体" w:hAnsi="Courier New" w:cs="Arial"/>
      <w:snapToGrid w:val="0"/>
      <w:szCs w:val="21"/>
    </w:rPr>
  </w:style>
  <w:style w:type="paragraph" w:styleId="34">
    <w:name w:val="List Number 4"/>
    <w:basedOn w:val="1"/>
    <w:qFormat/>
    <w:uiPriority w:val="0"/>
    <w:pPr>
      <w:numPr>
        <w:ilvl w:val="0"/>
        <w:numId w:val="5"/>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6"/>
    <w:qFormat/>
    <w:uiPriority w:val="0"/>
    <w:pPr>
      <w:ind w:left="100" w:leftChars="2500"/>
    </w:pPr>
    <w:rPr>
      <w:rFonts w:ascii="宋体"/>
      <w:sz w:val="24"/>
      <w:szCs w:val="21"/>
      <w:lang w:val="zh-CN"/>
    </w:rPr>
  </w:style>
  <w:style w:type="paragraph" w:styleId="37">
    <w:name w:val="Body Text Indent 2"/>
    <w:basedOn w:val="1"/>
    <w:link w:val="97"/>
    <w:qFormat/>
    <w:uiPriority w:val="0"/>
    <w:pPr>
      <w:spacing w:line="360" w:lineRule="auto"/>
      <w:ind w:firstLine="601"/>
      <w:textAlignment w:val="baseline"/>
    </w:pPr>
    <w:rPr>
      <w:rFonts w:ascii="宋体"/>
      <w:kern w:val="0"/>
      <w:sz w:val="28"/>
      <w:szCs w:val="20"/>
    </w:rPr>
  </w:style>
  <w:style w:type="paragraph" w:styleId="38">
    <w:name w:val="Balloon Text"/>
    <w:basedOn w:val="1"/>
    <w:link w:val="98"/>
    <w:qFormat/>
    <w:uiPriority w:val="0"/>
    <w:rPr>
      <w:sz w:val="18"/>
      <w:szCs w:val="18"/>
    </w:rPr>
  </w:style>
  <w:style w:type="paragraph" w:styleId="39">
    <w:name w:val="footer"/>
    <w:basedOn w:val="1"/>
    <w:link w:val="99"/>
    <w:qFormat/>
    <w:uiPriority w:val="0"/>
    <w:pPr>
      <w:tabs>
        <w:tab w:val="center" w:pos="4153"/>
        <w:tab w:val="right" w:pos="8306"/>
      </w:tabs>
      <w:snapToGrid w:val="0"/>
      <w:jc w:val="left"/>
    </w:pPr>
    <w:rPr>
      <w:sz w:val="18"/>
      <w:szCs w:val="18"/>
    </w:rPr>
  </w:style>
  <w:style w:type="paragraph" w:styleId="40">
    <w:name w:val="header"/>
    <w:basedOn w:val="1"/>
    <w:link w:val="100"/>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1"/>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10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5"/>
    <w:qFormat/>
    <w:uiPriority w:val="0"/>
    <w:pPr>
      <w:spacing w:after="120" w:line="480" w:lineRule="auto"/>
    </w:pPr>
  </w:style>
  <w:style w:type="paragraph" w:styleId="56">
    <w:name w:val="HTML Preformatted"/>
    <w:basedOn w:val="1"/>
    <w:link w:val="10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7"/>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8"/>
    <w:qFormat/>
    <w:uiPriority w:val="0"/>
    <w:rPr>
      <w:b/>
      <w:bCs/>
    </w:rPr>
  </w:style>
  <w:style w:type="paragraph" w:styleId="60">
    <w:name w:val="Body Text First Indent"/>
    <w:basedOn w:val="24"/>
    <w:link w:val="109"/>
    <w:qFormat/>
    <w:uiPriority w:val="0"/>
    <w:pPr>
      <w:ind w:firstLine="420"/>
    </w:pPr>
    <w:rPr>
      <w:szCs w:val="20"/>
    </w:rPr>
  </w:style>
  <w:style w:type="paragraph" w:styleId="61">
    <w:name w:val="Body Text First Indent 2"/>
    <w:basedOn w:val="25"/>
    <w:link w:val="11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qFormat/>
    <w:uiPriority w:val="0"/>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20"/>
    <w:rPr>
      <w:color w:val="CC0033"/>
    </w:rPr>
  </w:style>
  <w:style w:type="character" w:styleId="74">
    <w:name w:val="line number"/>
    <w:qFormat/>
    <w:uiPriority w:val="0"/>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99"/>
    <w:rPr>
      <w:sz w:val="21"/>
      <w:szCs w:val="21"/>
    </w:rPr>
  </w:style>
  <w:style w:type="paragraph" w:customStyle="1" w:styleId="78">
    <w:name w:val="Normal Indent1"/>
    <w:basedOn w:val="1"/>
    <w:qFormat/>
    <w:uiPriority w:val="0"/>
    <w:pPr>
      <w:adjustRightInd/>
      <w:ind w:firstLine="420"/>
    </w:pPr>
    <w:rPr>
      <w:sz w:val="28"/>
      <w:szCs w:val="20"/>
    </w:rPr>
  </w:style>
  <w:style w:type="character" w:customStyle="1" w:styleId="79">
    <w:name w:val="标题 1 字符1"/>
    <w:link w:val="2"/>
    <w:qFormat/>
    <w:uiPriority w:val="9"/>
    <w:rPr>
      <w:b/>
      <w:bCs/>
      <w:kern w:val="44"/>
      <w:sz w:val="44"/>
      <w:szCs w:val="44"/>
    </w:rPr>
  </w:style>
  <w:style w:type="character" w:customStyle="1" w:styleId="80">
    <w:name w:val="标题 4 字符1"/>
    <w:link w:val="6"/>
    <w:qFormat/>
    <w:uiPriority w:val="9"/>
    <w:rPr>
      <w:rFonts w:ascii="Arial" w:hAnsi="Arial" w:eastAsia="黑体"/>
      <w:b/>
      <w:bCs/>
      <w:kern w:val="2"/>
      <w:sz w:val="28"/>
      <w:szCs w:val="28"/>
      <w:lang w:val="zh-CN"/>
    </w:rPr>
  </w:style>
  <w:style w:type="character" w:customStyle="1" w:styleId="81">
    <w:name w:val="标题 5 字符"/>
    <w:link w:val="7"/>
    <w:qFormat/>
    <w:uiPriority w:val="0"/>
    <w:rPr>
      <w:b/>
      <w:bCs/>
      <w:kern w:val="2"/>
      <w:sz w:val="28"/>
      <w:szCs w:val="28"/>
    </w:rPr>
  </w:style>
  <w:style w:type="character" w:customStyle="1" w:styleId="82">
    <w:name w:val="标题 6 字符"/>
    <w:link w:val="8"/>
    <w:qFormat/>
    <w:uiPriority w:val="0"/>
    <w:rPr>
      <w:rFonts w:ascii="Arial" w:hAnsi="Arial" w:eastAsia="黑体"/>
      <w:b/>
      <w:bCs/>
      <w:kern w:val="2"/>
      <w:sz w:val="24"/>
      <w:szCs w:val="24"/>
    </w:rPr>
  </w:style>
  <w:style w:type="character" w:customStyle="1" w:styleId="83">
    <w:name w:val="标题 7 字符"/>
    <w:link w:val="9"/>
    <w:qFormat/>
    <w:uiPriority w:val="0"/>
    <w:rPr>
      <w:b/>
      <w:bCs/>
      <w:kern w:val="2"/>
      <w:sz w:val="24"/>
      <w:szCs w:val="24"/>
    </w:rPr>
  </w:style>
  <w:style w:type="character" w:customStyle="1" w:styleId="84">
    <w:name w:val="标题 8 字符"/>
    <w:link w:val="10"/>
    <w:qFormat/>
    <w:uiPriority w:val="0"/>
    <w:rPr>
      <w:rFonts w:ascii="Arial" w:hAnsi="Arial" w:eastAsia="黑体"/>
      <w:kern w:val="2"/>
      <w:sz w:val="24"/>
      <w:szCs w:val="24"/>
    </w:rPr>
  </w:style>
  <w:style w:type="character" w:customStyle="1" w:styleId="85">
    <w:name w:val="标题 9 字符"/>
    <w:link w:val="11"/>
    <w:qFormat/>
    <w:uiPriority w:val="0"/>
    <w:rPr>
      <w:rFonts w:ascii="Arial" w:hAnsi="Arial" w:eastAsia="黑体"/>
      <w:kern w:val="2"/>
      <w:sz w:val="21"/>
      <w:szCs w:val="21"/>
    </w:rPr>
  </w:style>
  <w:style w:type="character" w:customStyle="1" w:styleId="86">
    <w:name w:val="正文缩进 字符1"/>
    <w:link w:val="16"/>
    <w:qFormat/>
    <w:uiPriority w:val="0"/>
    <w:rPr>
      <w:rFonts w:ascii="宋体" w:eastAsia="宋体"/>
      <w:snapToGrid w:val="0"/>
      <w:color w:val="000000"/>
      <w:kern w:val="28"/>
      <w:sz w:val="28"/>
      <w:lang w:val="en-US" w:eastAsia="zh-CN" w:bidi="ar-SA"/>
    </w:rPr>
  </w:style>
  <w:style w:type="character" w:customStyle="1" w:styleId="87">
    <w:name w:val="题注 字符"/>
    <w:link w:val="17"/>
    <w:qFormat/>
    <w:uiPriority w:val="0"/>
    <w:rPr>
      <w:b/>
      <w:kern w:val="2"/>
      <w:sz w:val="28"/>
    </w:rPr>
  </w:style>
  <w:style w:type="character" w:customStyle="1" w:styleId="88">
    <w:name w:val="文档结构图 字符"/>
    <w:link w:val="19"/>
    <w:qFormat/>
    <w:uiPriority w:val="0"/>
    <w:rPr>
      <w:kern w:val="2"/>
      <w:sz w:val="21"/>
      <w:szCs w:val="24"/>
      <w:shd w:val="clear" w:color="auto" w:fill="000080"/>
    </w:rPr>
  </w:style>
  <w:style w:type="character" w:customStyle="1" w:styleId="89">
    <w:name w:val="批注文字 字符1"/>
    <w:link w:val="20"/>
    <w:qFormat/>
    <w:uiPriority w:val="0"/>
    <w:rPr>
      <w:kern w:val="2"/>
      <w:sz w:val="21"/>
      <w:szCs w:val="24"/>
    </w:rPr>
  </w:style>
  <w:style w:type="character" w:customStyle="1" w:styleId="90">
    <w:name w:val="称呼 字符"/>
    <w:link w:val="21"/>
    <w:qFormat/>
    <w:uiPriority w:val="0"/>
    <w:rPr>
      <w:rFonts w:ascii="仿宋_GB2312" w:eastAsia="仿宋_GB2312"/>
      <w:kern w:val="2"/>
      <w:sz w:val="28"/>
    </w:rPr>
  </w:style>
  <w:style w:type="character" w:customStyle="1" w:styleId="91">
    <w:name w:val="正文文本 3 字符"/>
    <w:link w:val="22"/>
    <w:qFormat/>
    <w:uiPriority w:val="0"/>
    <w:rPr>
      <w:kern w:val="2"/>
      <w:sz w:val="21"/>
    </w:rPr>
  </w:style>
  <w:style w:type="character" w:customStyle="1" w:styleId="9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3">
    <w:name w:val="正文文本缩进 字符"/>
    <w:link w:val="25"/>
    <w:qFormat/>
    <w:uiPriority w:val="0"/>
    <w:rPr>
      <w:rFonts w:ascii="宋体" w:hAnsi="宋体"/>
      <w:kern w:val="2"/>
      <w:sz w:val="24"/>
      <w:szCs w:val="24"/>
    </w:rPr>
  </w:style>
  <w:style w:type="character" w:customStyle="1" w:styleId="94">
    <w:name w:val="HTML 地址 字符"/>
    <w:link w:val="30"/>
    <w:qFormat/>
    <w:uiPriority w:val="0"/>
    <w:rPr>
      <w:rFonts w:ascii="宋体" w:hAnsi="宋体"/>
      <w:i/>
      <w:iCs/>
      <w:sz w:val="24"/>
      <w:szCs w:val="24"/>
    </w:rPr>
  </w:style>
  <w:style w:type="character" w:customStyle="1" w:styleId="9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96">
    <w:name w:val="日期 字符"/>
    <w:link w:val="36"/>
    <w:qFormat/>
    <w:uiPriority w:val="0"/>
    <w:rPr>
      <w:rFonts w:ascii="宋体"/>
      <w:kern w:val="2"/>
      <w:sz w:val="24"/>
      <w:szCs w:val="21"/>
      <w:lang w:val="zh-CN"/>
    </w:rPr>
  </w:style>
  <w:style w:type="character" w:customStyle="1" w:styleId="97">
    <w:name w:val="正文文本缩进 2 字符"/>
    <w:link w:val="37"/>
    <w:qFormat/>
    <w:uiPriority w:val="0"/>
    <w:rPr>
      <w:rFonts w:ascii="宋体"/>
      <w:sz w:val="28"/>
    </w:rPr>
  </w:style>
  <w:style w:type="character" w:customStyle="1" w:styleId="98">
    <w:name w:val="批注框文本 字符1"/>
    <w:link w:val="38"/>
    <w:qFormat/>
    <w:uiPriority w:val="0"/>
    <w:rPr>
      <w:kern w:val="2"/>
      <w:sz w:val="18"/>
      <w:szCs w:val="18"/>
    </w:rPr>
  </w:style>
  <w:style w:type="character" w:customStyle="1" w:styleId="99">
    <w:name w:val="页脚 字符1"/>
    <w:link w:val="39"/>
    <w:qFormat/>
    <w:locked/>
    <w:uiPriority w:val="99"/>
    <w:rPr>
      <w:kern w:val="2"/>
      <w:sz w:val="18"/>
      <w:szCs w:val="18"/>
    </w:rPr>
  </w:style>
  <w:style w:type="character" w:customStyle="1" w:styleId="100">
    <w:name w:val="页眉 字符1"/>
    <w:link w:val="40"/>
    <w:qFormat/>
    <w:uiPriority w:val="99"/>
    <w:rPr>
      <w:kern w:val="2"/>
      <w:sz w:val="18"/>
      <w:szCs w:val="18"/>
    </w:rPr>
  </w:style>
  <w:style w:type="character" w:customStyle="1" w:styleId="101">
    <w:name w:val="签名 字符"/>
    <w:link w:val="41"/>
    <w:qFormat/>
    <w:uiPriority w:val="0"/>
    <w:rPr>
      <w:rFonts w:eastAsia="仿宋_GB2312"/>
      <w:sz w:val="24"/>
    </w:rPr>
  </w:style>
  <w:style w:type="character" w:customStyle="1" w:styleId="102">
    <w:name w:val="副标题 字符"/>
    <w:link w:val="46"/>
    <w:qFormat/>
    <w:uiPriority w:val="0"/>
    <w:rPr>
      <w:rFonts w:ascii="Arial" w:hAnsi="Arial" w:eastAsia="隶书"/>
      <w:b/>
      <w:bCs/>
      <w:kern w:val="28"/>
      <w:sz w:val="44"/>
      <w:szCs w:val="32"/>
      <w:lang w:val="en-US" w:eastAsia="zh-CN" w:bidi="ar-SA"/>
    </w:rPr>
  </w:style>
  <w:style w:type="character" w:customStyle="1" w:styleId="103">
    <w:name w:val="脚注文本 字符"/>
    <w:link w:val="49"/>
    <w:qFormat/>
    <w:uiPriority w:val="0"/>
    <w:rPr>
      <w:color w:val="0000FF"/>
      <w:sz w:val="21"/>
    </w:rPr>
  </w:style>
  <w:style w:type="character" w:customStyle="1" w:styleId="104">
    <w:name w:val="正文文本缩进 3 字符"/>
    <w:link w:val="52"/>
    <w:qFormat/>
    <w:uiPriority w:val="0"/>
    <w:rPr>
      <w:kern w:val="2"/>
      <w:sz w:val="24"/>
    </w:rPr>
  </w:style>
  <w:style w:type="character" w:customStyle="1" w:styleId="105">
    <w:name w:val="正文文本 2 字符"/>
    <w:link w:val="55"/>
    <w:qFormat/>
    <w:uiPriority w:val="0"/>
    <w:rPr>
      <w:kern w:val="2"/>
      <w:sz w:val="21"/>
      <w:szCs w:val="24"/>
    </w:rPr>
  </w:style>
  <w:style w:type="character" w:customStyle="1" w:styleId="106">
    <w:name w:val="HTML 预设格式 字符"/>
    <w:link w:val="56"/>
    <w:qFormat/>
    <w:uiPriority w:val="99"/>
    <w:rPr>
      <w:rFonts w:ascii="黑体" w:hAnsi="Courier New" w:eastAsia="黑体"/>
    </w:rPr>
  </w:style>
  <w:style w:type="character" w:customStyle="1" w:styleId="107">
    <w:name w:val="标题 字符"/>
    <w:link w:val="58"/>
    <w:qFormat/>
    <w:uiPriority w:val="0"/>
    <w:rPr>
      <w:b/>
      <w:sz w:val="24"/>
      <w:lang w:val="en-GB"/>
    </w:rPr>
  </w:style>
  <w:style w:type="character" w:customStyle="1" w:styleId="108">
    <w:name w:val="批注主题 字符"/>
    <w:link w:val="59"/>
    <w:qFormat/>
    <w:uiPriority w:val="0"/>
    <w:rPr>
      <w:b/>
      <w:bCs/>
      <w:kern w:val="2"/>
      <w:sz w:val="21"/>
      <w:szCs w:val="24"/>
    </w:rPr>
  </w:style>
  <w:style w:type="character" w:customStyle="1" w:styleId="109">
    <w:name w:val="正文文本首行缩进 字符"/>
    <w:link w:val="60"/>
    <w:qFormat/>
    <w:uiPriority w:val="0"/>
    <w:rPr>
      <w:rFonts w:ascii="宋体"/>
      <w:kern w:val="2"/>
      <w:sz w:val="24"/>
      <w:lang w:val="zh-CN"/>
    </w:rPr>
  </w:style>
  <w:style w:type="character" w:customStyle="1" w:styleId="110">
    <w:name w:val="正文文本首行缩进 2 字符"/>
    <w:link w:val="61"/>
    <w:qFormat/>
    <w:uiPriority w:val="0"/>
    <w:rPr>
      <w:rFonts w:ascii="宋体" w:hAnsi="宋体"/>
      <w:kern w:val="2"/>
      <w:sz w:val="21"/>
      <w:szCs w:val="24"/>
    </w:rPr>
  </w:style>
  <w:style w:type="paragraph" w:customStyle="1" w:styleId="111">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2">
    <w:name w:val="question-title2"/>
    <w:qFormat/>
    <w:uiPriority w:val="6"/>
    <w:rPr>
      <w:rFonts w:ascii="Arial" w:hAnsi="Arial" w:eastAsia="黑体" w:cs="Arial"/>
      <w:snapToGrid w:val="0"/>
      <w:kern w:val="0"/>
      <w:szCs w:val="21"/>
    </w:rPr>
  </w:style>
  <w:style w:type="character" w:customStyle="1" w:styleId="113">
    <w:name w:val="正文文本 Char2"/>
    <w:semiHidden/>
    <w:qFormat/>
    <w:uiPriority w:val="99"/>
    <w:rPr>
      <w:rFonts w:ascii="Times New Roman" w:hAnsi="Times New Roman" w:eastAsia="宋体" w:cs="Times New Roman"/>
      <w:snapToGrid w:val="0"/>
      <w:kern w:val="0"/>
      <w:szCs w:val="24"/>
    </w:rPr>
  </w:style>
  <w:style w:type="character" w:customStyle="1" w:styleId="114">
    <w:name w:val="表格名称[858D7CFB-ED40-4347-BF05-701D383B685F]"/>
    <w:link w:val="115"/>
    <w:qFormat/>
    <w:uiPriority w:val="0"/>
    <w:rPr>
      <w:sz w:val="32"/>
    </w:rPr>
  </w:style>
  <w:style w:type="paragraph" w:customStyle="1" w:styleId="115">
    <w:name w:val="表格名称"/>
    <w:basedOn w:val="4"/>
    <w:link w:val="114"/>
    <w:qFormat/>
    <w:uiPriority w:val="0"/>
    <w:pPr>
      <w:numPr>
        <w:numId w:val="0"/>
      </w:numPr>
      <w:snapToGrid w:val="0"/>
      <w:spacing w:before="240" w:after="240" w:line="240" w:lineRule="auto"/>
      <w:jc w:val="center"/>
    </w:pPr>
    <w:rPr>
      <w:rFonts w:ascii="Times New Roman" w:hAnsi="Times New Roman" w:eastAsia="宋体"/>
      <w:b w:val="0"/>
      <w:bCs w:val="0"/>
      <w:kern w:val="0"/>
      <w:szCs w:val="20"/>
    </w:rPr>
  </w:style>
  <w:style w:type="character" w:customStyle="1" w:styleId="116">
    <w:name w:val="3级 Char"/>
    <w:link w:val="117"/>
    <w:qFormat/>
    <w:uiPriority w:val="0"/>
    <w:rPr>
      <w:rFonts w:ascii="宋体" w:hAnsi="宋体"/>
      <w:b/>
      <w:bCs/>
      <w:snapToGrid/>
      <w:sz w:val="28"/>
    </w:rPr>
  </w:style>
  <w:style w:type="paragraph" w:customStyle="1" w:styleId="117">
    <w:name w:val="3级"/>
    <w:basedOn w:val="118"/>
    <w:link w:val="116"/>
    <w:qFormat/>
    <w:uiPriority w:val="0"/>
    <w:pPr>
      <w:ind w:left="0" w:right="466" w:firstLine="288"/>
    </w:pPr>
    <w:rPr>
      <w:rFonts w:hAnsi="宋体"/>
      <w:snapToGrid/>
    </w:rPr>
  </w:style>
  <w:style w:type="paragraph" w:customStyle="1" w:styleId="118">
    <w:name w:val="样式 标题 3h33rd level3BOD 0H3l3CTHeading 3 - oldLevel 3 He..."/>
    <w:basedOn w:val="5"/>
    <w:qFormat/>
    <w:uiPriority w:val="99"/>
    <w:pPr>
      <w:keepLines w:val="0"/>
      <w:widowControl/>
      <w:numPr>
        <w:ilvl w:val="0"/>
        <w:numId w:val="6"/>
      </w:numPr>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19">
    <w:name w:val="Char Char37"/>
    <w:qFormat/>
    <w:uiPriority w:val="6"/>
    <w:rPr>
      <w:b/>
      <w:kern w:val="1"/>
      <w:sz w:val="44"/>
      <w:szCs w:val="44"/>
    </w:rPr>
  </w:style>
  <w:style w:type="character" w:customStyle="1" w:styleId="120">
    <w:name w:val="font21"/>
    <w:qFormat/>
    <w:uiPriority w:val="0"/>
    <w:rPr>
      <w:rFonts w:hint="eastAsia" w:ascii="宋体" w:hAnsi="宋体" w:eastAsia="宋体"/>
      <w:kern w:val="2"/>
      <w:sz w:val="28"/>
      <w:szCs w:val="28"/>
      <w:lang w:val="en-US" w:eastAsia="zh-CN" w:bidi="ar-SA"/>
    </w:rPr>
  </w:style>
  <w:style w:type="character" w:customStyle="1" w:styleId="121">
    <w:name w:val="文档结构图 Char"/>
    <w:qFormat/>
    <w:uiPriority w:val="0"/>
    <w:rPr>
      <w:rFonts w:eastAsia="宋体"/>
      <w:kern w:val="2"/>
      <w:sz w:val="21"/>
      <w:szCs w:val="24"/>
      <w:lang w:val="en-US" w:eastAsia="zh-CN" w:bidi="ar-SA"/>
    </w:rPr>
  </w:style>
  <w:style w:type="character" w:customStyle="1" w:styleId="122">
    <w:name w:val="Char Char26"/>
    <w:qFormat/>
    <w:uiPriority w:val="6"/>
    <w:rPr>
      <w:kern w:val="1"/>
      <w:sz w:val="21"/>
      <w:szCs w:val="24"/>
    </w:rPr>
  </w:style>
  <w:style w:type="character" w:customStyle="1" w:styleId="123">
    <w:name w:val="标题 2 Char Char"/>
    <w:qFormat/>
    <w:uiPriority w:val="0"/>
    <w:rPr>
      <w:rFonts w:ascii="楷体_GB2312" w:hAnsi="Arial" w:eastAsia="楷体_GB2312"/>
      <w:b/>
      <w:bCs/>
      <w:kern w:val="2"/>
      <w:sz w:val="24"/>
      <w:szCs w:val="32"/>
      <w:lang w:val="en-US" w:eastAsia="zh-CN" w:bidi="ar-SA"/>
    </w:rPr>
  </w:style>
  <w:style w:type="character" w:customStyle="1" w:styleId="124">
    <w:name w:val="Char Char71"/>
    <w:semiHidden/>
    <w:qFormat/>
    <w:uiPriority w:val="0"/>
    <w:rPr>
      <w:rFonts w:eastAsia="宋体"/>
      <w:kern w:val="2"/>
      <w:sz w:val="21"/>
      <w:szCs w:val="24"/>
      <w:lang w:val="en-US" w:eastAsia="zh-CN" w:bidi="ar-SA"/>
    </w:rPr>
  </w:style>
  <w:style w:type="character" w:customStyle="1" w:styleId="125">
    <w:name w:val="Char Char18"/>
    <w:qFormat/>
    <w:uiPriority w:val="6"/>
    <w:rPr>
      <w:rFonts w:ascii="宋体" w:hAnsi="宋体"/>
      <w:sz w:val="28"/>
    </w:rPr>
  </w:style>
  <w:style w:type="character" w:customStyle="1" w:styleId="126">
    <w:name w:val="批注框文本 字符"/>
    <w:semiHidden/>
    <w:qFormat/>
    <w:uiPriority w:val="99"/>
    <w:rPr>
      <w:rFonts w:ascii="Arial" w:hAnsi="Arial" w:eastAsia="黑体" w:cs="Arial"/>
      <w:snapToGrid w:val="0"/>
      <w:kern w:val="0"/>
      <w:sz w:val="18"/>
      <w:szCs w:val="18"/>
    </w:rPr>
  </w:style>
  <w:style w:type="character" w:customStyle="1" w:styleId="127">
    <w:name w:val="pt9"/>
    <w:qFormat/>
    <w:uiPriority w:val="0"/>
    <w:rPr>
      <w:rFonts w:ascii="仿宋_GB2312" w:eastAsia="微软雅黑"/>
      <w:b/>
      <w:kern w:val="2"/>
      <w:sz w:val="32"/>
      <w:szCs w:val="32"/>
      <w:lang w:val="en-US" w:eastAsia="zh-CN" w:bidi="ar-SA"/>
    </w:rPr>
  </w:style>
  <w:style w:type="character" w:customStyle="1" w:styleId="128">
    <w:name w:val="正文缩进 Char3"/>
    <w:qFormat/>
    <w:uiPriority w:val="0"/>
    <w:rPr>
      <w:rFonts w:ascii="宋体" w:eastAsia="宋体"/>
      <w:snapToGrid w:val="0"/>
      <w:color w:val="000000"/>
      <w:kern w:val="28"/>
      <w:sz w:val="28"/>
      <w:lang w:val="en-US" w:eastAsia="zh-CN" w:bidi="ar-SA"/>
    </w:rPr>
  </w:style>
  <w:style w:type="character" w:customStyle="1" w:styleId="129">
    <w:name w:val="Char Char29"/>
    <w:qFormat/>
    <w:uiPriority w:val="6"/>
    <w:rPr>
      <w:rFonts w:ascii="Arial" w:hAnsi="Arial" w:eastAsia="微软雅黑"/>
      <w:b/>
      <w:kern w:val="1"/>
      <w:sz w:val="44"/>
      <w:szCs w:val="32"/>
      <w:lang w:val="en-US" w:eastAsia="zh-CN" w:bidi="ar-SA"/>
    </w:rPr>
  </w:style>
  <w:style w:type="character" w:customStyle="1" w:styleId="130">
    <w:name w:val="样式 标题 4h4H4Fab-4T5Ref Heading 1rh1Heading sqlsect 1.2.3.... Char"/>
    <w:link w:val="131"/>
    <w:qFormat/>
    <w:uiPriority w:val="0"/>
    <w:rPr>
      <w:rFonts w:ascii="微软雅黑" w:hAnsi="微软雅黑" w:eastAsia="微软雅黑"/>
      <w:b/>
      <w:bCs/>
      <w:kern w:val="2"/>
      <w:sz w:val="24"/>
      <w:szCs w:val="28"/>
    </w:rPr>
  </w:style>
  <w:style w:type="paragraph" w:customStyle="1" w:styleId="131">
    <w:name w:val="样式 标题 4h4H4Fab-4T5Ref Heading 1rh1Heading sqlsect 1.2.3...."/>
    <w:basedOn w:val="6"/>
    <w:link w:val="130"/>
    <w:qFormat/>
    <w:uiPriority w:val="0"/>
    <w:pPr>
      <w:numPr>
        <w:numId w:val="0"/>
      </w:numPr>
      <w:tabs>
        <w:tab w:val="left" w:pos="2356"/>
      </w:tabs>
      <w:spacing w:line="360" w:lineRule="auto"/>
      <w:ind w:left="1984" w:leftChars="75" w:hanging="708" w:firstLineChars="200"/>
    </w:pPr>
    <w:rPr>
      <w:rFonts w:ascii="微软雅黑" w:hAnsi="微软雅黑" w:eastAsia="微软雅黑"/>
      <w:sz w:val="24"/>
    </w:rPr>
  </w:style>
  <w:style w:type="character" w:customStyle="1" w:styleId="132">
    <w:name w:val="Char Char121"/>
    <w:qFormat/>
    <w:uiPriority w:val="6"/>
    <w:rPr>
      <w:rFonts w:ascii="仿宋_GB2312" w:eastAsia="仿宋_GB2312"/>
      <w:b/>
      <w:bCs/>
      <w:kern w:val="2"/>
      <w:sz w:val="24"/>
      <w:szCs w:val="24"/>
      <w:lang w:val="zh-CN" w:eastAsia="zh-CN" w:bidi="ar-SA"/>
    </w:rPr>
  </w:style>
  <w:style w:type="character" w:customStyle="1" w:styleId="133">
    <w:name w:val="Char Char33"/>
    <w:qFormat/>
    <w:uiPriority w:val="6"/>
    <w:rPr>
      <w:rFonts w:ascii="Arial" w:hAnsi="Arial" w:eastAsia="黑体"/>
      <w:b/>
      <w:kern w:val="1"/>
      <w:sz w:val="24"/>
      <w:szCs w:val="24"/>
    </w:rPr>
  </w:style>
  <w:style w:type="character" w:customStyle="1" w:styleId="134">
    <w:name w:val="font61"/>
    <w:qFormat/>
    <w:uiPriority w:val="0"/>
    <w:rPr>
      <w:rFonts w:hint="eastAsia" w:ascii="仿宋" w:hAnsi="仿宋" w:eastAsia="仿宋" w:cs="仿宋"/>
      <w:color w:val="000000"/>
      <w:sz w:val="20"/>
      <w:szCs w:val="20"/>
      <w:u w:val="none"/>
    </w:rPr>
  </w:style>
  <w:style w:type="character" w:customStyle="1" w:styleId="135">
    <w:name w:val="样式 样式 标题 4h4H4Fab-4T5Ref Heading 1rh1Heading sqlsect 1.2.3.... +... Char"/>
    <w:link w:val="136"/>
    <w:qFormat/>
    <w:uiPriority w:val="0"/>
    <w:rPr>
      <w:rFonts w:ascii="微软雅黑" w:hAnsi="微软雅黑" w:eastAsia="微软雅黑"/>
      <w:b/>
      <w:bCs/>
      <w:kern w:val="2"/>
      <w:sz w:val="24"/>
      <w:szCs w:val="28"/>
    </w:rPr>
  </w:style>
  <w:style w:type="paragraph" w:customStyle="1" w:styleId="136">
    <w:name w:val="样式 样式 标题 4h4H4Fab-4T5Ref Heading 1rh1Heading sqlsect 1.2.3.... +..."/>
    <w:basedOn w:val="131"/>
    <w:link w:val="135"/>
    <w:qFormat/>
    <w:uiPriority w:val="0"/>
    <w:rPr>
      <w:b w:val="0"/>
      <w:bCs w:val="0"/>
    </w:rPr>
  </w:style>
  <w:style w:type="character" w:customStyle="1" w:styleId="137">
    <w:name w:val="zbggmain style9"/>
    <w:qFormat/>
    <w:uiPriority w:val="0"/>
  </w:style>
  <w:style w:type="character" w:customStyle="1" w:styleId="138">
    <w:name w:val="公文正文 Char"/>
    <w:qFormat/>
    <w:uiPriority w:val="0"/>
    <w:rPr>
      <w:rFonts w:ascii="仿宋_GB2312" w:eastAsia="仿宋_GB2312"/>
      <w:kern w:val="2"/>
      <w:sz w:val="24"/>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1 Char Char"/>
    <w:qFormat/>
    <w:uiPriority w:val="0"/>
    <w:rPr>
      <w:rFonts w:hint="eastAsia" w:ascii="宋体" w:hAnsi="宋体" w:eastAsia="宋体"/>
      <w:b/>
      <w:spacing w:val="-2"/>
      <w:sz w:val="24"/>
      <w:lang w:val="en-US" w:eastAsia="zh-CN" w:bidi="ar-SA"/>
    </w:rPr>
  </w:style>
  <w:style w:type="character" w:customStyle="1" w:styleId="141">
    <w:name w:val="样式5 Char"/>
    <w:qFormat/>
    <w:uiPriority w:val="0"/>
    <w:rPr>
      <w:rFonts w:ascii="仿宋_GB2312" w:hAnsi="仿宋" w:eastAsia="仿宋_GB2312"/>
      <w:kern w:val="2"/>
      <w:sz w:val="24"/>
      <w:szCs w:val="24"/>
    </w:rPr>
  </w:style>
  <w:style w:type="character" w:customStyle="1" w:styleId="142">
    <w:name w:val="样式 宋体"/>
    <w:qFormat/>
    <w:uiPriority w:val="0"/>
    <w:rPr>
      <w:rFonts w:ascii="宋体" w:hAnsi="宋体"/>
      <w:sz w:val="24"/>
    </w:rPr>
  </w:style>
  <w:style w:type="character" w:customStyle="1" w:styleId="143">
    <w:name w:val="H6 Char"/>
    <w:qFormat/>
    <w:uiPriority w:val="0"/>
    <w:rPr>
      <w:rFonts w:ascii="Arial" w:hAnsi="Arial" w:eastAsia="黑体"/>
      <w:b/>
      <w:bCs/>
      <w:kern w:val="2"/>
      <w:sz w:val="24"/>
      <w:szCs w:val="24"/>
    </w:rPr>
  </w:style>
  <w:style w:type="character" w:customStyle="1" w:styleId="144">
    <w:name w:val="maywed421"/>
    <w:qFormat/>
    <w:uiPriority w:val="0"/>
    <w:rPr>
      <w:color w:val="366FB6"/>
      <w:u w:val="none"/>
    </w:rPr>
  </w:style>
  <w:style w:type="character" w:customStyle="1" w:styleId="145">
    <w:name w:val="正文首行缩进两字 Char"/>
    <w:qFormat/>
    <w:uiPriority w:val="0"/>
    <w:rPr>
      <w:sz w:val="24"/>
      <w:szCs w:val="24"/>
      <w:lang w:val="en-US" w:eastAsia="zh-CN" w:bidi="ar-SA"/>
    </w:rPr>
  </w:style>
  <w:style w:type="character" w:customStyle="1" w:styleId="146">
    <w:name w:val="Char Char32"/>
    <w:qFormat/>
    <w:uiPriority w:val="6"/>
    <w:rPr>
      <w:b/>
      <w:kern w:val="1"/>
      <w:sz w:val="24"/>
      <w:szCs w:val="24"/>
    </w:rPr>
  </w:style>
  <w:style w:type="character" w:customStyle="1" w:styleId="147">
    <w:name w:val="javascript"/>
    <w:qFormat/>
    <w:uiPriority w:val="0"/>
  </w:style>
  <w:style w:type="character" w:customStyle="1" w:styleId="148">
    <w:name w:val="Char Char91"/>
    <w:qFormat/>
    <w:uiPriority w:val="0"/>
    <w:rPr>
      <w:rFonts w:eastAsia="宋体"/>
      <w:kern w:val="2"/>
      <w:sz w:val="18"/>
      <w:szCs w:val="18"/>
      <w:lang w:val="en-US" w:eastAsia="zh-CN" w:bidi="ar-SA"/>
    </w:rPr>
  </w:style>
  <w:style w:type="character" w:customStyle="1" w:styleId="149">
    <w:name w:val="Footer Char"/>
    <w:qFormat/>
    <w:locked/>
    <w:uiPriority w:val="0"/>
    <w:rPr>
      <w:rFonts w:eastAsia="宋体"/>
      <w:kern w:val="2"/>
      <w:sz w:val="18"/>
      <w:lang w:val="en-US" w:eastAsia="zh-CN" w:bidi="ar-SA"/>
    </w:rPr>
  </w:style>
  <w:style w:type="character" w:customStyle="1" w:styleId="150">
    <w:name w:val="首行缩进 Char"/>
    <w:qFormat/>
    <w:uiPriority w:val="0"/>
    <w:rPr>
      <w:rFonts w:ascii="宋体" w:eastAsia="宋体"/>
      <w:kern w:val="2"/>
      <w:sz w:val="24"/>
      <w:lang w:val="en-US" w:eastAsia="zh-CN" w:bidi="ar-SA"/>
    </w:rPr>
  </w:style>
  <w:style w:type="character" w:customStyle="1" w:styleId="151">
    <w:name w:val="正文缩进 字符"/>
    <w:qFormat/>
    <w:uiPriority w:val="0"/>
    <w:rPr>
      <w:rFonts w:ascii="宋体" w:eastAsia="宋体"/>
      <w:snapToGrid w:val="0"/>
      <w:color w:val="000000"/>
      <w:kern w:val="28"/>
      <w:sz w:val="28"/>
      <w:lang w:val="en-US" w:eastAsia="zh-CN" w:bidi="ar-SA"/>
    </w:rPr>
  </w:style>
  <w:style w:type="character" w:customStyle="1" w:styleId="152">
    <w:name w:val="正文1 Char"/>
    <w:qFormat/>
    <w:uiPriority w:val="0"/>
    <w:rPr>
      <w:rFonts w:ascii="宋体" w:eastAsia="宋体"/>
      <w:snapToGrid w:val="0"/>
      <w:color w:val="000000"/>
      <w:kern w:val="28"/>
      <w:sz w:val="28"/>
      <w:lang w:val="en-US" w:eastAsia="zh-CN" w:bidi="ar-SA"/>
    </w:rPr>
  </w:style>
  <w:style w:type="character" w:customStyle="1" w:styleId="153">
    <w:name w:val="Footer-Even Char"/>
    <w:qFormat/>
    <w:uiPriority w:val="0"/>
    <w:rPr>
      <w:rFonts w:eastAsia="宋体"/>
      <w:kern w:val="2"/>
      <w:sz w:val="18"/>
      <w:lang w:val="en-US" w:eastAsia="zh-CN" w:bidi="ar-SA"/>
    </w:rPr>
  </w:style>
  <w:style w:type="character" w:customStyle="1" w:styleId="154">
    <w:name w:val="myp11"/>
    <w:qFormat/>
    <w:uiPriority w:val="0"/>
    <w:rPr>
      <w:rFonts w:ascii="仿宋_GB2312" w:eastAsia="微软雅黑"/>
      <w:b/>
      <w:kern w:val="2"/>
      <w:sz w:val="32"/>
      <w:szCs w:val="32"/>
      <w:lang w:val="en-US" w:eastAsia="zh-CN" w:bidi="ar-SA"/>
    </w:rPr>
  </w:style>
  <w:style w:type="character" w:customStyle="1" w:styleId="155">
    <w:name w:val="插图说明 Char"/>
    <w:qFormat/>
    <w:uiPriority w:val="0"/>
    <w:rPr>
      <w:rFonts w:eastAsia="黑体"/>
      <w:sz w:val="24"/>
      <w:lang w:val="en-US" w:eastAsia="zh-CN"/>
    </w:rPr>
  </w:style>
  <w:style w:type="character" w:customStyle="1" w:styleId="156">
    <w:name w:val="h4 Char"/>
    <w:qFormat/>
    <w:uiPriority w:val="0"/>
    <w:rPr>
      <w:rFonts w:ascii="Arial" w:hAnsi="Arial" w:eastAsia="黑体"/>
      <w:b/>
      <w:bCs/>
      <w:kern w:val="2"/>
      <w:sz w:val="28"/>
      <w:szCs w:val="28"/>
      <w:lang w:val="zh-CN" w:eastAsia="zh-CN" w:bidi="ar-SA"/>
    </w:rPr>
  </w:style>
  <w:style w:type="character" w:customStyle="1" w:styleId="157">
    <w:name w:val="FA正文 Char Char"/>
    <w:qFormat/>
    <w:uiPriority w:val="0"/>
    <w:rPr>
      <w:rFonts w:hAnsi="宋体"/>
      <w:kern w:val="2"/>
      <w:sz w:val="24"/>
      <w:lang w:bidi="ar-SA"/>
    </w:rPr>
  </w:style>
  <w:style w:type="character" w:customStyle="1" w:styleId="158">
    <w:name w:val="Char Char25"/>
    <w:qFormat/>
    <w:uiPriority w:val="6"/>
    <w:rPr>
      <w:rFonts w:ascii="宋体" w:hAnsi="宋体"/>
      <w:kern w:val="1"/>
      <w:sz w:val="24"/>
      <w:lang w:val="zh-CN"/>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tw4winError"/>
    <w:qFormat/>
    <w:uiPriority w:val="0"/>
    <w:rPr>
      <w:rFonts w:ascii="Courier New" w:hAnsi="Courier New" w:cs="Courier New"/>
      <w:color w:val="00FF00"/>
      <w:sz w:val="40"/>
      <w:szCs w:val="40"/>
    </w:rPr>
  </w:style>
  <w:style w:type="character" w:customStyle="1" w:styleId="161">
    <w:name w:val="Char Char13"/>
    <w:qFormat/>
    <w:uiPriority w:val="6"/>
    <w:rPr>
      <w:rFonts w:ascii="宋体" w:hAnsi="宋体"/>
      <w:kern w:val="1"/>
      <w:sz w:val="21"/>
      <w:szCs w:val="24"/>
    </w:rPr>
  </w:style>
  <w:style w:type="character" w:customStyle="1" w:styleId="162">
    <w:name w:val="HTML 地址 Char1"/>
    <w:qFormat/>
    <w:uiPriority w:val="0"/>
    <w:rPr>
      <w:rFonts w:ascii="Times New Roman" w:hAnsi="Times New Roman" w:eastAsia="宋体" w:cs="Times New Roman"/>
      <w:i/>
      <w:iCs/>
      <w:szCs w:val="24"/>
    </w:rPr>
  </w:style>
  <w:style w:type="character" w:customStyle="1" w:styleId="163">
    <w:name w:val="正文样式 Char"/>
    <w:link w:val="164"/>
    <w:qFormat/>
    <w:uiPriority w:val="0"/>
    <w:rPr>
      <w:rFonts w:ascii="Calibri" w:hAnsi="Calibri"/>
      <w:sz w:val="24"/>
      <w:szCs w:val="24"/>
    </w:rPr>
  </w:style>
  <w:style w:type="paragraph" w:customStyle="1" w:styleId="164">
    <w:name w:val="正文样式"/>
    <w:basedOn w:val="1"/>
    <w:link w:val="163"/>
    <w:qFormat/>
    <w:uiPriority w:val="0"/>
    <w:pPr>
      <w:adjustRightInd/>
      <w:spacing w:line="360" w:lineRule="auto"/>
      <w:ind w:firstLine="480" w:firstLineChars="200"/>
    </w:pPr>
    <w:rPr>
      <w:rFonts w:ascii="Calibri" w:hAnsi="Calibri"/>
      <w:kern w:val="0"/>
      <w:sz w:val="24"/>
    </w:rPr>
  </w:style>
  <w:style w:type="character" w:customStyle="1" w:styleId="165">
    <w:name w:val="正文说明 Char"/>
    <w:link w:val="166"/>
    <w:qFormat/>
    <w:uiPriority w:val="0"/>
    <w:rPr>
      <w:sz w:val="24"/>
      <w:szCs w:val="24"/>
    </w:rPr>
  </w:style>
  <w:style w:type="paragraph" w:customStyle="1" w:styleId="166">
    <w:name w:val="正文说明"/>
    <w:basedOn w:val="1"/>
    <w:link w:val="165"/>
    <w:qFormat/>
    <w:uiPriority w:val="0"/>
    <w:pPr>
      <w:adjustRightInd/>
      <w:spacing w:line="360" w:lineRule="auto"/>
    </w:pPr>
    <w:rPr>
      <w:kern w:val="0"/>
      <w:sz w:val="24"/>
    </w:rPr>
  </w:style>
  <w:style w:type="character" w:customStyle="1" w:styleId="167">
    <w:name w:val="b11_01b Char"/>
    <w:link w:val="168"/>
    <w:qFormat/>
    <w:uiPriority w:val="0"/>
    <w:rPr>
      <w:rFonts w:ascii="Verdana" w:hAnsi="Verdana"/>
      <w:b/>
      <w:bCs/>
      <w:color w:val="4A82CA"/>
      <w:sz w:val="17"/>
      <w:szCs w:val="17"/>
    </w:rPr>
  </w:style>
  <w:style w:type="paragraph" w:customStyle="1" w:styleId="168">
    <w:name w:val="b11_01b"/>
    <w:basedOn w:val="1"/>
    <w:next w:val="1"/>
    <w:link w:val="16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69">
    <w:name w:val="带编号样式 Char"/>
    <w:qFormat/>
    <w:uiPriority w:val="0"/>
    <w:rPr>
      <w:rFonts w:ascii="仿宋_GB2312" w:eastAsia="仿宋_GB2312"/>
      <w:color w:val="000000"/>
      <w:sz w:val="24"/>
      <w:lang w:bidi="ar-SA"/>
    </w:rPr>
  </w:style>
  <w:style w:type="character" w:customStyle="1" w:styleId="170">
    <w:name w:val="方案正文 Char"/>
    <w:qFormat/>
    <w:uiPriority w:val="0"/>
    <w:rPr>
      <w:rFonts w:ascii="仿宋_GB2312" w:eastAsia="仿宋_GB2312"/>
      <w:b/>
      <w:color w:val="000000"/>
      <w:kern w:val="2"/>
      <w:sz w:val="24"/>
      <w:lang w:val="en-US" w:eastAsia="zh-CN" w:bidi="ar-SA"/>
    </w:rPr>
  </w:style>
  <w:style w:type="character" w:customStyle="1" w:styleId="171">
    <w:name w:val="样式 正文缩进 + 首行缩进:  2 字符 Char Char"/>
    <w:link w:val="172"/>
    <w:qFormat/>
    <w:uiPriority w:val="0"/>
    <w:rPr>
      <w:rFonts w:cs="宋体"/>
      <w:kern w:val="2"/>
      <w:sz w:val="24"/>
    </w:rPr>
  </w:style>
  <w:style w:type="paragraph" w:customStyle="1" w:styleId="172">
    <w:name w:val="样式 正文缩进 + 首行缩进:  2 字符"/>
    <w:basedOn w:val="16"/>
    <w:link w:val="171"/>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173">
    <w:name w:val="tw4winPopup"/>
    <w:qFormat/>
    <w:uiPriority w:val="0"/>
    <w:rPr>
      <w:rFonts w:ascii="Courier New" w:hAnsi="Courier New" w:cs="Courier New"/>
      <w:color w:val="008000"/>
    </w:rPr>
  </w:style>
  <w:style w:type="character" w:customStyle="1" w:styleId="174">
    <w:name w:val="正文 项目 Char"/>
    <w:qFormat/>
    <w:uiPriority w:val="0"/>
    <w:rPr>
      <w:rFonts w:ascii="仿宋_GB2312" w:hAnsi="仿宋_GB2312" w:eastAsia="仿宋_GB2312"/>
      <w:kern w:val="2"/>
      <w:sz w:val="24"/>
      <w:lang w:bidi="ar-SA"/>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段落 Char Char"/>
    <w:link w:val="177"/>
    <w:qFormat/>
    <w:uiPriority w:val="0"/>
    <w:rPr>
      <w:rFonts w:ascii="宋体" w:hAnsi="宋体"/>
      <w:sz w:val="24"/>
    </w:rPr>
  </w:style>
  <w:style w:type="paragraph" w:customStyle="1" w:styleId="177">
    <w:name w:val="段落"/>
    <w:basedOn w:val="1"/>
    <w:link w:val="176"/>
    <w:qFormat/>
    <w:uiPriority w:val="0"/>
    <w:pPr>
      <w:adjustRightInd/>
      <w:spacing w:line="360" w:lineRule="auto"/>
      <w:ind w:firstLine="480" w:firstLineChars="200"/>
    </w:pPr>
    <w:rPr>
      <w:rFonts w:ascii="宋体" w:hAnsi="宋体"/>
      <w:kern w:val="0"/>
      <w:sz w:val="24"/>
      <w:szCs w:val="20"/>
    </w:rPr>
  </w:style>
  <w:style w:type="character" w:customStyle="1" w:styleId="178">
    <w:name w:val="font11"/>
    <w:qFormat/>
    <w:uiPriority w:val="0"/>
    <w:rPr>
      <w:rFonts w:hint="default" w:ascii="Times New Roman" w:hAnsi="Times New Roman" w:cs="Times New Roman"/>
      <w:color w:val="000000"/>
      <w:sz w:val="22"/>
      <w:szCs w:val="22"/>
      <w:u w:val="none"/>
    </w:rPr>
  </w:style>
  <w:style w:type="character" w:customStyle="1" w:styleId="179">
    <w:name w:val="样式2 Char"/>
    <w:qFormat/>
    <w:uiPriority w:val="0"/>
    <w:rPr>
      <w:rFonts w:ascii="仿宋_GB2312" w:hAnsi="仿宋" w:eastAsia="仿宋_GB2312" w:cs="仿宋_GB2312"/>
      <w:b/>
      <w:bCs/>
      <w:sz w:val="32"/>
      <w:szCs w:val="30"/>
      <w:lang w:val="zh-CN"/>
    </w:rPr>
  </w:style>
  <w:style w:type="character" w:customStyle="1" w:styleId="180">
    <w:name w:val="large1"/>
    <w:qFormat/>
    <w:uiPriority w:val="0"/>
    <w:rPr>
      <w:rFonts w:hint="eastAsia" w:ascii="宋体" w:hAnsi="宋体" w:eastAsia="宋体"/>
      <w:sz w:val="21"/>
      <w:szCs w:val="21"/>
    </w:rPr>
  </w:style>
  <w:style w:type="character" w:customStyle="1" w:styleId="181">
    <w:name w:val="HTML 预设格式 Char1"/>
    <w:qFormat/>
    <w:uiPriority w:val="0"/>
    <w:rPr>
      <w:rFonts w:ascii="Courier New" w:hAnsi="Courier New" w:eastAsia="宋体" w:cs="Courier New"/>
      <w:sz w:val="20"/>
      <w:szCs w:val="20"/>
    </w:rPr>
  </w:style>
  <w:style w:type="character" w:customStyle="1" w:styleId="182">
    <w:name w:val="批注主题 Char"/>
    <w:qFormat/>
    <w:uiPriority w:val="0"/>
    <w:rPr>
      <w:rFonts w:eastAsia="宋体"/>
      <w:b/>
      <w:bCs/>
      <w:kern w:val="2"/>
      <w:sz w:val="21"/>
      <w:szCs w:val="24"/>
      <w:lang w:val="en-US" w:eastAsia="zh-CN" w:bidi="ar-SA"/>
    </w:rPr>
  </w:style>
  <w:style w:type="character" w:customStyle="1" w:styleId="183">
    <w:name w:val="Char Char28"/>
    <w:qFormat/>
    <w:uiPriority w:val="6"/>
    <w:rPr>
      <w:rFonts w:ascii="仿宋_GB2312" w:hAnsi="仿宋_GB2312" w:eastAsia="仿宋_GB2312"/>
      <w:kern w:val="1"/>
      <w:sz w:val="28"/>
    </w:rPr>
  </w:style>
  <w:style w:type="character" w:customStyle="1" w:styleId="184">
    <w:name w:val="Heading 1 Char"/>
    <w:qFormat/>
    <w:uiPriority w:val="6"/>
    <w:rPr>
      <w:rFonts w:ascii="Times New Roman" w:hAnsi="Times New Roman" w:eastAsia="黑体" w:cs="Times New Roman"/>
      <w:b/>
      <w:kern w:val="0"/>
      <w:sz w:val="24"/>
      <w:szCs w:val="24"/>
    </w:rPr>
  </w:style>
  <w:style w:type="character" w:customStyle="1" w:styleId="185">
    <w:name w:val="f141"/>
    <w:qFormat/>
    <w:uiPriority w:val="0"/>
    <w:rPr>
      <w:rFonts w:ascii="Tahoma" w:hAnsi="Tahoma" w:eastAsia="宋体"/>
      <w:b/>
      <w:kern w:val="2"/>
      <w:sz w:val="21"/>
      <w:szCs w:val="21"/>
      <w:lang w:val="en-US" w:eastAsia="zh-CN" w:bidi="ar-SA"/>
    </w:rPr>
  </w:style>
  <w:style w:type="character" w:customStyle="1" w:styleId="186">
    <w:name w:val="未用 Char"/>
    <w:qFormat/>
    <w:uiPriority w:val="0"/>
    <w:rPr>
      <w:rFonts w:ascii="Arial" w:hAnsi="Arial" w:eastAsia="黑体"/>
      <w:kern w:val="2"/>
      <w:sz w:val="21"/>
      <w:szCs w:val="21"/>
      <w:lang w:val="en-US" w:eastAsia="zh-CN" w:bidi="ar-SA"/>
    </w:rPr>
  </w:style>
  <w:style w:type="character" w:customStyle="1" w:styleId="187">
    <w:name w:val="gf正文1 Char"/>
    <w:qFormat/>
    <w:uiPriority w:val="0"/>
    <w:rPr>
      <w:rFonts w:ascii="宋体" w:hAnsi="宋体" w:eastAsia="宋体" w:cs="宋体"/>
      <w:kern w:val="2"/>
      <w:sz w:val="24"/>
      <w:szCs w:val="24"/>
      <w:lang w:val="en-US" w:eastAsia="zh-CN" w:bidi="ar-SA"/>
    </w:rPr>
  </w:style>
  <w:style w:type="character" w:customStyle="1" w:styleId="188">
    <w:name w:val="列出段落 Char1"/>
    <w:link w:val="189"/>
    <w:qFormat/>
    <w:uiPriority w:val="0"/>
    <w:rPr>
      <w:rFonts w:ascii="Calibri" w:hAnsi="Calibri"/>
      <w:sz w:val="24"/>
      <w:lang w:eastAsia="en-US"/>
    </w:rPr>
  </w:style>
  <w:style w:type="paragraph" w:customStyle="1" w:styleId="189">
    <w:name w:val="列表1"/>
    <w:basedOn w:val="1"/>
    <w:next w:val="190"/>
    <w:link w:val="188"/>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190">
    <w:name w:val="List Paragraph"/>
    <w:basedOn w:val="1"/>
    <w:qFormat/>
    <w:uiPriority w:val="99"/>
    <w:pPr>
      <w:spacing w:line="360" w:lineRule="auto"/>
      <w:ind w:firstLine="200" w:firstLineChars="200"/>
    </w:pPr>
    <w:rPr>
      <w:rFonts w:eastAsia="楷体_GB2312" w:cs="Lucida Sans"/>
      <w:sz w:val="24"/>
    </w:rPr>
  </w:style>
  <w:style w:type="character" w:customStyle="1" w:styleId="191">
    <w:name w:val="正文首行缩进 Char1"/>
    <w:semiHidden/>
    <w:qFormat/>
    <w:uiPriority w:val="99"/>
    <w:rPr>
      <w:rFonts w:ascii="宋体" w:hAnsi="Times New Roman" w:eastAsia="宋体" w:cs="Times New Roman"/>
      <w:snapToGrid w:val="0"/>
      <w:kern w:val="2"/>
      <w:sz w:val="24"/>
      <w:szCs w:val="21"/>
      <w:lang w:val="zh-CN"/>
    </w:rPr>
  </w:style>
  <w:style w:type="character" w:customStyle="1" w:styleId="192">
    <w:name w:val="标题 3 Char2"/>
    <w:qFormat/>
    <w:uiPriority w:val="0"/>
    <w:rPr>
      <w:rFonts w:eastAsia="宋体"/>
      <w:b/>
      <w:bCs/>
      <w:kern w:val="2"/>
      <w:sz w:val="32"/>
      <w:szCs w:val="32"/>
      <w:lang w:val="en-US" w:eastAsia="zh-CN" w:bidi="ar-SA"/>
    </w:rPr>
  </w:style>
  <w:style w:type="character" w:customStyle="1" w:styleId="193">
    <w:name w:val="h Char Char"/>
    <w:qFormat/>
    <w:uiPriority w:val="0"/>
    <w:rPr>
      <w:rFonts w:eastAsia="宋体"/>
      <w:kern w:val="2"/>
      <w:sz w:val="18"/>
      <w:lang w:val="en-US" w:eastAsia="zh-CN" w:bidi="ar-SA"/>
    </w:rPr>
  </w:style>
  <w:style w:type="character" w:customStyle="1" w:styleId="194">
    <w:name w:val="Char Char30"/>
    <w:qFormat/>
    <w:uiPriority w:val="6"/>
    <w:rPr>
      <w:rFonts w:ascii="Arial" w:hAnsi="Arial" w:eastAsia="黑体"/>
      <w:kern w:val="1"/>
      <w:sz w:val="21"/>
      <w:szCs w:val="21"/>
    </w:rPr>
  </w:style>
  <w:style w:type="character" w:customStyle="1" w:styleId="195">
    <w:name w:val="Char Char10"/>
    <w:semiHidden/>
    <w:qFormat/>
    <w:uiPriority w:val="0"/>
    <w:rPr>
      <w:rFonts w:ascii="宋体" w:hAnsi="宋体"/>
      <w:kern w:val="2"/>
      <w:sz w:val="21"/>
      <w:szCs w:val="24"/>
      <w:lang w:val="en-US" w:eastAsia="zh-CN"/>
    </w:rPr>
  </w:style>
  <w:style w:type="character" w:customStyle="1" w:styleId="196">
    <w:name w:val="正文文本 2 Char"/>
    <w:qFormat/>
    <w:uiPriority w:val="0"/>
    <w:rPr>
      <w:rFonts w:eastAsia="宋体"/>
      <w:kern w:val="2"/>
      <w:sz w:val="21"/>
      <w:szCs w:val="24"/>
      <w:lang w:val="en-US" w:eastAsia="zh-CN" w:bidi="ar-SA"/>
    </w:rPr>
  </w:style>
  <w:style w:type="character" w:customStyle="1" w:styleId="197">
    <w:name w:val="font01"/>
    <w:qFormat/>
    <w:uiPriority w:val="0"/>
    <w:rPr>
      <w:rFonts w:hint="eastAsia" w:ascii="微软雅黑" w:hAnsi="微软雅黑" w:eastAsia="微软雅黑" w:cs="微软雅黑"/>
      <w:color w:val="000000"/>
      <w:sz w:val="20"/>
      <w:szCs w:val="20"/>
      <w:u w:val="none"/>
    </w:rPr>
  </w:style>
  <w:style w:type="character" w:customStyle="1" w:styleId="198">
    <w:name w:val="正文 编号 Char"/>
    <w:qFormat/>
    <w:uiPriority w:val="0"/>
    <w:rPr>
      <w:rFonts w:ascii="仿宋_GB2312" w:hAnsi="仿宋_GB2312" w:eastAsia="仿宋_GB2312"/>
      <w:kern w:val="2"/>
      <w:sz w:val="24"/>
      <w:lang w:bidi="ar-SA"/>
    </w:rPr>
  </w:style>
  <w:style w:type="character" w:customStyle="1" w:styleId="199">
    <w:name w:val="No Spacing Char"/>
    <w:link w:val="200"/>
    <w:qFormat/>
    <w:uiPriority w:val="1"/>
    <w:rPr>
      <w:rFonts w:ascii="Calibri" w:hAnsi="Calibri"/>
      <w:sz w:val="22"/>
      <w:szCs w:val="22"/>
      <w:lang w:val="en-US" w:eastAsia="zh-CN" w:bidi="ar-SA"/>
    </w:rPr>
  </w:style>
  <w:style w:type="paragraph" w:customStyle="1" w:styleId="200">
    <w:name w:val="无间隔1"/>
    <w:link w:val="199"/>
    <w:qFormat/>
    <w:uiPriority w:val="1"/>
    <w:rPr>
      <w:rFonts w:ascii="Calibri" w:hAnsi="Calibri" w:eastAsia="宋体" w:cs="Times New Roman"/>
      <w:sz w:val="22"/>
      <w:szCs w:val="22"/>
      <w:lang w:val="en-US" w:eastAsia="zh-CN" w:bidi="ar-SA"/>
    </w:rPr>
  </w:style>
  <w:style w:type="character" w:customStyle="1" w:styleId="201">
    <w:name w:val="纯文本 Char1"/>
    <w:link w:val="202"/>
    <w:qFormat/>
    <w:uiPriority w:val="0"/>
    <w:rPr>
      <w:rFonts w:ascii="宋体" w:hAnsi="Courier New"/>
    </w:rPr>
  </w:style>
  <w:style w:type="paragraph" w:customStyle="1" w:styleId="202">
    <w:name w:val="纯文本1"/>
    <w:basedOn w:val="1"/>
    <w:link w:val="201"/>
    <w:qFormat/>
    <w:uiPriority w:val="0"/>
    <w:pPr>
      <w:adjustRightInd/>
    </w:pPr>
    <w:rPr>
      <w:rFonts w:ascii="宋体" w:hAnsi="Courier New"/>
      <w:kern w:val="0"/>
      <w:sz w:val="20"/>
      <w:szCs w:val="20"/>
    </w:rPr>
  </w:style>
  <w:style w:type="character" w:customStyle="1" w:styleId="203">
    <w:name w:val="Comment Text Char"/>
    <w:qFormat/>
    <w:locked/>
    <w:uiPriority w:val="0"/>
    <w:rPr>
      <w:rFonts w:ascii="宋体" w:hAnsi="宋体" w:eastAsia="宋体"/>
      <w:kern w:val="2"/>
      <w:sz w:val="24"/>
      <w:lang w:val="en-US" w:eastAsia="zh-CN" w:bidi="ar-SA"/>
    </w:rPr>
  </w:style>
  <w:style w:type="character" w:customStyle="1" w:styleId="204">
    <w:name w:val="Char Char36"/>
    <w:qFormat/>
    <w:uiPriority w:val="6"/>
    <w:rPr>
      <w:rFonts w:ascii="仿宋_GB2312" w:hAnsi="仿宋_GB2312" w:eastAsia="仿宋_GB2312" w:cs="Arial"/>
      <w:b/>
      <w:kern w:val="1"/>
      <w:sz w:val="32"/>
      <w:szCs w:val="32"/>
      <w:lang w:val="zh-CN" w:eastAsia="zh-CN" w:bidi="ar-SA"/>
    </w:rPr>
  </w:style>
  <w:style w:type="character" w:customStyle="1" w:styleId="205">
    <w:name w:val="页脚 Char"/>
    <w:qFormat/>
    <w:uiPriority w:val="0"/>
    <w:rPr>
      <w:rFonts w:eastAsia="仿宋_GB2312"/>
      <w:kern w:val="2"/>
      <w:sz w:val="18"/>
      <w:lang w:val="en-US" w:eastAsia="zh-CN"/>
    </w:rPr>
  </w:style>
  <w:style w:type="character" w:customStyle="1" w:styleId="206">
    <w:name w:val="dandyren_title1"/>
    <w:qFormat/>
    <w:uiPriority w:val="0"/>
    <w:rPr>
      <w:b/>
      <w:bCs/>
      <w:color w:val="FF6633"/>
      <w:sz w:val="18"/>
      <w:szCs w:val="18"/>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Char Char3"/>
    <w:qFormat/>
    <w:uiPriority w:val="0"/>
    <w:rPr>
      <w:rFonts w:eastAsia="宋体"/>
      <w:kern w:val="2"/>
      <w:sz w:val="21"/>
      <w:szCs w:val="24"/>
      <w:lang w:val="en-US" w:eastAsia="zh-CN" w:bidi="ar-SA"/>
    </w:rPr>
  </w:style>
  <w:style w:type="character" w:customStyle="1" w:styleId="209">
    <w:name w:val="正文 项目2 Char"/>
    <w:qFormat/>
    <w:uiPriority w:val="0"/>
    <w:rPr>
      <w:lang w:bidi="ar-SA"/>
    </w:rPr>
  </w:style>
  <w:style w:type="character" w:customStyle="1" w:styleId="210">
    <w:name w:val="批注文字 字符"/>
    <w:qFormat/>
    <w:uiPriority w:val="99"/>
    <w:rPr>
      <w:rFonts w:ascii="Arial" w:hAnsi="Arial" w:eastAsia="黑体" w:cs="Arial"/>
      <w:snapToGrid w:val="0"/>
      <w:kern w:val="0"/>
      <w:szCs w:val="21"/>
    </w:rPr>
  </w:style>
  <w:style w:type="character" w:customStyle="1" w:styleId="211">
    <w:name w:val="普通文字 Char Char1"/>
    <w:qFormat/>
    <w:uiPriority w:val="0"/>
    <w:rPr>
      <w:rFonts w:ascii="宋体" w:hAnsi="Courier New"/>
      <w:kern w:val="2"/>
      <w:sz w:val="21"/>
    </w:rPr>
  </w:style>
  <w:style w:type="character" w:customStyle="1" w:styleId="212">
    <w:name w:val="正文首行缩进 Char Char Char Char Char Char"/>
    <w:qFormat/>
    <w:uiPriority w:val="0"/>
    <w:rPr>
      <w:rFonts w:ascii="宋体" w:eastAsia="宋体"/>
      <w:kern w:val="2"/>
      <w:sz w:val="24"/>
      <w:lang w:val="zh-CN" w:bidi="ar-SA"/>
    </w:rPr>
  </w:style>
  <w:style w:type="character" w:customStyle="1" w:styleId="213">
    <w:name w:val="Font Style82"/>
    <w:qFormat/>
    <w:uiPriority w:val="99"/>
    <w:rPr>
      <w:rFonts w:ascii="宋体" w:eastAsia="宋体" w:cs="宋体"/>
      <w:color w:val="000000"/>
      <w:sz w:val="14"/>
      <w:szCs w:val="14"/>
    </w:rPr>
  </w:style>
  <w:style w:type="character" w:customStyle="1" w:styleId="214">
    <w:name w:val="表正文 Char1"/>
    <w:qFormat/>
    <w:uiPriority w:val="0"/>
    <w:rPr>
      <w:rFonts w:ascii="宋体" w:eastAsia="宋体"/>
      <w:snapToGrid w:val="0"/>
      <w:color w:val="000000"/>
      <w:kern w:val="28"/>
      <w:sz w:val="28"/>
    </w:rPr>
  </w:style>
  <w:style w:type="character" w:customStyle="1" w:styleId="215">
    <w:name w:val="批注文字 Char2"/>
    <w:qFormat/>
    <w:uiPriority w:val="99"/>
    <w:rPr>
      <w:rFonts w:ascii="Times New Roman" w:hAnsi="Times New Roman" w:eastAsia="宋体" w:cs="Times New Roman"/>
      <w:snapToGrid w:val="0"/>
      <w:kern w:val="0"/>
      <w:szCs w:val="24"/>
    </w:rPr>
  </w:style>
  <w:style w:type="character" w:customStyle="1" w:styleId="216">
    <w:name w:val="gray6"/>
    <w:qFormat/>
    <w:uiPriority w:val="0"/>
  </w:style>
  <w:style w:type="character" w:customStyle="1" w:styleId="217">
    <w:name w:val="冯广丽 Char"/>
    <w:link w:val="218"/>
    <w:qFormat/>
    <w:uiPriority w:val="0"/>
    <w:rPr>
      <w:rFonts w:ascii="宋体" w:hAnsi="宋体"/>
      <w:kern w:val="2"/>
      <w:sz w:val="24"/>
      <w:szCs w:val="22"/>
    </w:rPr>
  </w:style>
  <w:style w:type="paragraph" w:customStyle="1" w:styleId="218">
    <w:name w:val="冯广丽"/>
    <w:basedOn w:val="1"/>
    <w:link w:val="217"/>
    <w:qFormat/>
    <w:uiPriority w:val="0"/>
    <w:pPr>
      <w:adjustRightInd/>
      <w:spacing w:line="360" w:lineRule="auto"/>
      <w:ind w:firstLine="480" w:firstLineChars="200"/>
    </w:pPr>
    <w:rPr>
      <w:rFonts w:ascii="宋体" w:hAnsi="宋体"/>
      <w:sz w:val="24"/>
      <w:szCs w:val="22"/>
    </w:rPr>
  </w:style>
  <w:style w:type="character" w:customStyle="1" w:styleId="21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220">
    <w:name w:val="纯文本 Char2"/>
    <w:semiHidden/>
    <w:qFormat/>
    <w:uiPriority w:val="99"/>
    <w:rPr>
      <w:rFonts w:ascii="宋体" w:hAnsi="Courier New" w:eastAsia="宋体" w:cs="Courier New"/>
    </w:rPr>
  </w:style>
  <w:style w:type="character" w:customStyle="1" w:styleId="221">
    <w:name w:val="Char Char22"/>
    <w:qFormat/>
    <w:uiPriority w:val="6"/>
    <w:rPr>
      <w:rFonts w:ascii="宋体" w:hAnsi="宋体"/>
      <w:kern w:val="1"/>
      <w:sz w:val="24"/>
      <w:szCs w:val="24"/>
    </w:rPr>
  </w:style>
  <w:style w:type="character" w:customStyle="1" w:styleId="222">
    <w:name w:val="_Style 221"/>
    <w:unhideWhenUsed/>
    <w:qFormat/>
    <w:uiPriority w:val="99"/>
    <w:rPr>
      <w:rFonts w:ascii="Arial" w:hAnsi="Arial" w:eastAsia="黑体" w:cs="Arial"/>
      <w:snapToGrid w:val="0"/>
      <w:color w:val="605E5C"/>
      <w:kern w:val="0"/>
      <w:szCs w:val="21"/>
      <w:shd w:val="clear" w:color="auto" w:fill="E1DFDD"/>
    </w:rPr>
  </w:style>
  <w:style w:type="character" w:customStyle="1" w:styleId="223">
    <w:name w:val="页脚 Char1"/>
    <w:qFormat/>
    <w:uiPriority w:val="0"/>
    <w:rPr>
      <w:rFonts w:eastAsia="宋体"/>
      <w:kern w:val="2"/>
      <w:sz w:val="18"/>
      <w:szCs w:val="18"/>
      <w:lang w:val="en-US" w:eastAsia="zh-CN" w:bidi="ar-SA"/>
    </w:rPr>
  </w:style>
  <w:style w:type="character" w:customStyle="1" w:styleId="224">
    <w:name w:val="unnamed31"/>
    <w:qFormat/>
    <w:uiPriority w:val="0"/>
    <w:rPr>
      <w:rFonts w:ascii="Tahoma" w:hAnsi="Tahoma" w:eastAsia="宋体"/>
      <w:b/>
      <w:kern w:val="2"/>
      <w:sz w:val="24"/>
      <w:szCs w:val="32"/>
      <w:u w:val="none"/>
      <w:lang w:val="en-US" w:eastAsia="zh-CN" w:bidi="ar-SA"/>
    </w:rPr>
  </w:style>
  <w:style w:type="character" w:customStyle="1" w:styleId="225">
    <w:name w:val="Char Char34"/>
    <w:qFormat/>
    <w:uiPriority w:val="6"/>
    <w:rPr>
      <w:b/>
      <w:kern w:val="1"/>
      <w:sz w:val="28"/>
      <w:szCs w:val="28"/>
    </w:rPr>
  </w:style>
  <w:style w:type="character" w:customStyle="1" w:styleId="226">
    <w:name w:val="Heading 2 Hidden Char"/>
    <w:qFormat/>
    <w:uiPriority w:val="0"/>
    <w:rPr>
      <w:rFonts w:ascii="仿宋_GB2312" w:eastAsia="仿宋_GB2312"/>
      <w:b/>
      <w:bCs/>
      <w:kern w:val="2"/>
      <w:sz w:val="24"/>
      <w:szCs w:val="24"/>
      <w:lang w:val="zh-CN" w:eastAsia="zh-CN" w:bidi="ar-SA"/>
    </w:rPr>
  </w:style>
  <w:style w:type="character" w:customStyle="1" w:styleId="227">
    <w:name w:val="称呼 Char1"/>
    <w:qFormat/>
    <w:uiPriority w:val="0"/>
    <w:rPr>
      <w:rFonts w:ascii="Times New Roman" w:hAnsi="Times New Roman" w:eastAsia="宋体" w:cs="Times New Roman"/>
      <w:szCs w:val="24"/>
    </w:rPr>
  </w:style>
  <w:style w:type="character" w:customStyle="1" w:styleId="228">
    <w:name w:val="正文文本缩进 2 Char1"/>
    <w:semiHidden/>
    <w:qFormat/>
    <w:uiPriority w:val="99"/>
    <w:rPr>
      <w:rFonts w:ascii="Times New Roman" w:hAnsi="Times New Roman" w:eastAsia="宋体" w:cs="Times New Roman"/>
      <w:szCs w:val="24"/>
    </w:rPr>
  </w:style>
  <w:style w:type="character" w:customStyle="1" w:styleId="229">
    <w:name w:val="Char Char6"/>
    <w:qFormat/>
    <w:uiPriority w:val="0"/>
    <w:rPr>
      <w:rFonts w:eastAsia="宋体"/>
      <w:kern w:val="2"/>
      <w:sz w:val="21"/>
      <w:szCs w:val="24"/>
      <w:lang w:val="en-US" w:eastAsia="zh-CN" w:bidi="ar-SA"/>
    </w:rPr>
  </w:style>
  <w:style w:type="character" w:customStyle="1" w:styleId="230">
    <w:name w:val="Ò³Ã¼ Char Char"/>
    <w:qFormat/>
    <w:uiPriority w:val="0"/>
    <w:rPr>
      <w:rFonts w:eastAsia="宋体"/>
      <w:kern w:val="2"/>
      <w:sz w:val="18"/>
      <w:lang w:val="en-US" w:eastAsia="zh-CN" w:bidi="ar-SA"/>
    </w:rPr>
  </w:style>
  <w:style w:type="character" w:customStyle="1" w:styleId="231">
    <w:name w:val="Normal Indent Char Char"/>
    <w:qFormat/>
    <w:uiPriority w:val="0"/>
    <w:rPr>
      <w:rFonts w:eastAsia="宋体"/>
      <w:kern w:val="2"/>
      <w:sz w:val="21"/>
      <w:lang w:val="en-US" w:eastAsia="zh-CN" w:bidi="ar-SA"/>
    </w:rPr>
  </w:style>
  <w:style w:type="character" w:customStyle="1" w:styleId="232">
    <w:name w:val="样式3 Char"/>
    <w:qFormat/>
    <w:uiPriority w:val="0"/>
    <w:rPr>
      <w:lang w:val="zh-CN"/>
    </w:rPr>
  </w:style>
  <w:style w:type="character" w:customStyle="1" w:styleId="233">
    <w:name w:val="链接"/>
    <w:qFormat/>
    <w:uiPriority w:val="0"/>
    <w:rPr>
      <w:color w:val="0000FF"/>
      <w:sz w:val="21"/>
      <w:szCs w:val="21"/>
      <w:u w:val="single"/>
    </w:rPr>
  </w:style>
  <w:style w:type="character" w:customStyle="1" w:styleId="234">
    <w:name w:val="正文首行缩进 2 Char1"/>
    <w:qFormat/>
    <w:uiPriority w:val="0"/>
    <w:rPr>
      <w:rFonts w:ascii="Times New Roman" w:hAnsi="Times New Roman" w:eastAsia="宋体" w:cs="Times New Roman"/>
      <w:kern w:val="2"/>
      <w:sz w:val="24"/>
      <w:szCs w:val="24"/>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Char Char27"/>
    <w:qFormat/>
    <w:uiPriority w:val="6"/>
    <w:rPr>
      <w:rFonts w:ascii="宋体" w:hAnsi="宋体" w:eastAsia="宋体"/>
      <w:color w:val="000000"/>
      <w:kern w:val="1"/>
      <w:sz w:val="28"/>
      <w:lang w:val="en-US" w:eastAsia="zh-CN" w:bidi="ar-SA"/>
    </w:rPr>
  </w:style>
  <w:style w:type="character" w:customStyle="1" w:styleId="237">
    <w:name w:val="solutionfonts"/>
    <w:qFormat/>
    <w:uiPriority w:val="0"/>
  </w:style>
  <w:style w:type="character" w:customStyle="1" w:styleId="238">
    <w:name w:val="二级标题 Char Char"/>
    <w:qFormat/>
    <w:uiPriority w:val="0"/>
    <w:rPr>
      <w:rFonts w:ascii="宋体" w:hAnsi="宋体" w:eastAsia="宋体"/>
      <w:b/>
      <w:snapToGrid w:val="0"/>
      <w:kern w:val="2"/>
      <w:sz w:val="24"/>
      <w:szCs w:val="24"/>
      <w:lang w:val="en-US" w:eastAsia="zh-CN" w:bidi="ar-SA"/>
    </w:rPr>
  </w:style>
  <w:style w:type="character" w:customStyle="1" w:styleId="239">
    <w:name w:val="列表段落 字符"/>
    <w:qFormat/>
    <w:uiPriority w:val="34"/>
  </w:style>
  <w:style w:type="character" w:customStyle="1" w:styleId="240">
    <w:name w:val="c7 style3"/>
    <w:qFormat/>
    <w:uiPriority w:val="0"/>
  </w:style>
  <w:style w:type="character" w:customStyle="1" w:styleId="241">
    <w:name w:val="标题 Char"/>
    <w:qFormat/>
    <w:uiPriority w:val="0"/>
    <w:rPr>
      <w:rFonts w:eastAsia="宋体"/>
      <w:b/>
      <w:sz w:val="24"/>
      <w:lang w:val="en-GB" w:eastAsia="zh-CN" w:bidi="ar-SA"/>
    </w:rPr>
  </w:style>
  <w:style w:type="character" w:customStyle="1" w:styleId="242">
    <w:name w:val="标题 4 字符"/>
    <w:qFormat/>
    <w:uiPriority w:val="9"/>
    <w:rPr>
      <w:rFonts w:ascii="等线 Light" w:hAnsi="等线 Light" w:eastAsia="等线 Light" w:cs="Times New Roman"/>
      <w:b/>
      <w:bCs/>
      <w:snapToGrid w:val="0"/>
      <w:kern w:val="0"/>
      <w:sz w:val="28"/>
      <w:szCs w:val="28"/>
    </w:rPr>
  </w:style>
  <w:style w:type="character" w:customStyle="1" w:styleId="243">
    <w:name w:val="Document Map Char"/>
    <w:qFormat/>
    <w:locked/>
    <w:uiPriority w:val="0"/>
    <w:rPr>
      <w:rFonts w:eastAsia="宋体"/>
      <w:kern w:val="2"/>
      <w:sz w:val="21"/>
      <w:szCs w:val="24"/>
      <w:lang w:val="en-US" w:eastAsia="zh-CN" w:bidi="ar-SA"/>
    </w:rPr>
  </w:style>
  <w:style w:type="character" w:customStyle="1" w:styleId="244">
    <w:name w:val="Header Char"/>
    <w:qFormat/>
    <w:locked/>
    <w:uiPriority w:val="0"/>
    <w:rPr>
      <w:rFonts w:eastAsia="宋体"/>
      <w:kern w:val="2"/>
      <w:sz w:val="18"/>
      <w:szCs w:val="18"/>
      <w:lang w:val="en-US" w:eastAsia="zh-CN" w:bidi="ar-SA"/>
    </w:rPr>
  </w:style>
  <w:style w:type="character" w:customStyle="1" w:styleId="245">
    <w:name w:val="Char Char16"/>
    <w:qFormat/>
    <w:uiPriority w:val="0"/>
    <w:rPr>
      <w:rFonts w:eastAsia="宋体"/>
      <w:b/>
      <w:kern w:val="2"/>
      <w:sz w:val="32"/>
      <w:lang w:val="en-US" w:eastAsia="zh-CN"/>
    </w:rPr>
  </w:style>
  <w:style w:type="character" w:customStyle="1" w:styleId="246">
    <w:name w:val="样式7 Char"/>
    <w:qFormat/>
    <w:uiPriority w:val="0"/>
    <w:rPr>
      <w:rFonts w:ascii="仿宋_GB2312" w:hAnsi="仿宋" w:eastAsia="仿宋_GB2312"/>
      <w:b/>
      <w:kern w:val="2"/>
      <w:sz w:val="24"/>
      <w:szCs w:val="24"/>
    </w:rPr>
  </w:style>
  <w:style w:type="character" w:customStyle="1" w:styleId="247">
    <w:name w:val="Balloon Text Char"/>
    <w:qFormat/>
    <w:locked/>
    <w:uiPriority w:val="0"/>
    <w:rPr>
      <w:rFonts w:eastAsia="宋体"/>
      <w:kern w:val="2"/>
      <w:sz w:val="18"/>
      <w:szCs w:val="18"/>
      <w:lang w:val="en-US" w:eastAsia="zh-CN" w:bidi="ar-SA"/>
    </w:rPr>
  </w:style>
  <w:style w:type="character" w:customStyle="1" w:styleId="248">
    <w:name w:val="副标题 Char2"/>
    <w:qFormat/>
    <w:uiPriority w:val="0"/>
    <w:rPr>
      <w:rFonts w:ascii="Cambria" w:hAnsi="Cambria" w:eastAsia="宋体" w:cs="Times New Roman"/>
      <w:b/>
      <w:bCs/>
      <w:snapToGrid w:val="0"/>
      <w:kern w:val="28"/>
      <w:sz w:val="32"/>
      <w:szCs w:val="32"/>
    </w:rPr>
  </w:style>
  <w:style w:type="character" w:customStyle="1" w:styleId="249">
    <w:name w:val="Bold"/>
    <w:qFormat/>
    <w:uiPriority w:val="0"/>
    <w:rPr>
      <w:rFonts w:ascii="Arial" w:hAnsi="Arial" w:eastAsia="黑体" w:cs="Times New Roman"/>
      <w:b/>
      <w:kern w:val="2"/>
      <w:sz w:val="32"/>
      <w:szCs w:val="32"/>
      <w:lang w:val="en-US" w:eastAsia="zh-CN" w:bidi="ar-SA"/>
    </w:rPr>
  </w:style>
  <w:style w:type="character" w:customStyle="1" w:styleId="250">
    <w:name w:val="标题 2 Char"/>
    <w:qFormat/>
    <w:uiPriority w:val="0"/>
    <w:rPr>
      <w:rFonts w:ascii="Arial" w:hAnsi="Arial" w:eastAsia="黑体"/>
      <w:b/>
      <w:kern w:val="2"/>
      <w:sz w:val="32"/>
      <w:lang w:val="en-US" w:eastAsia="zh-CN"/>
    </w:rPr>
  </w:style>
  <w:style w:type="character" w:customStyle="1" w:styleId="251">
    <w:name w:val="Used by Word for text of Help footnotes Char Char1"/>
    <w:qFormat/>
    <w:uiPriority w:val="0"/>
    <w:rPr>
      <w:color w:val="0000FF"/>
      <w:sz w:val="21"/>
    </w:rPr>
  </w:style>
  <w:style w:type="character" w:customStyle="1" w:styleId="252">
    <w:name w:val="哈哈正文 Char Char"/>
    <w:qFormat/>
    <w:uiPriority w:val="0"/>
    <w:rPr>
      <w:rFonts w:ascii="宋体" w:hAnsi="宋体" w:eastAsia="宋体" w:cs="宋体"/>
      <w:kern w:val="2"/>
      <w:sz w:val="24"/>
      <w:lang w:val="en-US" w:eastAsia="zh-CN" w:bidi="ar-SA"/>
    </w:rPr>
  </w:style>
  <w:style w:type="character" w:customStyle="1" w:styleId="253">
    <w:name w:val="正文文本 Char"/>
    <w:qFormat/>
    <w:uiPriority w:val="0"/>
    <w:rPr>
      <w:rFonts w:eastAsia="宋体"/>
      <w:kern w:val="2"/>
      <w:sz w:val="24"/>
      <w:szCs w:val="24"/>
      <w:lang w:val="en-US" w:eastAsia="zh-CN" w:bidi="ar-SA"/>
    </w:rPr>
  </w:style>
  <w:style w:type="character" w:customStyle="1" w:styleId="254">
    <w:name w:val="md"/>
    <w:qFormat/>
    <w:uiPriority w:val="0"/>
  </w:style>
  <w:style w:type="character" w:customStyle="1" w:styleId="255">
    <w:name w:val="表名 Char"/>
    <w:qFormat/>
    <w:uiPriority w:val="0"/>
    <w:rPr>
      <w:rFonts w:eastAsia="宋体"/>
      <w:b/>
      <w:bCs/>
      <w:kern w:val="2"/>
      <w:sz w:val="24"/>
      <w:szCs w:val="24"/>
      <w:lang w:val="en-US" w:eastAsia="zh-CN" w:bidi="ar-SA"/>
    </w:rPr>
  </w:style>
  <w:style w:type="character" w:customStyle="1" w:styleId="256">
    <w:name w:val="Char Char4"/>
    <w:qFormat/>
    <w:uiPriority w:val="0"/>
    <w:rPr>
      <w:rFonts w:eastAsia="宋体"/>
      <w:b/>
      <w:sz w:val="24"/>
      <w:lang w:val="en-GB" w:eastAsia="zh-CN" w:bidi="ar-SA"/>
    </w:rPr>
  </w:style>
  <w:style w:type="character" w:customStyle="1" w:styleId="257">
    <w:name w:val="Char Char21"/>
    <w:qFormat/>
    <w:uiPriority w:val="6"/>
    <w:rPr>
      <w:rFonts w:ascii="宋体" w:hAnsi="宋体"/>
      <w:kern w:val="1"/>
      <w:sz w:val="24"/>
      <w:szCs w:val="21"/>
      <w:lang w:val="zh-CN"/>
    </w:rPr>
  </w:style>
  <w:style w:type="character" w:customStyle="1" w:styleId="258">
    <w:name w:val="标书1 Char1"/>
    <w:qFormat/>
    <w:uiPriority w:val="0"/>
    <w:rPr>
      <w:rFonts w:eastAsia="宋体"/>
      <w:b/>
      <w:bCs/>
      <w:kern w:val="44"/>
      <w:sz w:val="44"/>
      <w:szCs w:val="44"/>
      <w:lang w:val="en-US" w:eastAsia="zh-CN" w:bidi="ar-SA"/>
    </w:rPr>
  </w:style>
  <w:style w:type="character" w:customStyle="1" w:styleId="259">
    <w:name w:val="tw4winJump"/>
    <w:qFormat/>
    <w:uiPriority w:val="0"/>
    <w:rPr>
      <w:rFonts w:ascii="Courier New" w:hAnsi="Courier New" w:cs="Courier New"/>
      <w:color w:val="008080"/>
    </w:rPr>
  </w:style>
  <w:style w:type="character" w:customStyle="1" w:styleId="260">
    <w:name w:val="message1"/>
    <w:qFormat/>
    <w:uiPriority w:val="0"/>
    <w:rPr>
      <w:rFonts w:hint="default" w:ascii="Tahoma" w:hAnsi="Tahoma" w:cs="Tahoma"/>
      <w:sz w:val="18"/>
      <w:szCs w:val="18"/>
    </w:rPr>
  </w:style>
  <w:style w:type="character" w:customStyle="1" w:styleId="261">
    <w:name w:val="Char Char411"/>
    <w:qFormat/>
    <w:uiPriority w:val="0"/>
    <w:rPr>
      <w:rFonts w:eastAsia="宋体"/>
      <w:b/>
      <w:sz w:val="24"/>
      <w:lang w:val="en-GB" w:eastAsia="zh-CN" w:bidi="ar-SA"/>
    </w:rPr>
  </w:style>
  <w:style w:type="character" w:customStyle="1" w:styleId="262">
    <w:name w:val="font31"/>
    <w:qFormat/>
    <w:uiPriority w:val="0"/>
    <w:rPr>
      <w:rFonts w:hint="eastAsia" w:ascii="仿宋" w:hAnsi="仿宋" w:eastAsia="仿宋" w:cs="仿宋"/>
      <w:color w:val="000000"/>
      <w:sz w:val="20"/>
      <w:szCs w:val="20"/>
      <w:u w:val="none"/>
    </w:rPr>
  </w:style>
  <w:style w:type="character" w:customStyle="1" w:styleId="263">
    <w:name w:val="正文2 Char Char"/>
    <w:link w:val="264"/>
    <w:qFormat/>
    <w:uiPriority w:val="0"/>
    <w:rPr>
      <w:rFonts w:eastAsia="宋体"/>
      <w:kern w:val="2"/>
      <w:sz w:val="24"/>
      <w:lang w:val="en-US" w:eastAsia="zh-CN" w:bidi="ar-SA"/>
    </w:rPr>
  </w:style>
  <w:style w:type="paragraph" w:customStyle="1" w:styleId="264">
    <w:name w:val="正文2"/>
    <w:basedOn w:val="1"/>
    <w:link w:val="263"/>
    <w:qFormat/>
    <w:uiPriority w:val="0"/>
    <w:pPr>
      <w:spacing w:before="156" w:line="360" w:lineRule="auto"/>
      <w:ind w:firstLine="510" w:firstLineChars="200"/>
    </w:pPr>
    <w:rPr>
      <w:sz w:val="24"/>
      <w:szCs w:val="20"/>
    </w:rPr>
  </w:style>
  <w:style w:type="character" w:customStyle="1" w:styleId="265">
    <w:name w:val="Char Char"/>
    <w:qFormat/>
    <w:uiPriority w:val="0"/>
    <w:rPr>
      <w:rFonts w:ascii="宋体" w:hAnsi="Courier New" w:eastAsia="宋体"/>
      <w:kern w:val="2"/>
      <w:sz w:val="21"/>
      <w:lang w:val="en-US" w:eastAsia="zh-CN" w:bidi="ar-SA"/>
    </w:rPr>
  </w:style>
  <w:style w:type="character" w:customStyle="1" w:styleId="266">
    <w:name w:val="Body Text(ch) Char Char"/>
    <w:qFormat/>
    <w:uiPriority w:val="0"/>
    <w:rPr>
      <w:rFonts w:ascii="宋体"/>
      <w:kern w:val="2"/>
      <w:sz w:val="24"/>
      <w:szCs w:val="21"/>
      <w:lang w:val="zh-CN"/>
    </w:rPr>
  </w:style>
  <w:style w:type="character" w:customStyle="1" w:styleId="267">
    <w:name w:val="Char Char8"/>
    <w:qFormat/>
    <w:uiPriority w:val="0"/>
    <w:rPr>
      <w:rFonts w:eastAsia="宋体"/>
      <w:b/>
      <w:sz w:val="24"/>
      <w:lang w:val="en-GB" w:eastAsia="zh-CN"/>
    </w:rPr>
  </w:style>
  <w:style w:type="character" w:customStyle="1" w:styleId="268">
    <w:name w:val="正文2 Char"/>
    <w:qFormat/>
    <w:uiPriority w:val="0"/>
    <w:rPr>
      <w:rFonts w:eastAsia="宋体"/>
      <w:kern w:val="2"/>
      <w:sz w:val="24"/>
      <w:lang w:val="en-US" w:eastAsia="zh-CN" w:bidi="ar-SA"/>
    </w:rPr>
  </w:style>
  <w:style w:type="character" w:customStyle="1" w:styleId="269">
    <w:name w:val="脚注文本 Char1"/>
    <w:qFormat/>
    <w:uiPriority w:val="0"/>
    <w:rPr>
      <w:rFonts w:ascii="Times New Roman" w:hAnsi="Times New Roman" w:eastAsia="宋体" w:cs="Times New Roman"/>
      <w:sz w:val="18"/>
      <w:szCs w:val="18"/>
    </w:rPr>
  </w:style>
  <w:style w:type="character" w:customStyle="1" w:styleId="270">
    <w:name w:val="表正文 Char"/>
    <w:qFormat/>
    <w:uiPriority w:val="0"/>
    <w:rPr>
      <w:rFonts w:ascii="宋体" w:eastAsia="宋体"/>
      <w:snapToGrid w:val="0"/>
      <w:color w:val="000000"/>
      <w:kern w:val="28"/>
      <w:sz w:val="28"/>
      <w:lang w:val="en-US" w:eastAsia="zh-CN" w:bidi="ar-SA"/>
    </w:rPr>
  </w:style>
  <w:style w:type="character" w:customStyle="1" w:styleId="271">
    <w:name w:val="冯 Char"/>
    <w:link w:val="272"/>
    <w:qFormat/>
    <w:uiPriority w:val="0"/>
    <w:rPr>
      <w:rFonts w:ascii="宋体" w:hAnsi="宋体"/>
      <w:color w:val="000000"/>
      <w:sz w:val="24"/>
      <w:szCs w:val="24"/>
    </w:rPr>
  </w:style>
  <w:style w:type="paragraph" w:customStyle="1" w:styleId="272">
    <w:name w:val="冯"/>
    <w:basedOn w:val="1"/>
    <w:link w:val="271"/>
    <w:qFormat/>
    <w:uiPriority w:val="0"/>
    <w:pPr>
      <w:widowControl/>
      <w:adjustRightInd/>
      <w:spacing w:line="360" w:lineRule="auto"/>
      <w:ind w:firstLine="480" w:firstLineChars="200"/>
    </w:pPr>
    <w:rPr>
      <w:rFonts w:ascii="宋体" w:hAnsi="宋体"/>
      <w:color w:val="000000"/>
      <w:kern w:val="0"/>
      <w:sz w:val="24"/>
    </w:rPr>
  </w:style>
  <w:style w:type="character" w:customStyle="1" w:styleId="273">
    <w:name w:val="Char Char11"/>
    <w:qFormat/>
    <w:locked/>
    <w:uiPriority w:val="0"/>
    <w:rPr>
      <w:rFonts w:ascii="宋体" w:hAnsi="宋体" w:eastAsia="宋体"/>
      <w:b/>
      <w:kern w:val="2"/>
      <w:sz w:val="24"/>
      <w:szCs w:val="24"/>
      <w:lang w:val="en-US" w:eastAsia="zh-CN" w:bidi="ar-SA"/>
    </w:rPr>
  </w:style>
  <w:style w:type="character" w:customStyle="1" w:styleId="274">
    <w:name w:val="DO_NOT_TRANSLATE"/>
    <w:qFormat/>
    <w:uiPriority w:val="0"/>
    <w:rPr>
      <w:rFonts w:ascii="Courier New" w:hAnsi="Courier New" w:cs="Courier New"/>
      <w:color w:val="800000"/>
    </w:rPr>
  </w:style>
  <w:style w:type="character" w:customStyle="1" w:styleId="275">
    <w:name w:val="pt141"/>
    <w:qFormat/>
    <w:uiPriority w:val="0"/>
    <w:rPr>
      <w:color w:val="330066"/>
      <w:sz w:val="22"/>
      <w:szCs w:val="22"/>
    </w:rPr>
  </w:style>
  <w:style w:type="character" w:customStyle="1" w:styleId="27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77">
    <w:name w:val="正文首行缩进 Char Char Char Char Char"/>
    <w:qFormat/>
    <w:uiPriority w:val="0"/>
    <w:rPr>
      <w:rFonts w:ascii="宋体"/>
      <w:kern w:val="2"/>
      <w:sz w:val="24"/>
      <w:lang w:val="zh-CN"/>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正文非缩进 Char"/>
    <w:qFormat/>
    <w:uiPriority w:val="0"/>
    <w:rPr>
      <w:rFonts w:ascii="宋体" w:eastAsia="宋体"/>
      <w:snapToGrid w:val="0"/>
      <w:color w:val="000000"/>
      <w:kern w:val="28"/>
      <w:sz w:val="28"/>
      <w:lang w:val="en-US" w:eastAsia="zh-CN" w:bidi="ar-SA"/>
    </w:rPr>
  </w:style>
  <w:style w:type="character" w:customStyle="1" w:styleId="281">
    <w:name w:val="正文首行缩进 Char Char Char Char Char Char1"/>
    <w:qFormat/>
    <w:uiPriority w:val="0"/>
    <w:rPr>
      <w:rFonts w:ascii="宋体" w:eastAsia="宋体"/>
      <w:kern w:val="2"/>
      <w:sz w:val="24"/>
      <w:szCs w:val="24"/>
      <w:lang w:val="zh-CN" w:bidi="ar-SA"/>
    </w:rPr>
  </w:style>
  <w:style w:type="character" w:customStyle="1" w:styleId="282">
    <w:name w:val="H5 Char"/>
    <w:qFormat/>
    <w:uiPriority w:val="0"/>
    <w:rPr>
      <w:b/>
      <w:bCs/>
      <w:kern w:val="2"/>
      <w:sz w:val="28"/>
      <w:szCs w:val="28"/>
    </w:rPr>
  </w:style>
  <w:style w:type="character" w:customStyle="1" w:styleId="283">
    <w:name w:val="标书正文格式 Char"/>
    <w:qFormat/>
    <w:uiPriority w:val="0"/>
    <w:rPr>
      <w:rFonts w:eastAsia="楷体_GB2312"/>
      <w:kern w:val="2"/>
      <w:sz w:val="24"/>
      <w:szCs w:val="24"/>
      <w:lang w:bidi="ar-SA"/>
    </w:rPr>
  </w:style>
  <w:style w:type="character" w:customStyle="1" w:styleId="284">
    <w:name w:val="编号，小四 Char"/>
    <w:link w:val="285"/>
    <w:qFormat/>
    <w:uiPriority w:val="0"/>
    <w:rPr>
      <w:rFonts w:ascii="Arial" w:hAnsi="Arial"/>
      <w:sz w:val="24"/>
    </w:rPr>
  </w:style>
  <w:style w:type="paragraph" w:customStyle="1" w:styleId="285">
    <w:name w:val="编号，小四"/>
    <w:basedOn w:val="1"/>
    <w:link w:val="284"/>
    <w:qFormat/>
    <w:uiPriority w:val="0"/>
    <w:pPr>
      <w:tabs>
        <w:tab w:val="left" w:pos="432"/>
      </w:tabs>
      <w:adjustRightInd/>
      <w:spacing w:line="360" w:lineRule="auto"/>
      <w:ind w:left="432" w:hanging="432"/>
    </w:pPr>
    <w:rPr>
      <w:rFonts w:ascii="Arial" w:hAnsi="Arial"/>
      <w:kern w:val="0"/>
      <w:sz w:val="24"/>
      <w:szCs w:val="20"/>
    </w:rPr>
  </w:style>
  <w:style w:type="character" w:customStyle="1" w:styleId="286">
    <w:name w:val="纯文本 Char_0"/>
    <w:link w:val="287"/>
    <w:qFormat/>
    <w:uiPriority w:val="0"/>
    <w:rPr>
      <w:rFonts w:ascii="宋体" w:hAnsi="Courier New"/>
      <w:kern w:val="2"/>
      <w:sz w:val="21"/>
      <w:szCs w:val="21"/>
    </w:rPr>
  </w:style>
  <w:style w:type="paragraph" w:customStyle="1" w:styleId="287">
    <w:name w:val="纯文本_0_0"/>
    <w:basedOn w:val="288"/>
    <w:link w:val="286"/>
    <w:qFormat/>
    <w:uiPriority w:val="0"/>
    <w:rPr>
      <w:rFonts w:ascii="宋体" w:hAnsi="Courier New"/>
      <w:szCs w:val="21"/>
    </w:rPr>
  </w:style>
  <w:style w:type="paragraph" w:customStyle="1" w:styleId="2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9">
    <w:name w:val="hui3"/>
    <w:qFormat/>
    <w:uiPriority w:val="0"/>
    <w:rPr>
      <w:color w:val="333333"/>
    </w:rPr>
  </w:style>
  <w:style w:type="character" w:customStyle="1" w:styleId="290">
    <w:name w:val="Char Char7"/>
    <w:semiHidden/>
    <w:qFormat/>
    <w:uiPriority w:val="0"/>
    <w:rPr>
      <w:rFonts w:eastAsia="宋体"/>
      <w:kern w:val="2"/>
      <w:sz w:val="21"/>
      <w:szCs w:val="24"/>
      <w:lang w:val="en-US" w:eastAsia="zh-CN" w:bidi="ar-SA"/>
    </w:rPr>
  </w:style>
  <w:style w:type="character" w:customStyle="1" w:styleId="291">
    <w:name w:val="正文段 Char"/>
    <w:link w:val="292"/>
    <w:qFormat/>
    <w:uiPriority w:val="0"/>
    <w:rPr>
      <w:sz w:val="24"/>
    </w:rPr>
  </w:style>
  <w:style w:type="paragraph" w:customStyle="1" w:styleId="292">
    <w:name w:val="正文段"/>
    <w:basedOn w:val="1"/>
    <w:link w:val="291"/>
    <w:qFormat/>
    <w:uiPriority w:val="0"/>
    <w:pPr>
      <w:widowControl/>
      <w:snapToGrid w:val="0"/>
      <w:spacing w:afterLines="50"/>
      <w:ind w:firstLine="200" w:firstLineChars="200"/>
    </w:pPr>
    <w:rPr>
      <w:kern w:val="0"/>
      <w:sz w:val="24"/>
      <w:szCs w:val="20"/>
    </w:rPr>
  </w:style>
  <w:style w:type="character" w:customStyle="1" w:styleId="293">
    <w:name w:val="Char Char17"/>
    <w:qFormat/>
    <w:uiPriority w:val="6"/>
    <w:rPr>
      <w:rFonts w:eastAsia="仿宋_GB2312"/>
      <w:sz w:val="24"/>
    </w:rPr>
  </w:style>
  <w:style w:type="character" w:customStyle="1" w:styleId="294">
    <w:name w:val="哈哈正文 Char"/>
    <w:link w:val="295"/>
    <w:qFormat/>
    <w:uiPriority w:val="0"/>
    <w:rPr>
      <w:rFonts w:ascii="宋体" w:hAnsi="宋体" w:eastAsia="宋体"/>
      <w:kern w:val="2"/>
      <w:sz w:val="24"/>
      <w:lang w:bidi="ar-SA"/>
    </w:rPr>
  </w:style>
  <w:style w:type="paragraph" w:customStyle="1" w:styleId="295">
    <w:name w:val="哈哈正文"/>
    <w:basedOn w:val="1"/>
    <w:link w:val="294"/>
    <w:qFormat/>
    <w:uiPriority w:val="0"/>
    <w:pPr>
      <w:adjustRightInd/>
      <w:spacing w:line="360" w:lineRule="auto"/>
      <w:ind w:firstLine="200" w:firstLineChars="200"/>
    </w:pPr>
    <w:rPr>
      <w:rFonts w:ascii="宋体" w:hAnsi="宋体"/>
      <w:sz w:val="24"/>
      <w:szCs w:val="20"/>
    </w:rPr>
  </w:style>
  <w:style w:type="character" w:customStyle="1" w:styleId="296">
    <w:name w:val="标准正文格式 Char"/>
    <w:qFormat/>
    <w:uiPriority w:val="0"/>
    <w:rPr>
      <w:rFonts w:ascii="宋体" w:eastAsia="仿宋_GB2312" w:cs="宋体"/>
      <w:color w:val="000000"/>
      <w:sz w:val="24"/>
      <w:lang w:val="en-US" w:eastAsia="zh-CN" w:bidi="ar-SA"/>
    </w:rPr>
  </w:style>
  <w:style w:type="character" w:customStyle="1" w:styleId="297">
    <w:name w:val="param-name"/>
    <w:qFormat/>
    <w:uiPriority w:val="99"/>
    <w:rPr>
      <w:rFonts w:ascii="Arial" w:hAnsi="Arial" w:eastAsia="黑体" w:cs="Arial"/>
      <w:snapToGrid w:val="0"/>
      <w:kern w:val="0"/>
      <w:szCs w:val="21"/>
    </w:rPr>
  </w:style>
  <w:style w:type="character" w:customStyle="1" w:styleId="298">
    <w:name w:val="Char Char61"/>
    <w:qFormat/>
    <w:uiPriority w:val="6"/>
    <w:rPr>
      <w:rFonts w:eastAsia="宋体"/>
      <w:kern w:val="2"/>
      <w:sz w:val="21"/>
      <w:szCs w:val="24"/>
      <w:lang w:val="en-US" w:eastAsia="zh-CN" w:bidi="ar-SA"/>
    </w:rPr>
  </w:style>
  <w:style w:type="character" w:customStyle="1" w:styleId="299">
    <w:name w:val="Heading 7 Char"/>
    <w:qFormat/>
    <w:locked/>
    <w:uiPriority w:val="0"/>
    <w:rPr>
      <w:rFonts w:ascii="宋体" w:hAnsi="宋体" w:eastAsia="宋体"/>
      <w:b/>
      <w:bCs/>
      <w:kern w:val="2"/>
      <w:sz w:val="24"/>
      <w:szCs w:val="24"/>
      <w:lang w:val="en-US" w:eastAsia="zh-CN" w:bidi="ar-SA"/>
    </w:rPr>
  </w:style>
  <w:style w:type="character" w:customStyle="1" w:styleId="300">
    <w:name w:val="Char Char92"/>
    <w:qFormat/>
    <w:uiPriority w:val="0"/>
    <w:rPr>
      <w:rFonts w:eastAsia="宋体"/>
      <w:kern w:val="2"/>
      <w:sz w:val="18"/>
      <w:szCs w:val="18"/>
      <w:lang w:val="en-US" w:eastAsia="zh-CN" w:bidi="ar-SA"/>
    </w:rPr>
  </w:style>
  <w:style w:type="character" w:customStyle="1" w:styleId="301">
    <w:name w:val="style91"/>
    <w:qFormat/>
    <w:uiPriority w:val="0"/>
    <w:rPr>
      <w:color w:val="333333"/>
    </w:rPr>
  </w:style>
  <w:style w:type="character" w:customStyle="1" w:styleId="302">
    <w:name w:val="纯文本 字符"/>
    <w:qFormat/>
    <w:uiPriority w:val="0"/>
    <w:rPr>
      <w:rFonts w:ascii="宋体" w:hAnsi="Courier New" w:eastAsia="宋体" w:cs="Arial"/>
      <w:snapToGrid w:val="0"/>
      <w:kern w:val="2"/>
      <w:sz w:val="21"/>
      <w:szCs w:val="21"/>
      <w:lang w:val="en-US" w:eastAsia="zh-CN" w:bidi="ar-SA"/>
    </w:rPr>
  </w:style>
  <w:style w:type="character" w:customStyle="1" w:styleId="303">
    <w:name w:val="highlight1"/>
    <w:qFormat/>
    <w:uiPriority w:val="0"/>
    <w:rPr>
      <w:rFonts w:ascii="仿宋_GB2312" w:eastAsia="微软雅黑"/>
      <w:b/>
      <w:kern w:val="2"/>
      <w:sz w:val="23"/>
      <w:szCs w:val="23"/>
      <w:lang w:val="en-US" w:eastAsia="zh-CN" w:bidi="ar-SA"/>
    </w:rPr>
  </w:style>
  <w:style w:type="character" w:customStyle="1" w:styleId="30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文本正文 Char Char"/>
    <w:qFormat/>
    <w:locked/>
    <w:uiPriority w:val="0"/>
    <w:rPr>
      <w:sz w:val="24"/>
      <w:lang w:bidi="ar-SA"/>
    </w:rPr>
  </w:style>
  <w:style w:type="character" w:customStyle="1" w:styleId="307">
    <w:name w:val="表格 Char Char"/>
    <w:qFormat/>
    <w:uiPriority w:val="0"/>
    <w:rPr>
      <w:rFonts w:ascii="宋体" w:hAnsi="宋体" w:eastAsia="宋体"/>
      <w:lang w:bidi="ar-SA"/>
    </w:rPr>
  </w:style>
  <w:style w:type="character" w:customStyle="1" w:styleId="308">
    <w:name w:val="Char Char41"/>
    <w:qFormat/>
    <w:uiPriority w:val="0"/>
    <w:rPr>
      <w:rFonts w:eastAsia="宋体"/>
      <w:b/>
      <w:sz w:val="24"/>
      <w:lang w:val="en-GB" w:eastAsia="zh-CN" w:bidi="ar-SA"/>
    </w:rPr>
  </w:style>
  <w:style w:type="character" w:customStyle="1" w:styleId="309">
    <w:name w:val="普通文字 Char3"/>
    <w:qFormat/>
    <w:uiPriority w:val="0"/>
    <w:rPr>
      <w:rFonts w:ascii="宋体" w:hAnsi="Courier New" w:eastAsia="宋体"/>
      <w:kern w:val="2"/>
      <w:sz w:val="21"/>
      <w:lang w:val="en-US" w:eastAsia="zh-CN" w:bidi="ar-SA"/>
    </w:rPr>
  </w:style>
  <w:style w:type="character" w:customStyle="1" w:styleId="310">
    <w:name w:val="h3 Char"/>
    <w:qFormat/>
    <w:uiPriority w:val="0"/>
    <w:rPr>
      <w:rFonts w:eastAsia="宋体"/>
      <w:b/>
      <w:kern w:val="2"/>
      <w:sz w:val="32"/>
      <w:lang w:val="en-US" w:eastAsia="zh-CN" w:bidi="ar-SA"/>
    </w:rPr>
  </w:style>
  <w:style w:type="character" w:customStyle="1" w:styleId="3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2">
    <w:name w:val="PI Char"/>
    <w:qFormat/>
    <w:uiPriority w:val="0"/>
    <w:rPr>
      <w:rFonts w:ascii="宋体" w:hAnsi="宋体" w:eastAsia="宋体"/>
      <w:kern w:val="2"/>
      <w:sz w:val="24"/>
      <w:szCs w:val="24"/>
      <w:lang w:val="en-US" w:eastAsia="zh-CN" w:bidi="ar-SA"/>
    </w:rPr>
  </w:style>
  <w:style w:type="character" w:customStyle="1" w:styleId="313">
    <w:name w:val="h Char Char1"/>
    <w:qFormat/>
    <w:uiPriority w:val="0"/>
    <w:rPr>
      <w:rFonts w:eastAsia="宋体"/>
      <w:kern w:val="2"/>
      <w:sz w:val="18"/>
      <w:szCs w:val="18"/>
      <w:lang w:val="en-US" w:eastAsia="zh-CN" w:bidi="ar-SA"/>
    </w:rPr>
  </w:style>
  <w:style w:type="character" w:customStyle="1" w:styleId="314">
    <w:name w:val="gf正文1 Char Char"/>
    <w:link w:val="315"/>
    <w:qFormat/>
    <w:uiPriority w:val="0"/>
    <w:rPr>
      <w:rFonts w:ascii="宋体" w:hAnsi="宋体" w:cs="宋体"/>
      <w:kern w:val="2"/>
      <w:sz w:val="24"/>
      <w:szCs w:val="24"/>
    </w:rPr>
  </w:style>
  <w:style w:type="paragraph" w:customStyle="1" w:styleId="315">
    <w:name w:val="gf正文1"/>
    <w:basedOn w:val="1"/>
    <w:link w:val="31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16">
    <w:name w:val="blue1"/>
    <w:qFormat/>
    <w:uiPriority w:val="0"/>
  </w:style>
  <w:style w:type="character" w:customStyle="1" w:styleId="317">
    <w:name w:val="Char Char311"/>
    <w:qFormat/>
    <w:uiPriority w:val="0"/>
    <w:rPr>
      <w:rFonts w:eastAsia="宋体"/>
      <w:kern w:val="2"/>
      <w:sz w:val="21"/>
      <w:szCs w:val="24"/>
      <w:lang w:val="en-US" w:eastAsia="zh-CN" w:bidi="ar-SA"/>
    </w:rPr>
  </w:style>
  <w:style w:type="character" w:customStyle="1" w:styleId="318">
    <w:name w:val="正文文本缩进 Char"/>
    <w:qFormat/>
    <w:uiPriority w:val="0"/>
    <w:rPr>
      <w:rFonts w:ascii="宋体" w:hAnsi="宋体"/>
      <w:kern w:val="2"/>
      <w:sz w:val="24"/>
      <w:szCs w:val="24"/>
    </w:rPr>
  </w:style>
  <w:style w:type="character" w:customStyle="1" w:styleId="319">
    <w:name w:val="tw4winExternal"/>
    <w:qFormat/>
    <w:uiPriority w:val="0"/>
    <w:rPr>
      <w:rFonts w:ascii="Courier New" w:hAnsi="Courier New" w:cs="Courier New"/>
      <w:color w:val="808080"/>
    </w:rPr>
  </w:style>
  <w:style w:type="character" w:customStyle="1" w:styleId="320">
    <w:name w:val="Char Char15"/>
    <w:qFormat/>
    <w:uiPriority w:val="6"/>
    <w:rPr>
      <w:rFonts w:ascii="宋体" w:hAnsi="宋体"/>
      <w:kern w:val="1"/>
      <w:sz w:val="21"/>
    </w:rPr>
  </w:style>
  <w:style w:type="character" w:customStyle="1" w:styleId="321">
    <w:name w:val="Char Char81"/>
    <w:qFormat/>
    <w:uiPriority w:val="6"/>
    <w:rPr>
      <w:rFonts w:eastAsia="宋体"/>
      <w:b/>
      <w:sz w:val="24"/>
      <w:lang w:val="en-GB" w:eastAsia="zh-CN"/>
    </w:rPr>
  </w:style>
  <w:style w:type="character" w:customStyle="1" w:styleId="322">
    <w:name w:val="表正文 Char3"/>
    <w:qFormat/>
    <w:uiPriority w:val="0"/>
    <w:rPr>
      <w:rFonts w:eastAsia="宋体"/>
    </w:rPr>
  </w:style>
  <w:style w:type="character" w:customStyle="1" w:styleId="323">
    <w:name w:val="页眉 字符"/>
    <w:qFormat/>
    <w:uiPriority w:val="99"/>
    <w:rPr>
      <w:kern w:val="2"/>
      <w:sz w:val="18"/>
      <w:szCs w:val="18"/>
    </w:rPr>
  </w:style>
  <w:style w:type="character" w:customStyle="1" w:styleId="324">
    <w:name w:val="Char Char161"/>
    <w:qFormat/>
    <w:uiPriority w:val="6"/>
    <w:rPr>
      <w:kern w:val="1"/>
      <w:sz w:val="18"/>
      <w:szCs w:val="18"/>
    </w:rPr>
  </w:style>
  <w:style w:type="character" w:customStyle="1" w:styleId="325">
    <w:name w:val="big1"/>
    <w:qFormat/>
    <w:uiPriority w:val="0"/>
    <w:rPr>
      <w:rFonts w:hint="eastAsia" w:ascii="宋体" w:hAnsi="宋体" w:eastAsia="宋体"/>
      <w:color w:val="333333"/>
      <w:sz w:val="22"/>
      <w:szCs w:val="22"/>
    </w:rPr>
  </w:style>
  <w:style w:type="character" w:customStyle="1" w:styleId="326">
    <w:name w:val="Char Char12"/>
    <w:qFormat/>
    <w:uiPriority w:val="0"/>
    <w:rPr>
      <w:rFonts w:ascii="仿宋_GB2312" w:eastAsia="仿宋_GB2312"/>
      <w:b/>
      <w:bCs/>
      <w:kern w:val="2"/>
      <w:sz w:val="24"/>
      <w:szCs w:val="24"/>
      <w:lang w:val="zh-CN" w:eastAsia="zh-CN" w:bidi="ar-SA"/>
    </w:rPr>
  </w:style>
  <w:style w:type="character" w:customStyle="1" w:styleId="327">
    <w:name w:val="Char Char19"/>
    <w:qFormat/>
    <w:uiPriority w:val="6"/>
    <w:rPr>
      <w:rFonts w:ascii="宋体" w:hAnsi="宋体"/>
      <w:i/>
      <w:sz w:val="24"/>
      <w:szCs w:val="24"/>
    </w:rPr>
  </w:style>
  <w:style w:type="character" w:customStyle="1" w:styleId="328">
    <w:name w:val="ca-131"/>
    <w:qFormat/>
    <w:uiPriority w:val="0"/>
    <w:rPr>
      <w:rFonts w:hint="eastAsia" w:ascii="仿宋_GB2312" w:eastAsia="仿宋_GB2312"/>
      <w:b/>
      <w:bCs/>
      <w:color w:val="000000"/>
      <w:spacing w:val="-20"/>
      <w:sz w:val="24"/>
      <w:szCs w:val="24"/>
    </w:rPr>
  </w:style>
  <w:style w:type="character" w:customStyle="1" w:styleId="329">
    <w:name w:val="5正文 Char"/>
    <w:link w:val="330"/>
    <w:qFormat/>
    <w:uiPriority w:val="0"/>
    <w:rPr>
      <w:rFonts w:ascii="仿宋_GB2312" w:hAnsi="微软雅黑" w:eastAsia="仿宋_GB2312"/>
      <w:sz w:val="28"/>
      <w:szCs w:val="21"/>
    </w:rPr>
  </w:style>
  <w:style w:type="paragraph" w:customStyle="1" w:styleId="330">
    <w:name w:val="5正文"/>
    <w:basedOn w:val="1"/>
    <w:link w:val="32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331">
    <w:name w:val="font81"/>
    <w:qFormat/>
    <w:uiPriority w:val="0"/>
    <w:rPr>
      <w:rFonts w:ascii="微软雅黑" w:hAnsi="微软雅黑" w:eastAsia="微软雅黑" w:cs="微软雅黑"/>
      <w:color w:val="000000"/>
      <w:sz w:val="20"/>
      <w:szCs w:val="20"/>
      <w:u w:val="none"/>
    </w:rPr>
  </w:style>
  <w:style w:type="character" w:customStyle="1" w:styleId="332">
    <w:name w:val="Char Char20"/>
    <w:qFormat/>
    <w:uiPriority w:val="6"/>
    <w:rPr>
      <w:kern w:val="1"/>
      <w:sz w:val="24"/>
    </w:rPr>
  </w:style>
  <w:style w:type="character" w:customStyle="1" w:styleId="333">
    <w:name w:val="正文1 Char1"/>
    <w:qFormat/>
    <w:uiPriority w:val="0"/>
    <w:rPr>
      <w:rFonts w:ascii="仿宋_GB2312" w:hAnsi="Courier New" w:eastAsia="仿宋_GB2312"/>
      <w:kern w:val="28"/>
      <w:sz w:val="24"/>
      <w:szCs w:val="24"/>
    </w:rPr>
  </w:style>
  <w:style w:type="character" w:customStyle="1" w:styleId="334">
    <w:name w:val="正文文本缩进 Char2"/>
    <w:qFormat/>
    <w:uiPriority w:val="0"/>
    <w:rPr>
      <w:rFonts w:ascii="Times New Roman" w:hAnsi="Times New Roman" w:eastAsia="宋体" w:cs="Times New Roman"/>
      <w:snapToGrid w:val="0"/>
      <w:kern w:val="0"/>
      <w:szCs w:val="24"/>
    </w:rPr>
  </w:style>
  <w:style w:type="character" w:customStyle="1" w:styleId="335">
    <w:name w:val="普通文字 Char1"/>
    <w:qFormat/>
    <w:uiPriority w:val="0"/>
    <w:rPr>
      <w:rFonts w:ascii="宋体" w:hAnsi="Courier New" w:eastAsia="宋体"/>
      <w:kern w:val="2"/>
      <w:sz w:val="21"/>
      <w:lang w:val="en-US" w:eastAsia="zh-CN"/>
    </w:rPr>
  </w:style>
  <w:style w:type="character" w:customStyle="1" w:styleId="336">
    <w:name w:val="Char Char122"/>
    <w:qFormat/>
    <w:uiPriority w:val="0"/>
    <w:rPr>
      <w:rFonts w:ascii="仿宋_GB2312" w:eastAsia="仿宋_GB2312"/>
      <w:b/>
      <w:bCs/>
      <w:kern w:val="2"/>
      <w:sz w:val="24"/>
      <w:szCs w:val="24"/>
      <w:lang w:val="zh-CN" w:eastAsia="zh-CN" w:bidi="ar-SA"/>
    </w:rPr>
  </w:style>
  <w:style w:type="character" w:customStyle="1" w:styleId="337">
    <w:name w:val="正文文本缩进 3 Char1"/>
    <w:semiHidden/>
    <w:qFormat/>
    <w:uiPriority w:val="99"/>
    <w:rPr>
      <w:rFonts w:ascii="Times New Roman" w:hAnsi="Times New Roman" w:eastAsia="宋体" w:cs="Times New Roman"/>
      <w:sz w:val="16"/>
      <w:szCs w:val="16"/>
    </w:rPr>
  </w:style>
  <w:style w:type="character" w:customStyle="1" w:styleId="338">
    <w:name w:val="shadow11"/>
    <w:qFormat/>
    <w:uiPriority w:val="0"/>
    <w:rPr>
      <w:color w:val="000000"/>
      <w:sz w:val="21"/>
    </w:rPr>
  </w:style>
  <w:style w:type="character" w:customStyle="1" w:styleId="339">
    <w:name w:val="hei16b1"/>
    <w:qFormat/>
    <w:uiPriority w:val="0"/>
    <w:rPr>
      <w:rFonts w:hint="default" w:ascii="Arial" w:hAnsi="Arial" w:cs="Arial"/>
      <w:b/>
      <w:bCs/>
      <w:color w:val="000000"/>
      <w:sz w:val="24"/>
      <w:szCs w:val="24"/>
    </w:rPr>
  </w:style>
  <w:style w:type="character" w:customStyle="1" w:styleId="340">
    <w:name w:val="hui"/>
    <w:qFormat/>
    <w:uiPriority w:val="0"/>
  </w:style>
  <w:style w:type="character" w:customStyle="1" w:styleId="341">
    <w:name w:val="apple-converted-space"/>
    <w:qFormat/>
    <w:uiPriority w:val="0"/>
  </w:style>
  <w:style w:type="character" w:customStyle="1" w:styleId="342">
    <w:name w:val="Table Text Char1"/>
    <w:qFormat/>
    <w:uiPriority w:val="0"/>
    <w:rPr>
      <w:rFonts w:eastAsia="宋体"/>
      <w:sz w:val="24"/>
      <w:szCs w:val="24"/>
      <w:lang w:val="en-US" w:eastAsia="zh-CN" w:bidi="ar-SA"/>
    </w:rPr>
  </w:style>
  <w:style w:type="character" w:customStyle="1" w:styleId="343">
    <w:name w:val="Char Char72"/>
    <w:qFormat/>
    <w:uiPriority w:val="0"/>
    <w:rPr>
      <w:rFonts w:eastAsia="宋体"/>
      <w:kern w:val="2"/>
      <w:sz w:val="21"/>
      <w:szCs w:val="24"/>
      <w:lang w:val="en-US" w:eastAsia="zh-CN" w:bidi="ar-SA"/>
    </w:rPr>
  </w:style>
  <w:style w:type="character" w:customStyle="1" w:styleId="344">
    <w:name w:val="Used by Word for text of Help footnotes Char Char"/>
    <w:qFormat/>
    <w:uiPriority w:val="0"/>
    <w:rPr>
      <w:rFonts w:ascii="Times New Roman" w:hAnsi="Times New Roman" w:eastAsia="宋体" w:cs="Times New Roman"/>
      <w:sz w:val="20"/>
      <w:szCs w:val="20"/>
    </w:rPr>
  </w:style>
  <w:style w:type="character" w:customStyle="1" w:styleId="345">
    <w:name w:val="Char Char5"/>
    <w:qFormat/>
    <w:uiPriority w:val="0"/>
    <w:rPr>
      <w:rFonts w:ascii="宋体" w:hAnsi="Courier New" w:eastAsia="宋体"/>
      <w:kern w:val="2"/>
      <w:sz w:val="21"/>
      <w:lang w:val="en-US" w:eastAsia="zh-CN"/>
    </w:rPr>
  </w:style>
  <w:style w:type="character" w:customStyle="1" w:styleId="346">
    <w:name w:val="批注框文本 Char1"/>
    <w:semiHidden/>
    <w:qFormat/>
    <w:uiPriority w:val="99"/>
    <w:rPr>
      <w:rFonts w:ascii="Times New Roman" w:hAnsi="Times New Roman" w:eastAsia="宋体" w:cs="Times New Roman"/>
      <w:sz w:val="18"/>
      <w:szCs w:val="18"/>
    </w:rPr>
  </w:style>
  <w:style w:type="character" w:customStyle="1" w:styleId="347">
    <w:name w:val="标题 2 字符"/>
    <w:qFormat/>
    <w:uiPriority w:val="9"/>
    <w:rPr>
      <w:rFonts w:ascii="仿宋_GB2312" w:hAnsi="Times New Roman" w:eastAsia="仿宋_GB2312" w:cs="Times New Roman"/>
      <w:b/>
      <w:kern w:val="2"/>
      <w:sz w:val="24"/>
      <w:lang w:val="zh-CN"/>
    </w:rPr>
  </w:style>
  <w:style w:type="character" w:customStyle="1" w:styleId="348">
    <w:name w:val="页脚 字符"/>
    <w:qFormat/>
    <w:uiPriority w:val="99"/>
    <w:rPr>
      <w:kern w:val="2"/>
      <w:sz w:val="18"/>
      <w:szCs w:val="18"/>
    </w:rPr>
  </w:style>
  <w:style w:type="character" w:customStyle="1" w:styleId="349">
    <w:name w:val="签名 Char1"/>
    <w:qFormat/>
    <w:uiPriority w:val="0"/>
    <w:rPr>
      <w:rFonts w:ascii="Times New Roman" w:hAnsi="Times New Roman" w:eastAsia="宋体" w:cs="Times New Roman"/>
      <w:szCs w:val="24"/>
    </w:rPr>
  </w:style>
  <w:style w:type="character" w:customStyle="1" w:styleId="350">
    <w:name w:val="tw4winInternal"/>
    <w:qFormat/>
    <w:uiPriority w:val="0"/>
    <w:rPr>
      <w:rFonts w:ascii="Courier New" w:hAnsi="Courier New" w:cs="Courier New"/>
      <w:color w:val="FF0000"/>
    </w:rPr>
  </w:style>
  <w:style w:type="character" w:customStyle="1" w:styleId="351">
    <w:name w:val="正文（缩进2汉字） Char"/>
    <w:link w:val="352"/>
    <w:qFormat/>
    <w:uiPriority w:val="0"/>
    <w:rPr>
      <w:rFonts w:ascii="宋体"/>
    </w:rPr>
  </w:style>
  <w:style w:type="paragraph" w:customStyle="1" w:styleId="352">
    <w:name w:val="正文（缩进2汉字）"/>
    <w:basedOn w:val="1"/>
    <w:link w:val="35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3">
    <w:name w:val="content"/>
    <w:qFormat/>
    <w:uiPriority w:val="0"/>
  </w:style>
  <w:style w:type="character" w:customStyle="1" w:styleId="354">
    <w:name w:val="Char Char23"/>
    <w:qFormat/>
    <w:uiPriority w:val="6"/>
    <w:rPr>
      <w:color w:val="0000FF"/>
      <w:sz w:val="21"/>
    </w:rPr>
  </w:style>
  <w:style w:type="character" w:customStyle="1" w:styleId="355">
    <w:name w:val="style36"/>
    <w:qFormat/>
    <w:uiPriority w:val="0"/>
  </w:style>
  <w:style w:type="character" w:customStyle="1" w:styleId="356">
    <w:name w:val="标题4-dyf Char"/>
    <w:link w:val="357"/>
    <w:qFormat/>
    <w:uiPriority w:val="0"/>
    <w:rPr>
      <w:rFonts w:ascii="Cambria" w:hAnsi="Cambria"/>
      <w:b/>
      <w:bCs/>
      <w:color w:val="000000"/>
      <w:kern w:val="2"/>
      <w:sz w:val="21"/>
      <w:szCs w:val="21"/>
    </w:rPr>
  </w:style>
  <w:style w:type="paragraph" w:customStyle="1" w:styleId="357">
    <w:name w:val="标题4-dyf"/>
    <w:basedOn w:val="6"/>
    <w:link w:val="356"/>
    <w:qFormat/>
    <w:uiPriority w:val="0"/>
    <w:pPr>
      <w:numPr>
        <w:numId w:val="0"/>
      </w:numPr>
      <w:tabs>
        <w:tab w:val="left" w:pos="851"/>
      </w:tabs>
      <w:spacing w:line="376" w:lineRule="atLeast"/>
      <w:ind w:left="851" w:hanging="851"/>
    </w:pPr>
    <w:rPr>
      <w:rFonts w:ascii="Cambria" w:hAnsi="Cambria" w:eastAsia="宋体"/>
      <w:color w:val="000000"/>
      <w:sz w:val="21"/>
      <w:szCs w:val="21"/>
    </w:rPr>
  </w:style>
  <w:style w:type="character" w:customStyle="1" w:styleId="358">
    <w:name w:val="t21"/>
    <w:qFormat/>
    <w:uiPriority w:val="0"/>
    <w:rPr>
      <w:rFonts w:ascii="仿宋_GB2312" w:eastAsia="微软雅黑"/>
      <w:b/>
      <w:kern w:val="2"/>
      <w:sz w:val="23"/>
      <w:szCs w:val="23"/>
      <w:lang w:val="en-US" w:eastAsia="zh-CN" w:bidi="ar-SA"/>
    </w:rPr>
  </w:style>
  <w:style w:type="character" w:customStyle="1" w:styleId="359">
    <w:name w:val="Char Char312"/>
    <w:qFormat/>
    <w:uiPriority w:val="0"/>
    <w:rPr>
      <w:rFonts w:ascii="Times New Roman" w:hAnsi="Times New Roman" w:eastAsia="宋体" w:cs="Times New Roman"/>
      <w:b/>
      <w:kern w:val="2"/>
      <w:sz w:val="32"/>
      <w:szCs w:val="24"/>
      <w:lang w:val="en-US" w:eastAsia="zh-CN" w:bidi="ar-SA"/>
    </w:rPr>
  </w:style>
  <w:style w:type="character" w:customStyle="1" w:styleId="360">
    <w:name w:val="U_正文 Char"/>
    <w:link w:val="361"/>
    <w:qFormat/>
    <w:uiPriority w:val="0"/>
    <w:rPr>
      <w:sz w:val="24"/>
      <w:szCs w:val="24"/>
    </w:rPr>
  </w:style>
  <w:style w:type="paragraph" w:customStyle="1" w:styleId="361">
    <w:name w:val="U_正文"/>
    <w:basedOn w:val="1"/>
    <w:link w:val="360"/>
    <w:qFormat/>
    <w:uiPriority w:val="0"/>
    <w:pPr>
      <w:adjustRightInd/>
      <w:spacing w:beforeLines="20" w:afterLines="20" w:line="300" w:lineRule="auto"/>
      <w:ind w:firstLine="200" w:firstLineChars="200"/>
    </w:pPr>
    <w:rPr>
      <w:kern w:val="0"/>
      <w:sz w:val="24"/>
    </w:rPr>
  </w:style>
  <w:style w:type="character" w:customStyle="1" w:styleId="362">
    <w:name w:val="正文文字缩进 2 Char Char"/>
    <w:qFormat/>
    <w:uiPriority w:val="0"/>
    <w:rPr>
      <w:rFonts w:ascii="宋体"/>
      <w:sz w:val="28"/>
    </w:rPr>
  </w:style>
  <w:style w:type="character" w:customStyle="1" w:styleId="363">
    <w:name w:val="日期 Char1"/>
    <w:semiHidden/>
    <w:qFormat/>
    <w:uiPriority w:val="99"/>
    <w:rPr>
      <w:rFonts w:ascii="Times New Roman" w:hAnsi="Times New Roman" w:eastAsia="宋体" w:cs="Times New Roman"/>
      <w:szCs w:val="24"/>
    </w:rPr>
  </w:style>
  <w:style w:type="character" w:customStyle="1" w:styleId="364">
    <w:name w:val="Item List Char"/>
    <w:link w:val="365"/>
    <w:qFormat/>
    <w:uiPriority w:val="0"/>
    <w:rPr>
      <w:rFonts w:ascii="Arial"/>
      <w:bCs/>
      <w:sz w:val="21"/>
      <w:szCs w:val="21"/>
      <w:lang w:val="en-US" w:eastAsia="zh-CN" w:bidi="ar-SA"/>
    </w:rPr>
  </w:style>
  <w:style w:type="paragraph" w:customStyle="1" w:styleId="365">
    <w:name w:val="Item List"/>
    <w:link w:val="36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66">
    <w:name w:val="标题 3 字符"/>
    <w:qFormat/>
    <w:uiPriority w:val="9"/>
    <w:rPr>
      <w:b/>
      <w:bCs/>
      <w:kern w:val="2"/>
      <w:sz w:val="32"/>
      <w:szCs w:val="32"/>
    </w:rPr>
  </w:style>
  <w:style w:type="character" w:customStyle="1" w:styleId="367">
    <w:name w:val="PI Char1"/>
    <w:qFormat/>
    <w:uiPriority w:val="0"/>
    <w:rPr>
      <w:rFonts w:ascii="宋体" w:hAnsi="宋体"/>
      <w:kern w:val="2"/>
      <w:sz w:val="24"/>
      <w:szCs w:val="24"/>
    </w:rPr>
  </w:style>
  <w:style w:type="character" w:customStyle="1" w:styleId="368">
    <w:name w:val="tw4winMark"/>
    <w:qFormat/>
    <w:uiPriority w:val="0"/>
    <w:rPr>
      <w:rFonts w:ascii="Courier New" w:hAnsi="Courier New" w:cs="Courier New"/>
      <w:vanish/>
      <w:color w:val="800080"/>
      <w:sz w:val="24"/>
      <w:szCs w:val="24"/>
      <w:vertAlign w:val="subscript"/>
    </w:rPr>
  </w:style>
  <w:style w:type="character" w:customStyle="1" w:styleId="369">
    <w:name w:val="h Char1"/>
    <w:qFormat/>
    <w:uiPriority w:val="0"/>
    <w:rPr>
      <w:sz w:val="18"/>
      <w:szCs w:val="18"/>
    </w:rPr>
  </w:style>
  <w:style w:type="character" w:customStyle="1" w:styleId="370">
    <w:name w:val="仿宋正文 Char"/>
    <w:link w:val="371"/>
    <w:qFormat/>
    <w:uiPriority w:val="0"/>
    <w:rPr>
      <w:rFonts w:ascii="仿宋_GB2312" w:eastAsia="仿宋_GB2312"/>
      <w:kern w:val="2"/>
      <w:sz w:val="24"/>
      <w:lang w:val="en-US" w:eastAsia="zh-CN" w:bidi="ar-SA"/>
    </w:rPr>
  </w:style>
  <w:style w:type="paragraph" w:customStyle="1" w:styleId="371">
    <w:name w:val="仿宋正文"/>
    <w:basedOn w:val="1"/>
    <w:link w:val="370"/>
    <w:qFormat/>
    <w:uiPriority w:val="0"/>
    <w:pPr>
      <w:adjustRightInd/>
      <w:spacing w:line="360" w:lineRule="auto"/>
      <w:ind w:firstLine="480" w:firstLineChars="200"/>
    </w:pPr>
    <w:rPr>
      <w:rFonts w:ascii="仿宋_GB2312" w:eastAsia="仿宋_GB2312"/>
      <w:sz w:val="24"/>
      <w:szCs w:val="20"/>
    </w:rPr>
  </w:style>
  <w:style w:type="character" w:customStyle="1" w:styleId="372">
    <w:name w:val="普通文字 Char1 Char"/>
    <w:qFormat/>
    <w:uiPriority w:val="0"/>
    <w:rPr>
      <w:rFonts w:ascii="宋体" w:hAnsi="Courier New" w:eastAsia="宋体"/>
      <w:kern w:val="2"/>
      <w:sz w:val="21"/>
      <w:szCs w:val="24"/>
      <w:lang w:val="en-US" w:eastAsia="zh-CN" w:bidi="ar-SA"/>
    </w:rPr>
  </w:style>
  <w:style w:type="character" w:customStyle="1" w:styleId="373">
    <w:name w:val="批注文字 Char"/>
    <w:qFormat/>
    <w:uiPriority w:val="99"/>
    <w:rPr>
      <w:kern w:val="2"/>
      <w:sz w:val="21"/>
      <w:szCs w:val="24"/>
    </w:rPr>
  </w:style>
  <w:style w:type="character" w:customStyle="1" w:styleId="374">
    <w:name w:val="正文缩进 Char1"/>
    <w:qFormat/>
    <w:uiPriority w:val="0"/>
    <w:rPr>
      <w:rFonts w:ascii="宋体" w:eastAsia="宋体"/>
      <w:snapToGrid w:val="0"/>
      <w:color w:val="000000"/>
      <w:kern w:val="28"/>
      <w:sz w:val="28"/>
      <w:lang w:val="en-US" w:eastAsia="zh-CN" w:bidi="ar-SA"/>
    </w:rPr>
  </w:style>
  <w:style w:type="character" w:customStyle="1" w:styleId="375">
    <w:name w:val="标题 1 字符"/>
    <w:qFormat/>
    <w:uiPriority w:val="9"/>
    <w:rPr>
      <w:rFonts w:ascii="Arial" w:hAnsi="Arial" w:eastAsia="黑体" w:cs="Arial"/>
      <w:b/>
      <w:bCs/>
      <w:snapToGrid w:val="0"/>
      <w:kern w:val="44"/>
      <w:sz w:val="44"/>
      <w:szCs w:val="44"/>
    </w:rPr>
  </w:style>
  <w:style w:type="character" w:customStyle="1" w:styleId="376">
    <w:name w:val="标题 4 Char1"/>
    <w:qFormat/>
    <w:uiPriority w:val="9"/>
    <w:rPr>
      <w:rFonts w:ascii="Cambria" w:hAnsi="Cambria" w:eastAsia="宋体" w:cs="Times New Roman"/>
      <w:b/>
      <w:bCs/>
      <w:kern w:val="2"/>
      <w:sz w:val="28"/>
      <w:szCs w:val="28"/>
    </w:rPr>
  </w:style>
  <w:style w:type="character" w:customStyle="1" w:styleId="377">
    <w:name w:val="dectext1"/>
    <w:qFormat/>
    <w:uiPriority w:val="0"/>
    <w:rPr>
      <w:rFonts w:ascii="宋体" w:hAnsi="宋体" w:eastAsia="宋体"/>
      <w:color w:val="333333"/>
      <w:sz w:val="21"/>
      <w:szCs w:val="21"/>
      <w:u w:val="none"/>
    </w:rPr>
  </w:style>
  <w:style w:type="character" w:customStyle="1" w:styleId="378">
    <w:name w:val="Char Char101"/>
    <w:qFormat/>
    <w:uiPriority w:val="6"/>
    <w:rPr>
      <w:rFonts w:ascii="宋体" w:hAnsi="宋体"/>
      <w:kern w:val="2"/>
      <w:sz w:val="21"/>
      <w:szCs w:val="24"/>
      <w:lang w:val="en-US" w:eastAsia="zh-CN"/>
    </w:rPr>
  </w:style>
  <w:style w:type="character" w:customStyle="1" w:styleId="379">
    <w:name w:val="unnamed11"/>
    <w:qFormat/>
    <w:uiPriority w:val="0"/>
    <w:rPr>
      <w:sz w:val="20"/>
      <w:szCs w:val="20"/>
    </w:rPr>
  </w:style>
  <w:style w:type="character" w:customStyle="1" w:styleId="380">
    <w:name w:val="Char Char2"/>
    <w:qFormat/>
    <w:uiPriority w:val="0"/>
    <w:rPr>
      <w:rFonts w:eastAsia="宋体"/>
      <w:b/>
      <w:bCs/>
      <w:kern w:val="2"/>
      <w:sz w:val="21"/>
      <w:szCs w:val="24"/>
      <w:lang w:val="en-US" w:eastAsia="zh-CN" w:bidi="ar-SA"/>
    </w:rPr>
  </w:style>
  <w:style w:type="character" w:customStyle="1" w:styleId="381">
    <w:name w:val="Char Char62"/>
    <w:qFormat/>
    <w:uiPriority w:val="0"/>
    <w:rPr>
      <w:rFonts w:eastAsia="宋体"/>
      <w:kern w:val="2"/>
      <w:sz w:val="21"/>
      <w:szCs w:val="24"/>
      <w:lang w:val="en-US" w:eastAsia="zh-CN" w:bidi="ar-SA"/>
    </w:rPr>
  </w:style>
  <w:style w:type="character" w:customStyle="1" w:styleId="382">
    <w:name w:val="样式6 Char"/>
    <w:qFormat/>
    <w:uiPriority w:val="0"/>
    <w:rPr>
      <w:rFonts w:ascii="仿宋_GB2312" w:hAnsi="宋体" w:eastAsia="仿宋_GB2312"/>
      <w:b/>
      <w:bCs/>
      <w:kern w:val="2"/>
      <w:sz w:val="24"/>
      <w:szCs w:val="24"/>
      <w:lang w:val="en-US" w:eastAsia="zh-CN" w:bidi="ar-SA"/>
    </w:rPr>
  </w:style>
  <w:style w:type="character" w:customStyle="1" w:styleId="383">
    <w:name w:val="纯文本 Char Char Char"/>
    <w:qFormat/>
    <w:uiPriority w:val="0"/>
    <w:rPr>
      <w:rFonts w:ascii="宋体" w:hAnsi="Courier New" w:eastAsia="宋体"/>
      <w:kern w:val="2"/>
      <w:sz w:val="21"/>
      <w:lang w:val="en-US" w:eastAsia="zh-CN" w:bidi="ar-SA"/>
    </w:rPr>
  </w:style>
  <w:style w:type="character" w:customStyle="1" w:styleId="384">
    <w:name w:val="myp1111"/>
    <w:qFormat/>
    <w:uiPriority w:val="0"/>
    <w:rPr>
      <w:rFonts w:hint="default" w:ascii="ˎ̥" w:hAnsi="ˎ̥"/>
      <w:color w:val="000000"/>
      <w:sz w:val="20"/>
      <w:szCs w:val="20"/>
      <w:u w:val="none"/>
    </w:rPr>
  </w:style>
  <w:style w:type="character" w:customStyle="1" w:styleId="385">
    <w:name w:val="正文文本 3 Char1"/>
    <w:semiHidden/>
    <w:qFormat/>
    <w:uiPriority w:val="99"/>
    <w:rPr>
      <w:rFonts w:ascii="Times New Roman" w:hAnsi="Times New Roman" w:eastAsia="宋体" w:cs="Times New Roman"/>
      <w:sz w:val="16"/>
      <w:szCs w:val="16"/>
    </w:rPr>
  </w:style>
  <w:style w:type="character" w:customStyle="1" w:styleId="386">
    <w:name w:val="font51"/>
    <w:qFormat/>
    <w:uiPriority w:val="0"/>
    <w:rPr>
      <w:rFonts w:hint="eastAsia" w:ascii="仿宋" w:hAnsi="仿宋" w:eastAsia="仿宋" w:cs="仿宋"/>
      <w:color w:val="000000"/>
      <w:sz w:val="20"/>
      <w:szCs w:val="20"/>
      <w:u w:val="none"/>
    </w:rPr>
  </w:style>
  <w:style w:type="character" w:customStyle="1" w:styleId="387">
    <w:name w:val="Char Char241"/>
    <w:qFormat/>
    <w:uiPriority w:val="0"/>
    <w:rPr>
      <w:rFonts w:eastAsia="宋体"/>
      <w:b/>
      <w:bCs/>
      <w:kern w:val="2"/>
      <w:sz w:val="21"/>
      <w:szCs w:val="24"/>
      <w:lang w:val="en-US" w:eastAsia="zh-CN" w:bidi="ar-SA"/>
    </w:rPr>
  </w:style>
  <w:style w:type="character" w:customStyle="1" w:styleId="388">
    <w:name w:val="Char Char14"/>
    <w:qFormat/>
    <w:uiPriority w:val="6"/>
    <w:rPr>
      <w:rFonts w:ascii="黑体" w:hAnsi="黑体" w:eastAsia="黑体"/>
    </w:rPr>
  </w:style>
  <w:style w:type="character" w:customStyle="1" w:styleId="389">
    <w:name w:val="图名 Char"/>
    <w:qFormat/>
    <w:uiPriority w:val="0"/>
    <w:rPr>
      <w:rFonts w:ascii="Arial" w:hAnsi="Arial" w:eastAsia="黑体"/>
      <w:kern w:val="2"/>
      <w:sz w:val="24"/>
      <w:szCs w:val="24"/>
      <w:lang w:val="en-US" w:eastAsia="zh-CN" w:bidi="ar-SA"/>
    </w:rPr>
  </w:style>
  <w:style w:type="character" w:customStyle="1" w:styleId="390">
    <w:name w:val="font12gray1"/>
    <w:qFormat/>
    <w:uiPriority w:val="0"/>
    <w:rPr>
      <w:rFonts w:ascii="仿宋_GB2312" w:eastAsia="微软雅黑"/>
      <w:b/>
      <w:spacing w:val="300"/>
      <w:kern w:val="2"/>
      <w:sz w:val="18"/>
      <w:szCs w:val="18"/>
      <w:lang w:val="en-US" w:eastAsia="zh-CN" w:bidi="ar-SA"/>
    </w:rPr>
  </w:style>
  <w:style w:type="character" w:customStyle="1" w:styleId="391">
    <w:name w:val="标书表格字体格式 Char"/>
    <w:qFormat/>
    <w:uiPriority w:val="0"/>
    <w:rPr>
      <w:kern w:val="2"/>
      <w:sz w:val="21"/>
      <w:szCs w:val="24"/>
      <w:lang w:bidi="ar-SA"/>
    </w:rPr>
  </w:style>
  <w:style w:type="character" w:customStyle="1" w:styleId="392">
    <w:name w:val="px14"/>
    <w:qFormat/>
    <w:uiPriority w:val="0"/>
    <w:rPr>
      <w:rFonts w:ascii="仿宋_GB2312" w:eastAsia="微软雅黑" w:cs="Times New Roman"/>
      <w:b/>
      <w:kern w:val="2"/>
      <w:sz w:val="32"/>
      <w:szCs w:val="32"/>
      <w:lang w:val="en-US" w:eastAsia="zh-CN" w:bidi="ar-SA"/>
    </w:rPr>
  </w:style>
  <w:style w:type="character" w:customStyle="1" w:styleId="393">
    <w:name w:val="Char Char51"/>
    <w:qFormat/>
    <w:uiPriority w:val="0"/>
    <w:rPr>
      <w:rFonts w:ascii="宋体" w:hAnsi="Courier New" w:eastAsia="宋体"/>
      <w:kern w:val="2"/>
      <w:sz w:val="21"/>
      <w:lang w:val="en-US" w:eastAsia="zh-CN"/>
    </w:rPr>
  </w:style>
  <w:style w:type="character" w:customStyle="1" w:styleId="394">
    <w:name w:val="Char Char24"/>
    <w:qFormat/>
    <w:uiPriority w:val="6"/>
    <w:rPr>
      <w:kern w:val="1"/>
      <w:sz w:val="21"/>
    </w:rPr>
  </w:style>
  <w:style w:type="character" w:customStyle="1" w:styleId="395">
    <w:name w:val="Default Char"/>
    <w:link w:val="396"/>
    <w:qFormat/>
    <w:uiPriority w:val="0"/>
    <w:rPr>
      <w:rFonts w:ascii="仿宋_GB2312" w:eastAsia="仿宋_GB2312" w:cs="仿宋_GB2312"/>
      <w:color w:val="000000"/>
      <w:sz w:val="24"/>
      <w:szCs w:val="24"/>
      <w:lang w:val="en-US" w:eastAsia="zh-CN" w:bidi="ar-SA"/>
    </w:rPr>
  </w:style>
  <w:style w:type="paragraph" w:customStyle="1" w:styleId="396">
    <w:name w:val="Default"/>
    <w:link w:val="39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97">
    <w:name w:val="Ò³Ã¼ Char Char1"/>
    <w:qFormat/>
    <w:uiPriority w:val="0"/>
    <w:rPr>
      <w:rFonts w:eastAsia="宋体"/>
      <w:kern w:val="2"/>
      <w:sz w:val="18"/>
      <w:szCs w:val="18"/>
      <w:lang w:val="en-US" w:eastAsia="zh-CN" w:bidi="ar-SA"/>
    </w:rPr>
  </w:style>
  <w:style w:type="character" w:customStyle="1" w:styleId="398">
    <w:name w:val="标书1 Char"/>
    <w:qFormat/>
    <w:uiPriority w:val="0"/>
    <w:rPr>
      <w:rFonts w:eastAsia="宋体"/>
      <w:b/>
      <w:bCs/>
      <w:kern w:val="44"/>
      <w:sz w:val="44"/>
      <w:szCs w:val="44"/>
      <w:lang w:val="en-US" w:eastAsia="zh-CN" w:bidi="ar-SA"/>
    </w:rPr>
  </w:style>
  <w:style w:type="character" w:customStyle="1" w:styleId="399">
    <w:name w:val="公文正文 Char Char"/>
    <w:link w:val="400"/>
    <w:qFormat/>
    <w:uiPriority w:val="0"/>
    <w:rPr>
      <w:rFonts w:ascii="仿宋_GB2312" w:eastAsia="仿宋_GB2312"/>
      <w:kern w:val="2"/>
      <w:sz w:val="24"/>
      <w:szCs w:val="24"/>
    </w:rPr>
  </w:style>
  <w:style w:type="paragraph" w:customStyle="1" w:styleId="400">
    <w:name w:val="公文正文"/>
    <w:basedOn w:val="1"/>
    <w:link w:val="399"/>
    <w:qFormat/>
    <w:uiPriority w:val="0"/>
    <w:pPr>
      <w:adjustRightInd/>
      <w:spacing w:before="156" w:line="360" w:lineRule="auto"/>
      <w:ind w:firstLine="360" w:firstLineChars="200"/>
    </w:pPr>
    <w:rPr>
      <w:rFonts w:ascii="仿宋_GB2312" w:eastAsia="仿宋_GB2312"/>
      <w:sz w:val="24"/>
    </w:rPr>
  </w:style>
  <w:style w:type="character" w:customStyle="1" w:styleId="401">
    <w:name w:val="tw4winTerm"/>
    <w:qFormat/>
    <w:uiPriority w:val="0"/>
    <w:rPr>
      <w:color w:val="0000FF"/>
    </w:rPr>
  </w:style>
  <w:style w:type="character" w:customStyle="1" w:styleId="402">
    <w:name w:val="正文缩进 Char"/>
    <w:qFormat/>
    <w:uiPriority w:val="0"/>
    <w:rPr>
      <w:rFonts w:eastAsia="宋体"/>
      <w:kern w:val="2"/>
      <w:sz w:val="21"/>
      <w:lang w:val="en-US" w:eastAsia="zh-CN"/>
    </w:rPr>
  </w:style>
  <w:style w:type="character" w:customStyle="1" w:styleId="403">
    <w:name w:val="txt"/>
    <w:qFormat/>
    <w:uiPriority w:val="0"/>
    <w:rPr>
      <w:rFonts w:ascii="仿宋_GB2312" w:eastAsia="微软雅黑"/>
      <w:b/>
      <w:kern w:val="2"/>
      <w:sz w:val="32"/>
      <w:szCs w:val="32"/>
      <w:lang w:val="en-US" w:eastAsia="zh-CN" w:bidi="ar-SA"/>
    </w:rPr>
  </w:style>
  <w:style w:type="character" w:customStyle="1" w:styleId="404">
    <w:name w:val="Table Text Char"/>
    <w:link w:val="405"/>
    <w:qFormat/>
    <w:uiPriority w:val="0"/>
    <w:rPr>
      <w:sz w:val="24"/>
      <w:szCs w:val="24"/>
    </w:rPr>
  </w:style>
  <w:style w:type="paragraph" w:customStyle="1" w:styleId="405">
    <w:name w:val="Table Text"/>
    <w:basedOn w:val="1"/>
    <w:link w:val="404"/>
    <w:qFormat/>
    <w:uiPriority w:val="0"/>
    <w:pPr>
      <w:widowControl/>
      <w:spacing w:before="60" w:after="60"/>
      <w:jc w:val="left"/>
    </w:pPr>
    <w:rPr>
      <w:kern w:val="0"/>
      <w:sz w:val="24"/>
    </w:rPr>
  </w:style>
  <w:style w:type="character" w:customStyle="1" w:styleId="406">
    <w:name w:val="font41"/>
    <w:qFormat/>
    <w:uiPriority w:val="0"/>
    <w:rPr>
      <w:rFonts w:hint="eastAsia" w:ascii="仿宋_GB2312" w:eastAsia="仿宋_GB2312" w:cs="仿宋_GB2312"/>
      <w:color w:val="000000"/>
      <w:sz w:val="22"/>
      <w:szCs w:val="22"/>
      <w:u w:val="none"/>
    </w:rPr>
  </w:style>
  <w:style w:type="character" w:customStyle="1" w:styleId="407">
    <w:name w:val="页眉 Char1"/>
    <w:qFormat/>
    <w:uiPriority w:val="0"/>
    <w:rPr>
      <w:rFonts w:eastAsia="宋体"/>
      <w:kern w:val="2"/>
      <w:sz w:val="18"/>
      <w:szCs w:val="18"/>
      <w:lang w:val="en-US" w:eastAsia="zh-CN" w:bidi="ar-SA"/>
    </w:rPr>
  </w:style>
  <w:style w:type="character" w:customStyle="1" w:styleId="408">
    <w:name w:val="样式8 Char"/>
    <w:qFormat/>
    <w:uiPriority w:val="0"/>
    <w:rPr>
      <w:rFonts w:ascii="仿宋_GB2312" w:hAnsi="宋体" w:eastAsia="仿宋_GB2312"/>
      <w:b/>
      <w:bCs/>
      <w:kern w:val="2"/>
      <w:sz w:val="24"/>
      <w:szCs w:val="24"/>
    </w:rPr>
  </w:style>
  <w:style w:type="character" w:customStyle="1" w:styleId="409">
    <w:name w:val="Char Char82"/>
    <w:qFormat/>
    <w:uiPriority w:val="0"/>
    <w:rPr>
      <w:rFonts w:eastAsia="宋体"/>
      <w:b/>
      <w:sz w:val="24"/>
      <w:lang w:val="en-GB" w:eastAsia="zh-CN"/>
    </w:rPr>
  </w:style>
  <w:style w:type="character" w:customStyle="1" w:styleId="410">
    <w:name w:val="列出段落 Char"/>
    <w:qFormat/>
    <w:uiPriority w:val="34"/>
    <w:rPr>
      <w:rFonts w:eastAsia="楷体_GB2312" w:cs="Lucida Sans"/>
      <w:kern w:val="2"/>
      <w:sz w:val="24"/>
      <w:szCs w:val="24"/>
      <w:lang w:val="en-US" w:eastAsia="zh-CN" w:bidi="ar-SA"/>
    </w:rPr>
  </w:style>
  <w:style w:type="character" w:customStyle="1" w:styleId="411">
    <w:name w:val="Char Char31"/>
    <w:qFormat/>
    <w:uiPriority w:val="6"/>
    <w:rPr>
      <w:rFonts w:ascii="Arial" w:hAnsi="Arial" w:eastAsia="黑体"/>
      <w:kern w:val="1"/>
      <w:sz w:val="24"/>
      <w:szCs w:val="24"/>
    </w:rPr>
  </w:style>
  <w:style w:type="character" w:customStyle="1" w:styleId="412">
    <w:name w:val="Char Char35"/>
    <w:qFormat/>
    <w:uiPriority w:val="6"/>
    <w:rPr>
      <w:rFonts w:ascii="Arial" w:hAnsi="Arial" w:eastAsia="黑体"/>
      <w:b/>
      <w:kern w:val="1"/>
      <w:sz w:val="28"/>
      <w:szCs w:val="28"/>
      <w:lang w:val="zh-CN"/>
    </w:rPr>
  </w:style>
  <w:style w:type="character" w:customStyle="1" w:styleId="413">
    <w:name w:val="Char Char52"/>
    <w:qFormat/>
    <w:uiPriority w:val="0"/>
    <w:rPr>
      <w:rFonts w:ascii="宋体" w:hAnsi="Courier New" w:eastAsia="宋体"/>
      <w:kern w:val="2"/>
      <w:sz w:val="21"/>
      <w:lang w:val="en-US" w:eastAsia="zh-CN"/>
    </w:rPr>
  </w:style>
  <w:style w:type="character" w:customStyle="1" w:styleId="414">
    <w:name w:val="页眉 Char"/>
    <w:qFormat/>
    <w:uiPriority w:val="0"/>
    <w:rPr>
      <w:rFonts w:eastAsia="仿宋_GB2312"/>
      <w:kern w:val="2"/>
      <w:sz w:val="18"/>
      <w:lang w:val="en-US" w:eastAsia="zh-CN"/>
    </w:rPr>
  </w:style>
  <w:style w:type="character" w:customStyle="1" w:styleId="415">
    <w:name w:val="Char Char102"/>
    <w:semiHidden/>
    <w:qFormat/>
    <w:uiPriority w:val="0"/>
    <w:rPr>
      <w:rFonts w:ascii="宋体" w:hAnsi="宋体"/>
      <w:kern w:val="2"/>
      <w:sz w:val="21"/>
      <w:szCs w:val="24"/>
    </w:rPr>
  </w:style>
  <w:style w:type="character" w:customStyle="1" w:styleId="416">
    <w:name w:val="副标题 Char1"/>
    <w:qFormat/>
    <w:uiPriority w:val="0"/>
    <w:rPr>
      <w:rFonts w:ascii="Cambria" w:hAnsi="Cambria" w:eastAsia="宋体" w:cs="Times New Roman"/>
      <w:b/>
      <w:bCs/>
      <w:snapToGrid w:val="0"/>
      <w:kern w:val="28"/>
      <w:sz w:val="32"/>
      <w:szCs w:val="32"/>
    </w:rPr>
  </w:style>
  <w:style w:type="character" w:customStyle="1" w:styleId="417">
    <w:name w:val="表格非标题文字 Char"/>
    <w:link w:val="418"/>
    <w:qFormat/>
    <w:uiPriority w:val="0"/>
    <w:rPr>
      <w:rFonts w:ascii="Futura Bk" w:hAnsi="Futura Bk"/>
      <w:kern w:val="2"/>
      <w:sz w:val="18"/>
      <w:szCs w:val="21"/>
      <w:lang w:val="en-US" w:eastAsia="zh-CN" w:bidi="ar-SA"/>
    </w:rPr>
  </w:style>
  <w:style w:type="paragraph" w:customStyle="1" w:styleId="418">
    <w:name w:val="表格非标题文字"/>
    <w:link w:val="41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41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单元格居中"/>
    <w:basedOn w:val="1"/>
    <w:qFormat/>
    <w:uiPriority w:val="0"/>
    <w:pPr>
      <w:adjustRightInd/>
      <w:spacing w:line="360" w:lineRule="auto"/>
      <w:jc w:val="center"/>
    </w:pPr>
    <w:rPr>
      <w:sz w:val="24"/>
    </w:rPr>
  </w:style>
  <w:style w:type="paragraph" w:customStyle="1" w:styleId="4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42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26">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2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2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2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索引 11"/>
    <w:basedOn w:val="1"/>
    <w:next w:val="1"/>
    <w:qFormat/>
    <w:uiPriority w:val="0"/>
    <w:pPr>
      <w:adjustRightInd/>
      <w:spacing w:line="360" w:lineRule="auto"/>
    </w:pPr>
    <w:rPr>
      <w:rFonts w:ascii="仿宋_GB2312" w:eastAsia="仿宋_GB2312"/>
      <w:sz w:val="24"/>
      <w:szCs w:val="20"/>
    </w:rPr>
  </w:style>
  <w:style w:type="paragraph" w:customStyle="1" w:styleId="43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3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433">
    <w:name w:val="Char Char Char Char11"/>
    <w:basedOn w:val="1"/>
    <w:qFormat/>
    <w:uiPriority w:val="0"/>
    <w:rPr>
      <w:rFonts w:ascii="Tahoma" w:hAnsi="Tahoma"/>
      <w:sz w:val="24"/>
      <w:szCs w:val="20"/>
    </w:rPr>
  </w:style>
  <w:style w:type="paragraph" w:customStyle="1" w:styleId="4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35">
    <w:name w:val="EB_表格"/>
    <w:basedOn w:val="1"/>
    <w:qFormat/>
    <w:uiPriority w:val="0"/>
    <w:pPr>
      <w:adjustRightInd/>
      <w:spacing w:line="300" w:lineRule="auto"/>
      <w:jc w:val="center"/>
    </w:pPr>
  </w:style>
  <w:style w:type="paragraph" w:customStyle="1" w:styleId="436">
    <w:name w:val="五级条标题"/>
    <w:basedOn w:val="437"/>
    <w:next w:val="442"/>
    <w:qFormat/>
    <w:uiPriority w:val="0"/>
    <w:pPr>
      <w:numPr>
        <w:ilvl w:val="6"/>
      </w:numPr>
      <w:tabs>
        <w:tab w:val="left" w:pos="1260"/>
        <w:tab w:val="left" w:pos="1680"/>
        <w:tab w:val="left" w:pos="2100"/>
        <w:tab w:val="left" w:pos="2520"/>
        <w:tab w:val="left" w:pos="2940"/>
      </w:tabs>
      <w:outlineLvl w:val="6"/>
    </w:pPr>
  </w:style>
  <w:style w:type="paragraph" w:customStyle="1" w:styleId="437">
    <w:name w:val="四级条标题"/>
    <w:basedOn w:val="438"/>
    <w:next w:val="442"/>
    <w:qFormat/>
    <w:uiPriority w:val="0"/>
    <w:pPr>
      <w:numPr>
        <w:ilvl w:val="5"/>
        <w:numId w:val="5"/>
      </w:numPr>
      <w:tabs>
        <w:tab w:val="left" w:pos="1260"/>
        <w:tab w:val="left" w:pos="1680"/>
        <w:tab w:val="left" w:pos="2100"/>
        <w:tab w:val="left" w:pos="2520"/>
      </w:tabs>
      <w:outlineLvl w:val="5"/>
    </w:pPr>
  </w:style>
  <w:style w:type="paragraph" w:customStyle="1" w:styleId="438">
    <w:name w:val="三级条标题"/>
    <w:basedOn w:val="439"/>
    <w:next w:val="442"/>
    <w:qFormat/>
    <w:uiPriority w:val="0"/>
    <w:pPr>
      <w:tabs>
        <w:tab w:val="left" w:pos="1260"/>
        <w:tab w:val="left" w:pos="1680"/>
        <w:tab w:val="left" w:pos="2100"/>
        <w:tab w:val="left" w:pos="2520"/>
      </w:tabs>
      <w:ind w:left="2520"/>
      <w:outlineLvl w:val="4"/>
    </w:pPr>
  </w:style>
  <w:style w:type="paragraph" w:customStyle="1" w:styleId="439">
    <w:name w:val="二级条标题"/>
    <w:basedOn w:val="440"/>
    <w:next w:val="442"/>
    <w:qFormat/>
    <w:uiPriority w:val="0"/>
    <w:pPr>
      <w:tabs>
        <w:tab w:val="left" w:pos="1260"/>
        <w:tab w:val="left" w:pos="1680"/>
        <w:tab w:val="left" w:pos="2100"/>
      </w:tabs>
      <w:ind w:left="0"/>
      <w:outlineLvl w:val="3"/>
    </w:pPr>
  </w:style>
  <w:style w:type="paragraph" w:customStyle="1" w:styleId="440">
    <w:name w:val="一级条标题"/>
    <w:basedOn w:val="441"/>
    <w:next w:val="442"/>
    <w:qFormat/>
    <w:uiPriority w:val="0"/>
    <w:pPr>
      <w:tabs>
        <w:tab w:val="left" w:pos="1260"/>
        <w:tab w:val="left" w:pos="1680"/>
      </w:tabs>
      <w:ind w:left="1680"/>
      <w:outlineLvl w:val="2"/>
    </w:pPr>
  </w:style>
  <w:style w:type="paragraph" w:customStyle="1" w:styleId="441">
    <w:name w:val="章标题"/>
    <w:next w:val="4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444">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46">
    <w:name w:val="Char2 Char Char Char"/>
    <w:basedOn w:val="1"/>
    <w:qFormat/>
    <w:uiPriority w:val="0"/>
    <w:rPr>
      <w:rFonts w:ascii="仿宋_GB2312" w:eastAsia="仿宋_GB2312"/>
      <w:b/>
      <w:sz w:val="32"/>
      <w:szCs w:val="32"/>
    </w:rPr>
  </w:style>
  <w:style w:type="paragraph" w:customStyle="1" w:styleId="4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448">
    <w:name w:val="_Style 447"/>
    <w:basedOn w:val="2"/>
    <w:next w:val="1"/>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44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450">
    <w:name w:val="舟式样--正文"/>
    <w:basedOn w:val="1"/>
    <w:qFormat/>
    <w:uiPriority w:val="0"/>
    <w:pPr>
      <w:ind w:firstLine="200" w:firstLineChars="200"/>
    </w:pPr>
    <w:rPr>
      <w:rFonts w:ascii="仿宋_GB2312" w:hAnsi="Calibri" w:eastAsia="仿宋_GB2312"/>
      <w:sz w:val="28"/>
      <w:szCs w:val="22"/>
    </w:rPr>
  </w:style>
  <w:style w:type="paragraph" w:customStyle="1" w:styleId="451">
    <w:name w:val="Char Char Char Char Char Char Char Char"/>
    <w:basedOn w:val="1"/>
    <w:qFormat/>
    <w:uiPriority w:val="0"/>
    <w:pPr>
      <w:tabs>
        <w:tab w:val="left" w:pos="360"/>
      </w:tabs>
    </w:pPr>
    <w:rPr>
      <w:sz w:val="24"/>
      <w:szCs w:val="20"/>
    </w:rPr>
  </w:style>
  <w:style w:type="paragraph" w:customStyle="1" w:styleId="45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45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55">
    <w:name w:val="Body Text 2*"/>
    <w:basedOn w:val="1"/>
    <w:qFormat/>
    <w:uiPriority w:val="6"/>
    <w:pPr>
      <w:widowControl/>
      <w:adjustRightInd/>
      <w:ind w:left="720" w:hanging="720"/>
    </w:pPr>
    <w:rPr>
      <w:color w:val="000000"/>
      <w:kern w:val="0"/>
      <w:sz w:val="24"/>
      <w:szCs w:val="20"/>
      <w:lang w:val="en-GB"/>
    </w:rPr>
  </w:style>
  <w:style w:type="paragraph" w:customStyle="1" w:styleId="456">
    <w:name w:val="列表内容"/>
    <w:basedOn w:val="1"/>
    <w:next w:val="1"/>
    <w:qFormat/>
    <w:uiPriority w:val="0"/>
    <w:pPr>
      <w:widowControl/>
      <w:tabs>
        <w:tab w:val="left" w:pos="840"/>
      </w:tabs>
      <w:ind w:left="840" w:hanging="420"/>
      <w:jc w:val="left"/>
    </w:pPr>
    <w:rPr>
      <w:kern w:val="0"/>
      <w:sz w:val="18"/>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59">
    <w:name w:val="Char Char Char"/>
    <w:basedOn w:val="1"/>
    <w:qFormat/>
    <w:uiPriority w:val="0"/>
    <w:rPr>
      <w:rFonts w:ascii="Tahoma" w:hAnsi="Tahoma"/>
      <w:sz w:val="24"/>
      <w:szCs w:val="20"/>
    </w:rPr>
  </w:style>
  <w:style w:type="paragraph" w:customStyle="1" w:styleId="460">
    <w:name w:val="MM Topic 2"/>
    <w:basedOn w:val="4"/>
    <w:qFormat/>
    <w:uiPriority w:val="0"/>
    <w:pPr>
      <w:numPr>
        <w:ilvl w:val="1"/>
        <w:numId w:val="5"/>
      </w:numPr>
    </w:pPr>
    <w:rPr>
      <w:rFonts w:ascii="Arial" w:hAnsi="Arial" w:eastAsia="黑体"/>
      <w:lang w:val="en-US"/>
    </w:rPr>
  </w:style>
  <w:style w:type="paragraph" w:customStyle="1" w:styleId="46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462">
    <w:name w:val="表格题注"/>
    <w:next w:val="1"/>
    <w:qFormat/>
    <w:uiPriority w:val="0"/>
    <w:pPr>
      <w:keepLines/>
      <w:numPr>
        <w:ilvl w:val="8"/>
        <w:numId w:val="5"/>
      </w:numPr>
      <w:spacing w:beforeLines="100"/>
      <w:ind w:left="1089" w:hanging="369"/>
      <w:jc w:val="center"/>
    </w:pPr>
    <w:rPr>
      <w:rFonts w:ascii="Arial" w:hAnsi="Arial" w:eastAsia="宋体" w:cs="Times New Roman"/>
      <w:sz w:val="18"/>
      <w:szCs w:val="18"/>
      <w:lang w:val="en-US" w:eastAsia="zh-CN" w:bidi="ar-SA"/>
    </w:rPr>
  </w:style>
  <w:style w:type="paragraph" w:customStyle="1" w:styleId="463">
    <w:name w:val="Char2 Char Char Char11"/>
    <w:basedOn w:val="1"/>
    <w:qFormat/>
    <w:uiPriority w:val="0"/>
    <w:rPr>
      <w:rFonts w:ascii="仿宋_GB2312" w:eastAsia="仿宋_GB2312"/>
      <w:b/>
      <w:sz w:val="32"/>
      <w:szCs w:val="32"/>
    </w:rPr>
  </w:style>
  <w:style w:type="paragraph" w:customStyle="1" w:styleId="46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65">
    <w:name w:val="a1"/>
    <w:basedOn w:val="1"/>
    <w:qFormat/>
    <w:uiPriority w:val="0"/>
    <w:pPr>
      <w:widowControl/>
      <w:spacing w:line="300" w:lineRule="atLeast"/>
      <w:jc w:val="left"/>
    </w:pPr>
    <w:rPr>
      <w:rFonts w:ascii="宋体" w:hAnsi="宋体"/>
      <w:kern w:val="0"/>
      <w:sz w:val="18"/>
      <w:szCs w:val="20"/>
    </w:rPr>
  </w:style>
  <w:style w:type="paragraph" w:customStyle="1" w:styleId="466">
    <w:name w:val="彩色列表 - 强调文字颜色 12"/>
    <w:basedOn w:val="1"/>
    <w:qFormat/>
    <w:uiPriority w:val="0"/>
    <w:pPr>
      <w:adjustRightInd/>
      <w:ind w:firstLine="420" w:firstLineChars="200"/>
    </w:pPr>
    <w:rPr>
      <w:rFonts w:ascii="Calibri" w:hAnsi="Calibri"/>
      <w:szCs w:val="22"/>
    </w:rPr>
  </w:style>
  <w:style w:type="paragraph" w:customStyle="1" w:styleId="467">
    <w:name w:val="默认段落字体 Para Char Char Char Char Char Char Char"/>
    <w:basedOn w:val="1"/>
    <w:qFormat/>
    <w:uiPriority w:val="0"/>
    <w:rPr>
      <w:rFonts w:eastAsia="仿宋_GB2312"/>
      <w:sz w:val="28"/>
      <w:szCs w:val="20"/>
    </w:rPr>
  </w:style>
  <w:style w:type="paragraph" w:customStyle="1" w:styleId="468">
    <w:name w:val="标书标题2"/>
    <w:basedOn w:val="4"/>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Char11"/>
    <w:basedOn w:val="1"/>
    <w:qFormat/>
    <w:uiPriority w:val="0"/>
    <w:pPr>
      <w:tabs>
        <w:tab w:val="left" w:pos="432"/>
      </w:tabs>
      <w:adjustRightInd/>
      <w:spacing w:beforeLines="50" w:afterLines="50"/>
      <w:ind w:left="432" w:hanging="432" w:firstLineChars="200"/>
    </w:pPr>
    <w:rPr>
      <w:sz w:val="24"/>
    </w:rPr>
  </w:style>
  <w:style w:type="paragraph" w:customStyle="1" w:styleId="470">
    <w:name w:val="List Paragraph1"/>
    <w:basedOn w:val="1"/>
    <w:qFormat/>
    <w:uiPriority w:val="34"/>
    <w:pPr>
      <w:spacing w:line="360" w:lineRule="auto"/>
      <w:ind w:firstLine="200" w:firstLineChars="200"/>
    </w:pPr>
    <w:rPr>
      <w:rFonts w:eastAsia="楷体_GB2312" w:cs="Lucida Sans"/>
      <w:sz w:val="24"/>
    </w:rPr>
  </w:style>
  <w:style w:type="paragraph" w:customStyle="1" w:styleId="47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4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74">
    <w:name w:val="_正文段落"/>
    <w:basedOn w:val="1"/>
    <w:qFormat/>
    <w:uiPriority w:val="0"/>
    <w:pPr>
      <w:adjustRightInd/>
      <w:ind w:firstLine="560"/>
    </w:pPr>
    <w:rPr>
      <w:rFonts w:ascii="仿宋_GB2312" w:hAnsi="仿宋" w:eastAsia="仿宋_GB2312"/>
      <w:kern w:val="0"/>
      <w:sz w:val="28"/>
      <w:szCs w:val="28"/>
    </w:rPr>
  </w:style>
  <w:style w:type="paragraph" w:customStyle="1" w:styleId="475">
    <w:name w:val="表格"/>
    <w:basedOn w:val="1"/>
    <w:qFormat/>
    <w:uiPriority w:val="0"/>
    <w:pPr>
      <w:snapToGrid w:val="0"/>
      <w:ind w:firstLine="42" w:firstLineChars="21"/>
    </w:pPr>
    <w:rPr>
      <w:rFonts w:ascii="宋体" w:hAnsi="宋体"/>
      <w:kern w:val="0"/>
      <w:sz w:val="20"/>
      <w:szCs w:val="20"/>
    </w:rPr>
  </w:style>
  <w:style w:type="paragraph" w:customStyle="1" w:styleId="47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7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80">
    <w:name w:val="默认段落样式"/>
    <w:basedOn w:val="264"/>
    <w:qFormat/>
    <w:uiPriority w:val="0"/>
    <w:pPr>
      <w:spacing w:before="0"/>
      <w:ind w:firstLine="480"/>
      <w:outlineLvl w:val="2"/>
    </w:pPr>
    <w:rPr>
      <w:rFonts w:ascii="仿宋_GB2312" w:hAnsi="宋体" w:eastAsia="仿宋_GB2312"/>
      <w:color w:val="000000"/>
      <w:szCs w:val="24"/>
    </w:rPr>
  </w:style>
  <w:style w:type="paragraph" w:customStyle="1" w:styleId="48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482">
    <w:name w:val="舟式样--标题3"/>
    <w:basedOn w:val="5"/>
    <w:next w:val="483"/>
    <w:qFormat/>
    <w:uiPriority w:val="0"/>
    <w:pPr>
      <w:numPr>
        <w:numId w:val="7"/>
      </w:numPr>
      <w:spacing w:before="0" w:after="0" w:line="540" w:lineRule="exact"/>
      <w:ind w:firstLine="643" w:firstLineChars="200"/>
    </w:pPr>
    <w:rPr>
      <w:rFonts w:ascii="仿宋_GB2312" w:eastAsia="仿宋_GB2312"/>
      <w:sz w:val="28"/>
    </w:rPr>
  </w:style>
  <w:style w:type="paragraph" w:customStyle="1" w:styleId="483">
    <w:name w:val="舟式样--标题4"/>
    <w:basedOn w:val="6"/>
    <w:next w:val="450"/>
    <w:qFormat/>
    <w:uiPriority w:val="0"/>
    <w:pPr>
      <w:numPr>
        <w:numId w:val="7"/>
      </w:numPr>
      <w:spacing w:before="0" w:after="0" w:line="540" w:lineRule="exact"/>
      <w:ind w:firstLine="640" w:firstLineChars="200"/>
    </w:pPr>
    <w:rPr>
      <w:rFonts w:ascii="仿宋_GB2312" w:eastAsia="仿宋_GB2312"/>
      <w:b w:val="0"/>
      <w:szCs w:val="32"/>
    </w:rPr>
  </w:style>
  <w:style w:type="paragraph" w:customStyle="1" w:styleId="484">
    <w:name w:val="默认段落字体 Para Char"/>
    <w:basedOn w:val="1"/>
    <w:qFormat/>
    <w:uiPriority w:val="0"/>
    <w:rPr>
      <w:rFonts w:ascii="Tahoma" w:hAnsi="Tahoma"/>
      <w:sz w:val="24"/>
      <w:szCs w:val="20"/>
    </w:rPr>
  </w:style>
  <w:style w:type="paragraph" w:customStyle="1" w:styleId="4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87">
    <w:name w:val="列出段落5"/>
    <w:basedOn w:val="1"/>
    <w:qFormat/>
    <w:uiPriority w:val="0"/>
    <w:pPr>
      <w:spacing w:line="360" w:lineRule="auto"/>
      <w:ind w:firstLine="200" w:firstLineChars="200"/>
    </w:pPr>
    <w:rPr>
      <w:rFonts w:eastAsia="楷体_GB2312" w:cs="Lucida Sans"/>
      <w:sz w:val="24"/>
    </w:rPr>
  </w:style>
  <w:style w:type="paragraph" w:customStyle="1" w:styleId="488">
    <w:name w:val="彩色列表 - 强调文字颜色 11"/>
    <w:basedOn w:val="1"/>
    <w:qFormat/>
    <w:uiPriority w:val="0"/>
    <w:pPr>
      <w:adjustRightInd/>
      <w:ind w:firstLine="420" w:firstLineChars="200"/>
    </w:pPr>
    <w:rPr>
      <w:rFonts w:ascii="Calibri" w:hAnsi="Calibri"/>
      <w:szCs w:val="22"/>
    </w:rPr>
  </w:style>
  <w:style w:type="paragraph" w:customStyle="1" w:styleId="489">
    <w:name w:val="正文文字表格居中"/>
    <w:basedOn w:val="1"/>
    <w:next w:val="55"/>
    <w:qFormat/>
    <w:uiPriority w:val="0"/>
    <w:pPr>
      <w:snapToGrid w:val="0"/>
      <w:spacing w:line="360" w:lineRule="auto"/>
    </w:pPr>
    <w:rPr>
      <w:rFonts w:ascii="宋体"/>
      <w:b/>
      <w:sz w:val="24"/>
      <w:szCs w:val="20"/>
    </w:rPr>
  </w:style>
  <w:style w:type="paragraph" w:customStyle="1" w:styleId="490">
    <w:name w:val="Char2"/>
    <w:basedOn w:val="1"/>
    <w:qFormat/>
    <w:uiPriority w:val="0"/>
    <w:rPr>
      <w:rFonts w:ascii="仿宋_GB2312" w:eastAsia="仿宋_GB2312"/>
      <w:b/>
      <w:sz w:val="32"/>
      <w:szCs w:val="32"/>
    </w:rPr>
  </w:style>
  <w:style w:type="paragraph" w:customStyle="1" w:styleId="491">
    <w:name w:val="注释"/>
    <w:basedOn w:val="1"/>
    <w:qFormat/>
    <w:uiPriority w:val="0"/>
    <w:pPr>
      <w:adjustRightInd/>
      <w:spacing w:line="360" w:lineRule="auto"/>
      <w:ind w:firstLine="480"/>
    </w:pPr>
    <w:rPr>
      <w:sz w:val="24"/>
    </w:rPr>
  </w:style>
  <w:style w:type="paragraph" w:customStyle="1" w:styleId="492">
    <w:name w:val="Char31"/>
    <w:basedOn w:val="1"/>
    <w:qFormat/>
    <w:uiPriority w:val="0"/>
    <w:pPr>
      <w:adjustRightInd/>
    </w:pPr>
    <w:rPr>
      <w:rFonts w:ascii="仿宋_GB2312" w:eastAsia="仿宋_GB2312"/>
      <w:b/>
      <w:sz w:val="32"/>
      <w:szCs w:val="32"/>
    </w:rPr>
  </w:style>
  <w:style w:type="paragraph" w:customStyle="1" w:styleId="49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494">
    <w:name w:val="有符号正文"/>
    <w:basedOn w:val="1"/>
    <w:qFormat/>
    <w:uiPriority w:val="0"/>
    <w:pPr>
      <w:adjustRightInd/>
      <w:spacing w:line="400" w:lineRule="exact"/>
      <w:ind w:firstLine="200" w:firstLineChars="200"/>
    </w:pPr>
    <w:rPr>
      <w:rFonts w:ascii="Arial" w:hAnsi="Arial"/>
    </w:rPr>
  </w:style>
  <w:style w:type="paragraph" w:customStyle="1" w:styleId="49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49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9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9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99">
    <w:name w:val="Thf"/>
    <w:basedOn w:val="500"/>
    <w:qFormat/>
    <w:uiPriority w:val="0"/>
    <w:pPr>
      <w:ind w:left="0"/>
    </w:pPr>
  </w:style>
  <w:style w:type="paragraph" w:customStyle="1" w:styleId="50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01">
    <w:name w:val="Char Char Char Char Char Char Char Char Char Char Char Char1 Char"/>
    <w:basedOn w:val="1"/>
    <w:qFormat/>
    <w:uiPriority w:val="0"/>
    <w:rPr>
      <w:rFonts w:ascii="Tahoma" w:hAnsi="Tahoma" w:cs="仿宋_GB2312"/>
      <w:sz w:val="24"/>
      <w:szCs w:val="20"/>
    </w:rPr>
  </w:style>
  <w:style w:type="paragraph" w:customStyle="1" w:styleId="502">
    <w:name w:val="List Paragraph2"/>
    <w:basedOn w:val="1"/>
    <w:qFormat/>
    <w:uiPriority w:val="0"/>
    <w:pPr>
      <w:adjustRightInd/>
      <w:spacing w:line="360" w:lineRule="auto"/>
      <w:ind w:firstLine="420" w:firstLineChars="200"/>
    </w:pPr>
    <w:rPr>
      <w:rFonts w:ascii="Calibri" w:hAnsi="Calibri"/>
      <w:sz w:val="24"/>
      <w:szCs w:val="22"/>
    </w:rPr>
  </w:style>
  <w:style w:type="paragraph" w:customStyle="1" w:styleId="503">
    <w:name w:val="Char Char Char Char Char Char Char"/>
    <w:basedOn w:val="1"/>
    <w:qFormat/>
    <w:uiPriority w:val="0"/>
    <w:rPr>
      <w:rFonts w:ascii="仿宋_GB2312" w:eastAsia="仿宋_GB2312"/>
      <w:b/>
      <w:sz w:val="32"/>
      <w:szCs w:val="32"/>
    </w:rPr>
  </w:style>
  <w:style w:type="paragraph" w:customStyle="1" w:styleId="50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05">
    <w:name w:val="数字标题3"/>
    <w:basedOn w:val="5"/>
    <w:next w:val="1"/>
    <w:qFormat/>
    <w:uiPriority w:val="0"/>
    <w:pPr>
      <w:numPr>
        <w:numId w:val="0"/>
      </w:numPr>
      <w:spacing w:line="240" w:lineRule="auto"/>
    </w:pPr>
    <w:rPr>
      <w:sz w:val="28"/>
      <w:szCs w:val="28"/>
    </w:rPr>
  </w:style>
  <w:style w:type="paragraph" w:customStyle="1" w:styleId="506">
    <w:name w:val="正文（标题三）"/>
    <w:basedOn w:val="1"/>
    <w:qFormat/>
    <w:uiPriority w:val="0"/>
    <w:pPr>
      <w:spacing w:line="360" w:lineRule="auto"/>
      <w:ind w:firstLine="200" w:firstLineChars="200"/>
    </w:pPr>
    <w:rPr>
      <w:sz w:val="24"/>
    </w:rPr>
  </w:style>
  <w:style w:type="paragraph" w:customStyle="1" w:styleId="507">
    <w:name w:val="_Style 506"/>
    <w:qFormat/>
    <w:uiPriority w:val="0"/>
    <w:rPr>
      <w:rFonts w:ascii="Times New Roman" w:hAnsi="Times New Roman" w:eastAsia="宋体" w:cs="Times New Roman"/>
      <w:kern w:val="2"/>
      <w:sz w:val="21"/>
      <w:lang w:val="en-US" w:eastAsia="zh-CN" w:bidi="ar-SA"/>
    </w:rPr>
  </w:style>
  <w:style w:type="paragraph" w:customStyle="1" w:styleId="508">
    <w:name w:val="Char2 Char Char"/>
    <w:basedOn w:val="1"/>
    <w:qFormat/>
    <w:uiPriority w:val="0"/>
    <w:pPr>
      <w:adjustRightInd/>
    </w:pPr>
    <w:rPr>
      <w:rFonts w:ascii="Tahoma" w:hAnsi="Tahoma"/>
      <w:sz w:val="24"/>
      <w:szCs w:val="20"/>
    </w:rPr>
  </w:style>
  <w:style w:type="paragraph" w:customStyle="1" w:styleId="509">
    <w:name w:val="数字标题6"/>
    <w:basedOn w:val="8"/>
    <w:next w:val="1"/>
    <w:qFormat/>
    <w:uiPriority w:val="0"/>
    <w:pPr>
      <w:numPr>
        <w:numId w:val="8"/>
      </w:numPr>
      <w:tabs>
        <w:tab w:val="left" w:pos="1080"/>
      </w:tabs>
    </w:pPr>
    <w:rPr>
      <w:rFonts w:ascii="Times New Roman" w:hAnsi="Times New Roman" w:eastAsia="宋体"/>
      <w:i/>
    </w:rPr>
  </w:style>
  <w:style w:type="paragraph" w:customStyle="1" w:styleId="510">
    <w:name w:val="Char Char Char Char Char Char Char Char Char Char Char Char1 Char1"/>
    <w:basedOn w:val="1"/>
    <w:qFormat/>
    <w:uiPriority w:val="6"/>
    <w:rPr>
      <w:rFonts w:ascii="Tahoma" w:hAnsi="Tahoma" w:cs="仿宋_GB2312"/>
      <w:sz w:val="24"/>
      <w:szCs w:val="20"/>
    </w:rPr>
  </w:style>
  <w:style w:type="paragraph" w:styleId="51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1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1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15">
    <w:name w:val="Char19"/>
    <w:basedOn w:val="1"/>
    <w:qFormat/>
    <w:uiPriority w:val="0"/>
    <w:pPr>
      <w:adjustRightInd/>
    </w:pPr>
    <w:rPr>
      <w:szCs w:val="20"/>
    </w:rPr>
  </w:style>
  <w:style w:type="paragraph" w:customStyle="1" w:styleId="51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1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9">
    <w:name w:val="Char Char1 Char Char Char Char Char Char"/>
    <w:basedOn w:val="1"/>
    <w:qFormat/>
    <w:uiPriority w:val="0"/>
    <w:rPr>
      <w:rFonts w:ascii="仿宋_GB2312" w:eastAsia="仿宋_GB2312"/>
      <w:b/>
      <w:sz w:val="32"/>
      <w:szCs w:val="20"/>
    </w:rPr>
  </w:style>
  <w:style w:type="paragraph" w:customStyle="1" w:styleId="5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2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2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2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2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531">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53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33">
    <w:name w:val="默认段落字体 Para Char Char Char1 Char"/>
    <w:basedOn w:val="1"/>
    <w:qFormat/>
    <w:uiPriority w:val="0"/>
    <w:pPr>
      <w:spacing w:line="240" w:lineRule="atLeast"/>
      <w:ind w:left="420" w:firstLine="420"/>
    </w:pPr>
    <w:rPr>
      <w:sz w:val="24"/>
    </w:rPr>
  </w:style>
  <w:style w:type="paragraph" w:customStyle="1" w:styleId="534">
    <w:name w:val="Char Char11 Char Char Char Char Char Char Char Char Char"/>
    <w:basedOn w:val="1"/>
    <w:qFormat/>
    <w:uiPriority w:val="0"/>
    <w:pPr>
      <w:spacing w:line="360" w:lineRule="auto"/>
    </w:pPr>
    <w:rPr>
      <w:szCs w:val="20"/>
    </w:rPr>
  </w:style>
  <w:style w:type="paragraph" w:customStyle="1" w:styleId="53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6">
    <w:name w:val="Char Char1 Char Char Char"/>
    <w:basedOn w:val="1"/>
    <w:qFormat/>
    <w:uiPriority w:val="0"/>
    <w:rPr>
      <w:rFonts w:ascii="仿宋_GB2312" w:eastAsia="仿宋_GB2312"/>
      <w:b/>
      <w:sz w:val="32"/>
      <w:szCs w:val="20"/>
    </w:rPr>
  </w:style>
  <w:style w:type="paragraph" w:customStyle="1" w:styleId="53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538">
    <w:name w:val="Char111"/>
    <w:basedOn w:val="1"/>
    <w:qFormat/>
    <w:uiPriority w:val="0"/>
    <w:rPr>
      <w:rFonts w:ascii="仿宋_GB2312" w:eastAsia="仿宋_GB2312"/>
      <w:b/>
      <w:sz w:val="32"/>
      <w:szCs w:val="32"/>
    </w:rPr>
  </w:style>
  <w:style w:type="paragraph" w:customStyle="1" w:styleId="539">
    <w:name w:val="插图题注"/>
    <w:next w:val="1"/>
    <w:qFormat/>
    <w:uiPriority w:val="0"/>
    <w:pPr>
      <w:numPr>
        <w:ilvl w:val="7"/>
        <w:numId w:val="5"/>
      </w:numPr>
      <w:spacing w:afterLines="100"/>
      <w:ind w:left="1089" w:hanging="369"/>
      <w:jc w:val="center"/>
    </w:pPr>
    <w:rPr>
      <w:rFonts w:ascii="Arial" w:hAnsi="Arial" w:eastAsia="宋体" w:cs="Times New Roman"/>
      <w:sz w:val="18"/>
      <w:szCs w:val="18"/>
      <w:lang w:val="en-US" w:eastAsia="zh-CN" w:bidi="ar-SA"/>
    </w:rPr>
  </w:style>
  <w:style w:type="paragraph" w:customStyle="1" w:styleId="540">
    <w:name w:val="Char Char1 Char Char1 Char Char1"/>
    <w:basedOn w:val="1"/>
    <w:qFormat/>
    <w:uiPriority w:val="0"/>
    <w:pPr>
      <w:tabs>
        <w:tab w:val="left" w:pos="840"/>
      </w:tabs>
      <w:ind w:left="840" w:hanging="420"/>
    </w:pPr>
    <w:rPr>
      <w:rFonts w:ascii="Tahoma" w:hAnsi="Tahoma"/>
      <w:sz w:val="24"/>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正文 首行缩进:  2 字符 Char"/>
    <w:basedOn w:val="1"/>
    <w:qFormat/>
    <w:uiPriority w:val="0"/>
    <w:pPr>
      <w:adjustRightInd/>
      <w:spacing w:line="360" w:lineRule="auto"/>
      <w:ind w:firstLine="480"/>
    </w:pPr>
    <w:rPr>
      <w:rFonts w:cs="宋体"/>
      <w:sz w:val="24"/>
      <w:szCs w:val="20"/>
    </w:rPr>
  </w:style>
  <w:style w:type="paragraph" w:customStyle="1" w:styleId="54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4">
    <w:name w:val="Char1 Char Char Char5"/>
    <w:basedOn w:val="1"/>
    <w:qFormat/>
    <w:uiPriority w:val="0"/>
    <w:pPr>
      <w:adjustRightInd/>
      <w:ind w:firstLine="200" w:firstLineChars="200"/>
    </w:pPr>
    <w:rPr>
      <w:rFonts w:ascii="Tahoma" w:hAnsi="Tahoma"/>
      <w:sz w:val="24"/>
      <w:szCs w:val="20"/>
    </w:rPr>
  </w:style>
  <w:style w:type="paragraph" w:customStyle="1" w:styleId="5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9">
    <w:name w:val="Char2 Char Char1"/>
    <w:basedOn w:val="1"/>
    <w:qFormat/>
    <w:uiPriority w:val="6"/>
    <w:pPr>
      <w:adjustRightInd/>
    </w:pPr>
    <w:rPr>
      <w:rFonts w:ascii="Tahoma" w:hAnsi="Tahoma"/>
      <w:sz w:val="24"/>
      <w:szCs w:val="20"/>
    </w:rPr>
  </w:style>
  <w:style w:type="paragraph" w:customStyle="1" w:styleId="550">
    <w:name w:val="文章标题"/>
    <w:next w:val="5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551">
    <w:name w:val="封面公司名"/>
    <w:qFormat/>
    <w:uiPriority w:val="0"/>
    <w:pPr>
      <w:jc w:val="center"/>
    </w:pPr>
    <w:rPr>
      <w:rFonts w:ascii="Arial" w:hAnsi="Arial" w:eastAsia="楷体_GB2312" w:cs="宋体"/>
      <w:bCs/>
      <w:kern w:val="2"/>
      <w:sz w:val="28"/>
      <w:lang w:val="en-US" w:eastAsia="zh-CN" w:bidi="ar-SA"/>
    </w:rPr>
  </w:style>
  <w:style w:type="paragraph" w:customStyle="1" w:styleId="552">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553">
    <w:name w:val="4级标题"/>
    <w:basedOn w:val="190"/>
    <w:qFormat/>
    <w:uiPriority w:val="0"/>
    <w:pPr>
      <w:keepLines/>
      <w:numPr>
        <w:ilvl w:val="3"/>
        <w:numId w:val="6"/>
      </w:numPr>
      <w:adjustRightInd/>
      <w:ind w:firstLineChars="0"/>
      <w:jc w:val="left"/>
      <w:outlineLvl w:val="3"/>
    </w:pPr>
    <w:rPr>
      <w:rFonts w:ascii="黑体" w:hAnsi="黑体" w:eastAsia="黑体" w:cs="Times New Roman"/>
      <w:kern w:val="0"/>
      <w:sz w:val="28"/>
      <w:lang w:eastAsia="en-US" w:bidi="en-US"/>
    </w:rPr>
  </w:style>
  <w:style w:type="paragraph" w:customStyle="1" w:styleId="55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5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5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正文表标题"/>
    <w:next w:val="4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63">
    <w:name w:val="左对齐表格文字"/>
    <w:basedOn w:val="1"/>
    <w:qFormat/>
    <w:uiPriority w:val="0"/>
    <w:pPr>
      <w:adjustRightInd/>
      <w:ind w:firstLine="200" w:firstLineChars="200"/>
      <w:jc w:val="right"/>
    </w:pPr>
  </w:style>
  <w:style w:type="paragraph" w:customStyle="1" w:styleId="564">
    <w:name w:val="Char5"/>
    <w:basedOn w:val="1"/>
    <w:qFormat/>
    <w:uiPriority w:val="0"/>
    <w:rPr>
      <w:rFonts w:ascii="仿宋_GB2312" w:eastAsia="仿宋_GB2312"/>
      <w:b/>
      <w:sz w:val="32"/>
      <w:szCs w:val="32"/>
    </w:rPr>
  </w:style>
  <w:style w:type="paragraph" w:customStyle="1" w:styleId="565">
    <w:name w:val="Char Char Char1 Char1"/>
    <w:basedOn w:val="1"/>
    <w:qFormat/>
    <w:uiPriority w:val="6"/>
    <w:rPr>
      <w:szCs w:val="20"/>
    </w:rPr>
  </w:style>
  <w:style w:type="paragraph" w:customStyle="1" w:styleId="56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56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6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69">
    <w:name w:val="表格表头"/>
    <w:basedOn w:val="570"/>
    <w:qFormat/>
    <w:uiPriority w:val="0"/>
    <w:rPr>
      <w:b/>
    </w:rPr>
  </w:style>
  <w:style w:type="paragraph" w:customStyle="1" w:styleId="570">
    <w:name w:val="普通表格（自定义）"/>
    <w:qFormat/>
    <w:uiPriority w:val="0"/>
    <w:pPr>
      <w:widowControl w:val="0"/>
      <w:spacing w:line="340" w:lineRule="exact"/>
      <w:jc w:val="both"/>
    </w:pPr>
    <w:rPr>
      <w:rFonts w:ascii="Times New Roman" w:hAnsi="Times New Roman" w:eastAsia="仿宋_GB2312" w:cs="Times New Roman"/>
      <w:color w:val="000000"/>
      <w:kern w:val="2"/>
      <w:sz w:val="32"/>
      <w:szCs w:val="24"/>
      <w:lang w:val="en-US" w:eastAsia="zh-CN" w:bidi="ar-SA"/>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文档正文"/>
    <w:basedOn w:val="1"/>
    <w:qFormat/>
    <w:uiPriority w:val="0"/>
    <w:pPr>
      <w:spacing w:line="480" w:lineRule="atLeast"/>
      <w:ind w:firstLine="567"/>
      <w:textAlignment w:val="baseline"/>
    </w:pPr>
    <w:rPr>
      <w:kern w:val="0"/>
      <w:sz w:val="24"/>
      <w:szCs w:val="20"/>
    </w:rPr>
  </w:style>
  <w:style w:type="paragraph" w:customStyle="1" w:styleId="5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74">
    <w:name w:val="Char Char Char Char Char Char Char Char11"/>
    <w:basedOn w:val="1"/>
    <w:qFormat/>
    <w:uiPriority w:val="0"/>
    <w:pPr>
      <w:tabs>
        <w:tab w:val="left" w:pos="360"/>
      </w:tabs>
    </w:pPr>
    <w:rPr>
      <w:sz w:val="24"/>
      <w:szCs w:val="20"/>
    </w:rPr>
  </w:style>
  <w:style w:type="paragraph" w:customStyle="1" w:styleId="575">
    <w:name w:val="Char1 Char Char Char4"/>
    <w:basedOn w:val="1"/>
    <w:qFormat/>
    <w:uiPriority w:val="0"/>
    <w:pPr>
      <w:adjustRightInd/>
      <w:ind w:firstLine="200" w:firstLineChars="200"/>
    </w:pPr>
    <w:rPr>
      <w:rFonts w:ascii="Tahoma" w:hAnsi="Tahoma"/>
      <w:sz w:val="24"/>
      <w:szCs w:val="20"/>
    </w:rPr>
  </w:style>
  <w:style w:type="paragraph" w:customStyle="1" w:styleId="576">
    <w:name w:val="Char Char Char Char Char Char Char11"/>
    <w:basedOn w:val="1"/>
    <w:qFormat/>
    <w:uiPriority w:val="0"/>
    <w:rPr>
      <w:rFonts w:ascii="仿宋_GB2312" w:eastAsia="仿宋_GB2312"/>
      <w:b/>
      <w:sz w:val="32"/>
      <w:szCs w:val="32"/>
    </w:rPr>
  </w:style>
  <w:style w:type="paragraph" w:customStyle="1" w:styleId="57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78">
    <w:name w:val="Char211"/>
    <w:basedOn w:val="1"/>
    <w:qFormat/>
    <w:uiPriority w:val="0"/>
    <w:rPr>
      <w:rFonts w:ascii="仿宋_GB2312" w:eastAsia="仿宋_GB2312"/>
      <w:b/>
      <w:sz w:val="32"/>
      <w:szCs w:val="32"/>
    </w:rPr>
  </w:style>
  <w:style w:type="paragraph" w:customStyle="1" w:styleId="579">
    <w:name w:val="样式 左侧:  0.85 厘米"/>
    <w:basedOn w:val="1"/>
    <w:qFormat/>
    <w:uiPriority w:val="2"/>
    <w:pPr>
      <w:adjustRightInd/>
      <w:spacing w:line="360" w:lineRule="auto"/>
    </w:pPr>
    <w:rPr>
      <w:rFonts w:cs="宋体"/>
      <w:sz w:val="24"/>
      <w:szCs w:val="20"/>
    </w:rPr>
  </w:style>
  <w:style w:type="paragraph" w:customStyle="1" w:styleId="58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81">
    <w:name w:val="表格内文"/>
    <w:basedOn w:val="1"/>
    <w:qFormat/>
    <w:uiPriority w:val="0"/>
    <w:pPr>
      <w:adjustRightInd/>
      <w:spacing w:line="360" w:lineRule="auto"/>
    </w:pPr>
    <w:rPr>
      <w:rFonts w:ascii="宋体" w:hAnsi="宋体" w:cs="宋体"/>
      <w:color w:val="000000"/>
      <w:szCs w:val="20"/>
    </w:rPr>
  </w:style>
  <w:style w:type="paragraph" w:customStyle="1" w:styleId="58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83">
    <w:name w:val="Char2 Char Char2"/>
    <w:basedOn w:val="1"/>
    <w:qFormat/>
    <w:uiPriority w:val="0"/>
    <w:pPr>
      <w:adjustRightInd/>
    </w:pPr>
    <w:rPr>
      <w:rFonts w:ascii="Tahoma" w:hAnsi="Tahoma"/>
      <w:sz w:val="24"/>
      <w:szCs w:val="20"/>
    </w:rPr>
  </w:style>
  <w:style w:type="paragraph" w:customStyle="1" w:styleId="58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85">
    <w:name w:val="_Style 5"/>
    <w:basedOn w:val="1"/>
    <w:qFormat/>
    <w:uiPriority w:val="34"/>
    <w:pPr>
      <w:adjustRightInd/>
      <w:ind w:firstLine="420" w:firstLineChars="200"/>
    </w:pPr>
    <w:rPr>
      <w:rFonts w:eastAsia="仿宋_GB2312"/>
      <w:sz w:val="28"/>
    </w:rPr>
  </w:style>
  <w:style w:type="paragraph" w:customStyle="1" w:styleId="586">
    <w:name w:val="修订1"/>
    <w:qFormat/>
    <w:uiPriority w:val="3"/>
    <w:rPr>
      <w:rFonts w:ascii="Times New Roman" w:hAnsi="Times New Roman" w:eastAsia="宋体" w:cs="Times New Roman"/>
      <w:color w:val="000000"/>
      <w:kern w:val="1"/>
      <w:sz w:val="21"/>
      <w:lang w:val="en-US" w:eastAsia="zh-CN" w:bidi="ar-SA"/>
    </w:rPr>
  </w:style>
  <w:style w:type="paragraph" w:customStyle="1" w:styleId="587">
    <w:name w:val="列表段落2"/>
    <w:basedOn w:val="1"/>
    <w:qFormat/>
    <w:uiPriority w:val="34"/>
    <w:pPr>
      <w:adjustRightInd/>
      <w:ind w:firstLine="420" w:firstLineChars="200"/>
    </w:pPr>
    <w:rPr>
      <w:kern w:val="0"/>
      <w:sz w:val="20"/>
      <w:szCs w:val="20"/>
    </w:rPr>
  </w:style>
  <w:style w:type="paragraph" w:customStyle="1" w:styleId="588">
    <w:name w:val="MM Topic 4"/>
    <w:basedOn w:val="6"/>
    <w:qFormat/>
    <w:uiPriority w:val="0"/>
    <w:pPr>
      <w:numPr>
        <w:numId w:val="5"/>
      </w:numPr>
      <w:tabs>
        <w:tab w:val="left" w:pos="2100"/>
      </w:tabs>
    </w:pPr>
    <w:rPr>
      <w:lang w:val="en-US"/>
    </w:rPr>
  </w:style>
  <w:style w:type="paragraph" w:customStyle="1" w:styleId="589">
    <w:name w:val="加粗正文"/>
    <w:basedOn w:val="1"/>
    <w:qFormat/>
    <w:uiPriority w:val="0"/>
    <w:pPr>
      <w:adjustRightInd/>
      <w:spacing w:beforeLines="50" w:afterLines="50" w:line="360" w:lineRule="auto"/>
      <w:ind w:firstLine="422" w:firstLineChars="200"/>
    </w:pPr>
    <w:rPr>
      <w:b/>
      <w:bCs/>
      <w:szCs w:val="21"/>
    </w:rPr>
  </w:style>
  <w:style w:type="paragraph" w:customStyle="1" w:styleId="590">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91">
    <w:name w:val="Bulleted List"/>
    <w:basedOn w:val="1"/>
    <w:qFormat/>
    <w:uiPriority w:val="0"/>
    <w:pPr>
      <w:tabs>
        <w:tab w:val="left" w:pos="1260"/>
      </w:tabs>
      <w:adjustRightInd/>
      <w:ind w:left="1260" w:hanging="420"/>
    </w:pPr>
  </w:style>
  <w:style w:type="paragraph" w:customStyle="1" w:styleId="59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593">
    <w:name w:val="Char Char1"/>
    <w:basedOn w:val="1"/>
    <w:qFormat/>
    <w:uiPriority w:val="0"/>
    <w:pPr>
      <w:widowControl/>
      <w:spacing w:after="160" w:line="240" w:lineRule="exact"/>
      <w:jc w:val="left"/>
    </w:pPr>
    <w:rPr>
      <w:rFonts w:eastAsia="仿宋_GB2312"/>
      <w:sz w:val="28"/>
    </w:rPr>
  </w:style>
  <w:style w:type="paragraph" w:customStyle="1" w:styleId="594">
    <w:name w:val="批注框文本 Char Char"/>
    <w:basedOn w:val="1"/>
    <w:qFormat/>
    <w:uiPriority w:val="0"/>
    <w:pPr>
      <w:adjustRightInd/>
    </w:pPr>
    <w:rPr>
      <w:sz w:val="18"/>
      <w:szCs w:val="20"/>
    </w:rPr>
  </w:style>
  <w:style w:type="paragraph" w:customStyle="1" w:styleId="59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97">
    <w:name w:val="表格（小）"/>
    <w:basedOn w:val="1"/>
    <w:qFormat/>
    <w:uiPriority w:val="0"/>
    <w:pPr>
      <w:adjustRightInd/>
      <w:snapToGrid w:val="0"/>
      <w:spacing w:line="300" w:lineRule="auto"/>
    </w:pPr>
    <w:rPr>
      <w:rFonts w:eastAsia="仿宋"/>
      <w:szCs w:val="21"/>
    </w:rPr>
  </w:style>
  <w:style w:type="paragraph" w:customStyle="1" w:styleId="59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99">
    <w:name w:val="Char Char1111"/>
    <w:basedOn w:val="1"/>
    <w:qFormat/>
    <w:uiPriority w:val="0"/>
    <w:pPr>
      <w:spacing w:line="360" w:lineRule="auto"/>
    </w:pPr>
    <w:rPr>
      <w:szCs w:val="20"/>
    </w:rPr>
  </w:style>
  <w:style w:type="paragraph" w:customStyle="1" w:styleId="600">
    <w:name w:val="数字标题2"/>
    <w:basedOn w:val="4"/>
    <w:next w:val="1"/>
    <w:qFormat/>
    <w:uiPriority w:val="0"/>
    <w:pPr>
      <w:numPr>
        <w:ilvl w:val="1"/>
        <w:numId w:val="8"/>
      </w:numPr>
    </w:pPr>
    <w:rPr>
      <w:rFonts w:ascii="Times New Roman" w:eastAsia="宋体"/>
      <w:i/>
      <w:sz w:val="36"/>
      <w:szCs w:val="36"/>
      <w:lang w:val="en-US"/>
    </w:rPr>
  </w:style>
  <w:style w:type="paragraph" w:customStyle="1" w:styleId="60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604">
    <w:name w:val="带编号样式"/>
    <w:basedOn w:val="605"/>
    <w:qFormat/>
    <w:uiPriority w:val="0"/>
    <w:pPr>
      <w:tabs>
        <w:tab w:val="left" w:pos="840"/>
      </w:tabs>
      <w:snapToGrid w:val="0"/>
      <w:ind w:left="840" w:hanging="420" w:firstLineChars="0"/>
    </w:pPr>
    <w:rPr>
      <w:rFonts w:ascii="仿宋_GB2312" w:eastAsia="仿宋_GB2312"/>
      <w:color w:val="000000"/>
    </w:rPr>
  </w:style>
  <w:style w:type="paragraph" w:customStyle="1" w:styleId="605">
    <w:name w:val="文本正文 Char"/>
    <w:basedOn w:val="1"/>
    <w:qFormat/>
    <w:uiPriority w:val="0"/>
    <w:pPr>
      <w:spacing w:line="360" w:lineRule="auto"/>
      <w:ind w:firstLine="200" w:firstLineChars="200"/>
    </w:pPr>
    <w:rPr>
      <w:kern w:val="0"/>
      <w:sz w:val="24"/>
      <w:szCs w:val="20"/>
    </w:rPr>
  </w:style>
  <w:style w:type="paragraph" w:customStyle="1" w:styleId="60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607">
    <w:name w:val="样式 正文文本缩进 + 段前: 2 字符"/>
    <w:basedOn w:val="1"/>
    <w:qFormat/>
    <w:uiPriority w:val="0"/>
    <w:pPr>
      <w:adjustRightInd/>
      <w:ind w:left="420" w:leftChars="200"/>
      <w:jc w:val="left"/>
    </w:pPr>
    <w:rPr>
      <w:sz w:val="28"/>
      <w:szCs w:val="20"/>
      <w:lang w:eastAsia="zh-TW"/>
    </w:rPr>
  </w:style>
  <w:style w:type="paragraph" w:customStyle="1" w:styleId="60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11">
    <w:name w:val="Char Char11 Char Char Char1"/>
    <w:basedOn w:val="1"/>
    <w:qFormat/>
    <w:uiPriority w:val="6"/>
    <w:pPr>
      <w:spacing w:line="360" w:lineRule="auto"/>
    </w:pPr>
    <w:rPr>
      <w:szCs w:val="20"/>
    </w:rPr>
  </w:style>
  <w:style w:type="paragraph" w:customStyle="1" w:styleId="612">
    <w:name w:val="Char Char Char Char2"/>
    <w:basedOn w:val="1"/>
    <w:qFormat/>
    <w:uiPriority w:val="0"/>
    <w:rPr>
      <w:rFonts w:ascii="Tahoma" w:hAnsi="Tahoma"/>
      <w:sz w:val="24"/>
      <w:szCs w:val="20"/>
    </w:rPr>
  </w:style>
  <w:style w:type="paragraph" w:customStyle="1" w:styleId="613">
    <w:name w:val="Char Char Char 字元 字元"/>
    <w:basedOn w:val="1"/>
    <w:qFormat/>
    <w:uiPriority w:val="0"/>
    <w:pPr>
      <w:adjustRightInd/>
      <w:spacing w:line="360" w:lineRule="auto"/>
      <w:ind w:firstLine="200" w:firstLineChars="200"/>
    </w:pPr>
    <w:rPr>
      <w:szCs w:val="20"/>
    </w:rPr>
  </w:style>
  <w:style w:type="paragraph" w:customStyle="1" w:styleId="614">
    <w:name w:val="_Style 11"/>
    <w:basedOn w:val="1"/>
    <w:qFormat/>
    <w:uiPriority w:val="34"/>
    <w:pPr>
      <w:adjustRightInd/>
      <w:ind w:firstLine="420" w:firstLineChars="200"/>
    </w:pPr>
    <w:rPr>
      <w:rFonts w:eastAsia="仿宋_GB2312"/>
      <w:sz w:val="28"/>
    </w:rPr>
  </w:style>
  <w:style w:type="paragraph" w:customStyle="1" w:styleId="61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16">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17">
    <w:name w:val="_标题2"/>
    <w:basedOn w:val="618"/>
    <w:next w:val="6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618">
    <w:name w:val="__正文"/>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paragraph" w:customStyle="1" w:styleId="6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22">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623">
    <w:name w:val="P1"/>
    <w:basedOn w:val="1"/>
    <w:qFormat/>
    <w:uiPriority w:val="0"/>
    <w:pPr>
      <w:adjustRightInd/>
      <w:spacing w:line="288" w:lineRule="auto"/>
      <w:ind w:firstLine="425" w:firstLineChars="200"/>
    </w:pPr>
  </w:style>
  <w:style w:type="paragraph" w:customStyle="1" w:styleId="624">
    <w:name w:val="WW-正文文字缩进 2"/>
    <w:basedOn w:val="1"/>
    <w:qFormat/>
    <w:uiPriority w:val="0"/>
    <w:pPr>
      <w:suppressAutoHyphens/>
      <w:adjustRightInd/>
      <w:ind w:firstLine="420"/>
    </w:pPr>
    <w:rPr>
      <w:kern w:val="1"/>
      <w:szCs w:val="20"/>
    </w:rPr>
  </w:style>
  <w:style w:type="paragraph" w:customStyle="1" w:styleId="625">
    <w:name w:val="Char1 Char Char Char11"/>
    <w:basedOn w:val="1"/>
    <w:qFormat/>
    <w:uiPriority w:val="0"/>
    <w:rPr>
      <w:rFonts w:ascii="Tahoma" w:hAnsi="Tahoma"/>
      <w:sz w:val="24"/>
      <w:szCs w:val="20"/>
    </w:rPr>
  </w:style>
  <w:style w:type="paragraph" w:customStyle="1" w:styleId="62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7">
    <w:name w:val="样式 标题 2 + 四号"/>
    <w:basedOn w:val="4"/>
    <w:qFormat/>
    <w:uiPriority w:val="0"/>
    <w:pPr>
      <w:numPr>
        <w:numId w:val="0"/>
      </w:numPr>
      <w:spacing w:before="120" w:after="120"/>
      <w:jc w:val="both"/>
    </w:pPr>
    <w:rPr>
      <w:rFonts w:ascii="宋体" w:hAnsi="Arial" w:eastAsia="宋体"/>
      <w:sz w:val="28"/>
      <w:lang w:val="en-US"/>
    </w:rPr>
  </w:style>
  <w:style w:type="paragraph" w:customStyle="1" w:styleId="628">
    <w:name w:val="数字标题5"/>
    <w:basedOn w:val="7"/>
    <w:next w:val="1"/>
    <w:qFormat/>
    <w:uiPriority w:val="0"/>
    <w:pPr>
      <w:numPr>
        <w:numId w:val="8"/>
      </w:numPr>
      <w:tabs>
        <w:tab w:val="left" w:pos="1080"/>
      </w:tabs>
    </w:pPr>
  </w:style>
  <w:style w:type="paragraph" w:customStyle="1" w:styleId="62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30">
    <w:name w:val="列出段落2"/>
    <w:basedOn w:val="1"/>
    <w:qFormat/>
    <w:uiPriority w:val="0"/>
    <w:pPr>
      <w:adjustRightInd/>
      <w:ind w:firstLine="420" w:firstLineChars="200"/>
    </w:pPr>
    <w:rPr>
      <w:rFonts w:ascii="宋体" w:hAnsi="宋体"/>
      <w:sz w:val="24"/>
    </w:rPr>
  </w:style>
  <w:style w:type="paragraph" w:customStyle="1" w:styleId="631">
    <w:name w:val="四号　首行缩进"/>
    <w:basedOn w:val="1"/>
    <w:qFormat/>
    <w:uiPriority w:val="0"/>
    <w:pPr>
      <w:adjustRightInd/>
      <w:spacing w:line="360" w:lineRule="auto"/>
    </w:pPr>
    <w:rPr>
      <w:rFonts w:ascii="宋体" w:hAnsi="宋体"/>
      <w:szCs w:val="20"/>
    </w:rPr>
  </w:style>
  <w:style w:type="paragraph" w:customStyle="1" w:styleId="632">
    <w:name w:val="封面"/>
    <w:basedOn w:val="1"/>
    <w:qFormat/>
    <w:uiPriority w:val="0"/>
    <w:pPr>
      <w:spacing w:line="360" w:lineRule="atLeast"/>
      <w:jc w:val="right"/>
      <w:textAlignment w:val="baseline"/>
    </w:pPr>
    <w:rPr>
      <w:rFonts w:ascii="Symbol" w:hAnsi="Symbol"/>
      <w:kern w:val="0"/>
      <w:szCs w:val="20"/>
    </w:rPr>
  </w:style>
  <w:style w:type="paragraph" w:customStyle="1" w:styleId="633">
    <w:name w:val="Char2 Char Char Char1"/>
    <w:basedOn w:val="1"/>
    <w:qFormat/>
    <w:uiPriority w:val="6"/>
    <w:rPr>
      <w:rFonts w:ascii="仿宋_GB2312" w:eastAsia="仿宋_GB2312"/>
      <w:b/>
      <w:sz w:val="32"/>
      <w:szCs w:val="32"/>
    </w:rPr>
  </w:style>
  <w:style w:type="paragraph" w:customStyle="1" w:styleId="6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35">
    <w:name w:val="样式1 + (中宋体"/>
    <w:basedOn w:val="636"/>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63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3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6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3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6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64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4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645">
    <w:name w:val="单元格左对齐"/>
    <w:basedOn w:val="1"/>
    <w:qFormat/>
    <w:uiPriority w:val="0"/>
    <w:pPr>
      <w:adjustRightInd/>
      <w:spacing w:line="360" w:lineRule="auto"/>
    </w:pPr>
    <w:rPr>
      <w:sz w:val="24"/>
    </w:rPr>
  </w:style>
  <w:style w:type="paragraph" w:customStyle="1" w:styleId="64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4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52">
    <w:name w:val="Char3 Char Char Char"/>
    <w:basedOn w:val="1"/>
    <w:qFormat/>
    <w:uiPriority w:val="0"/>
    <w:pPr>
      <w:widowControl/>
      <w:adjustRightInd/>
      <w:spacing w:after="160" w:line="240" w:lineRule="exact"/>
      <w:jc w:val="left"/>
    </w:pPr>
    <w:rPr>
      <w:szCs w:val="20"/>
    </w:rPr>
  </w:style>
  <w:style w:type="paragraph" w:customStyle="1" w:styleId="6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5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6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5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5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65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5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60">
    <w:name w:val="修订2"/>
    <w:qFormat/>
    <w:uiPriority w:val="0"/>
    <w:rPr>
      <w:rFonts w:ascii="Times New Roman" w:hAnsi="Times New Roman" w:eastAsia="宋体" w:cs="Times New Roman"/>
      <w:kern w:val="2"/>
      <w:sz w:val="21"/>
      <w:lang w:val="en-US" w:eastAsia="zh-CN" w:bidi="ar-SA"/>
    </w:rPr>
  </w:style>
  <w:style w:type="paragraph" w:customStyle="1" w:styleId="661">
    <w:name w:val="Char Char Char Char Char Char Char1"/>
    <w:basedOn w:val="1"/>
    <w:qFormat/>
    <w:uiPriority w:val="6"/>
    <w:rPr>
      <w:rFonts w:ascii="仿宋_GB2312" w:eastAsia="仿宋_GB2312"/>
      <w:b/>
      <w:sz w:val="32"/>
      <w:szCs w:val="32"/>
    </w:rPr>
  </w:style>
  <w:style w:type="paragraph" w:customStyle="1" w:styleId="662">
    <w:name w:val="Char Char Char1 Char"/>
    <w:basedOn w:val="1"/>
    <w:qFormat/>
    <w:uiPriority w:val="0"/>
    <w:rPr>
      <w:szCs w:val="20"/>
    </w:rPr>
  </w:style>
  <w:style w:type="paragraph" w:customStyle="1" w:styleId="663">
    <w:name w:val="图"/>
    <w:basedOn w:val="1"/>
    <w:next w:val="1"/>
    <w:qFormat/>
    <w:uiPriority w:val="0"/>
    <w:pPr>
      <w:adjustRightInd/>
      <w:jc w:val="center"/>
    </w:pPr>
    <w:rPr>
      <w:kern w:val="0"/>
      <w:sz w:val="20"/>
      <w:szCs w:val="21"/>
    </w:rPr>
  </w:style>
  <w:style w:type="paragraph" w:customStyle="1" w:styleId="66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6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666">
    <w:name w:val="FA正文"/>
    <w:basedOn w:val="1"/>
    <w:qFormat/>
    <w:uiPriority w:val="0"/>
    <w:pPr>
      <w:spacing w:line="360" w:lineRule="auto"/>
      <w:ind w:firstLine="480" w:firstLineChars="200"/>
    </w:pPr>
    <w:rPr>
      <w:rFonts w:hAnsi="宋体"/>
      <w:sz w:val="24"/>
      <w:szCs w:val="20"/>
    </w:rPr>
  </w:style>
  <w:style w:type="paragraph" w:customStyle="1" w:styleId="667">
    <w:name w:val="Normal0"/>
    <w:qFormat/>
    <w:uiPriority w:val="0"/>
    <w:rPr>
      <w:rFonts w:ascii="Times New Roman" w:hAnsi="Times New Roman" w:eastAsia="宋体" w:cs="Times New Roman"/>
      <w:lang w:val="en-US" w:eastAsia="en-US" w:bidi="ar-SA"/>
    </w:rPr>
  </w:style>
  <w:style w:type="paragraph" w:customStyle="1" w:styleId="668">
    <w:name w:val="Char1 Char Char Char3"/>
    <w:basedOn w:val="1"/>
    <w:qFormat/>
    <w:uiPriority w:val="0"/>
    <w:pPr>
      <w:adjustRightInd/>
      <w:ind w:firstLine="200" w:firstLineChars="200"/>
    </w:pPr>
    <w:rPr>
      <w:rFonts w:ascii="Tahoma" w:hAnsi="Tahoma"/>
      <w:sz w:val="24"/>
      <w:szCs w:val="20"/>
    </w:rPr>
  </w:style>
  <w:style w:type="paragraph" w:customStyle="1" w:styleId="669">
    <w:name w:val="样式 标题 1 + 段后: 0.5 行"/>
    <w:basedOn w:val="2"/>
    <w:qFormat/>
    <w:uiPriority w:val="99"/>
    <w:pPr>
      <w:keepLines w:val="0"/>
      <w:tabs>
        <w:tab w:val="left" w:pos="360"/>
        <w:tab w:val="clear" w:pos="432"/>
      </w:tabs>
      <w:spacing w:before="120" w:afterLines="50" w:line="240" w:lineRule="auto"/>
      <w:ind w:left="0" w:firstLine="0"/>
      <w:jc w:val="left"/>
    </w:pPr>
    <w:rPr>
      <w:rFonts w:ascii="宋体" w:eastAsia="宋体" w:cs="宋体"/>
      <w:kern w:val="0"/>
      <w:sz w:val="28"/>
      <w:szCs w:val="28"/>
    </w:rPr>
  </w:style>
  <w:style w:type="paragraph" w:customStyle="1" w:styleId="670">
    <w:name w:val="TOC 标题1"/>
    <w:basedOn w:val="2"/>
    <w:next w:val="1"/>
    <w:unhideWhenUsed/>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671">
    <w:name w:val="样式 标题 4PIM 4H4h4bulletblbbH41H42H43H44H45H46H47H48...1"/>
    <w:basedOn w:val="6"/>
    <w:qFormat/>
    <w:uiPriority w:val="0"/>
    <w:pPr>
      <w:widowControl/>
      <w:jc w:val="left"/>
    </w:pPr>
    <w:rPr>
      <w:rFonts w:cs="宋体"/>
      <w:sz w:val="24"/>
      <w:szCs w:val="20"/>
    </w:rPr>
  </w:style>
  <w:style w:type="paragraph" w:customStyle="1" w:styleId="67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7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7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7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7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78">
    <w:name w:val="Char Char11 Char Char Char Char Char Char Char Char Char1"/>
    <w:basedOn w:val="1"/>
    <w:qFormat/>
    <w:uiPriority w:val="6"/>
    <w:pPr>
      <w:spacing w:line="360" w:lineRule="auto"/>
    </w:pPr>
    <w:rPr>
      <w:szCs w:val="20"/>
    </w:rPr>
  </w:style>
  <w:style w:type="paragraph" w:customStyle="1" w:styleId="67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8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8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8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84">
    <w:name w:val="4"/>
    <w:basedOn w:val="1"/>
    <w:next w:val="37"/>
    <w:qFormat/>
    <w:uiPriority w:val="0"/>
    <w:pPr>
      <w:spacing w:after="120" w:line="480" w:lineRule="auto"/>
      <w:ind w:left="420" w:leftChars="200"/>
    </w:pPr>
    <w:rPr>
      <w:sz w:val="24"/>
      <w:szCs w:val="20"/>
    </w:rPr>
  </w:style>
  <w:style w:type="paragraph" w:customStyle="1" w:styleId="685">
    <w:name w:val="正文 项目2"/>
    <w:basedOn w:val="686"/>
    <w:qFormat/>
    <w:uiPriority w:val="0"/>
    <w:pPr>
      <w:numPr>
        <w:ilvl w:val="0"/>
        <w:numId w:val="9"/>
      </w:numPr>
      <w:tabs>
        <w:tab w:val="left" w:pos="840"/>
      </w:tabs>
      <w:spacing w:after="0"/>
    </w:pPr>
  </w:style>
  <w:style w:type="paragraph" w:customStyle="1" w:styleId="68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MM Topic 5"/>
    <w:basedOn w:val="7"/>
    <w:qFormat/>
    <w:uiPriority w:val="0"/>
    <w:pPr>
      <w:numPr>
        <w:numId w:val="5"/>
      </w:numPr>
      <w:tabs>
        <w:tab w:val="left" w:pos="2520"/>
      </w:tabs>
      <w:adjustRightInd/>
    </w:pPr>
  </w:style>
  <w:style w:type="paragraph" w:customStyle="1" w:styleId="689">
    <w:name w:val="Char Char4 Char Char"/>
    <w:basedOn w:val="1"/>
    <w:qFormat/>
    <w:uiPriority w:val="0"/>
    <w:pPr>
      <w:widowControl/>
      <w:adjustRightInd/>
      <w:spacing w:after="160" w:line="240" w:lineRule="exact"/>
      <w:jc w:val="left"/>
    </w:pPr>
  </w:style>
  <w:style w:type="paragraph" w:customStyle="1" w:styleId="690">
    <w:name w:val="正文（首行缩进2字符）"/>
    <w:basedOn w:val="1"/>
    <w:qFormat/>
    <w:uiPriority w:val="0"/>
    <w:pPr>
      <w:adjustRightInd/>
      <w:spacing w:line="360" w:lineRule="auto"/>
      <w:ind w:firstLine="480" w:firstLineChars="200"/>
    </w:pPr>
    <w:rPr>
      <w:sz w:val="24"/>
      <w:szCs w:val="20"/>
    </w:rPr>
  </w:style>
  <w:style w:type="paragraph" w:customStyle="1" w:styleId="69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92">
    <w:name w:val="Char Char1 Char Char Char11"/>
    <w:basedOn w:val="1"/>
    <w:qFormat/>
    <w:uiPriority w:val="0"/>
    <w:rPr>
      <w:rFonts w:ascii="仿宋_GB2312" w:eastAsia="仿宋_GB2312"/>
      <w:b/>
      <w:sz w:val="32"/>
      <w:szCs w:val="32"/>
    </w:rPr>
  </w:style>
  <w:style w:type="paragraph" w:customStyle="1" w:styleId="6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694">
    <w:name w:val="五级无标题条"/>
    <w:basedOn w:val="1"/>
    <w:qFormat/>
    <w:uiPriority w:val="0"/>
    <w:pPr>
      <w:adjustRightInd/>
    </w:pPr>
  </w:style>
  <w:style w:type="paragraph" w:customStyle="1" w:styleId="695">
    <w:name w:val="Char Char Char1 Char2"/>
    <w:basedOn w:val="1"/>
    <w:qFormat/>
    <w:uiPriority w:val="0"/>
    <w:rPr>
      <w:szCs w:val="20"/>
    </w:rPr>
  </w:style>
  <w:style w:type="paragraph" w:customStyle="1" w:styleId="6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9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9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699">
    <w:name w:val="Char1 Char Char Char2"/>
    <w:basedOn w:val="1"/>
    <w:qFormat/>
    <w:uiPriority w:val="0"/>
    <w:pPr>
      <w:adjustRightInd/>
      <w:ind w:firstLine="200" w:firstLineChars="200"/>
    </w:pPr>
    <w:rPr>
      <w:rFonts w:ascii="Tahoma" w:hAnsi="Tahoma"/>
      <w:sz w:val="24"/>
      <w:szCs w:val="20"/>
    </w:rPr>
  </w:style>
  <w:style w:type="paragraph" w:customStyle="1" w:styleId="700">
    <w:name w:val="Char23"/>
    <w:basedOn w:val="1"/>
    <w:qFormat/>
    <w:uiPriority w:val="0"/>
    <w:rPr>
      <w:rFonts w:ascii="仿宋_GB2312" w:eastAsia="仿宋_GB2312"/>
      <w:b/>
      <w:sz w:val="32"/>
      <w:szCs w:val="32"/>
    </w:rPr>
  </w:style>
  <w:style w:type="paragraph" w:customStyle="1" w:styleId="701">
    <w:name w:val="_Style 6"/>
    <w:basedOn w:val="1"/>
    <w:qFormat/>
    <w:uiPriority w:val="34"/>
    <w:pPr>
      <w:adjustRightInd/>
      <w:ind w:firstLine="420" w:firstLineChars="200"/>
    </w:pPr>
    <w:rPr>
      <w:rFonts w:eastAsia="仿宋_GB2312"/>
      <w:sz w:val="28"/>
    </w:rPr>
  </w:style>
  <w:style w:type="paragraph" w:customStyle="1" w:styleId="70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0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70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0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70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707">
    <w:name w:val="CM14"/>
    <w:basedOn w:val="396"/>
    <w:next w:val="396"/>
    <w:qFormat/>
    <w:uiPriority w:val="0"/>
    <w:pPr>
      <w:spacing w:after="68"/>
    </w:pPr>
    <w:rPr>
      <w:rFonts w:ascii="FHLHE E+ Futura Bk" w:eastAsia="FHLHE E+ Futura Bk" w:cs="Times New Roman"/>
      <w:color w:val="auto"/>
    </w:rPr>
  </w:style>
  <w:style w:type="paragraph" w:customStyle="1" w:styleId="708">
    <w:name w:val="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709">
    <w:name w:val="_Style 8"/>
    <w:basedOn w:val="1"/>
    <w:qFormat/>
    <w:uiPriority w:val="34"/>
    <w:pPr>
      <w:adjustRightInd/>
      <w:ind w:firstLine="420" w:firstLineChars="200"/>
    </w:pPr>
    <w:rPr>
      <w:rFonts w:eastAsia="仿宋_GB2312"/>
      <w:sz w:val="28"/>
    </w:rPr>
  </w:style>
  <w:style w:type="paragraph" w:customStyle="1" w:styleId="71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712">
    <w:name w:val="Char Char Char Char Char Char Char Char Char Char Char1 Char"/>
    <w:basedOn w:val="1"/>
    <w:qFormat/>
    <w:uiPriority w:val="0"/>
    <w:pPr>
      <w:adjustRightInd/>
    </w:pPr>
    <w:rPr>
      <w:rFonts w:ascii="Tahoma" w:hAnsi="Tahoma"/>
      <w:sz w:val="24"/>
    </w:rPr>
  </w:style>
  <w:style w:type="paragraph" w:customStyle="1" w:styleId="71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14">
    <w:name w:val="标书表格字体格式"/>
    <w:next w:val="715"/>
    <w:qFormat/>
    <w:uiPriority w:val="0"/>
    <w:rPr>
      <w:rFonts w:ascii="Times New Roman" w:hAnsi="Times New Roman" w:eastAsia="宋体" w:cs="Times New Roman"/>
      <w:kern w:val="2"/>
      <w:sz w:val="21"/>
      <w:szCs w:val="24"/>
      <w:lang w:val="en-US" w:eastAsia="zh-CN" w:bidi="ar-SA"/>
    </w:rPr>
  </w:style>
  <w:style w:type="paragraph" w:customStyle="1" w:styleId="71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1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1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1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1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2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2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2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725">
    <w:name w:val="舟式样-标题1"/>
    <w:basedOn w:val="2"/>
    <w:next w:val="726"/>
    <w:qFormat/>
    <w:uiPriority w:val="0"/>
    <w:pPr>
      <w:numPr>
        <w:ilvl w:val="0"/>
        <w:numId w:val="7"/>
      </w:numPr>
      <w:spacing w:beforeLines="50" w:afterLines="50" w:line="360" w:lineRule="auto"/>
    </w:pPr>
    <w:rPr>
      <w:rFonts w:ascii="黑体" w:hAnsi="黑体" w:eastAsia="黑体"/>
      <w:b w:val="0"/>
      <w:sz w:val="32"/>
      <w:szCs w:val="32"/>
    </w:rPr>
  </w:style>
  <w:style w:type="paragraph" w:customStyle="1" w:styleId="726">
    <w:name w:val="舟式样-标题2"/>
    <w:basedOn w:val="4"/>
    <w:next w:val="482"/>
    <w:qFormat/>
    <w:uiPriority w:val="0"/>
    <w:pPr>
      <w:numPr>
        <w:ilvl w:val="1"/>
        <w:numId w:val="7"/>
      </w:numPr>
      <w:ind w:firstLine="200" w:firstLineChars="200"/>
    </w:pPr>
    <w:rPr>
      <w:rFonts w:ascii="楷体_GB2312"/>
      <w:sz w:val="28"/>
    </w:rPr>
  </w:style>
  <w:style w:type="paragraph" w:customStyle="1" w:styleId="72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72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30">
    <w:name w:val="正文文字 2"/>
    <w:basedOn w:val="396"/>
    <w:next w:val="396"/>
    <w:qFormat/>
    <w:uiPriority w:val="0"/>
    <w:rPr>
      <w:rFonts w:ascii="宋体" w:eastAsia="宋体" w:cs="Times New Roman"/>
      <w:color w:val="auto"/>
    </w:rPr>
  </w:style>
  <w:style w:type="paragraph" w:customStyle="1" w:styleId="731">
    <w:name w:val="Char12"/>
    <w:basedOn w:val="1"/>
    <w:qFormat/>
    <w:uiPriority w:val="0"/>
    <w:rPr>
      <w:rFonts w:ascii="仿宋_GB2312" w:eastAsia="仿宋_GB2312"/>
      <w:b/>
      <w:sz w:val="32"/>
      <w:szCs w:val="32"/>
    </w:rPr>
  </w:style>
  <w:style w:type="paragraph" w:customStyle="1" w:styleId="73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正文21"/>
    <w:basedOn w:val="1"/>
    <w:qFormat/>
    <w:uiPriority w:val="0"/>
    <w:pPr>
      <w:adjustRightInd/>
      <w:spacing w:before="156" w:line="360" w:lineRule="auto"/>
      <w:ind w:firstLine="510" w:firstLineChars="200"/>
    </w:pPr>
    <w:rPr>
      <w:sz w:val="24"/>
      <w:szCs w:val="20"/>
    </w:rPr>
  </w:style>
  <w:style w:type="paragraph" w:customStyle="1" w:styleId="735">
    <w:name w:val="Char Char110"/>
    <w:basedOn w:val="1"/>
    <w:qFormat/>
    <w:uiPriority w:val="6"/>
    <w:pPr>
      <w:spacing w:line="360" w:lineRule="auto"/>
    </w:pPr>
    <w:rPr>
      <w:rFonts w:ascii="Tahoma" w:hAnsi="Tahoma"/>
      <w:sz w:val="24"/>
      <w:szCs w:val="20"/>
    </w:rPr>
  </w:style>
  <w:style w:type="paragraph" w:customStyle="1" w:styleId="73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73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8">
    <w:name w:val="MM Empty"/>
    <w:basedOn w:val="1"/>
    <w:qFormat/>
    <w:uiPriority w:val="0"/>
    <w:pPr>
      <w:adjustRightInd/>
    </w:pPr>
  </w:style>
  <w:style w:type="paragraph" w:customStyle="1" w:styleId="73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4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4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4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744">
    <w:name w:val="样式7"/>
    <w:basedOn w:val="615"/>
    <w:next w:val="1"/>
    <w:qFormat/>
    <w:uiPriority w:val="0"/>
    <w:pPr>
      <w:spacing w:afterLines="50"/>
      <w:jc w:val="left"/>
      <w:outlineLvl w:val="3"/>
    </w:pPr>
    <w:rPr>
      <w:sz w:val="24"/>
      <w:szCs w:val="24"/>
    </w:rPr>
  </w:style>
  <w:style w:type="paragraph" w:customStyle="1" w:styleId="74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46">
    <w:name w:val="Char Char1 Char"/>
    <w:basedOn w:val="1"/>
    <w:qFormat/>
    <w:uiPriority w:val="0"/>
    <w:rPr>
      <w:rFonts w:ascii="仿宋_GB2312" w:eastAsia="仿宋_GB2312"/>
      <w:b/>
      <w:sz w:val="32"/>
      <w:szCs w:val="32"/>
    </w:rPr>
  </w:style>
  <w:style w:type="paragraph" w:customStyle="1" w:styleId="747">
    <w:name w:val="Char"/>
    <w:basedOn w:val="1"/>
    <w:qFormat/>
    <w:uiPriority w:val="0"/>
    <w:rPr>
      <w:rFonts w:ascii="仿宋_GB2312" w:eastAsia="仿宋_GB2312"/>
      <w:b/>
      <w:sz w:val="32"/>
      <w:szCs w:val="32"/>
    </w:rPr>
  </w:style>
  <w:style w:type="paragraph" w:customStyle="1" w:styleId="748">
    <w:name w:val="Char Char111"/>
    <w:basedOn w:val="1"/>
    <w:qFormat/>
    <w:uiPriority w:val="0"/>
    <w:pPr>
      <w:spacing w:line="360" w:lineRule="auto"/>
    </w:pPr>
    <w:rPr>
      <w:szCs w:val="20"/>
    </w:rPr>
  </w:style>
  <w:style w:type="paragraph" w:customStyle="1" w:styleId="74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5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51">
    <w:name w:val="首行缩进"/>
    <w:basedOn w:val="1"/>
    <w:qFormat/>
    <w:uiPriority w:val="0"/>
    <w:pPr>
      <w:spacing w:line="360" w:lineRule="auto"/>
      <w:ind w:firstLine="480" w:firstLineChars="200"/>
    </w:pPr>
    <w:rPr>
      <w:rFonts w:ascii="宋体"/>
      <w:sz w:val="24"/>
      <w:szCs w:val="20"/>
    </w:rPr>
  </w:style>
  <w:style w:type="paragraph" w:customStyle="1" w:styleId="752">
    <w:name w:val="Char1 Char Char Char1"/>
    <w:basedOn w:val="1"/>
    <w:qFormat/>
    <w:uiPriority w:val="0"/>
    <w:pPr>
      <w:adjustRightInd/>
      <w:ind w:firstLine="200" w:firstLineChars="200"/>
    </w:pPr>
    <w:rPr>
      <w:rFonts w:ascii="Tahoma" w:hAnsi="Tahoma"/>
      <w:sz w:val="24"/>
      <w:szCs w:val="20"/>
    </w:rPr>
  </w:style>
  <w:style w:type="paragraph" w:customStyle="1" w:styleId="75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54">
    <w:name w:val="trademark"/>
    <w:qFormat/>
    <w:uiPriority w:val="0"/>
    <w:pPr>
      <w:spacing w:after="60"/>
    </w:pPr>
    <w:rPr>
      <w:rFonts w:ascii="Futura Bk" w:hAnsi="Futura Bk" w:eastAsia="宋体" w:cs="Times New Roman"/>
      <w:sz w:val="15"/>
      <w:lang w:val="en-US" w:eastAsia="en-US" w:bidi="ar-SA"/>
    </w:rPr>
  </w:style>
  <w:style w:type="paragraph" w:customStyle="1" w:styleId="7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75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75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58">
    <w:name w:val="表文字"/>
    <w:qFormat/>
    <w:uiPriority w:val="0"/>
    <w:rPr>
      <w:rFonts w:ascii="宋体" w:hAnsi="Times New Roman" w:eastAsia="宋体" w:cs="Times New Roman"/>
      <w:kern w:val="2"/>
      <w:lang w:val="en-US" w:eastAsia="zh-CN" w:bidi="ar-SA"/>
    </w:rPr>
  </w:style>
  <w:style w:type="paragraph" w:customStyle="1" w:styleId="7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6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1">
    <w:name w:val="_Style 12"/>
    <w:basedOn w:val="19"/>
    <w:qFormat/>
    <w:uiPriority w:val="0"/>
    <w:pPr>
      <w:snapToGrid w:val="0"/>
      <w:spacing w:line="360" w:lineRule="auto"/>
    </w:pPr>
  </w:style>
  <w:style w:type="paragraph" w:customStyle="1" w:styleId="76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6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764">
    <w:name w:val="Char Char38"/>
    <w:basedOn w:val="1"/>
    <w:qFormat/>
    <w:uiPriority w:val="0"/>
    <w:pPr>
      <w:spacing w:line="360" w:lineRule="auto"/>
    </w:pPr>
    <w:rPr>
      <w:rFonts w:ascii="Tahoma" w:hAnsi="Tahoma"/>
      <w:sz w:val="24"/>
      <w:szCs w:val="20"/>
    </w:rPr>
  </w:style>
  <w:style w:type="paragraph" w:customStyle="1" w:styleId="7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6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67">
    <w:name w:val="Char3 Char Char Char2"/>
    <w:basedOn w:val="1"/>
    <w:qFormat/>
    <w:uiPriority w:val="0"/>
    <w:pPr>
      <w:widowControl/>
      <w:adjustRightInd/>
      <w:spacing w:after="160" w:line="240" w:lineRule="exact"/>
      <w:jc w:val="left"/>
    </w:pPr>
    <w:rPr>
      <w:szCs w:val="20"/>
    </w:rPr>
  </w:style>
  <w:style w:type="paragraph" w:customStyle="1" w:styleId="76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69">
    <w:name w:val="Char Char11 Char Char Char"/>
    <w:basedOn w:val="1"/>
    <w:qFormat/>
    <w:uiPriority w:val="0"/>
    <w:pPr>
      <w:spacing w:line="360" w:lineRule="auto"/>
    </w:pPr>
    <w:rPr>
      <w:szCs w:val="20"/>
    </w:rPr>
  </w:style>
  <w:style w:type="paragraph" w:customStyle="1" w:styleId="77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72">
    <w:name w:val="表格标题2"/>
    <w:basedOn w:val="581"/>
    <w:qFormat/>
    <w:uiPriority w:val="0"/>
    <w:rPr>
      <w:b/>
    </w:rPr>
  </w:style>
  <w:style w:type="paragraph" w:customStyle="1" w:styleId="77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774">
    <w:name w:val="Char3"/>
    <w:basedOn w:val="1"/>
    <w:qFormat/>
    <w:uiPriority w:val="0"/>
    <w:pPr>
      <w:adjustRightInd/>
    </w:pPr>
    <w:rPr>
      <w:rFonts w:ascii="仿宋_GB2312" w:eastAsia="仿宋_GB2312"/>
      <w:b/>
      <w:sz w:val="32"/>
      <w:szCs w:val="32"/>
    </w:rPr>
  </w:style>
  <w:style w:type="paragraph" w:customStyle="1" w:styleId="775">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776">
    <w:name w:val="舟式样-图题"/>
    <w:basedOn w:val="702"/>
    <w:qFormat/>
    <w:uiPriority w:val="0"/>
    <w:pPr>
      <w:numPr>
        <w:ilvl w:val="0"/>
        <w:numId w:val="10"/>
      </w:numPr>
      <w:ind w:firstLine="0"/>
      <w:jc w:val="center"/>
    </w:pPr>
    <w:rPr>
      <w:szCs w:val="21"/>
    </w:rPr>
  </w:style>
  <w:style w:type="paragraph" w:customStyle="1" w:styleId="777">
    <w:name w:val="Char6"/>
    <w:basedOn w:val="1"/>
    <w:qFormat/>
    <w:uiPriority w:val="0"/>
    <w:rPr>
      <w:rFonts w:ascii="仿宋_GB2312" w:eastAsia="仿宋_GB2312"/>
      <w:b/>
      <w:sz w:val="32"/>
      <w:szCs w:val="32"/>
    </w:rPr>
  </w:style>
  <w:style w:type="paragraph" w:customStyle="1" w:styleId="7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779">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780">
    <w:name w:val="样式3"/>
    <w:basedOn w:val="681"/>
    <w:qFormat/>
    <w:uiPriority w:val="0"/>
    <w:pPr>
      <w:spacing w:beforeLines="100"/>
      <w:jc w:val="left"/>
    </w:pPr>
  </w:style>
  <w:style w:type="paragraph" w:customStyle="1" w:styleId="78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82">
    <w:name w:val="数字标题1"/>
    <w:basedOn w:val="2"/>
    <w:next w:val="1"/>
    <w:qFormat/>
    <w:uiPriority w:val="0"/>
    <w:pPr>
      <w:numPr>
        <w:numId w:val="8"/>
      </w:numPr>
      <w:tabs>
        <w:tab w:val="left" w:pos="480"/>
      </w:tabs>
    </w:pPr>
  </w:style>
  <w:style w:type="paragraph" w:customStyle="1" w:styleId="783">
    <w:name w:val="Char Char Char Char Char Char2"/>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786">
    <w:name w:val="Char Char Char Char Char Char1 Char11"/>
    <w:basedOn w:val="1"/>
    <w:qFormat/>
    <w:uiPriority w:val="0"/>
    <w:pPr>
      <w:widowControl/>
      <w:spacing w:after="160" w:line="240" w:lineRule="exact"/>
      <w:jc w:val="left"/>
    </w:pPr>
    <w:rPr>
      <w:rFonts w:ascii="Verdana" w:hAnsi="Verdana"/>
      <w:kern w:val="0"/>
      <w:szCs w:val="20"/>
      <w:lang w:eastAsia="en-US"/>
    </w:rPr>
  </w:style>
  <w:style w:type="paragraph" w:customStyle="1" w:styleId="78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88">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0">
    <w:name w:val="TOC 标题11"/>
    <w:basedOn w:val="2"/>
    <w:next w:val="1"/>
    <w:unhideWhenUsed/>
    <w:qFormat/>
    <w:uiPriority w:val="4"/>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7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9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9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7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7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9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9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7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80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8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0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03">
    <w:name w:val="p0"/>
    <w:basedOn w:val="1"/>
    <w:qFormat/>
    <w:uiPriority w:val="0"/>
    <w:pPr>
      <w:widowControl/>
      <w:adjustRightInd/>
    </w:pPr>
    <w:rPr>
      <w:kern w:val="0"/>
      <w:szCs w:val="21"/>
    </w:rPr>
  </w:style>
  <w:style w:type="paragraph" w:customStyle="1" w:styleId="80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06">
    <w:name w:val="bullet"/>
    <w:basedOn w:val="1"/>
    <w:qFormat/>
    <w:uiPriority w:val="0"/>
    <w:pPr>
      <w:tabs>
        <w:tab w:val="left" w:pos="840"/>
      </w:tabs>
      <w:adjustRightInd/>
      <w:ind w:left="840" w:hanging="420"/>
    </w:pPr>
  </w:style>
  <w:style w:type="paragraph" w:customStyle="1" w:styleId="807">
    <w:name w:val="Char Char Char Char Char Char Char Char Char Char1"/>
    <w:basedOn w:val="1"/>
    <w:qFormat/>
    <w:uiPriority w:val="0"/>
    <w:rPr>
      <w:rFonts w:ascii="仿宋_GB2312" w:eastAsia="仿宋_GB2312"/>
      <w:b/>
      <w:sz w:val="32"/>
      <w:szCs w:val="32"/>
    </w:rPr>
  </w:style>
  <w:style w:type="paragraph" w:customStyle="1" w:styleId="80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809">
    <w:name w:val="标题五"/>
    <w:basedOn w:val="1"/>
    <w:qFormat/>
    <w:uiPriority w:val="0"/>
    <w:pPr>
      <w:adjustRightInd/>
      <w:spacing w:beforeLines="50" w:line="360" w:lineRule="auto"/>
    </w:pPr>
    <w:rPr>
      <w:b/>
      <w:sz w:val="24"/>
    </w:rPr>
  </w:style>
  <w:style w:type="paragraph" w:customStyle="1" w:styleId="81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11">
    <w:name w:val="标准小四"/>
    <w:basedOn w:val="1"/>
    <w:qFormat/>
    <w:uiPriority w:val="0"/>
    <w:pPr>
      <w:spacing w:line="360" w:lineRule="auto"/>
      <w:ind w:firstLine="480" w:firstLineChars="200"/>
    </w:pPr>
    <w:rPr>
      <w:rFonts w:ascii="Arial" w:hAnsi="Arial"/>
      <w:sz w:val="24"/>
      <w:szCs w:val="21"/>
    </w:rPr>
  </w:style>
  <w:style w:type="paragraph" w:customStyle="1" w:styleId="81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81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5">
    <w:name w:val="Char Char1 Char Char Char Char Char Char2"/>
    <w:basedOn w:val="1"/>
    <w:qFormat/>
    <w:uiPriority w:val="0"/>
    <w:rPr>
      <w:rFonts w:ascii="仿宋_GB2312" w:eastAsia="仿宋_GB2312"/>
      <w:b/>
      <w:sz w:val="32"/>
      <w:szCs w:val="20"/>
    </w:rPr>
  </w:style>
  <w:style w:type="paragraph" w:customStyle="1" w:styleId="8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17">
    <w:name w:val="MM Topic 3"/>
    <w:basedOn w:val="5"/>
    <w:qFormat/>
    <w:uiPriority w:val="0"/>
    <w:pPr>
      <w:numPr>
        <w:numId w:val="5"/>
      </w:numPr>
      <w:tabs>
        <w:tab w:val="left" w:pos="1680"/>
      </w:tabs>
      <w:adjustRightInd/>
    </w:pPr>
  </w:style>
  <w:style w:type="paragraph" w:customStyle="1" w:styleId="81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标题4_自定义"/>
    <w:basedOn w:val="6"/>
    <w:qFormat/>
    <w:uiPriority w:val="0"/>
    <w:pPr>
      <w:numPr>
        <w:numId w:val="0"/>
      </w:numPr>
      <w:spacing w:before="0" w:after="0" w:line="360" w:lineRule="auto"/>
    </w:pPr>
    <w:rPr>
      <w:rFonts w:ascii="Verdana" w:eastAsia="Verdana"/>
      <w:sz w:val="21"/>
      <w:lang w:val="en-US"/>
    </w:rPr>
  </w:style>
  <w:style w:type="paragraph" w:customStyle="1" w:styleId="82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2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82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2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2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82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27">
    <w:name w:val="图中文字"/>
    <w:basedOn w:val="1"/>
    <w:qFormat/>
    <w:uiPriority w:val="0"/>
    <w:pPr>
      <w:snapToGrid w:val="0"/>
      <w:spacing w:line="0" w:lineRule="atLeast"/>
      <w:ind w:firstLine="200" w:firstLineChars="200"/>
      <w:jc w:val="center"/>
    </w:pPr>
    <w:rPr>
      <w:sz w:val="24"/>
      <w:szCs w:val="20"/>
    </w:rPr>
  </w:style>
  <w:style w:type="paragraph" w:customStyle="1" w:styleId="828">
    <w:name w:val="标题2"/>
    <w:basedOn w:val="4"/>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2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8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8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832">
    <w:name w:val="_Style 3"/>
    <w:basedOn w:val="1"/>
    <w:qFormat/>
    <w:uiPriority w:val="34"/>
    <w:pPr>
      <w:adjustRightInd/>
      <w:ind w:firstLine="420" w:firstLineChars="200"/>
    </w:pPr>
    <w:rPr>
      <w:rFonts w:eastAsia="仿宋_GB2312"/>
      <w:sz w:val="28"/>
    </w:rPr>
  </w:style>
  <w:style w:type="paragraph" w:customStyle="1" w:styleId="83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834">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spacing w:before="0" w:after="0" w:line="640" w:lineRule="exact"/>
      <w:ind w:left="431" w:hanging="431"/>
      <w:jc w:val="center"/>
    </w:pPr>
    <w:rPr>
      <w:rFonts w:ascii="黑体" w:hAnsi="黑体" w:eastAsia="黑体" w:cs="Arial"/>
      <w:caps/>
      <w:color w:val="FFFFFF"/>
      <w:kern w:val="2"/>
      <w:sz w:val="30"/>
      <w:szCs w:val="20"/>
    </w:rPr>
  </w:style>
  <w:style w:type="paragraph" w:customStyle="1" w:styleId="835">
    <w:name w:val="列表段落1"/>
    <w:basedOn w:val="1"/>
    <w:qFormat/>
    <w:uiPriority w:val="34"/>
    <w:pPr>
      <w:adjustRightInd/>
      <w:ind w:right="238" w:firstLine="420"/>
    </w:pPr>
    <w:rPr>
      <w:rFonts w:ascii="Calibri" w:hAnsi="Calibri"/>
      <w:sz w:val="24"/>
    </w:rPr>
  </w:style>
  <w:style w:type="paragraph" w:customStyle="1" w:styleId="83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3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39">
    <w:name w:val="Char Char11 Char Char Char Char Char Char Char Char Char Char Char2"/>
    <w:basedOn w:val="1"/>
    <w:qFormat/>
    <w:uiPriority w:val="0"/>
    <w:pPr>
      <w:adjustRightInd/>
      <w:spacing w:line="360" w:lineRule="auto"/>
    </w:pPr>
    <w:rPr>
      <w:rFonts w:ascii="Arial" w:hAnsi="Arial" w:eastAsia="黑体" w:cs="Arial"/>
      <w:snapToGrid w:val="0"/>
      <w:kern w:val="0"/>
      <w:szCs w:val="21"/>
    </w:rPr>
  </w:style>
  <w:style w:type="paragraph" w:customStyle="1" w:styleId="84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4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842">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84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844">
    <w:name w:val="Char Char11 Char Char Char2"/>
    <w:basedOn w:val="1"/>
    <w:qFormat/>
    <w:uiPriority w:val="0"/>
    <w:pPr>
      <w:spacing w:line="360" w:lineRule="auto"/>
    </w:pPr>
    <w:rPr>
      <w:szCs w:val="20"/>
    </w:rPr>
  </w:style>
  <w:style w:type="paragraph" w:customStyle="1" w:styleId="84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46">
    <w:name w:val="Char Char Char Char Char Char Char Char Char Char Char Char1 Char2"/>
    <w:basedOn w:val="1"/>
    <w:qFormat/>
    <w:uiPriority w:val="0"/>
    <w:rPr>
      <w:rFonts w:ascii="Tahoma" w:hAnsi="Tahoma" w:cs="仿宋_GB2312"/>
      <w:sz w:val="24"/>
      <w:szCs w:val="20"/>
    </w:rPr>
  </w:style>
  <w:style w:type="paragraph" w:customStyle="1" w:styleId="847">
    <w:name w:val="Char Char Char Char Char Char Char Char Char Char"/>
    <w:basedOn w:val="1"/>
    <w:qFormat/>
    <w:uiPriority w:val="0"/>
    <w:rPr>
      <w:rFonts w:ascii="仿宋_GB2312" w:eastAsia="仿宋_GB2312"/>
      <w:b/>
      <w:sz w:val="32"/>
      <w:szCs w:val="32"/>
    </w:rPr>
  </w:style>
  <w:style w:type="paragraph" w:customStyle="1" w:styleId="848">
    <w:name w:val="Char21"/>
    <w:basedOn w:val="1"/>
    <w:qFormat/>
    <w:uiPriority w:val="0"/>
    <w:pPr>
      <w:adjustRightInd/>
      <w:ind w:firstLine="200" w:firstLineChars="200"/>
    </w:pPr>
    <w:rPr>
      <w:rFonts w:ascii="仿宋_GB2312" w:eastAsia="仿宋_GB2312"/>
      <w:b/>
      <w:sz w:val="32"/>
      <w:szCs w:val="32"/>
    </w:rPr>
  </w:style>
  <w:style w:type="paragraph" w:customStyle="1" w:styleId="84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50">
    <w:name w:val="默认段落字体 Para Char Char Char Char"/>
    <w:basedOn w:val="1"/>
    <w:qFormat/>
    <w:uiPriority w:val="0"/>
    <w:pPr>
      <w:spacing w:line="360" w:lineRule="auto"/>
    </w:pPr>
    <w:rPr>
      <w:szCs w:val="20"/>
    </w:rPr>
  </w:style>
  <w:style w:type="paragraph" w:customStyle="1" w:styleId="85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5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8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854">
    <w:name w:val="U_编号2"/>
    <w:basedOn w:val="1"/>
    <w:qFormat/>
    <w:uiPriority w:val="0"/>
    <w:pPr>
      <w:tabs>
        <w:tab w:val="left" w:pos="785"/>
      </w:tabs>
      <w:adjustRightInd/>
      <w:spacing w:beforeLines="10" w:afterLines="10" w:line="300" w:lineRule="auto"/>
    </w:pPr>
    <w:rPr>
      <w:sz w:val="24"/>
    </w:rPr>
  </w:style>
  <w:style w:type="paragraph" w:customStyle="1" w:styleId="855">
    <w:name w:val="Char Char11 Char Char Char Char Char Char Char Char Char2"/>
    <w:basedOn w:val="1"/>
    <w:qFormat/>
    <w:uiPriority w:val="0"/>
    <w:pPr>
      <w:spacing w:line="360" w:lineRule="auto"/>
    </w:pPr>
    <w:rPr>
      <w:szCs w:val="20"/>
    </w:rPr>
  </w:style>
  <w:style w:type="paragraph" w:customStyle="1" w:styleId="856">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85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5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860">
    <w:name w:val="正文1.25"/>
    <w:basedOn w:val="1"/>
    <w:qFormat/>
    <w:uiPriority w:val="0"/>
    <w:pPr>
      <w:adjustRightInd/>
      <w:spacing w:line="300" w:lineRule="auto"/>
      <w:ind w:firstLine="480" w:firstLineChars="200"/>
    </w:pPr>
    <w:rPr>
      <w:sz w:val="24"/>
      <w:szCs w:val="20"/>
    </w:rPr>
  </w:style>
  <w:style w:type="paragraph" w:customStyle="1" w:styleId="861">
    <w:name w:val="Char Char Char Char Char Char Char Char1"/>
    <w:basedOn w:val="1"/>
    <w:qFormat/>
    <w:uiPriority w:val="0"/>
    <w:pPr>
      <w:tabs>
        <w:tab w:val="left" w:pos="360"/>
      </w:tabs>
    </w:pPr>
    <w:rPr>
      <w:sz w:val="24"/>
      <w:szCs w:val="20"/>
    </w:rPr>
  </w:style>
  <w:style w:type="paragraph" w:customStyle="1" w:styleId="86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63">
    <w:name w:val="Char Char113"/>
    <w:basedOn w:val="1"/>
    <w:qFormat/>
    <w:uiPriority w:val="0"/>
    <w:pPr>
      <w:widowControl/>
      <w:spacing w:after="160" w:line="240" w:lineRule="exact"/>
      <w:jc w:val="left"/>
    </w:pPr>
    <w:rPr>
      <w:rFonts w:eastAsia="仿宋_GB2312"/>
      <w:sz w:val="28"/>
    </w:rPr>
  </w:style>
  <w:style w:type="paragraph" w:customStyle="1" w:styleId="864">
    <w:name w:val="0"/>
    <w:basedOn w:val="1"/>
    <w:qFormat/>
    <w:uiPriority w:val="0"/>
    <w:pPr>
      <w:widowControl/>
    </w:pPr>
    <w:rPr>
      <w:kern w:val="0"/>
      <w:sz w:val="24"/>
      <w:szCs w:val="20"/>
    </w:rPr>
  </w:style>
  <w:style w:type="paragraph" w:customStyle="1" w:styleId="86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8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6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868">
    <w:name w:val="Plain Text1"/>
    <w:basedOn w:val="1"/>
    <w:qFormat/>
    <w:uiPriority w:val="7"/>
    <w:pPr>
      <w:adjustRightInd/>
    </w:pPr>
    <w:rPr>
      <w:rFonts w:ascii="宋体" w:hAnsi="Courier New"/>
    </w:rPr>
  </w:style>
  <w:style w:type="paragraph" w:customStyle="1" w:styleId="869">
    <w:name w:val="Char Char1 Char Char Char1"/>
    <w:basedOn w:val="1"/>
    <w:qFormat/>
    <w:uiPriority w:val="6"/>
    <w:rPr>
      <w:rFonts w:ascii="仿宋_GB2312" w:eastAsia="仿宋_GB2312"/>
      <w:b/>
      <w:sz w:val="32"/>
      <w:szCs w:val="20"/>
    </w:rPr>
  </w:style>
  <w:style w:type="paragraph" w:customStyle="1" w:styleId="87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71">
    <w:name w:val="Char Char Char Char Char Char Char Char Char Char2"/>
    <w:basedOn w:val="1"/>
    <w:qFormat/>
    <w:uiPriority w:val="0"/>
    <w:rPr>
      <w:rFonts w:ascii="仿宋_GB2312" w:eastAsia="仿宋_GB2312"/>
      <w:b/>
      <w:sz w:val="32"/>
      <w:szCs w:val="32"/>
    </w:rPr>
  </w:style>
  <w:style w:type="paragraph" w:customStyle="1" w:styleId="8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7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74">
    <w:name w:val="Char32"/>
    <w:basedOn w:val="1"/>
    <w:qFormat/>
    <w:uiPriority w:val="0"/>
    <w:pPr>
      <w:adjustRightInd/>
      <w:ind w:firstLine="200" w:firstLineChars="200"/>
    </w:pPr>
    <w:rPr>
      <w:rFonts w:ascii="Tahoma" w:hAnsi="Tahoma"/>
      <w:sz w:val="24"/>
      <w:szCs w:val="20"/>
    </w:rPr>
  </w:style>
  <w:style w:type="paragraph" w:customStyle="1" w:styleId="87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76">
    <w:name w:val="样式 样式2 + 左侧:  1 字符 右侧:  1 字符"/>
    <w:basedOn w:val="6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7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78">
    <w:name w:val="_Style 1"/>
    <w:basedOn w:val="1"/>
    <w:qFormat/>
    <w:uiPriority w:val="34"/>
    <w:pPr>
      <w:adjustRightInd/>
      <w:ind w:firstLine="420" w:firstLineChars="200"/>
    </w:pPr>
    <w:rPr>
      <w:rFonts w:eastAsia="仿宋_GB2312"/>
      <w:sz w:val="28"/>
    </w:rPr>
  </w:style>
  <w:style w:type="paragraph" w:customStyle="1" w:styleId="8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80">
    <w:name w:val="Char3 Char Char Char Char Char Char2"/>
    <w:basedOn w:val="1"/>
    <w:qFormat/>
    <w:uiPriority w:val="0"/>
    <w:pPr>
      <w:adjustRightInd/>
      <w:spacing w:line="360" w:lineRule="auto"/>
    </w:pPr>
    <w:rPr>
      <w:rFonts w:ascii="Arial" w:hAnsi="Arial" w:eastAsia="黑体" w:cs="Arial"/>
      <w:snapToGrid w:val="0"/>
      <w:kern w:val="0"/>
      <w:szCs w:val="21"/>
    </w:rPr>
  </w:style>
  <w:style w:type="paragraph" w:customStyle="1" w:styleId="881">
    <w:name w:val="MM Topic 1"/>
    <w:basedOn w:val="2"/>
    <w:qFormat/>
    <w:uiPriority w:val="0"/>
    <w:pPr>
      <w:numPr>
        <w:numId w:val="0"/>
      </w:numPr>
      <w:tabs>
        <w:tab w:val="left" w:pos="840"/>
      </w:tabs>
      <w:ind w:left="840" w:hanging="420"/>
    </w:pPr>
  </w:style>
  <w:style w:type="paragraph" w:customStyle="1" w:styleId="88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41593</Words>
  <Characters>44445</Characters>
  <Lines>369</Lines>
  <Paragraphs>104</Paragraphs>
  <TotalTime>0</TotalTime>
  <ScaleCrop>false</ScaleCrop>
  <LinksUpToDate>false</LinksUpToDate>
  <CharactersWithSpaces>49802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2021-09-14T16:33:00Z</dcterms:created>
  <dc:creator>精卫填海</dc:creator>
  <cp:lastModifiedBy>user</cp:lastModifiedBy>
  <cp:lastPrinted>2020-08-12T11:33:00Z</cp:lastPrinted>
  <dcterms:modified xsi:type="dcterms:W3CDTF">2021-09-18T11:38:53Z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7D6492FEDA784F848C04900ECC0441FC</vt:lpwstr>
  </property>
</Properties>
</file>