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both"/>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rPr>
        <w:t>杭州市拱墅健康大厦食堂服务外包</w:t>
      </w:r>
      <w:r>
        <w:rPr>
          <w:rFonts w:hint="eastAsia" w:ascii="宋体" w:hAnsi="宋体" w:cs="宋体"/>
          <w:color w:val="auto"/>
          <w:sz w:val="48"/>
          <w:szCs w:val="48"/>
          <w:highlight w:val="none"/>
        </w:rPr>
        <w:t>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：XJCG[2024]019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杭州市拱墅区残疾人联合会</w:t>
      </w: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浙江西建工程管理有限公司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26</w:t>
      </w:r>
      <w:r>
        <w:rPr>
          <w:rFonts w:hint="eastAsia" w:ascii="宋体" w:hAnsi="宋体" w:cs="宋体"/>
          <w:bCs/>
          <w:color w:val="auto"/>
          <w:sz w:val="32"/>
          <w:szCs w:val="32"/>
          <w:highlight w:val="none"/>
        </w:rPr>
        <w:t>日</w:t>
      </w:r>
    </w:p>
    <w:p>
      <w:pPr>
        <w:pStyle w:val="5"/>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40"/>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杭州市拱墅健康大厦食堂服务外包项目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https://www.zcygov.cn/）获取（下载）招标文件，并于202</w:t>
      </w:r>
      <w:r>
        <w:rPr>
          <w:rStyle w:val="82"/>
          <w:rFonts w:hint="eastAsia" w:ascii="宋体" w:hAnsi="宋体" w:cs="宋体"/>
          <w:snapToGrid/>
          <w:color w:val="auto"/>
          <w:kern w:val="2"/>
          <w:sz w:val="24"/>
          <w:szCs w:val="24"/>
          <w:highlight w:val="none"/>
          <w:lang w:val="en-US" w:eastAsia="zh-CN"/>
        </w:rPr>
        <w:t>4</w:t>
      </w:r>
      <w:r>
        <w:rPr>
          <w:rStyle w:val="82"/>
          <w:rFonts w:hint="eastAsia" w:ascii="宋体" w:hAnsi="宋体" w:eastAsia="宋体" w:cs="宋体"/>
          <w:snapToGrid/>
          <w:color w:val="auto"/>
          <w:kern w:val="2"/>
          <w:sz w:val="24"/>
          <w:szCs w:val="24"/>
          <w:highlight w:val="none"/>
        </w:rPr>
        <w:t>年</w:t>
      </w:r>
      <w:r>
        <w:rPr>
          <w:rStyle w:val="82"/>
          <w:rFonts w:hint="eastAsia" w:ascii="宋体" w:hAnsi="宋体" w:cs="宋体"/>
          <w:snapToGrid/>
          <w:color w:val="auto"/>
          <w:kern w:val="2"/>
          <w:sz w:val="24"/>
          <w:szCs w:val="24"/>
          <w:highlight w:val="none"/>
          <w:lang w:val="en-US" w:eastAsia="zh-CN"/>
        </w:rPr>
        <w:t>5</w:t>
      </w:r>
      <w:r>
        <w:rPr>
          <w:rStyle w:val="82"/>
          <w:rFonts w:hint="eastAsia" w:ascii="宋体" w:hAnsi="宋体" w:eastAsia="宋体" w:cs="宋体"/>
          <w:snapToGrid/>
          <w:color w:val="auto"/>
          <w:kern w:val="2"/>
          <w:sz w:val="24"/>
          <w:szCs w:val="24"/>
          <w:highlight w:val="none"/>
        </w:rPr>
        <w:t>月</w:t>
      </w:r>
      <w:r>
        <w:rPr>
          <w:rStyle w:val="82"/>
          <w:rFonts w:hint="eastAsia" w:ascii="宋体" w:hAnsi="宋体" w:cs="宋体"/>
          <w:snapToGrid/>
          <w:color w:val="auto"/>
          <w:kern w:val="2"/>
          <w:sz w:val="24"/>
          <w:szCs w:val="24"/>
          <w:highlight w:val="none"/>
          <w:lang w:val="en-US" w:eastAsia="zh-CN"/>
        </w:rPr>
        <w:t>16</w:t>
      </w:r>
      <w:r>
        <w:rPr>
          <w:rStyle w:val="82"/>
          <w:rFonts w:hint="eastAsia" w:ascii="宋体" w:hAnsi="宋体" w:eastAsia="宋体" w:cs="宋体"/>
          <w:snapToGrid/>
          <w:color w:val="auto"/>
          <w:kern w:val="2"/>
          <w:sz w:val="24"/>
          <w:szCs w:val="24"/>
          <w:highlight w:val="none"/>
        </w:rPr>
        <w:t>日</w:t>
      </w:r>
      <w:r>
        <w:rPr>
          <w:rStyle w:val="82"/>
          <w:rFonts w:hint="eastAsia" w:ascii="宋体" w:hAnsi="宋体" w:cs="宋体"/>
          <w:snapToGrid/>
          <w:color w:val="auto"/>
          <w:kern w:val="2"/>
          <w:sz w:val="24"/>
          <w:szCs w:val="24"/>
          <w:highlight w:val="none"/>
          <w:lang w:val="en-US" w:eastAsia="zh-CN"/>
        </w:rPr>
        <w:t>13</w:t>
      </w:r>
      <w:r>
        <w:rPr>
          <w:rStyle w:val="82"/>
          <w:rFonts w:hint="eastAsia" w:ascii="宋体" w:hAnsi="宋体" w:eastAsia="宋体" w:cs="宋体"/>
          <w:snapToGrid/>
          <w:color w:val="auto"/>
          <w:kern w:val="2"/>
          <w:sz w:val="24"/>
          <w:szCs w:val="24"/>
          <w:highlight w:val="none"/>
        </w:rPr>
        <w:t>点</w:t>
      </w:r>
      <w:r>
        <w:rPr>
          <w:rStyle w:val="82"/>
          <w:rFonts w:hint="eastAsia" w:ascii="宋体" w:hAnsi="宋体" w:cs="宋体"/>
          <w:snapToGrid/>
          <w:color w:val="auto"/>
          <w:kern w:val="2"/>
          <w:sz w:val="24"/>
          <w:szCs w:val="24"/>
          <w:highlight w:val="none"/>
          <w:lang w:val="en-US" w:eastAsia="zh-CN"/>
        </w:rPr>
        <w:t>30</w:t>
      </w:r>
      <w:r>
        <w:rPr>
          <w:rStyle w:val="82"/>
          <w:rFonts w:hint="eastAsia" w:ascii="宋体" w:hAnsi="宋体" w:eastAsia="宋体" w:cs="宋体"/>
          <w:snapToGrid/>
          <w:color w:val="auto"/>
          <w:kern w:val="2"/>
          <w:sz w:val="24"/>
          <w:szCs w:val="24"/>
          <w:highlight w:val="none"/>
        </w:rPr>
        <w:t>分</w:t>
      </w:r>
      <w:r>
        <w:rPr>
          <w:rStyle w:val="82"/>
          <w:rFonts w:hint="eastAsia" w:ascii="宋体" w:hAnsi="宋体" w:eastAsia="宋体" w:cs="宋体"/>
          <w:bCs/>
          <w:snapToGrid/>
          <w:color w:val="auto"/>
          <w:kern w:val="2"/>
          <w:sz w:val="24"/>
          <w:szCs w:val="24"/>
          <w:highlight w:val="non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XJCG[2024]019 </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杭州市拱墅健康大厦食堂服务外包项目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2594833.33元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2594833.33元</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杭州市拱墅健康大厦食堂服务外包项目，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杭州市拱墅健康大厦食堂服务外包项目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r>
        <w:rPr>
          <w:rFonts w:ascii="宋体" w:hAnsi="宋体" w:cs="宋体"/>
          <w:color w:val="auto"/>
          <w:highlight w:val="none"/>
        </w:rPr>
        <w:t xml:space="preserve"> </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kern w:val="0"/>
          <w:sz w:val="24"/>
          <w:highlight w:val="none"/>
          <w:lang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杭州市拱墅区残疾人联合会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拱墅区健康大厦</w:t>
      </w:r>
      <w:r>
        <w:rPr>
          <w:rFonts w:hint="eastAsia" w:ascii="宋体" w:hAnsi="宋体" w:cs="宋体"/>
          <w:color w:val="auto"/>
          <w:sz w:val="24"/>
          <w:highlight w:val="none"/>
          <w:lang w:val="en-US" w:eastAsia="zh-CN"/>
        </w:rPr>
        <w:t>15楼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余晓军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13067783118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严明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0571-88153616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浙江西建工程管理有限公司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杭州市西湖区教工路</w:t>
      </w:r>
      <w:r>
        <w:rPr>
          <w:rFonts w:hint="eastAsia" w:ascii="宋体" w:hAnsi="宋体" w:cs="宋体"/>
          <w:color w:val="auto"/>
          <w:sz w:val="24"/>
          <w:highlight w:val="none"/>
          <w:lang w:val="en-US" w:eastAsia="zh-CN"/>
        </w:rPr>
        <w:t>199号保亭综合楼6楼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徐升</w:t>
      </w:r>
      <w:r>
        <w:rPr>
          <w:rFonts w:hint="eastAsia" w:ascii="宋体" w:hAnsi="宋体" w:cs="宋体"/>
          <w:color w:val="auto"/>
          <w:sz w:val="24"/>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13757122090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毛静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13675832615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称：杭州市拱墅区财政局政府采购监管科 /浙江省政府采购行政裁决服务中心（杭州）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地址：杭州市上城区四季青街道新业路市民之家G03办公室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政策咨询：曹女士、彭先生，0571-89505668、89505676</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lang w:eastAsia="zh-CN"/>
              </w:rPr>
              <w:t>杭州市拱墅健康大厦食堂服务外包</w:t>
            </w:r>
            <w:r>
              <w:rPr>
                <w:rFonts w:hint="eastAsia" w:ascii="宋体" w:hAnsi="宋体" w:eastAsia="宋体" w:cs="宋体"/>
                <w:color w:val="auto"/>
                <w:sz w:val="24"/>
                <w:szCs w:val="24"/>
                <w:highlight w:val="none"/>
              </w:rPr>
              <w:t>，属于</w:t>
            </w:r>
            <w:r>
              <w:rPr>
                <w:rFonts w:hint="eastAsia" w:ascii="宋体" w:hAnsi="宋体" w:cs="宋体"/>
                <w:color w:val="auto"/>
                <w:sz w:val="24"/>
                <w:szCs w:val="24"/>
                <w:highlight w:val="none"/>
                <w:lang w:eastAsia="zh-CN"/>
              </w:rPr>
              <w:t>餐饮业</w:t>
            </w:r>
            <w:r>
              <w:rPr>
                <w:rFonts w:hint="eastAsia" w:ascii="宋体" w:hAnsi="宋体" w:eastAsia="宋体" w:cs="宋体"/>
                <w:color w:val="auto"/>
                <w:sz w:val="24"/>
                <w:szCs w:val="24"/>
                <w:highlight w:val="none"/>
              </w:rPr>
              <w:t>；</w:t>
            </w:r>
          </w:p>
          <w:p>
            <w:pPr>
              <w:pStyle w:val="5"/>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p>
          <w:p>
            <w:pPr>
              <w:rPr>
                <w:color w:val="auto"/>
                <w:highlight w:val="none"/>
                <w:lang w:val="en-US"/>
              </w:rPr>
            </w:pPr>
            <w:r>
              <w:rPr>
                <w:rFonts w:hint="eastAsia" w:ascii="宋体" w:hAnsi="宋体" w:eastAsia="宋体" w:cs="宋体"/>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9"/>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eastAsia="zh-CN"/>
              </w:rPr>
              <w:t>西湖区教工路</w:t>
            </w:r>
            <w:r>
              <w:rPr>
                <w:rFonts w:hint="eastAsia" w:hAnsi="宋体" w:cs="宋体"/>
                <w:color w:val="auto"/>
                <w:sz w:val="24"/>
                <w:highlight w:val="none"/>
                <w:u w:val="single"/>
                <w:lang w:val="en-US" w:eastAsia="zh-CN"/>
              </w:rPr>
              <w:t>199号保亭综合楼308室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13757122090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color w:val="auto"/>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spacing w:line="360" w:lineRule="auto"/>
              <w:rPr>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79"/>
              <w:adjustRightInd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采购代理服务费金额：本项目代理服务费用为12000元整。</w:t>
            </w:r>
          </w:p>
          <w:p>
            <w:pPr>
              <w:pStyle w:val="879"/>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采购代理服务费缴纳形式：网银/电汇/转账</w:t>
            </w:r>
          </w:p>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采购代理服务费由中标人在领取中标通知书时向采购代理机构一次性支付。</w:t>
            </w:r>
          </w:p>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结算方式及时间为：在领取中标通知书时由中标人一次性向采购代理机构付清。</w:t>
            </w:r>
          </w:p>
          <w:p>
            <w:pPr>
              <w:pStyle w:val="64"/>
              <w:widowControl w:val="0"/>
              <w:spacing w:before="0" w:beforeAutospacing="0" w:after="0" w:afterAutospacing="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账户 ：</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收款单位（户名）</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浙江西建工程管理有限公司</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开户银行：中国工商银行</w:t>
            </w:r>
            <w:r>
              <w:rPr>
                <w:rFonts w:hint="eastAsia" w:ascii="宋体" w:hAnsi="宋体" w:eastAsia="宋体" w:cs="宋体"/>
                <w:color w:val="auto"/>
                <w:kern w:val="2"/>
                <w:sz w:val="24"/>
                <w:szCs w:val="24"/>
                <w:highlight w:val="none"/>
                <w:lang w:val="zh-CN" w:eastAsia="zh-CN" w:bidi="ar-SA"/>
              </w:rPr>
              <w:t>杭州保俶支行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银行账号：</w:t>
            </w:r>
            <w:r>
              <w:rPr>
                <w:rFonts w:hint="eastAsia" w:ascii="宋体" w:hAnsi="宋体" w:eastAsia="宋体" w:cs="宋体"/>
                <w:color w:val="auto"/>
                <w:kern w:val="2"/>
                <w:sz w:val="24"/>
                <w:szCs w:val="24"/>
                <w:highlight w:val="none"/>
                <w:lang w:val="zh-CN" w:eastAsia="zh-CN" w:bidi="ar-SA"/>
              </w:rPr>
              <w:t>1202022709900088607</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numPr>
          <w:ilvl w:val="0"/>
          <w:numId w:val="1"/>
        </w:num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采购项目需要落实的政府采购政策</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numPr>
          <w:ilvl w:val="0"/>
          <w:numId w:val="0"/>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3.2支持绿色发展</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3.5平等对待内外资企业和符合条件的破产重整企业</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9"/>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4.3.4对同一采购程序环节的质疑，供应商须在法定质疑期内一次性提出。</w:t>
      </w:r>
    </w:p>
    <w:p>
      <w:pPr>
        <w:pStyle w:val="39"/>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4.3.5采购人或者</w:t>
      </w:r>
      <w:r>
        <w:rPr>
          <w:rFonts w:hint="eastAsia" w:hAnsi="宋体" w:cs="宋体"/>
          <w:color w:val="auto"/>
          <w:kern w:val="0"/>
          <w:sz w:val="24"/>
          <w:highlight w:val="none"/>
          <w:lang w:val="zh-CN" w:eastAsia="zh-CN"/>
        </w:rPr>
        <w:t>采购代理机构</w:t>
      </w:r>
      <w:r>
        <w:rPr>
          <w:rFonts w:hint="eastAsia" w:hAnsi="宋体" w:cs="宋体"/>
          <w:color w:val="auto"/>
          <w:kern w:val="0"/>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hAnsi="宋体" w:cs="宋体"/>
          <w:color w:val="auto"/>
          <w:kern w:val="0"/>
          <w:sz w:val="24"/>
          <w:highlight w:val="none"/>
          <w:lang w:val="zh-CN" w:eastAsia="zh-CN"/>
        </w:rPr>
        <w:t>，</w:t>
      </w:r>
      <w:r>
        <w:rPr>
          <w:rFonts w:hint="eastAsia" w:hAnsi="宋体" w:cs="宋体"/>
          <w:color w:val="auto"/>
          <w:kern w:val="0"/>
          <w:sz w:val="24"/>
          <w:highlight w:val="none"/>
          <w:lang w:val="zh-CN"/>
        </w:rPr>
        <w:t>采购人或者</w:t>
      </w:r>
      <w:r>
        <w:rPr>
          <w:rFonts w:hint="eastAsia" w:hAnsi="宋体" w:cs="宋体"/>
          <w:color w:val="auto"/>
          <w:kern w:val="0"/>
          <w:sz w:val="24"/>
          <w:highlight w:val="none"/>
          <w:lang w:val="zh-CN" w:eastAsia="zh-CN"/>
        </w:rPr>
        <w:t>采购代理机构</w:t>
      </w:r>
      <w:r>
        <w:rPr>
          <w:rFonts w:hint="eastAsia" w:hAnsi="宋体" w:cs="宋体"/>
          <w:color w:val="auto"/>
          <w:kern w:val="0"/>
          <w:sz w:val="24"/>
          <w:highlight w:val="none"/>
          <w:lang w:val="zh-CN"/>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adjustRightInd/>
        <w:spacing w:line="360" w:lineRule="auto"/>
        <w:jc w:val="both"/>
        <w:outlineLvl w:val="0"/>
        <w:rPr>
          <w:rFonts w:hint="eastAsia" w:ascii="宋体" w:hAnsi="宋体" w:cs="宋体"/>
          <w:b/>
          <w:color w:val="auto"/>
          <w:sz w:val="32"/>
          <w:szCs w:val="20"/>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9"/>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5.1.6应提交的有关格式范例。</w:t>
      </w:r>
    </w:p>
    <w:p>
      <w:pPr>
        <w:pStyle w:val="39"/>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5.2与本项目有关的澄清或者修改的内容为招标文件的组成部分。</w:t>
      </w:r>
    </w:p>
    <w:p>
      <w:pPr>
        <w:pStyle w:val="39"/>
        <w:tabs>
          <w:tab w:val="left" w:pos="840"/>
        </w:tabs>
        <w:spacing w:line="360" w:lineRule="auto"/>
        <w:ind w:firstLine="482" w:firstLineChars="200"/>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6.招标文件的澄清、修改</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9"/>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9"/>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9"/>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left="0" w:leftChars="0" w:firstLine="480" w:firstLineChars="200"/>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7"/>
        <w:spacing w:line="360" w:lineRule="auto"/>
        <w:ind w:left="0" w:leftChars="0" w:firstLine="482" w:firstLineChars="200"/>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投标文件及投标人与采购有关的来往通知、函件和文件均应使用中文。</w:t>
      </w:r>
    </w:p>
    <w:p>
      <w:pPr>
        <w:autoSpaceDE w:val="0"/>
        <w:autoSpaceDN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eastAsia="宋体" w:cs="宋体"/>
          <w:b/>
          <w:bCs/>
          <w:color w:val="auto"/>
          <w:sz w:val="24"/>
          <w:highlight w:val="none"/>
        </w:rPr>
        <w:t>中小企业声明函（</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11.2.1投标函； </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11.2.2授权委托书或法定代表人（单位负责人、自然人本人）身份证明；</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11.2.3分包意向协议（如果有</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zh-CN"/>
        </w:rPr>
        <w:t>；</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11.2.4符合性审查资料；</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11.2.5评标标准相应的商务技术资料；</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11.2.6投标标的清单；</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11.2.7商务技术偏离表；</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11.2.8政府采购供应商廉洁自律承诺书；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5"/>
        <w:snapToGrid w:val="0"/>
        <w:spacing w:before="0"/>
        <w:ind w:firstLine="482" w:firstLineChars="20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5"/>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pPr>
        <w:pStyle w:val="135"/>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9"/>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5"/>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5"/>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5"/>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5"/>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5"/>
        <w:spacing w:before="0"/>
        <w:ind w:left="0" w:leftChars="0" w:firstLine="0" w:firstLineChars="0"/>
        <w:rPr>
          <w:rFonts w:ascii="宋体" w:hAnsi="宋体" w:cs="宋体"/>
          <w:b/>
          <w:color w:val="auto"/>
          <w:sz w:val="32"/>
          <w:highlight w:val="none"/>
        </w:rPr>
      </w:pPr>
    </w:p>
    <w:p>
      <w:pPr>
        <w:pStyle w:val="135"/>
        <w:numPr>
          <w:ilvl w:val="0"/>
          <w:numId w:val="2"/>
        </w:numPr>
        <w:spacing w:before="0"/>
        <w:ind w:firstLine="1928" w:firstLineChars="600"/>
        <w:rPr>
          <w:rFonts w:ascii="宋体" w:hAnsi="宋体" w:cs="宋体"/>
          <w:color w:val="auto"/>
          <w:sz w:val="24"/>
          <w:highlight w:val="none"/>
        </w:rPr>
      </w:pPr>
      <w:r>
        <w:rPr>
          <w:rFonts w:hint="eastAsia" w:ascii="宋体" w:hAnsi="宋体" w:cs="宋体"/>
          <w:b/>
          <w:color w:val="auto"/>
          <w:sz w:val="32"/>
          <w:highlight w:val="none"/>
        </w:rPr>
        <w:t>开标、资格审查与信用信息查询</w:t>
      </w:r>
    </w:p>
    <w:p>
      <w:pPr>
        <w:pStyle w:val="135"/>
        <w:numPr>
          <w:ilvl w:val="0"/>
          <w:numId w:val="0"/>
        </w:numPr>
        <w:spacing w:before="0"/>
        <w:ind w:firstLine="482" w:firstLineChars="200"/>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0"/>
        <w:spacing w:before="0" w:line="360" w:lineRule="auto"/>
        <w:ind w:left="0" w:leftChars="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0"/>
        <w:spacing w:before="0" w:line="360" w:lineRule="auto"/>
        <w:ind w:left="0" w:leftChars="0" w:firstLine="480" w:firstLineChars="200"/>
        <w:contextualSpacing/>
        <w:rPr>
          <w:rFonts w:hint="eastAsia"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60"/>
        <w:spacing w:before="0" w:line="360" w:lineRule="auto"/>
        <w:ind w:left="0" w:leftChars="0" w:firstLine="482" w:firstLineChars="20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5"/>
        <w:spacing w:before="0"/>
        <w:ind w:firstLine="48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spacing w:before="0"/>
        <w:ind w:firstLine="480"/>
        <w:rPr>
          <w:rFonts w:hint="eastAsia" w:ascii="宋体" w:hAnsi="宋体" w:cs="宋体"/>
          <w:color w:val="auto"/>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ind w:firstLine="482" w:firstLineChars="200"/>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leftChars="228" w:firstLine="0" w:firstLineChars="0"/>
        <w:rPr>
          <w:rFonts w:cs="宋体"/>
          <w:b/>
          <w:color w:val="auto"/>
          <w:highlight w:val="none"/>
        </w:rPr>
      </w:pPr>
      <w:r>
        <w:rPr>
          <w:rFonts w:hint="eastAsia" w:cs="宋体"/>
          <w:b/>
          <w:color w:val="auto"/>
          <w:highlight w:val="none"/>
        </w:rPr>
        <w:t>22.确定中标供应商</w:t>
      </w:r>
    </w:p>
    <w:p>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5"/>
        <w:snapToGrid w:val="0"/>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leftChars="228" w:firstLine="0" w:firstLineChars="0"/>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27"/>
        <w:spacing w:line="360" w:lineRule="auto"/>
        <w:ind w:left="479" w:leftChars="228" w:firstLine="0" w:firstLineChars="0"/>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leftChars="228" w:firstLine="0" w:firstLineChars="0"/>
        <w:rPr>
          <w:rFonts w:cs="宋体"/>
          <w:b/>
          <w:color w:val="auto"/>
          <w:highlight w:val="none"/>
        </w:rPr>
      </w:pPr>
      <w:r>
        <w:rPr>
          <w:rFonts w:hint="eastAsia" w:cs="宋体"/>
          <w:b/>
          <w:color w:val="auto"/>
          <w:highlight w:val="none"/>
        </w:rPr>
        <w:t>26.履约保证金</w:t>
      </w:r>
    </w:p>
    <w:p>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w:t>
      </w:r>
      <w:r>
        <w:rPr>
          <w:rFonts w:hint="eastAsia" w:ascii="宋体" w:hAnsi="宋体" w:cs="宋体"/>
          <w:color w:val="auto"/>
          <w:kern w:val="0"/>
          <w:sz w:val="24"/>
          <w:highlight w:val="none"/>
        </w:rPr>
        <w:t>和法律规定承担相应的赔偿责任。</w:t>
      </w:r>
    </w:p>
    <w:p>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7"/>
        <w:spacing w:line="360" w:lineRule="auto"/>
        <w:ind w:left="479" w:leftChars="228" w:firstLine="0" w:firstLineChars="0"/>
        <w:rPr>
          <w:rFonts w:hint="eastAsia" w:cs="宋体"/>
          <w:b/>
          <w:color w:val="auto"/>
          <w:highlight w:val="none"/>
          <w:lang w:val="en-US" w:eastAsia="zh-CN"/>
        </w:rPr>
      </w:pPr>
      <w:r>
        <w:rPr>
          <w:rFonts w:hint="eastAsia" w:cs="宋体"/>
          <w:b/>
          <w:color w:val="auto"/>
          <w:highlight w:val="none"/>
          <w:lang w:val="en-US" w:eastAsia="zh-CN"/>
        </w:rPr>
        <w:t>27.预付款</w:t>
      </w:r>
    </w:p>
    <w:p>
      <w:pPr>
        <w:adjustRightInd/>
        <w:spacing w:line="360" w:lineRule="auto"/>
        <w:ind w:firstLine="480" w:firstLineChars="200"/>
        <w:rPr>
          <w:color w:val="auto"/>
          <w:highlight w:val="none"/>
        </w:rPr>
      </w:pPr>
      <w:r>
        <w:rPr>
          <w:rFonts w:hint="eastAsia" w:ascii="宋体" w:hAnsi="宋体" w:eastAsia="宋体" w:cs="宋体"/>
          <w:b w:val="0"/>
          <w:bCs w:val="0"/>
          <w:color w:val="auto"/>
          <w:kern w:val="0"/>
          <w:sz w:val="24"/>
          <w:szCs w:val="24"/>
          <w:highlight w:val="none"/>
          <w:lang w:val="en-US"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ind w:firstLine="482" w:firstLineChars="20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482" w:firstLineChars="20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74707468"/>
      <w:bookmarkEnd w:id="17"/>
      <w:bookmarkStart w:id="18" w:name="_Hlt74714665"/>
      <w:bookmarkEnd w:id="18"/>
      <w:bookmarkStart w:id="19" w:name="_Hlt74729768"/>
      <w:bookmarkEnd w:id="19"/>
      <w:bookmarkStart w:id="20" w:name="_Hlt68072990"/>
      <w:bookmarkEnd w:id="20"/>
      <w:bookmarkStart w:id="21" w:name="_Hlt68072998"/>
      <w:bookmarkEnd w:id="21"/>
      <w:bookmarkStart w:id="22" w:name="_Hlt75236290"/>
      <w:bookmarkEnd w:id="22"/>
      <w:bookmarkStart w:id="23" w:name="_Hlt74730295"/>
      <w:bookmarkEnd w:id="23"/>
      <w:bookmarkStart w:id="24" w:name="_Hlt75236011"/>
      <w:bookmarkEnd w:id="24"/>
      <w:bookmarkStart w:id="25" w:name="_Hlt68073093"/>
      <w:bookmarkEnd w:id="25"/>
      <w:bookmarkStart w:id="26" w:name="_Hlt6840382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pageBreakBefore w:val="0"/>
        <w:numPr>
          <w:ilvl w:val="0"/>
          <w:numId w:val="0"/>
        </w:numPr>
        <w:kinsoku/>
        <w:wordWrap/>
        <w:overflowPunct/>
        <w:topLinePunct w:val="0"/>
        <w:bidi w:val="0"/>
        <w:adjustRightInd w:val="0"/>
        <w:snapToGrid w:val="0"/>
        <w:spacing w:line="24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lang w:val="en-US" w:eastAsia="zh-CN"/>
        </w:rPr>
        <w:t>一、</w:t>
      </w:r>
      <w:r>
        <w:rPr>
          <w:rFonts w:hint="eastAsia" w:ascii="宋体" w:hAnsi="宋体" w:eastAsia="宋体" w:cs="宋体"/>
          <w:bCs w:val="0"/>
          <w:color w:val="000000"/>
          <w:sz w:val="24"/>
          <w:szCs w:val="24"/>
        </w:rPr>
        <w:t>职工食堂概况</w:t>
      </w:r>
    </w:p>
    <w:p>
      <w:pPr>
        <w:pStyle w:val="400"/>
        <w:pageBreakBefore w:val="0"/>
        <w:numPr>
          <w:ilvl w:val="0"/>
          <w:numId w:val="0"/>
        </w:numPr>
        <w:kinsoku/>
        <w:wordWrap/>
        <w:overflowPunct/>
        <w:topLinePunct w:val="0"/>
        <w:bidi w:val="0"/>
        <w:adjustRightInd w:val="0"/>
        <w:spacing w:after="0" w:afterLines="0" w:line="360" w:lineRule="auto"/>
        <w:ind w:left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食堂功能区及面积：</w:t>
      </w:r>
    </w:p>
    <w:p>
      <w:pPr>
        <w:pStyle w:val="39"/>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职工食堂位于</w:t>
      </w:r>
      <w:r>
        <w:rPr>
          <w:rFonts w:hint="eastAsia" w:ascii="宋体" w:hAnsi="宋体" w:eastAsia="宋体" w:cs="宋体"/>
          <w:color w:val="000000"/>
          <w:sz w:val="24"/>
          <w:szCs w:val="24"/>
          <w:lang w:eastAsia="zh-CN"/>
        </w:rPr>
        <w:t>大楼负一层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分别为</w:t>
      </w:r>
      <w:r>
        <w:rPr>
          <w:rFonts w:hint="eastAsia" w:ascii="宋体" w:hAnsi="宋体" w:eastAsia="宋体" w:cs="宋体"/>
          <w:color w:val="000000"/>
          <w:sz w:val="24"/>
          <w:szCs w:val="24"/>
        </w:rPr>
        <w:t>粗加工和更衣间；烹调</w:t>
      </w:r>
      <w:r>
        <w:rPr>
          <w:rFonts w:hint="eastAsia" w:ascii="宋体" w:hAnsi="宋体" w:eastAsia="宋体" w:cs="宋体"/>
          <w:color w:val="000000"/>
          <w:sz w:val="24"/>
          <w:szCs w:val="24"/>
          <w:lang w:eastAsia="zh-CN"/>
        </w:rPr>
        <w:t>间、</w:t>
      </w:r>
      <w:r>
        <w:rPr>
          <w:rFonts w:hint="eastAsia" w:ascii="宋体" w:hAnsi="宋体" w:eastAsia="宋体" w:cs="宋体"/>
          <w:color w:val="000000"/>
          <w:sz w:val="24"/>
          <w:szCs w:val="24"/>
        </w:rPr>
        <w:t>切配间、</w:t>
      </w:r>
      <w:r>
        <w:rPr>
          <w:rFonts w:hint="eastAsia" w:ascii="宋体" w:hAnsi="宋体" w:eastAsia="宋体" w:cs="宋体"/>
          <w:color w:val="000000"/>
          <w:sz w:val="24"/>
          <w:szCs w:val="24"/>
          <w:lang w:eastAsia="zh-CN"/>
        </w:rPr>
        <w:t>面</w:t>
      </w:r>
      <w:r>
        <w:rPr>
          <w:rFonts w:hint="eastAsia" w:ascii="宋体" w:hAnsi="宋体" w:eastAsia="宋体" w:cs="宋体"/>
          <w:color w:val="000000"/>
          <w:sz w:val="24"/>
          <w:szCs w:val="24"/>
        </w:rPr>
        <w:t>点间、备餐发餐间、</w:t>
      </w:r>
      <w:r>
        <w:rPr>
          <w:rFonts w:hint="eastAsia" w:ascii="宋体" w:hAnsi="宋体" w:eastAsia="宋体" w:cs="宋体"/>
          <w:color w:val="000000"/>
          <w:sz w:val="24"/>
          <w:szCs w:val="24"/>
          <w:lang w:eastAsia="zh-CN"/>
        </w:rPr>
        <w:t>售卖间、</w:t>
      </w:r>
      <w:r>
        <w:rPr>
          <w:rFonts w:hint="eastAsia" w:ascii="宋体" w:hAnsi="宋体" w:eastAsia="宋体" w:cs="宋体"/>
          <w:color w:val="000000"/>
          <w:sz w:val="24"/>
          <w:szCs w:val="24"/>
        </w:rPr>
        <w:t>收碗洗碗间、主食副食储藏间、洗手间、</w:t>
      </w:r>
      <w:r>
        <w:rPr>
          <w:rFonts w:hint="eastAsia" w:ascii="宋体" w:hAnsi="宋体" w:eastAsia="宋体" w:cs="宋体"/>
          <w:color w:val="000000"/>
          <w:sz w:val="24"/>
          <w:szCs w:val="24"/>
          <w:lang w:eastAsia="zh-CN"/>
        </w:rPr>
        <w:t>180</w:t>
      </w:r>
      <w:r>
        <w:rPr>
          <w:rFonts w:hint="eastAsia" w:ascii="宋体" w:hAnsi="宋体" w:eastAsia="宋体" w:cs="宋体"/>
          <w:color w:val="000000"/>
          <w:sz w:val="24"/>
          <w:szCs w:val="24"/>
        </w:rPr>
        <w:t>座员工就餐</w:t>
      </w:r>
      <w:r>
        <w:rPr>
          <w:rFonts w:hint="eastAsia" w:ascii="宋体" w:hAnsi="宋体" w:eastAsia="宋体" w:cs="宋体"/>
          <w:color w:val="000000"/>
          <w:sz w:val="24"/>
          <w:szCs w:val="24"/>
          <w:lang w:eastAsia="zh-CN"/>
        </w:rPr>
        <w:t>大厅</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餐室1</w:t>
      </w:r>
      <w:r>
        <w:rPr>
          <w:rFonts w:hint="eastAsia" w:ascii="宋体" w:hAnsi="宋体" w:eastAsia="宋体" w:cs="宋体"/>
          <w:color w:val="000000"/>
          <w:sz w:val="24"/>
          <w:szCs w:val="24"/>
        </w:rPr>
        <w:t>间，共计面积1300平方米。</w:t>
      </w:r>
    </w:p>
    <w:p>
      <w:pPr>
        <w:pStyle w:val="400"/>
        <w:pageBreakBefore w:val="0"/>
        <w:numPr>
          <w:ilvl w:val="0"/>
          <w:numId w:val="0"/>
        </w:numPr>
        <w:kinsoku/>
        <w:wordWrap/>
        <w:overflowPunct/>
        <w:topLinePunct w:val="0"/>
        <w:bidi w:val="0"/>
        <w:adjustRightInd w:val="0"/>
        <w:spacing w:after="0" w:afterLines="0" w:line="360" w:lineRule="auto"/>
        <w:ind w:left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食堂就餐人数：</w:t>
      </w:r>
    </w:p>
    <w:p>
      <w:pPr>
        <w:pStyle w:val="400"/>
        <w:pageBreakBefore w:val="0"/>
        <w:numPr>
          <w:ilvl w:val="0"/>
          <w:numId w:val="0"/>
        </w:numPr>
        <w:kinsoku/>
        <w:wordWrap/>
        <w:overflowPunct/>
        <w:topLinePunct w:val="0"/>
        <w:bidi w:val="0"/>
        <w:adjustRightInd w:val="0"/>
        <w:spacing w:after="0" w:afterLines="0"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堂食约350人，另有拱墅区小河湖墅街道社区卫生服务中心病房150人</w:t>
      </w:r>
      <w:r>
        <w:rPr>
          <w:rFonts w:hint="eastAsia" w:ascii="宋体" w:hAnsi="宋体" w:cs="宋体"/>
          <w:color w:val="000000"/>
          <w:kern w:val="2"/>
          <w:sz w:val="24"/>
          <w:szCs w:val="24"/>
          <w:lang w:val="en-US" w:eastAsia="zh-CN" w:bidi="ar-SA"/>
        </w:rPr>
        <w:t>需送餐服务</w:t>
      </w:r>
      <w:bookmarkStart w:id="520" w:name="_GoBack"/>
      <w:bookmarkEnd w:id="520"/>
      <w:r>
        <w:rPr>
          <w:rFonts w:hint="eastAsia" w:ascii="宋体" w:hAnsi="宋体" w:eastAsia="宋体" w:cs="宋体"/>
          <w:color w:val="000000"/>
          <w:kern w:val="2"/>
          <w:sz w:val="24"/>
          <w:szCs w:val="24"/>
          <w:lang w:val="en-US" w:eastAsia="zh-CN" w:bidi="ar-SA"/>
        </w:rPr>
        <w:t>。</w:t>
      </w:r>
    </w:p>
    <w:p>
      <w:pPr>
        <w:pStyle w:val="400"/>
        <w:pageBreakBefore w:val="0"/>
        <w:numPr>
          <w:ilvl w:val="0"/>
          <w:numId w:val="0"/>
        </w:numPr>
        <w:kinsoku/>
        <w:wordWrap/>
        <w:overflowPunct/>
        <w:topLinePunct w:val="0"/>
        <w:bidi w:val="0"/>
        <w:adjustRightInd w:val="0"/>
        <w:spacing w:after="0" w:afterLines="0" w:line="360" w:lineRule="auto"/>
        <w:ind w:left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厨房设备</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采购人现有厨房设备能基本满足正常运营要求，</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认为需要增加种类和数量的，经采购人同意后由采购人购置。</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可以向采购人提出设施、设备添置、改造的建议，由采购人实施。</w:t>
      </w:r>
    </w:p>
    <w:p>
      <w:pPr>
        <w:pStyle w:val="5"/>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val="0"/>
          <w:color w:val="000000"/>
          <w:sz w:val="24"/>
          <w:szCs w:val="24"/>
          <w:lang w:eastAsia="zh-CN"/>
        </w:rPr>
        <w:t>二、</w:t>
      </w:r>
      <w:r>
        <w:rPr>
          <w:rFonts w:hint="eastAsia" w:ascii="宋体" w:hAnsi="宋体" w:eastAsia="宋体" w:cs="宋体"/>
          <w:bCs w:val="0"/>
          <w:color w:val="000000"/>
          <w:sz w:val="24"/>
          <w:szCs w:val="24"/>
        </w:rPr>
        <w:t>食堂外包服务内容</w:t>
      </w:r>
    </w:p>
    <w:p>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（一）</w:t>
      </w:r>
      <w:r>
        <w:rPr>
          <w:rFonts w:hint="eastAsia" w:ascii="宋体" w:hAnsi="宋体" w:eastAsia="宋体" w:cs="宋体"/>
          <w:b/>
          <w:color w:val="000000"/>
          <w:sz w:val="24"/>
          <w:szCs w:val="24"/>
        </w:rPr>
        <w:t>供餐范围</w:t>
      </w:r>
    </w:p>
    <w:p>
      <w:pPr>
        <w:pStyle w:val="400"/>
        <w:pageBreakBefore w:val="0"/>
        <w:tabs>
          <w:tab w:val="left" w:pos="567"/>
        </w:tabs>
        <w:kinsoku/>
        <w:wordWrap/>
        <w:overflowPunct/>
        <w:topLinePunct w:val="0"/>
        <w:bidi w:val="0"/>
        <w:adjustRightInd w:val="0"/>
        <w:spacing w:after="0" w:afterLines="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早餐、中餐、晚餐（根据情况提供就餐人数）、小炒点菜、</w:t>
      </w:r>
      <w:r>
        <w:rPr>
          <w:rFonts w:hint="eastAsia" w:ascii="宋体" w:hAnsi="宋体" w:eastAsia="宋体" w:cs="宋体"/>
          <w:color w:val="000000"/>
          <w:sz w:val="24"/>
          <w:szCs w:val="24"/>
          <w:lang w:eastAsia="zh-CN"/>
        </w:rPr>
        <w:t>配餐</w:t>
      </w:r>
      <w:r>
        <w:rPr>
          <w:rFonts w:hint="eastAsia" w:ascii="宋体" w:hAnsi="宋体" w:eastAsia="宋体" w:cs="宋体"/>
          <w:color w:val="000000"/>
          <w:sz w:val="24"/>
          <w:szCs w:val="24"/>
        </w:rPr>
        <w:t>及职工半成品或熟菜的加工和服务，以及米饭、稀饭、例汤、酱菜等的供应。</w:t>
      </w:r>
    </w:p>
    <w:p>
      <w:pPr>
        <w:pStyle w:val="400"/>
        <w:pageBreakBefore w:val="0"/>
        <w:tabs>
          <w:tab w:val="left" w:pos="567"/>
        </w:tabs>
        <w:kinsoku/>
        <w:wordWrap/>
        <w:overflowPunct/>
        <w:topLinePunct w:val="0"/>
        <w:bidi w:val="0"/>
        <w:adjustRightInd w:val="0"/>
        <w:spacing w:after="0" w:afterLines="0"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供餐时间：每日三餐</w:t>
      </w:r>
      <w:r>
        <w:rPr>
          <w:rFonts w:hint="eastAsia" w:ascii="宋体" w:hAnsi="宋体" w:eastAsia="宋体" w:cs="宋体"/>
          <w:color w:val="000000"/>
          <w:sz w:val="24"/>
          <w:szCs w:val="24"/>
          <w:lang w:eastAsia="zh-CN"/>
        </w:rPr>
        <w:t>，全年</w:t>
      </w:r>
      <w:r>
        <w:rPr>
          <w:rFonts w:hint="eastAsia" w:ascii="宋体" w:hAnsi="宋体" w:eastAsia="宋体" w:cs="宋体"/>
          <w:color w:val="000000"/>
          <w:sz w:val="24"/>
          <w:szCs w:val="24"/>
        </w:rPr>
        <w:t>无休（</w:t>
      </w:r>
      <w:r>
        <w:rPr>
          <w:rFonts w:hint="eastAsia" w:ascii="宋体" w:hAnsi="宋体" w:eastAsia="宋体" w:cs="宋体"/>
          <w:color w:val="000000"/>
          <w:sz w:val="24"/>
          <w:szCs w:val="24"/>
          <w:lang w:eastAsia="zh-CN"/>
        </w:rPr>
        <w:t>早餐</w:t>
      </w:r>
      <w:r>
        <w:rPr>
          <w:rFonts w:hint="eastAsia" w:ascii="宋体" w:hAnsi="宋体" w:eastAsia="宋体" w:cs="宋体"/>
          <w:color w:val="000000"/>
          <w:sz w:val="24"/>
          <w:szCs w:val="24"/>
        </w:rPr>
        <w:t>6：30－9：00；</w:t>
      </w:r>
      <w:r>
        <w:rPr>
          <w:rFonts w:hint="eastAsia" w:ascii="宋体" w:hAnsi="宋体" w:eastAsia="宋体" w:cs="宋体"/>
          <w:color w:val="000000"/>
          <w:sz w:val="24"/>
          <w:szCs w:val="24"/>
          <w:lang w:eastAsia="zh-CN"/>
        </w:rPr>
        <w:t>午餐</w:t>
      </w:r>
      <w:r>
        <w:rPr>
          <w:rFonts w:hint="eastAsia" w:ascii="宋体" w:hAnsi="宋体" w:eastAsia="宋体" w:cs="宋体"/>
          <w:color w:val="000000"/>
          <w:sz w:val="24"/>
          <w:szCs w:val="24"/>
        </w:rPr>
        <w:t>11：00－13：00；</w:t>
      </w:r>
      <w:r>
        <w:rPr>
          <w:rFonts w:hint="eastAsia" w:ascii="宋体" w:hAnsi="宋体" w:eastAsia="宋体" w:cs="宋体"/>
          <w:color w:val="000000"/>
          <w:sz w:val="24"/>
          <w:szCs w:val="24"/>
          <w:lang w:eastAsia="zh-CN"/>
        </w:rPr>
        <w:t>晚餐</w:t>
      </w:r>
      <w:r>
        <w:rPr>
          <w:rFonts w:hint="eastAsia" w:ascii="宋体" w:hAnsi="宋体" w:eastAsia="宋体" w:cs="宋体"/>
          <w:color w:val="000000"/>
          <w:sz w:val="24"/>
          <w:szCs w:val="24"/>
        </w:rPr>
        <w:t>17：00－18：30）。</w:t>
      </w:r>
    </w:p>
    <w:p>
      <w:pPr>
        <w:pStyle w:val="400"/>
        <w:pageBreakBefore w:val="0"/>
        <w:tabs>
          <w:tab w:val="left" w:pos="567"/>
        </w:tabs>
        <w:kinsoku/>
        <w:wordWrap/>
        <w:overflowPunct/>
        <w:topLinePunct w:val="0"/>
        <w:bidi w:val="0"/>
        <w:adjustRightInd w:val="0"/>
        <w:spacing w:after="0" w:afterLines="0" w:line="360" w:lineRule="auto"/>
        <w:ind w:firstLine="42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服务期限</w:t>
      </w:r>
    </w:p>
    <w:p>
      <w:pPr>
        <w:pStyle w:val="400"/>
        <w:pageBreakBefore w:val="0"/>
        <w:tabs>
          <w:tab w:val="left" w:pos="567"/>
        </w:tabs>
        <w:kinsoku/>
        <w:wordWrap/>
        <w:overflowPunct/>
        <w:topLinePunct w:val="0"/>
        <w:bidi w:val="0"/>
        <w:adjustRightInd w:val="0"/>
        <w:spacing w:after="0" w:afterLines="0" w:line="360" w:lineRule="auto"/>
        <w:ind w:left="0" w:leftChars="0" w:firstLine="480" w:firstLineChars="200"/>
        <w:rPr>
          <w:rFonts w:hint="eastAsia" w:ascii="宋体" w:hAnsi="宋体" w:eastAsia="宋体" w:cs="宋体"/>
          <w:color w:val="auto"/>
          <w:spacing w:val="-4"/>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合同服务期：</w:t>
      </w:r>
      <w:r>
        <w:rPr>
          <w:rFonts w:hint="eastAsia" w:ascii="宋体" w:hAnsi="宋体" w:eastAsia="宋体" w:cs="宋体"/>
          <w:color w:val="auto"/>
          <w:spacing w:val="-4"/>
          <w:sz w:val="24"/>
          <w:szCs w:val="24"/>
        </w:rPr>
        <w:t>合同签订之日起</w:t>
      </w:r>
      <w:r>
        <w:rPr>
          <w:rFonts w:hint="eastAsia" w:ascii="宋体" w:hAnsi="宋体" w:cs="宋体"/>
          <w:b/>
          <w:bCs/>
          <w:color w:val="auto"/>
          <w:spacing w:val="-4"/>
          <w:sz w:val="24"/>
          <w:szCs w:val="24"/>
          <w:lang w:eastAsia="zh-CN"/>
        </w:rPr>
        <w:t>二</w:t>
      </w:r>
      <w:r>
        <w:rPr>
          <w:rFonts w:hint="eastAsia" w:ascii="宋体" w:hAnsi="宋体" w:eastAsia="宋体" w:cs="宋体"/>
          <w:color w:val="auto"/>
          <w:spacing w:val="-4"/>
          <w:sz w:val="24"/>
          <w:szCs w:val="24"/>
          <w:lang w:eastAsia="zh-CN"/>
        </w:rPr>
        <w:t>年</w:t>
      </w:r>
      <w:r>
        <w:rPr>
          <w:rFonts w:hint="eastAsia" w:ascii="宋体" w:hAnsi="宋体" w:eastAsia="宋体" w:cs="宋体"/>
          <w:color w:val="auto"/>
          <w:spacing w:val="-4"/>
          <w:sz w:val="24"/>
          <w:szCs w:val="24"/>
        </w:rPr>
        <w:t>。</w:t>
      </w:r>
    </w:p>
    <w:p>
      <w:pPr>
        <w:pStyle w:val="400"/>
        <w:pageBreakBefore w:val="0"/>
        <w:tabs>
          <w:tab w:val="left" w:pos="567"/>
        </w:tabs>
        <w:kinsoku/>
        <w:wordWrap/>
        <w:overflowPunct/>
        <w:topLinePunct w:val="0"/>
        <w:bidi w:val="0"/>
        <w:adjustRightInd w:val="0"/>
        <w:spacing w:after="0" w:afterLines="0" w:line="360" w:lineRule="auto"/>
        <w:ind w:left="0" w:leftChars="0" w:firstLine="464" w:firstLineChars="200"/>
        <w:rPr>
          <w:rFonts w:hint="eastAsia" w:ascii="宋体" w:hAnsi="宋体" w:eastAsia="宋体" w:cs="宋体"/>
          <w:color w:val="000000"/>
          <w:sz w:val="24"/>
          <w:szCs w:val="24"/>
          <w:lang w:eastAsia="zh-CN"/>
        </w:rPr>
      </w:pPr>
      <w:r>
        <w:rPr>
          <w:rFonts w:hint="eastAsia" w:ascii="宋体" w:hAnsi="宋体" w:eastAsia="宋体" w:cs="宋体"/>
          <w:color w:val="000000"/>
          <w:spacing w:val="-4"/>
          <w:sz w:val="24"/>
          <w:szCs w:val="24"/>
          <w:lang w:val="en-US" w:eastAsia="zh-CN"/>
        </w:rPr>
        <w:t>2.</w:t>
      </w:r>
      <w:r>
        <w:rPr>
          <w:rFonts w:hint="eastAsia" w:ascii="宋体" w:hAnsi="宋体" w:eastAsia="宋体" w:cs="宋体"/>
          <w:color w:val="000000"/>
          <w:spacing w:val="-4"/>
          <w:sz w:val="24"/>
          <w:szCs w:val="24"/>
        </w:rPr>
        <w:t>合同期内，成交</w:t>
      </w:r>
      <w:r>
        <w:rPr>
          <w:rFonts w:hint="eastAsia" w:ascii="宋体" w:hAnsi="宋体" w:eastAsia="宋体" w:cs="宋体"/>
          <w:color w:val="000000"/>
          <w:spacing w:val="-4"/>
          <w:sz w:val="24"/>
          <w:szCs w:val="24"/>
          <w:lang w:eastAsia="zh-CN"/>
        </w:rPr>
        <w:t>投标人</w:t>
      </w:r>
      <w:r>
        <w:rPr>
          <w:rFonts w:hint="eastAsia" w:ascii="宋体" w:hAnsi="宋体" w:eastAsia="宋体" w:cs="宋体"/>
          <w:color w:val="000000"/>
          <w:spacing w:val="-4"/>
          <w:sz w:val="24"/>
          <w:szCs w:val="24"/>
        </w:rPr>
        <w:t>能严格履行合同，如果</w:t>
      </w:r>
      <w:r>
        <w:rPr>
          <w:rFonts w:hint="eastAsia" w:ascii="宋体" w:hAnsi="宋体" w:cs="宋体"/>
          <w:color w:val="000000"/>
          <w:spacing w:val="-4"/>
          <w:sz w:val="24"/>
          <w:szCs w:val="24"/>
          <w:lang w:eastAsia="zh-CN"/>
        </w:rPr>
        <w:t>二</w:t>
      </w:r>
      <w:r>
        <w:rPr>
          <w:rFonts w:hint="eastAsia" w:ascii="宋体" w:hAnsi="宋体" w:eastAsia="宋体" w:cs="宋体"/>
          <w:color w:val="000000"/>
          <w:spacing w:val="-4"/>
          <w:sz w:val="24"/>
          <w:szCs w:val="24"/>
        </w:rPr>
        <w:t>年内</w:t>
      </w:r>
      <w:r>
        <w:rPr>
          <w:rFonts w:hint="eastAsia" w:ascii="宋体" w:hAnsi="宋体" w:eastAsia="宋体" w:cs="宋体"/>
          <w:color w:val="000000"/>
          <w:spacing w:val="-4"/>
          <w:sz w:val="24"/>
          <w:szCs w:val="24"/>
          <w:lang w:eastAsia="zh-CN"/>
        </w:rPr>
        <w:t>投标人</w:t>
      </w:r>
      <w:r>
        <w:rPr>
          <w:rFonts w:hint="eastAsia" w:ascii="宋体" w:hAnsi="宋体" w:eastAsia="宋体" w:cs="宋体"/>
          <w:color w:val="000000"/>
          <w:spacing w:val="-4"/>
          <w:sz w:val="24"/>
          <w:szCs w:val="24"/>
        </w:rPr>
        <w:t>考核不合格或有重大事故、过错，根据合同条款</w:t>
      </w:r>
      <w:r>
        <w:rPr>
          <w:rFonts w:hint="eastAsia" w:ascii="宋体" w:hAnsi="宋体" w:eastAsia="宋体" w:cs="宋体"/>
          <w:color w:val="000000"/>
          <w:spacing w:val="-4"/>
          <w:sz w:val="24"/>
          <w:szCs w:val="24"/>
          <w:lang w:eastAsia="zh-CN"/>
        </w:rPr>
        <w:t>将提前</w:t>
      </w:r>
      <w:r>
        <w:rPr>
          <w:rFonts w:hint="eastAsia" w:ascii="宋体" w:hAnsi="宋体" w:eastAsia="宋体" w:cs="宋体"/>
          <w:color w:val="000000"/>
          <w:spacing w:val="-4"/>
          <w:sz w:val="24"/>
          <w:szCs w:val="24"/>
        </w:rPr>
        <w:t>终止</w:t>
      </w:r>
      <w:r>
        <w:rPr>
          <w:rFonts w:hint="eastAsia" w:ascii="宋体" w:hAnsi="宋体" w:eastAsia="宋体" w:cs="宋体"/>
          <w:color w:val="000000"/>
          <w:spacing w:val="-4"/>
          <w:sz w:val="24"/>
          <w:szCs w:val="24"/>
          <w:lang w:eastAsia="zh-CN"/>
        </w:rPr>
        <w:t>合同</w:t>
      </w:r>
      <w:r>
        <w:rPr>
          <w:rFonts w:hint="eastAsia" w:ascii="宋体" w:hAnsi="宋体" w:eastAsia="宋体" w:cs="宋体"/>
          <w:color w:val="000000"/>
          <w:spacing w:val="-4"/>
          <w:sz w:val="24"/>
          <w:szCs w:val="24"/>
        </w:rPr>
        <w:t>。</w:t>
      </w:r>
      <w:r>
        <w:rPr>
          <w:rFonts w:hint="eastAsia" w:ascii="宋体" w:hAnsi="宋体" w:eastAsia="宋体" w:cs="宋体"/>
          <w:color w:val="000000"/>
          <w:spacing w:val="-4"/>
          <w:sz w:val="24"/>
          <w:szCs w:val="24"/>
          <w:lang w:eastAsia="zh-CN"/>
        </w:rPr>
        <w:t>合同期内，不得转包服务。</w:t>
      </w:r>
    </w:p>
    <w:p>
      <w:pPr>
        <w:pStyle w:val="400"/>
        <w:pageBreakBefore w:val="0"/>
        <w:tabs>
          <w:tab w:val="left" w:pos="567"/>
        </w:tabs>
        <w:kinsoku/>
        <w:wordWrap/>
        <w:overflowPunct/>
        <w:topLinePunct w:val="0"/>
        <w:bidi w:val="0"/>
        <w:adjustRightInd w:val="0"/>
        <w:spacing w:after="0" w:afterLines="0" w:line="360" w:lineRule="auto"/>
        <w:ind w:firstLine="422"/>
        <w:rPr>
          <w:rFonts w:hint="eastAsia" w:ascii="宋体" w:hAnsi="宋体" w:eastAsia="宋体" w:cs="宋体"/>
          <w:b/>
          <w:color w:val="000000"/>
          <w:sz w:val="24"/>
          <w:szCs w:val="24"/>
        </w:rPr>
      </w:pPr>
      <w:r>
        <w:rPr>
          <w:rFonts w:hint="eastAsia" w:ascii="宋体" w:hAnsi="宋体" w:eastAsia="宋体" w:cs="宋体"/>
          <w:b/>
          <w:color w:val="000000"/>
          <w:sz w:val="24"/>
          <w:szCs w:val="24"/>
        </w:rPr>
        <w:t>（三）服务要求</w:t>
      </w:r>
    </w:p>
    <w:p>
      <w:pPr>
        <w:pStyle w:val="400"/>
        <w:pageBreakBefore w:val="0"/>
        <w:tabs>
          <w:tab w:val="left" w:pos="567"/>
        </w:tabs>
        <w:kinsoku/>
        <w:wordWrap/>
        <w:overflowPunct/>
        <w:topLinePunct w:val="0"/>
        <w:bidi w:val="0"/>
        <w:adjustRightInd w:val="0"/>
        <w:spacing w:after="0" w:afterLines="0" w:line="360" w:lineRule="auto"/>
        <w:ind w:firstLine="422"/>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color w:val="000000"/>
          <w:spacing w:val="-4"/>
          <w:kern w:val="0"/>
          <w:sz w:val="24"/>
          <w:szCs w:val="24"/>
          <w:lang w:val="en-US" w:eastAsia="zh-CN" w:bidi="ar-SA"/>
        </w:rPr>
        <w:t>1.人员数量及岗位：不少于16人。其中食堂管理员1人、厨师长1人、中餐厨师3人、面点师1人、仓库保管员兼服务员2人、其他服务员8人。如就餐人数增</w:t>
      </w:r>
      <w:r>
        <w:rPr>
          <w:rFonts w:hint="eastAsia" w:ascii="宋体" w:hAnsi="宋体" w:cs="宋体"/>
          <w:color w:val="000000"/>
          <w:spacing w:val="-4"/>
          <w:kern w:val="0"/>
          <w:sz w:val="24"/>
          <w:szCs w:val="24"/>
          <w:lang w:val="en-US" w:eastAsia="zh-CN" w:bidi="ar-SA"/>
        </w:rPr>
        <w:t>减</w:t>
      </w:r>
      <w:r>
        <w:rPr>
          <w:rFonts w:hint="eastAsia" w:ascii="宋体" w:hAnsi="宋体" w:eastAsia="宋体" w:cs="宋体"/>
          <w:color w:val="000000"/>
          <w:spacing w:val="-4"/>
          <w:kern w:val="0"/>
          <w:sz w:val="24"/>
          <w:szCs w:val="24"/>
          <w:lang w:val="en-US" w:eastAsia="zh-CN" w:bidi="ar-SA"/>
        </w:rPr>
        <w:t>，投标人需</w:t>
      </w:r>
      <w:r>
        <w:rPr>
          <w:rFonts w:hint="eastAsia" w:ascii="宋体" w:hAnsi="宋体" w:cs="宋体"/>
          <w:color w:val="000000"/>
          <w:spacing w:val="-4"/>
          <w:kern w:val="0"/>
          <w:sz w:val="24"/>
          <w:szCs w:val="24"/>
          <w:lang w:val="en-US" w:eastAsia="zh-CN" w:bidi="ar-SA"/>
        </w:rPr>
        <w:t>相应</w:t>
      </w:r>
      <w:r>
        <w:rPr>
          <w:rFonts w:hint="eastAsia" w:ascii="宋体" w:hAnsi="宋体" w:eastAsia="宋体" w:cs="宋体"/>
          <w:color w:val="000000"/>
          <w:spacing w:val="-4"/>
          <w:kern w:val="0"/>
          <w:sz w:val="24"/>
          <w:szCs w:val="24"/>
          <w:lang w:val="en-US" w:eastAsia="zh-CN" w:bidi="ar-SA"/>
        </w:rPr>
        <w:t>增</w:t>
      </w:r>
      <w:r>
        <w:rPr>
          <w:rFonts w:hint="eastAsia" w:ascii="宋体" w:hAnsi="宋体" w:cs="宋体"/>
          <w:color w:val="000000"/>
          <w:spacing w:val="-4"/>
          <w:kern w:val="0"/>
          <w:sz w:val="24"/>
          <w:szCs w:val="24"/>
          <w:lang w:val="en-US" w:eastAsia="zh-CN" w:bidi="ar-SA"/>
        </w:rPr>
        <w:t>减</w:t>
      </w:r>
      <w:r>
        <w:rPr>
          <w:rFonts w:hint="eastAsia" w:ascii="宋体" w:hAnsi="宋体" w:eastAsia="宋体" w:cs="宋体"/>
          <w:color w:val="000000"/>
          <w:spacing w:val="-4"/>
          <w:kern w:val="0"/>
          <w:sz w:val="24"/>
          <w:szCs w:val="24"/>
          <w:lang w:val="en-US" w:eastAsia="zh-CN" w:bidi="ar-SA"/>
        </w:rPr>
        <w:t>服务人数，具体由双方协商。</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auto"/>
          <w:spacing w:val="-4"/>
          <w:kern w:val="0"/>
          <w:sz w:val="24"/>
          <w:szCs w:val="24"/>
          <w:lang w:val="en-US" w:eastAsia="zh-CN" w:bidi="ar-SA"/>
        </w:rPr>
      </w:pPr>
      <w:r>
        <w:rPr>
          <w:rFonts w:hint="eastAsia" w:ascii="宋体" w:hAnsi="宋体" w:eastAsia="宋体" w:cs="宋体"/>
          <w:b w:val="0"/>
          <w:bCs w:val="0"/>
          <w:color w:val="auto"/>
          <w:spacing w:val="-4"/>
          <w:kern w:val="0"/>
          <w:sz w:val="24"/>
          <w:szCs w:val="24"/>
          <w:lang w:val="en-US" w:eastAsia="zh-CN" w:bidi="ar-SA"/>
        </w:rPr>
        <w:t>（1）</w:t>
      </w:r>
      <w:r>
        <w:rPr>
          <w:rFonts w:hint="eastAsia" w:ascii="宋体" w:hAnsi="宋体" w:eastAsia="宋体" w:cs="宋体"/>
          <w:color w:val="auto"/>
          <w:spacing w:val="-4"/>
          <w:kern w:val="0"/>
          <w:sz w:val="24"/>
          <w:szCs w:val="24"/>
          <w:lang w:val="en-US" w:eastAsia="zh-CN" w:bidi="ar-SA"/>
        </w:rPr>
        <w:t>食堂管理员：50岁以下，有三年以上的食堂管理经验，</w:t>
      </w:r>
      <w:r>
        <w:rPr>
          <w:rFonts w:hint="eastAsia" w:ascii="宋体" w:hAnsi="宋体" w:cs="宋体"/>
          <w:color w:val="auto"/>
          <w:spacing w:val="-4"/>
          <w:kern w:val="0"/>
          <w:sz w:val="24"/>
          <w:szCs w:val="24"/>
          <w:lang w:val="en-US" w:eastAsia="zh-CN" w:bidi="ar-SA"/>
        </w:rPr>
        <w:t>有健康证，</w:t>
      </w:r>
      <w:r>
        <w:rPr>
          <w:rFonts w:hint="eastAsia" w:ascii="宋体" w:hAnsi="宋体" w:eastAsia="宋体" w:cs="宋体"/>
          <w:color w:val="auto"/>
          <w:spacing w:val="-4"/>
          <w:kern w:val="0"/>
          <w:sz w:val="24"/>
          <w:szCs w:val="24"/>
          <w:lang w:val="en-US" w:eastAsia="zh-CN" w:bidi="ar-SA"/>
        </w:rPr>
        <w:t>具有较高文化水平、专业水平，男女不限；</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auto"/>
          <w:spacing w:val="-4"/>
          <w:kern w:val="0"/>
          <w:sz w:val="24"/>
          <w:szCs w:val="24"/>
          <w:lang w:val="en-US" w:eastAsia="zh-CN" w:bidi="ar-SA"/>
        </w:rPr>
      </w:pPr>
      <w:r>
        <w:rPr>
          <w:rFonts w:hint="eastAsia" w:ascii="宋体" w:hAnsi="宋体" w:eastAsia="宋体" w:cs="宋体"/>
          <w:b w:val="0"/>
          <w:bCs w:val="0"/>
          <w:color w:val="auto"/>
          <w:spacing w:val="-4"/>
          <w:kern w:val="0"/>
          <w:sz w:val="24"/>
          <w:szCs w:val="24"/>
          <w:lang w:val="en-US" w:eastAsia="zh-CN" w:bidi="ar-SA"/>
        </w:rPr>
        <w:t>（2）</w:t>
      </w:r>
      <w:r>
        <w:rPr>
          <w:rFonts w:hint="eastAsia" w:ascii="宋体" w:hAnsi="宋体" w:eastAsia="宋体" w:cs="宋体"/>
          <w:color w:val="auto"/>
          <w:spacing w:val="-4"/>
          <w:kern w:val="0"/>
          <w:sz w:val="24"/>
          <w:szCs w:val="24"/>
          <w:lang w:val="en-US" w:eastAsia="zh-CN" w:bidi="ar-SA"/>
        </w:rPr>
        <w:t>厨师长：有一级以上厨师证（资质等级证书）和健康证，高中以上文化程度，50岁以下，男性；</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auto"/>
          <w:spacing w:val="-4"/>
          <w:kern w:val="0"/>
          <w:sz w:val="24"/>
          <w:szCs w:val="24"/>
          <w:lang w:val="en-US" w:eastAsia="zh-CN" w:bidi="ar-SA"/>
        </w:rPr>
      </w:pPr>
      <w:r>
        <w:rPr>
          <w:rFonts w:hint="eastAsia" w:ascii="宋体" w:hAnsi="宋体" w:eastAsia="宋体" w:cs="宋体"/>
          <w:b w:val="0"/>
          <w:bCs w:val="0"/>
          <w:color w:val="auto"/>
          <w:spacing w:val="-4"/>
          <w:kern w:val="0"/>
          <w:sz w:val="24"/>
          <w:szCs w:val="24"/>
          <w:lang w:val="en-US" w:eastAsia="zh-CN" w:bidi="ar-SA"/>
        </w:rPr>
        <w:t>（3）</w:t>
      </w:r>
      <w:r>
        <w:rPr>
          <w:rFonts w:hint="eastAsia" w:ascii="宋体" w:hAnsi="宋体" w:eastAsia="宋体" w:cs="宋体"/>
          <w:color w:val="auto"/>
          <w:spacing w:val="-4"/>
          <w:kern w:val="0"/>
          <w:sz w:val="24"/>
          <w:szCs w:val="24"/>
          <w:lang w:val="en-US" w:eastAsia="zh-CN" w:bidi="ar-SA"/>
        </w:rPr>
        <w:t>中餐厨师：二级以上厨师证（资质等级证书）和健康证，50岁以下，初中以上文化程度，男性；</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auto"/>
          <w:spacing w:val="-4"/>
          <w:kern w:val="0"/>
          <w:sz w:val="24"/>
          <w:szCs w:val="24"/>
          <w:lang w:val="en-US" w:eastAsia="zh-CN" w:bidi="ar-SA"/>
        </w:rPr>
      </w:pPr>
      <w:r>
        <w:rPr>
          <w:rFonts w:hint="eastAsia" w:ascii="宋体" w:hAnsi="宋体" w:eastAsia="宋体" w:cs="宋体"/>
          <w:b w:val="0"/>
          <w:bCs w:val="0"/>
          <w:color w:val="auto"/>
          <w:spacing w:val="-4"/>
          <w:kern w:val="0"/>
          <w:sz w:val="24"/>
          <w:szCs w:val="24"/>
          <w:lang w:val="en-US" w:eastAsia="zh-CN" w:bidi="ar-SA"/>
        </w:rPr>
        <w:t>（4）</w:t>
      </w:r>
      <w:r>
        <w:rPr>
          <w:rFonts w:hint="eastAsia" w:ascii="宋体" w:hAnsi="宋体" w:eastAsia="宋体" w:cs="宋体"/>
          <w:color w:val="auto"/>
          <w:spacing w:val="-4"/>
          <w:kern w:val="0"/>
          <w:sz w:val="24"/>
          <w:szCs w:val="24"/>
          <w:lang w:val="en-US" w:eastAsia="zh-CN" w:bidi="ar-SA"/>
        </w:rPr>
        <w:t>面点师：厨师上岗证（资质等级证书）和健康证，50岁以下，初中以上文化程度，男女不限；</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b w:val="0"/>
          <w:bCs w:val="0"/>
          <w:color w:val="000000"/>
          <w:spacing w:val="-4"/>
          <w:kern w:val="0"/>
          <w:sz w:val="24"/>
          <w:szCs w:val="24"/>
          <w:lang w:val="en-US" w:eastAsia="zh-CN" w:bidi="ar-SA"/>
        </w:rPr>
        <w:t>（5）</w:t>
      </w:r>
      <w:r>
        <w:rPr>
          <w:rFonts w:hint="eastAsia" w:ascii="宋体" w:hAnsi="宋体" w:eastAsia="宋体" w:cs="宋体"/>
          <w:color w:val="000000"/>
          <w:spacing w:val="-4"/>
          <w:kern w:val="0"/>
          <w:sz w:val="24"/>
          <w:szCs w:val="24"/>
          <w:lang w:val="en-US" w:eastAsia="zh-CN" w:bidi="ar-SA"/>
        </w:rPr>
        <w:t>仓库保管员兼服务员：高中以上文化程度、懂电脑，有健康证，45岁以下，男女不限；</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b w:val="0"/>
          <w:bCs w:val="0"/>
          <w:color w:val="000000"/>
          <w:spacing w:val="-4"/>
          <w:kern w:val="0"/>
          <w:sz w:val="24"/>
          <w:szCs w:val="24"/>
          <w:lang w:val="en-US" w:eastAsia="zh-CN" w:bidi="ar-SA"/>
        </w:rPr>
        <w:t>（6）</w:t>
      </w:r>
      <w:r>
        <w:rPr>
          <w:rFonts w:hint="eastAsia" w:ascii="宋体" w:hAnsi="宋体" w:eastAsia="宋体" w:cs="宋体"/>
          <w:color w:val="000000"/>
          <w:spacing w:val="-4"/>
          <w:kern w:val="0"/>
          <w:sz w:val="24"/>
          <w:szCs w:val="24"/>
          <w:lang w:val="en-US" w:eastAsia="zh-CN" w:bidi="ar-SA"/>
        </w:rPr>
        <w:t>服务员：有健康证、50岁以下，男女不限。</w:t>
      </w:r>
    </w:p>
    <w:p>
      <w:pPr>
        <w:pageBreakBefore w:val="0"/>
        <w:numPr>
          <w:ilvl w:val="0"/>
          <w:numId w:val="0"/>
        </w:numPr>
        <w:kinsoku/>
        <w:wordWrap/>
        <w:overflowPunct/>
        <w:topLinePunct w:val="0"/>
        <w:bidi w:val="0"/>
        <w:adjustRightInd w:val="0"/>
        <w:snapToGrid w:val="0"/>
        <w:spacing w:line="360" w:lineRule="auto"/>
        <w:ind w:left="1146" w:leftChars="0" w:hanging="720" w:firstLineChars="0"/>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b w:val="0"/>
          <w:bCs w:val="0"/>
          <w:color w:val="000000"/>
          <w:spacing w:val="-4"/>
          <w:kern w:val="0"/>
          <w:sz w:val="24"/>
          <w:szCs w:val="24"/>
          <w:lang w:val="en-US" w:eastAsia="zh-CN" w:bidi="ar-SA"/>
        </w:rPr>
        <w:t>（7）</w:t>
      </w:r>
      <w:r>
        <w:rPr>
          <w:rFonts w:hint="eastAsia" w:ascii="宋体" w:hAnsi="宋体" w:eastAsia="宋体" w:cs="宋体"/>
          <w:color w:val="000000"/>
          <w:spacing w:val="-4"/>
          <w:kern w:val="0"/>
          <w:sz w:val="24"/>
          <w:szCs w:val="24"/>
          <w:lang w:val="en-US" w:eastAsia="zh-CN" w:bidi="ar-SA"/>
        </w:rPr>
        <w:t>投标人必须与食堂工作人员签订劳动合同，除按岗位给予职工基本薪酬外，还必须依法参加社会保险，按月缴纳社会保险费，双方约定缴费基数不得低于本地当年调整基数的下限。</w:t>
      </w:r>
    </w:p>
    <w:p>
      <w:pPr>
        <w:pageBreakBefore w:val="0"/>
        <w:kinsoku/>
        <w:wordWrap/>
        <w:overflowPunct/>
        <w:topLinePunct w:val="0"/>
        <w:bidi w:val="0"/>
        <w:adjustRightInd w:val="0"/>
        <w:snapToGrid w:val="0"/>
        <w:spacing w:line="360" w:lineRule="auto"/>
        <w:ind w:firstLine="464" w:firstLineChars="200"/>
        <w:rPr>
          <w:rFonts w:hint="eastAsia" w:ascii="宋体" w:hAnsi="宋体" w:eastAsia="宋体" w:cs="宋体"/>
          <w:sz w:val="24"/>
          <w:szCs w:val="24"/>
        </w:rPr>
      </w:pPr>
      <w:r>
        <w:rPr>
          <w:rFonts w:hint="eastAsia" w:ascii="宋体" w:hAnsi="宋体" w:eastAsia="宋体" w:cs="宋体"/>
          <w:b w:val="0"/>
          <w:bCs w:val="0"/>
          <w:color w:val="000000"/>
          <w:spacing w:val="-4"/>
          <w:kern w:val="0"/>
          <w:sz w:val="24"/>
          <w:szCs w:val="24"/>
          <w:lang w:val="en-US" w:eastAsia="zh-CN" w:bidi="ar-SA"/>
        </w:rPr>
        <w:t>（8）</w:t>
      </w:r>
      <w:r>
        <w:rPr>
          <w:rFonts w:hint="eastAsia" w:ascii="宋体" w:hAnsi="宋体" w:eastAsia="宋体" w:cs="宋体"/>
          <w:color w:val="000000"/>
          <w:spacing w:val="-4"/>
          <w:kern w:val="0"/>
          <w:sz w:val="24"/>
          <w:szCs w:val="24"/>
          <w:lang w:val="en-US" w:eastAsia="zh-CN" w:bidi="ar-SA"/>
        </w:rPr>
        <w:t>采购人不提供宿舍，外来务工人员必须具有公安部门核发的临时居住证。</w:t>
      </w:r>
      <w:r>
        <w:rPr>
          <w:rFonts w:hint="eastAsia" w:ascii="宋体" w:hAnsi="宋体" w:eastAsia="宋体" w:cs="宋体"/>
          <w:b w:val="0"/>
          <w:bCs w:val="0"/>
          <w:color w:val="000000"/>
          <w:spacing w:val="-4"/>
          <w:kern w:val="0"/>
          <w:sz w:val="24"/>
          <w:szCs w:val="24"/>
          <w:lang w:val="en-US" w:eastAsia="zh-CN" w:bidi="ar-SA"/>
        </w:rPr>
        <w:t>食堂员工在食堂免费就餐，但严禁购买或打包携带食堂食材（未加工或已加工的）。</w:t>
      </w:r>
    </w:p>
    <w:p>
      <w:pPr>
        <w:pageBreakBefore w:val="0"/>
        <w:numPr>
          <w:ilvl w:val="0"/>
          <w:numId w:val="0"/>
        </w:numPr>
        <w:kinsoku/>
        <w:wordWrap/>
        <w:overflowPunct/>
        <w:topLinePunct w:val="0"/>
        <w:bidi w:val="0"/>
        <w:adjustRightInd w:val="0"/>
        <w:snapToGrid w:val="0"/>
        <w:spacing w:line="360" w:lineRule="auto"/>
        <w:ind w:firstLine="464" w:firstLineChars="200"/>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b w:val="0"/>
          <w:bCs w:val="0"/>
          <w:color w:val="000000"/>
          <w:spacing w:val="-4"/>
          <w:kern w:val="0"/>
          <w:sz w:val="24"/>
          <w:szCs w:val="24"/>
          <w:lang w:val="en-US" w:eastAsia="zh-CN" w:bidi="ar-SA"/>
        </w:rPr>
        <w:t>（9）</w:t>
      </w:r>
      <w:r>
        <w:rPr>
          <w:rFonts w:hint="eastAsia" w:ascii="宋体" w:hAnsi="宋体" w:eastAsia="宋体" w:cs="宋体"/>
          <w:color w:val="000000"/>
          <w:spacing w:val="-4"/>
          <w:kern w:val="0"/>
          <w:sz w:val="24"/>
          <w:szCs w:val="24"/>
          <w:lang w:val="en-US" w:eastAsia="zh-CN" w:bidi="ar-SA"/>
        </w:rPr>
        <w:t>投标人所有工作人员，必须无条件服从采购人管理人员的调度、指挥，如发现工作人员的年龄、职业资格、综合素质等不符合采购人管理要求的，采购人有权提出整改、更换。如整改、更换不及时或不到位，经协商无效，采购人有权要求投标人解除该工作人员合同。中标人更换或调整人员应提前征求采购人意见，在征得采购人同意后方可更换、调整。</w:t>
      </w:r>
    </w:p>
    <w:p>
      <w:pPr>
        <w:pageBreakBefore w:val="0"/>
        <w:numPr>
          <w:ilvl w:val="0"/>
          <w:numId w:val="0"/>
        </w:numPr>
        <w:kinsoku/>
        <w:wordWrap/>
        <w:overflowPunct/>
        <w:topLinePunct w:val="0"/>
        <w:bidi w:val="0"/>
        <w:adjustRightInd w:val="0"/>
        <w:snapToGrid w:val="0"/>
        <w:spacing w:line="360" w:lineRule="auto"/>
        <w:ind w:firstLine="464" w:firstLineChars="200"/>
        <w:rPr>
          <w:rFonts w:hint="eastAsia" w:ascii="宋体" w:hAnsi="宋体" w:eastAsia="宋体" w:cs="宋体"/>
          <w:color w:val="000000"/>
          <w:spacing w:val="-4"/>
          <w:kern w:val="0"/>
          <w:sz w:val="24"/>
          <w:szCs w:val="24"/>
          <w:lang w:val="en-US" w:eastAsia="zh-CN" w:bidi="ar-SA"/>
        </w:rPr>
      </w:pPr>
      <w:r>
        <w:rPr>
          <w:rFonts w:hint="eastAsia" w:ascii="宋体" w:hAnsi="宋体" w:eastAsia="宋体" w:cs="宋体"/>
          <w:color w:val="000000"/>
          <w:spacing w:val="-4"/>
          <w:kern w:val="0"/>
          <w:sz w:val="24"/>
          <w:szCs w:val="24"/>
          <w:lang w:val="en-US" w:eastAsia="zh-CN" w:bidi="ar-SA"/>
        </w:rPr>
        <w:t>2.申请并确保获得政府职能部门颁发的餐饮服务许可证。</w:t>
      </w:r>
    </w:p>
    <w:p>
      <w:pPr>
        <w:pageBreakBefore w:val="0"/>
        <w:numPr>
          <w:ilvl w:val="0"/>
          <w:numId w:val="0"/>
        </w:numPr>
        <w:kinsoku/>
        <w:wordWrap/>
        <w:overflowPunct/>
        <w:topLinePunct w:val="0"/>
        <w:bidi w:val="0"/>
        <w:adjustRightInd w:val="0"/>
        <w:snapToGrid w:val="0"/>
        <w:spacing w:line="360" w:lineRule="auto"/>
        <w:ind w:firstLine="464" w:firstLineChars="200"/>
        <w:rPr>
          <w:rFonts w:hint="eastAsia" w:ascii="宋体" w:hAnsi="宋体" w:eastAsia="宋体" w:cs="宋体"/>
          <w:color w:val="000000"/>
          <w:sz w:val="24"/>
          <w:szCs w:val="24"/>
        </w:rPr>
      </w:pPr>
      <w:r>
        <w:rPr>
          <w:rFonts w:hint="eastAsia" w:ascii="宋体" w:hAnsi="宋体" w:eastAsia="宋体" w:cs="宋体"/>
          <w:color w:val="000000"/>
          <w:spacing w:val="-4"/>
          <w:kern w:val="0"/>
          <w:sz w:val="24"/>
          <w:szCs w:val="24"/>
          <w:lang w:val="en-US" w:eastAsia="zh-CN" w:bidi="ar-SA"/>
        </w:rPr>
        <w:t>3.制订并上墙公示食品安全规章制度。投标人</w:t>
      </w:r>
      <w:r>
        <w:rPr>
          <w:rFonts w:hint="eastAsia" w:ascii="宋体" w:hAnsi="宋体" w:eastAsia="宋体" w:cs="宋体"/>
          <w:color w:val="000000"/>
          <w:sz w:val="24"/>
          <w:szCs w:val="24"/>
        </w:rPr>
        <w:t>应具有餐饮服务成功经验，熟知国家及浙江省和杭州市关于餐饮服务和食品安全相</w:t>
      </w:r>
      <w:r>
        <w:rPr>
          <w:rFonts w:hint="eastAsia" w:ascii="宋体" w:hAnsi="宋体" w:eastAsia="宋体" w:cs="宋体"/>
          <w:color w:val="000000"/>
          <w:sz w:val="24"/>
          <w:szCs w:val="24"/>
          <w:lang w:eastAsia="zh-CN"/>
        </w:rPr>
        <w:t>关法</w:t>
      </w:r>
      <w:r>
        <w:rPr>
          <w:rFonts w:hint="eastAsia" w:ascii="宋体" w:hAnsi="宋体" w:eastAsia="宋体" w:cs="宋体"/>
          <w:color w:val="000000"/>
          <w:sz w:val="24"/>
          <w:szCs w:val="24"/>
        </w:rPr>
        <w:t>律法规和规章，并已经制订有健全的餐饮服务和食品安全规章制度，具体内容包括但不限于以下：</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个人卫生制度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原材料采购卫生制度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rPr>
        <w:t>食品原材料储藏保管（库房）卫生制度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rPr>
        <w:t>食品粗加工卫生制度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sz w:val="24"/>
          <w:szCs w:val="24"/>
        </w:rPr>
        <w:t>食品烹调卫生制度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rPr>
        <w:t>面点制作卫生制度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sz w:val="24"/>
          <w:szCs w:val="24"/>
        </w:rPr>
        <w:t>冷菜制作卫生制度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（8）</w:t>
      </w:r>
      <w:r>
        <w:rPr>
          <w:rFonts w:hint="eastAsia" w:ascii="宋体" w:hAnsi="宋体" w:eastAsia="宋体" w:cs="宋体"/>
          <w:color w:val="000000"/>
          <w:sz w:val="24"/>
          <w:szCs w:val="24"/>
        </w:rPr>
        <w:t>餐饮具洗消卫生制度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sz w:val="24"/>
          <w:szCs w:val="24"/>
        </w:rPr>
        <w:t>食品加工、贮存、陈列等设施、设备清洁卫生制度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（10）</w:t>
      </w:r>
      <w:r>
        <w:rPr>
          <w:rFonts w:hint="eastAsia" w:ascii="宋体" w:hAnsi="宋体" w:eastAsia="宋体" w:cs="宋体"/>
          <w:color w:val="000000"/>
          <w:sz w:val="24"/>
          <w:szCs w:val="24"/>
        </w:rPr>
        <w:t>餐厅卫生制度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sz w:val="24"/>
          <w:szCs w:val="24"/>
        </w:rPr>
        <w:t>食品留样卫生制度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（12）</w:t>
      </w:r>
      <w:r>
        <w:rPr>
          <w:rFonts w:hint="eastAsia" w:ascii="宋体" w:hAnsi="宋体" w:eastAsia="宋体" w:cs="宋体"/>
          <w:color w:val="000000"/>
          <w:sz w:val="24"/>
          <w:szCs w:val="24"/>
        </w:rPr>
        <w:t>分餐间作业卫生制度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（13）</w:t>
      </w:r>
      <w:r>
        <w:rPr>
          <w:rFonts w:hint="eastAsia" w:ascii="宋体" w:hAnsi="宋体" w:eastAsia="宋体" w:cs="宋体"/>
          <w:color w:val="000000"/>
          <w:sz w:val="24"/>
          <w:szCs w:val="24"/>
        </w:rPr>
        <w:t>食品安全质量制度</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（14）</w:t>
      </w:r>
      <w:r>
        <w:rPr>
          <w:rFonts w:hint="eastAsia" w:ascii="宋体" w:hAnsi="宋体" w:eastAsia="宋体" w:cs="宋体"/>
          <w:color w:val="000000"/>
          <w:sz w:val="24"/>
          <w:szCs w:val="24"/>
        </w:rPr>
        <w:t>食品安全事故应急处理方案</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厨房设备、工具和餐具的管理：</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中标</w:t>
      </w:r>
      <w:r>
        <w:rPr>
          <w:rFonts w:hint="eastAsia" w:ascii="宋体" w:hAnsi="宋体" w:eastAsia="宋体" w:cs="宋体"/>
          <w:color w:val="000000"/>
          <w:sz w:val="24"/>
          <w:szCs w:val="24"/>
          <w:lang w:eastAsia="zh-CN"/>
        </w:rPr>
        <w:t>投标人应</w:t>
      </w:r>
      <w:r>
        <w:rPr>
          <w:rFonts w:hint="eastAsia" w:ascii="宋体" w:hAnsi="宋体" w:eastAsia="宋体" w:cs="宋体"/>
          <w:color w:val="000000"/>
          <w:sz w:val="24"/>
          <w:szCs w:val="24"/>
        </w:rPr>
        <w:t>根据需要提出采购厨房设备、工具和餐具的申请，并协助采购人采购。</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在承包期内对采购人提供的现有厨房设备及用具负有维修维护和保管责任，在承包服务期满后如数归还采购人。如因非正常使用或人为损坏造成的损坏或遗失，</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应该照价赔偿。</w:t>
      </w:r>
    </w:p>
    <w:p>
      <w:pPr>
        <w:pageBreakBefore w:val="0"/>
        <w:numPr>
          <w:ilvl w:val="0"/>
          <w:numId w:val="0"/>
        </w:numPr>
        <w:kinsoku/>
        <w:wordWrap/>
        <w:overflowPunct/>
        <w:topLinePunct w:val="0"/>
        <w:bidi w:val="0"/>
        <w:snapToGrid w:val="0"/>
        <w:spacing w:line="360" w:lineRule="auto"/>
        <w:ind w:left="1146" w:leftChars="0" w:hanging="72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可以提出设施改造、设备添置等建议，由采购人</w:t>
      </w:r>
      <w:r>
        <w:rPr>
          <w:rFonts w:hint="eastAsia" w:ascii="宋体" w:hAnsi="宋体" w:eastAsia="宋体" w:cs="宋体"/>
          <w:color w:val="000000"/>
          <w:sz w:val="24"/>
          <w:szCs w:val="24"/>
          <w:lang w:eastAsia="zh-CN"/>
        </w:rPr>
        <w:t>作决定</w:t>
      </w:r>
      <w:r>
        <w:rPr>
          <w:rFonts w:hint="eastAsia" w:ascii="宋体" w:hAnsi="宋体" w:eastAsia="宋体" w:cs="宋体"/>
          <w:color w:val="000000"/>
          <w:sz w:val="24"/>
          <w:szCs w:val="24"/>
        </w:rPr>
        <w:t>。</w:t>
      </w:r>
    </w:p>
    <w:p>
      <w:pPr>
        <w:pStyle w:val="400"/>
        <w:pageBreakBefore w:val="0"/>
        <w:kinsoku/>
        <w:wordWrap/>
        <w:overflowPunct/>
        <w:topLinePunct w:val="0"/>
        <w:bidi w:val="0"/>
        <w:spacing w:after="0" w:afterLines="0"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5</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制订每周营养配餐食谱</w:t>
      </w:r>
      <w:r>
        <w:rPr>
          <w:rFonts w:hint="eastAsia" w:ascii="宋体" w:hAnsi="宋体" w:eastAsia="宋体" w:cs="宋体"/>
          <w:b w:val="0"/>
          <w:bCs/>
          <w:color w:val="000000"/>
          <w:sz w:val="24"/>
          <w:szCs w:val="24"/>
          <w:lang w:eastAsia="zh-CN"/>
        </w:rPr>
        <w:t>：</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结合时令、市场供应情况和采购人的要求在每周五制订下周五个工作日及双休日的配餐计划（俗称“菜单”），在周五下午二时前送呈采购人审核。如采购人提出修改要求，在合理前提下应及时修改。大致的配餐种类和数量要求：</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早餐：品种12个以上，以本地常规早点为主，配以现有厨具可制作的其他可口花色早点。每日必备品种为：稀饭、豆浆、鸡蛋、包子、面条、馄饨、花卷、刀切馒头、蛋糕、油条等。稀饭配以2种（含）以上酱菜。</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中餐：品种9个以上，其中：</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大荤不少于4个。以当日活宰肉、鱼或保鲜海产类、禽类为主。一周内花色不得重复两次以上。</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半荤不少于1个。荤素搭配各一半量。一周内花色不得重复。</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时令蔬菜不少于4个。一周内花色不重复两次以上。</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米饭1种、汤1碗，汤内有形物不少于三分之一，特色主食1个以上。</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晚餐：根据采购人要求定制，品种5个以上，当日中午余菜不得多于2个。</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（4）配餐：根据送餐当日实际需求定制，提供2个以上品种套餐供送餐服务选择。</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小炒：中餐应根据采购人的需要提供小炒、熟食或半成品。</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菜单要求：每天将名称及单价标注于售卖处明显位置。每</w:t>
      </w:r>
      <w:r>
        <w:rPr>
          <w:rFonts w:hint="eastAsia" w:ascii="宋体" w:hAnsi="宋体" w:eastAsia="宋体" w:cs="宋体"/>
          <w:color w:val="000000"/>
          <w:sz w:val="24"/>
          <w:szCs w:val="24"/>
          <w:lang w:eastAsia="zh-CN"/>
        </w:rPr>
        <w:t>推出</w:t>
      </w:r>
      <w:r>
        <w:rPr>
          <w:rFonts w:hint="eastAsia" w:ascii="宋体" w:hAnsi="宋体" w:eastAsia="宋体" w:cs="宋体"/>
          <w:color w:val="000000"/>
          <w:sz w:val="24"/>
          <w:szCs w:val="24"/>
        </w:rPr>
        <w:t>新的菜肴和主食，须经采购人核价。</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原料采购：</w:t>
      </w:r>
    </w:p>
    <w:p>
      <w:pPr>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对符合要求的定点投标人进行质保体系评价，对所采购的商品要求质量保证。包装商品应优先采购品牌产品，不采购质保期外或即将期满的商品；散装商品要索取权威质量合格证，夏季蔬菜或易虫蔬菜必须索取权威农残检测证书。</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原材料采购原则上采用定点、定牌采购方式，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和品牌由经采购人指定。</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rPr>
        <w:t>配餐主料除少量腌腊制品外，不得采购半成品或加工品。</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rPr>
        <w:t>原材料</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及采购点必须由采购人认可并提供相关资质文件备案，每日提供进货凭证和质量合格证明。</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sz w:val="24"/>
          <w:szCs w:val="24"/>
        </w:rPr>
        <w:t>原料采购价不得高于超市和农贸市场价格。</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rPr>
        <w:t>免费提供的产品原材料需得到采购人的认可。</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sz w:val="24"/>
          <w:szCs w:val="24"/>
        </w:rPr>
        <w:t>不得采用转基因等安全性得到证明的原材料。</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7.菜品原料的清洗、切割和保存：</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（1）</w:t>
      </w:r>
      <w:r>
        <w:rPr>
          <w:rFonts w:hint="eastAsia" w:ascii="宋体" w:hAnsi="宋体" w:eastAsia="宋体" w:cs="宋体"/>
          <w:color w:val="000000"/>
          <w:sz w:val="24"/>
          <w:szCs w:val="24"/>
        </w:rPr>
        <w:t>清洗、切割：应采用科学和卫生的清洗、切割方法，保证菜品的营养成分，有效去除农药残留。</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①</w:t>
      </w:r>
      <w:r>
        <w:rPr>
          <w:rFonts w:hint="eastAsia" w:ascii="宋体" w:hAnsi="宋体" w:eastAsia="宋体" w:cs="宋体"/>
          <w:color w:val="000000"/>
          <w:sz w:val="24"/>
          <w:szCs w:val="24"/>
        </w:rPr>
        <w:t>叶菜须经：过水、浸泡（具体浸泡时间视季节和菜品而定）、洗净、切割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肉、鱼或保鲜海产类、禽类应保证新鲜、不受污染。</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b/>
          <w:color w:val="000000"/>
          <w:sz w:val="24"/>
          <w:szCs w:val="24"/>
        </w:rPr>
      </w:pPr>
      <w:r>
        <w:rPr>
          <w:rFonts w:hint="eastAsia" w:ascii="宋体" w:hAnsi="宋体" w:eastAsia="宋体" w:cs="宋体"/>
          <w:b w:val="0"/>
          <w:bCs/>
          <w:color w:val="000000"/>
          <w:kern w:val="2"/>
          <w:sz w:val="24"/>
          <w:szCs w:val="24"/>
          <w:lang w:val="en-US" w:eastAsia="zh-CN" w:bidi="ar-SA"/>
        </w:rPr>
        <w:t>②</w:t>
      </w:r>
      <w:r>
        <w:rPr>
          <w:rFonts w:hint="eastAsia" w:ascii="宋体" w:hAnsi="宋体" w:eastAsia="宋体" w:cs="宋体"/>
          <w:color w:val="000000"/>
          <w:sz w:val="24"/>
          <w:szCs w:val="24"/>
        </w:rPr>
        <w:t>原料保存：食堂必须做好留样工作，设立专门的留样柜（采购人提供），每餐留样并贴上日期</w:t>
      </w:r>
      <w:r>
        <w:rPr>
          <w:rFonts w:hint="eastAsia" w:ascii="宋体" w:hAnsi="宋体" w:eastAsia="宋体" w:cs="宋体"/>
          <w:color w:val="000000"/>
          <w:sz w:val="24"/>
          <w:szCs w:val="24"/>
          <w:lang w:eastAsia="zh-CN"/>
        </w:rPr>
        <w:t>标识</w:t>
      </w:r>
      <w:r>
        <w:rPr>
          <w:rFonts w:hint="eastAsia" w:ascii="宋体" w:hAnsi="宋体" w:eastAsia="宋体" w:cs="宋体"/>
          <w:color w:val="000000"/>
          <w:sz w:val="24"/>
          <w:szCs w:val="24"/>
        </w:rPr>
        <w:t>，且至少保留48小时。素菜和半荤菜（包括已加工未烹调的半成品）存放不超过24小时；荤菜应冷藏或冷冻保存，冷藏保存不得超过24小时。冷冻品存放不超过一星期。</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菜品烹饪加工</w:t>
      </w:r>
      <w:r>
        <w:rPr>
          <w:rFonts w:hint="eastAsia" w:ascii="宋体" w:hAnsi="宋体" w:eastAsia="宋体" w:cs="宋体"/>
          <w:b w:val="0"/>
          <w:bCs/>
          <w:color w:val="000000"/>
          <w:sz w:val="24"/>
          <w:szCs w:val="24"/>
          <w:lang w:eastAsia="zh-CN"/>
        </w:rPr>
        <w:t>：</w:t>
      </w:r>
    </w:p>
    <w:p>
      <w:pPr>
        <w:pageBreakBefore w:val="0"/>
        <w:numPr>
          <w:ilvl w:val="0"/>
          <w:numId w:val="3"/>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严格检查待烹饪加工食品原料的安全质量，发现有腐败变质或其他感官性异常，不符合安全要求的食品绝不烹制。 </w:t>
      </w:r>
    </w:p>
    <w:p>
      <w:pPr>
        <w:pageBreakBefore w:val="0"/>
        <w:numPr>
          <w:ilvl w:val="0"/>
          <w:numId w:val="3"/>
        </w:numPr>
        <w:kinsoku/>
        <w:wordWrap/>
        <w:overflowPunct/>
        <w:topLinePunct w:val="0"/>
        <w:bidi w:val="0"/>
        <w:snapToGrid w:val="0"/>
        <w:spacing w:line="360" w:lineRule="auto"/>
        <w:ind w:firstLine="456" w:firstLineChars="200"/>
        <w:rPr>
          <w:rFonts w:hint="eastAsia" w:ascii="宋体" w:hAnsi="宋体" w:eastAsia="宋体" w:cs="宋体"/>
          <w:color w:val="000000"/>
          <w:sz w:val="24"/>
          <w:szCs w:val="24"/>
        </w:rPr>
      </w:pPr>
      <w:r>
        <w:rPr>
          <w:rFonts w:hint="eastAsia" w:ascii="宋体" w:hAnsi="宋体" w:eastAsia="宋体" w:cs="宋体"/>
          <w:color w:val="000000"/>
          <w:spacing w:val="-6"/>
          <w:sz w:val="24"/>
          <w:szCs w:val="24"/>
        </w:rPr>
        <w:t>加工食品时要充分加热，烧熟煮透</w:t>
      </w:r>
      <w:r>
        <w:rPr>
          <w:rFonts w:hint="eastAsia" w:ascii="宋体" w:hAnsi="宋体" w:eastAsia="宋体" w:cs="宋体"/>
          <w:color w:val="000000"/>
          <w:spacing w:val="-6"/>
          <w:sz w:val="24"/>
          <w:szCs w:val="24"/>
          <w:lang w:eastAsia="zh-CN"/>
        </w:rPr>
        <w:t>，</w:t>
      </w:r>
      <w:r>
        <w:rPr>
          <w:rFonts w:hint="eastAsia" w:ascii="宋体" w:hAnsi="宋体" w:eastAsia="宋体" w:cs="宋体"/>
          <w:color w:val="000000"/>
          <w:spacing w:val="-6"/>
          <w:sz w:val="24"/>
          <w:szCs w:val="24"/>
        </w:rPr>
        <w:t xml:space="preserve">不能只讲食品颜色而造成食物外熟内生。 </w:t>
      </w:r>
    </w:p>
    <w:p>
      <w:pPr>
        <w:pageBreakBefore w:val="0"/>
        <w:numPr>
          <w:ilvl w:val="0"/>
          <w:numId w:val="3"/>
        </w:numPr>
        <w:kinsoku/>
        <w:wordWrap/>
        <w:overflowPunct/>
        <w:topLinePunct w:val="0"/>
        <w:bidi w:val="0"/>
        <w:snapToGrid w:val="0"/>
        <w:spacing w:line="360" w:lineRule="auto"/>
        <w:ind w:firstLine="480" w:firstLineChars="200"/>
        <w:rPr>
          <w:rFonts w:hint="eastAsia" w:ascii="宋体" w:hAnsi="宋体" w:eastAsia="宋体" w:cs="宋体"/>
          <w:color w:val="000000"/>
          <w:spacing w:val="-4"/>
          <w:sz w:val="24"/>
          <w:szCs w:val="24"/>
        </w:rPr>
      </w:pPr>
      <w:r>
        <w:rPr>
          <w:rFonts w:hint="eastAsia" w:ascii="宋体" w:hAnsi="宋体" w:eastAsia="宋体" w:cs="宋体"/>
          <w:color w:val="000000"/>
          <w:sz w:val="24"/>
          <w:szCs w:val="24"/>
        </w:rPr>
        <w:t>菜肴着重体现菜品特色，感官性强，做到可口易于消化。</w:t>
      </w:r>
    </w:p>
    <w:p>
      <w:pPr>
        <w:pageBreakBefore w:val="0"/>
        <w:numPr>
          <w:ilvl w:val="0"/>
          <w:numId w:val="0"/>
        </w:numPr>
        <w:kinsoku/>
        <w:wordWrap/>
        <w:overflowPunct/>
        <w:topLinePunct w:val="0"/>
        <w:bidi w:val="0"/>
        <w:snapToGrid w:val="0"/>
        <w:spacing w:line="360" w:lineRule="auto"/>
        <w:ind w:firstLine="464" w:firstLineChars="200"/>
        <w:rPr>
          <w:rFonts w:hint="eastAsia" w:ascii="宋体" w:hAnsi="宋体" w:eastAsia="宋体" w:cs="宋体"/>
          <w:color w:val="000000"/>
          <w:spacing w:val="-4"/>
          <w:sz w:val="24"/>
          <w:szCs w:val="24"/>
        </w:rPr>
      </w:pPr>
      <w:r>
        <w:rPr>
          <w:rFonts w:hint="eastAsia" w:ascii="宋体" w:hAnsi="宋体" w:eastAsia="宋体" w:cs="宋体"/>
          <w:color w:val="000000"/>
          <w:spacing w:val="-4"/>
          <w:kern w:val="2"/>
          <w:sz w:val="24"/>
          <w:szCs w:val="24"/>
          <w:lang w:val="en-US" w:eastAsia="zh-CN" w:bidi="ar-SA"/>
        </w:rPr>
        <w:t>（4）</w:t>
      </w:r>
      <w:r>
        <w:rPr>
          <w:rFonts w:hint="eastAsia" w:ascii="宋体" w:hAnsi="宋体" w:eastAsia="宋体" w:cs="宋体"/>
          <w:color w:val="000000"/>
          <w:sz w:val="24"/>
          <w:szCs w:val="24"/>
        </w:rPr>
        <w:t>加工四季豆，扁豆等高危险食品要求煮烂、煮透，确保食品安全。</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pacing w:val="-4"/>
          <w:sz w:val="24"/>
          <w:szCs w:val="24"/>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spacing w:val="-4"/>
          <w:sz w:val="24"/>
          <w:szCs w:val="24"/>
        </w:rPr>
        <w:t>肉类食品烹调后应无血、无毛、 无污染、无腥味、无异味，严防外熟内生。</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kern w:val="2"/>
          <w:sz w:val="24"/>
          <w:szCs w:val="24"/>
          <w:lang w:val="en-US" w:eastAsia="zh-CN" w:bidi="ar-SA"/>
        </w:rPr>
        <w:t>（6）</w:t>
      </w:r>
      <w:r>
        <w:rPr>
          <w:rFonts w:hint="eastAsia" w:ascii="宋体" w:hAnsi="宋体" w:eastAsia="宋体" w:cs="宋体"/>
          <w:color w:val="000000"/>
          <w:sz w:val="24"/>
          <w:szCs w:val="24"/>
        </w:rPr>
        <w:t>烹调后至食用前需要较长时间（超过两小时）存放的食品 应当在高于60℃或低于 10℃的条件下存放，存放时必须使用清洁、 经消毒过的菜盆、瓢、碗、盘等专用容器盛装。</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9</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组织配餐</w:t>
      </w:r>
      <w:r>
        <w:rPr>
          <w:rFonts w:hint="eastAsia" w:ascii="宋体" w:hAnsi="宋体" w:eastAsia="宋体" w:cs="宋体"/>
          <w:b w:val="0"/>
          <w:bCs/>
          <w:color w:val="000000"/>
          <w:sz w:val="24"/>
          <w:szCs w:val="24"/>
          <w:lang w:eastAsia="zh-CN"/>
        </w:rPr>
        <w:t>、送餐</w:t>
      </w:r>
      <w:r>
        <w:rPr>
          <w:rFonts w:hint="eastAsia" w:ascii="宋体" w:hAnsi="宋体" w:eastAsia="宋体" w:cs="宋体"/>
          <w:b w:val="0"/>
          <w:bCs/>
          <w:color w:val="000000"/>
          <w:sz w:val="24"/>
          <w:szCs w:val="24"/>
        </w:rPr>
        <w:t>供应</w:t>
      </w:r>
      <w:r>
        <w:rPr>
          <w:rFonts w:hint="eastAsia" w:ascii="宋体" w:hAnsi="宋体" w:eastAsia="宋体" w:cs="宋体"/>
          <w:b w:val="0"/>
          <w:bCs/>
          <w:color w:val="000000"/>
          <w:sz w:val="24"/>
          <w:szCs w:val="24"/>
          <w:lang w:eastAsia="zh-CN"/>
        </w:rPr>
        <w:t>：</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kern w:val="2"/>
          <w:sz w:val="24"/>
          <w:szCs w:val="24"/>
          <w:lang w:val="en-US" w:eastAsia="zh-CN" w:bidi="ar-SA"/>
        </w:rPr>
        <w:t>（1）</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应服从采购人管理，按作息时间及时安排供餐，并满足</w:t>
      </w:r>
      <w:r>
        <w:rPr>
          <w:rFonts w:hint="eastAsia" w:ascii="宋体" w:hAnsi="宋体" w:eastAsia="宋体" w:cs="宋体"/>
          <w:color w:val="000000"/>
          <w:sz w:val="24"/>
          <w:szCs w:val="24"/>
          <w:lang w:eastAsia="zh-CN"/>
        </w:rPr>
        <w:t>小炒</w:t>
      </w:r>
      <w:r>
        <w:rPr>
          <w:rFonts w:hint="eastAsia" w:ascii="宋体" w:hAnsi="宋体" w:eastAsia="宋体" w:cs="宋体"/>
          <w:color w:val="000000"/>
          <w:sz w:val="24"/>
          <w:szCs w:val="24"/>
        </w:rPr>
        <w:t>供应要求。</w:t>
      </w:r>
    </w:p>
    <w:p>
      <w:pPr>
        <w:numPr>
          <w:ilvl w:val="0"/>
          <w:numId w:val="0"/>
        </w:numPr>
        <w:spacing w:line="360" w:lineRule="auto"/>
        <w:ind w:leftChars="0"/>
        <w:outlineLvl w:val="9"/>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color w:val="000000"/>
          <w:kern w:val="2"/>
          <w:sz w:val="24"/>
          <w:szCs w:val="24"/>
          <w:lang w:val="en-US" w:eastAsia="zh-CN" w:bidi="ar-SA"/>
        </w:rPr>
        <w:t>（2）投标人应安排足够工作人员向中心病房提供配餐、送餐、发放、收款、开票等相关工作，原则上一个病房楼层安排不少于2个工作人员。</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kern w:val="2"/>
          <w:sz w:val="24"/>
          <w:szCs w:val="24"/>
          <w:lang w:val="en-US" w:eastAsia="zh-CN" w:bidi="ar-SA"/>
        </w:rPr>
        <w:t>（3）</w:t>
      </w:r>
      <w:r>
        <w:rPr>
          <w:rFonts w:hint="eastAsia" w:ascii="宋体" w:hAnsi="宋体" w:eastAsia="宋体" w:cs="宋体"/>
          <w:color w:val="000000"/>
          <w:sz w:val="24"/>
          <w:szCs w:val="24"/>
        </w:rPr>
        <w:t>窗口售卖应有充足人员保证，准备充分，售卖速度快，菜肴</w:t>
      </w:r>
      <w:r>
        <w:rPr>
          <w:rFonts w:hint="eastAsia" w:ascii="宋体" w:hAnsi="宋体" w:eastAsia="宋体" w:cs="宋体"/>
          <w:color w:val="000000"/>
          <w:sz w:val="24"/>
          <w:szCs w:val="24"/>
          <w:lang w:eastAsia="zh-CN"/>
        </w:rPr>
        <w:t>分量</w:t>
      </w:r>
      <w:r>
        <w:rPr>
          <w:rFonts w:hint="eastAsia" w:ascii="宋体" w:hAnsi="宋体" w:eastAsia="宋体" w:cs="宋体"/>
          <w:color w:val="000000"/>
          <w:sz w:val="24"/>
          <w:szCs w:val="24"/>
        </w:rPr>
        <w:t>均匀质地相当。</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kern w:val="2"/>
          <w:sz w:val="24"/>
          <w:szCs w:val="24"/>
          <w:lang w:val="en-US" w:eastAsia="zh-CN" w:bidi="ar-SA"/>
        </w:rPr>
        <w:t>（4）</w:t>
      </w:r>
      <w:r>
        <w:rPr>
          <w:rFonts w:hint="eastAsia" w:ascii="宋体" w:hAnsi="宋体" w:eastAsia="宋体" w:cs="宋体"/>
          <w:color w:val="000000"/>
          <w:sz w:val="24"/>
          <w:szCs w:val="24"/>
        </w:rPr>
        <w:t>及时处理餐饮品质量问题，把负面影响降到</w:t>
      </w:r>
      <w:r>
        <w:rPr>
          <w:rFonts w:hint="eastAsia" w:ascii="宋体" w:hAnsi="宋体" w:eastAsia="宋体" w:cs="宋体"/>
          <w:color w:val="000000"/>
          <w:sz w:val="24"/>
          <w:szCs w:val="24"/>
          <w:lang w:eastAsia="zh-CN"/>
        </w:rPr>
        <w:t>最小</w:t>
      </w:r>
      <w:r>
        <w:rPr>
          <w:rFonts w:hint="eastAsia" w:ascii="宋体" w:hAnsi="宋体" w:eastAsia="宋体" w:cs="宋体"/>
          <w:color w:val="000000"/>
          <w:sz w:val="24"/>
          <w:szCs w:val="24"/>
        </w:rPr>
        <w:t>，但必须符合食品安全法规规章的要求。</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kern w:val="2"/>
          <w:sz w:val="24"/>
          <w:szCs w:val="24"/>
          <w:lang w:val="en-US" w:eastAsia="zh-CN" w:bidi="ar-SA"/>
        </w:rPr>
        <w:t>（5）</w:t>
      </w:r>
      <w:r>
        <w:rPr>
          <w:rFonts w:hint="eastAsia" w:ascii="宋体" w:hAnsi="宋体" w:eastAsia="宋体" w:cs="宋体"/>
          <w:color w:val="000000"/>
          <w:sz w:val="24"/>
          <w:szCs w:val="24"/>
        </w:rPr>
        <w:t>发现食物变质、异味、员工投诉，应立即停止供应，确认食品确已变质，应免费更换。</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10.餐具回收、清洗、消毒：</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（1）凡由食堂提供餐具的，在就餐人员用餐完毕后，需及时回收餐饮器具</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（2）及时清洁餐桌台面。</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rPr>
        <w:t>餐饮器具、厨具应及时清洗、消毒、保存在干燥卫生处。</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11.配餐成本核算：</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配餐成本应不含</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相关费用，仅包含原料的采购成本。</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应将每天的原料采购价和采购数量向采购人报备。</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应核算单品成本，并将成品菜品单价向采购人报备。</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12.食堂食品安全事故的应急处理：</w:t>
      </w:r>
    </w:p>
    <w:p>
      <w:pPr>
        <w:pageBreakBefore w:val="0"/>
        <w:numPr>
          <w:ilvl w:val="0"/>
          <w:numId w:val="0"/>
        </w:numPr>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应有食品安全事故应急处理预案。当发生食品安全事故时，及时</w:t>
      </w:r>
      <w:r>
        <w:rPr>
          <w:rFonts w:hint="eastAsia" w:ascii="宋体" w:hAnsi="宋体" w:eastAsia="宋体" w:cs="宋体"/>
          <w:color w:val="000000"/>
          <w:sz w:val="24"/>
          <w:szCs w:val="24"/>
          <w:lang w:eastAsia="zh-CN"/>
        </w:rPr>
        <w:t>作出</w:t>
      </w:r>
      <w:r>
        <w:rPr>
          <w:rFonts w:hint="eastAsia" w:ascii="宋体" w:hAnsi="宋体" w:eastAsia="宋体" w:cs="宋体"/>
          <w:color w:val="000000"/>
          <w:sz w:val="24"/>
          <w:szCs w:val="24"/>
        </w:rPr>
        <w:t>响应，并向采购人通报；</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因</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或</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采购原料而引起食物中毒或用餐者生病就医的，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必须承担相应的责任，造成经济损失的，应负责赔偿。</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13、其他服务：</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当采购人提出增加其他服务种类时，</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应满足采购人要求并符合本采购文件的相关要求，费用由采购人承担。</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增加服务种类，不另外增加服务费用。</w:t>
      </w:r>
    </w:p>
    <w:p>
      <w:pPr>
        <w:pageBreakBefore w:val="0"/>
        <w:numPr>
          <w:ilvl w:val="0"/>
          <w:numId w:val="0"/>
        </w:numPr>
        <w:tabs>
          <w:tab w:val="left" w:pos="993"/>
        </w:tabs>
        <w:kinsoku/>
        <w:wordWrap/>
        <w:overflowPunct/>
        <w:topLinePunct w:val="0"/>
        <w:bidi w:val="0"/>
        <w:snapToGrid w:val="0"/>
        <w:spacing w:line="360" w:lineRule="auto"/>
        <w:outlineLvl w:val="1"/>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三、投标人必须遵守的食品安全相关法律法规和规章</w:t>
      </w:r>
    </w:p>
    <w:p>
      <w:pPr>
        <w:pageBreakBefore w:val="0"/>
        <w:numPr>
          <w:ilvl w:val="0"/>
          <w:numId w:val="0"/>
        </w:numPr>
        <w:tabs>
          <w:tab w:val="left" w:pos="993"/>
        </w:tabs>
        <w:kinsoku/>
        <w:wordWrap/>
        <w:overflowPunct/>
        <w:topLinePunct w:val="0"/>
        <w:bidi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政府颁布的法律法规和规章（包括但不限于以下）：</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中华人民共和国食品安全法</w:t>
      </w:r>
      <w:r>
        <w:rPr>
          <w:rFonts w:hint="eastAsia" w:ascii="宋体" w:hAnsi="宋体" w:eastAsia="宋体" w:cs="宋体"/>
          <w:color w:val="000000"/>
          <w:sz w:val="24"/>
          <w:szCs w:val="24"/>
          <w:lang w:eastAsia="zh-CN"/>
        </w:rPr>
        <w:t>；</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（2）中华人民共和国食品安全法实施条例；</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（3）中华人民共和国食品安全法实施细则；</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（4）餐饮服务食品安全监督管理办法；</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（5）食品经营许可管理办法</w:t>
      </w:r>
      <w:r>
        <w:rPr>
          <w:rFonts w:hint="eastAsia" w:ascii="宋体" w:hAnsi="宋体" w:eastAsia="宋体" w:cs="宋体"/>
          <w:color w:val="000000"/>
          <w:kern w:val="2"/>
          <w:sz w:val="24"/>
          <w:szCs w:val="24"/>
          <w:lang w:val="en-US" w:eastAsia="zh-CN" w:bidi="ar-SA"/>
        </w:rPr>
        <w:tab/>
      </w:r>
      <w:r>
        <w:rPr>
          <w:rFonts w:hint="eastAsia" w:ascii="宋体" w:hAnsi="宋体" w:eastAsia="宋体" w:cs="宋体"/>
          <w:color w:val="000000"/>
          <w:kern w:val="2"/>
          <w:sz w:val="24"/>
          <w:szCs w:val="24"/>
          <w:lang w:val="en-US" w:eastAsia="zh-CN" w:bidi="ar-SA"/>
        </w:rPr>
        <w:t>；</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（6）食品经营许可审查通则（试行）；</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（7）浙江省食品经营许可实施细则（试行）；</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（8）餐饮服务食品安全监督管理办法；</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（9）国务院关于加强食品等产品安全监督管理的特别规定；</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（10）餐饮服务食品安全操作规范。</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2.食堂卫生基本要求和管理规定</w:t>
      </w:r>
    </w:p>
    <w:p>
      <w:pPr>
        <w:pageBreakBefore w:val="0"/>
        <w:numPr>
          <w:ilvl w:val="0"/>
          <w:numId w:val="0"/>
        </w:numPr>
        <w:tabs>
          <w:tab w:val="left" w:pos="993"/>
        </w:tabs>
        <w:kinsoku/>
        <w:wordWrap/>
        <w:overflowPunct/>
        <w:topLinePunct w:val="0"/>
        <w:bidi w:val="0"/>
        <w:snapToGrid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（1）承包服务前，须取得服务点的《食品经营许可证》。</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所有员工必须进行健康检查及卫生培训，取得</w:t>
      </w:r>
      <w:r>
        <w:rPr>
          <w:rFonts w:hint="eastAsia" w:ascii="宋体" w:hAnsi="宋体" w:eastAsia="宋体" w:cs="宋体"/>
          <w:color w:val="000000"/>
          <w:sz w:val="24"/>
          <w:szCs w:val="24"/>
          <w:lang w:eastAsia="zh-CN"/>
        </w:rPr>
        <w:t>饮食行业</w:t>
      </w:r>
      <w:r>
        <w:rPr>
          <w:rFonts w:hint="eastAsia" w:ascii="宋体" w:hAnsi="宋体" w:eastAsia="宋体" w:cs="宋体"/>
          <w:color w:val="000000"/>
          <w:sz w:val="24"/>
          <w:szCs w:val="24"/>
        </w:rPr>
        <w:t>健康证。</w:t>
      </w:r>
      <w:r>
        <w:rPr>
          <w:rFonts w:hint="eastAsia" w:ascii="宋体" w:hAnsi="宋体" w:eastAsia="宋体" w:cs="宋体"/>
          <w:color w:val="000000"/>
          <w:sz w:val="24"/>
          <w:szCs w:val="24"/>
          <w:lang w:eastAsia="zh-CN"/>
        </w:rPr>
        <w:t>无健康合格证者，严禁使用。</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sz w:val="24"/>
          <w:szCs w:val="24"/>
        </w:rPr>
        <w:t>上班期间员工</w:t>
      </w:r>
      <w:r>
        <w:rPr>
          <w:rFonts w:hint="eastAsia" w:ascii="宋体" w:hAnsi="宋体" w:eastAsia="宋体" w:cs="宋体"/>
          <w:color w:val="000000"/>
          <w:sz w:val="24"/>
          <w:szCs w:val="24"/>
          <w:lang w:eastAsia="zh-CN"/>
        </w:rPr>
        <w:t>必须</w:t>
      </w:r>
      <w:r>
        <w:rPr>
          <w:rFonts w:hint="eastAsia" w:ascii="宋体" w:hAnsi="宋体" w:eastAsia="宋体" w:cs="宋体"/>
          <w:color w:val="000000"/>
          <w:sz w:val="24"/>
          <w:szCs w:val="24"/>
        </w:rPr>
        <w:t>穿戴洁净的工作衣帽、穿鞋、洗手，保持个人卫生清洁，不留长指甲、不准戴戒指、手链。</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rPr>
        <w:t>上班期间，不准在食堂伙房内和岗位上抽烟，不准在岗位上吃东西；售餐期间，服务人员必须</w:t>
      </w:r>
      <w:r>
        <w:rPr>
          <w:rFonts w:hint="eastAsia" w:ascii="宋体" w:hAnsi="宋体" w:eastAsia="宋体" w:cs="宋体"/>
          <w:color w:val="000000"/>
          <w:sz w:val="24"/>
          <w:szCs w:val="24"/>
          <w:lang w:eastAsia="zh-CN"/>
        </w:rPr>
        <w:t>佩戴</w:t>
      </w:r>
      <w:r>
        <w:rPr>
          <w:rFonts w:hint="eastAsia" w:ascii="宋体" w:hAnsi="宋体" w:eastAsia="宋体" w:cs="宋体"/>
          <w:color w:val="000000"/>
          <w:sz w:val="24"/>
          <w:szCs w:val="24"/>
        </w:rPr>
        <w:t>工作衣帽、卫生口罩和一次性手套上岗。</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sz w:val="24"/>
          <w:szCs w:val="24"/>
        </w:rPr>
        <w:t>认</w:t>
      </w:r>
      <w:r>
        <w:rPr>
          <w:rFonts w:hint="eastAsia" w:ascii="宋体" w:hAnsi="宋体" w:eastAsia="宋体" w:cs="宋体"/>
          <w:color w:val="000000"/>
          <w:sz w:val="24"/>
          <w:szCs w:val="24"/>
          <w:lang w:eastAsia="zh-CN"/>
        </w:rPr>
        <w:t>真</w:t>
      </w:r>
      <w:r>
        <w:rPr>
          <w:rFonts w:hint="eastAsia" w:ascii="宋体" w:hAnsi="宋体" w:eastAsia="宋体" w:cs="宋体"/>
          <w:color w:val="000000"/>
          <w:sz w:val="24"/>
          <w:szCs w:val="24"/>
        </w:rPr>
        <w:t>搞好食堂及食堂卫生间卫生，做到每天一小扫、每周一大扫，保持食堂的清洁卫生。做好厨房油烟管道的清洗工作，根据厨房用火的实际情况确定清洗次数。每</w:t>
      </w:r>
      <w:r>
        <w:rPr>
          <w:rFonts w:hint="eastAsia" w:ascii="宋体" w:hAnsi="宋体" w:cs="宋体"/>
          <w:color w:val="000000"/>
          <w:sz w:val="24"/>
          <w:szCs w:val="24"/>
          <w:lang w:eastAsia="zh-CN"/>
        </w:rPr>
        <w:t>季度</w:t>
      </w:r>
      <w:r>
        <w:rPr>
          <w:rFonts w:hint="eastAsia" w:ascii="宋体" w:hAnsi="宋体" w:eastAsia="宋体" w:cs="宋体"/>
          <w:color w:val="000000"/>
          <w:sz w:val="24"/>
          <w:szCs w:val="24"/>
        </w:rPr>
        <w:t>清洗排烟（包括屋顶油烟净化滤芯）及通风管道不少于一次。外请专业管道清洗公司须经采购人认可，由采购人支付相关费用。食堂下水管道、窨井及隔油池必须保持畅通，至少每个星期清理一次。食堂地沟内不得积水（包括清洗碗筷、清洗地面等情况下）。</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rPr>
        <w:t>十分重视并定期开展灭四害活动。负责因四害造成的破坏和损失的及时修补和照价赔偿。</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sz w:val="24"/>
          <w:szCs w:val="24"/>
        </w:rPr>
        <w:t>生产加工的工具、容器、砧板等要做到用前清洗和用后清洗，保持清洁卫生，食品用具做到生熟用具、器具严格区分使用，成品和半成品隔离、食品和杂物隔离、盛放食物成品的器具必须经过消毒才准使用。</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（8）</w:t>
      </w:r>
      <w:r>
        <w:rPr>
          <w:rFonts w:hint="eastAsia" w:ascii="宋体" w:hAnsi="宋体" w:eastAsia="宋体" w:cs="宋体"/>
          <w:color w:val="000000"/>
          <w:sz w:val="24"/>
          <w:szCs w:val="24"/>
        </w:rPr>
        <w:t>冰柜每月清洗一次，冰柜</w:t>
      </w:r>
      <w:r>
        <w:rPr>
          <w:rFonts w:hint="eastAsia" w:ascii="宋体" w:hAnsi="宋体" w:eastAsia="宋体" w:cs="宋体"/>
          <w:color w:val="000000"/>
          <w:sz w:val="24"/>
          <w:szCs w:val="24"/>
          <w:lang w:eastAsia="zh-CN"/>
        </w:rPr>
        <w:t>内</w:t>
      </w:r>
      <w:r>
        <w:rPr>
          <w:rFonts w:hint="eastAsia" w:ascii="宋体" w:hAnsi="宋体" w:eastAsia="宋体" w:cs="宋体"/>
          <w:color w:val="000000"/>
          <w:sz w:val="24"/>
          <w:szCs w:val="24"/>
        </w:rPr>
        <w:t>架、柜内要保持洁净、无臭味。</w:t>
      </w:r>
    </w:p>
    <w:p>
      <w:pPr>
        <w:pageBreakBefore w:val="0"/>
        <w:numPr>
          <w:ilvl w:val="0"/>
          <w:numId w:val="0"/>
        </w:numPr>
        <w:tabs>
          <w:tab w:val="left" w:pos="993"/>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sz w:val="24"/>
          <w:szCs w:val="24"/>
        </w:rPr>
        <w:t>桌椅、工具、台布等做到无积污、无油渍、摆设整齐，及时清洁属于服务区域内的桌面、地面和洗手间，保证良好的就餐环境。</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（10）</w:t>
      </w:r>
      <w:r>
        <w:rPr>
          <w:rFonts w:hint="eastAsia" w:ascii="宋体" w:hAnsi="宋体" w:eastAsia="宋体" w:cs="宋体"/>
          <w:color w:val="000000"/>
          <w:sz w:val="24"/>
          <w:szCs w:val="24"/>
        </w:rPr>
        <w:t>食品用具做到清洁和彻底消毒、味碟、匙更、筷子、小碗、茶杯等食具要求严密保洁柜存放，分类排好，手不能接触盛食品的部位。</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（11）保洁柜必须清洁、做到无霉菌、无苍蝇、无蟑螂、无杂物。</w:t>
      </w:r>
    </w:p>
    <w:p>
      <w:pPr>
        <w:pageBreakBefore w:val="0"/>
        <w:numPr>
          <w:ilvl w:val="0"/>
          <w:numId w:val="0"/>
        </w:numPr>
        <w:tabs>
          <w:tab w:val="left" w:pos="1134"/>
        </w:tabs>
        <w:kinsoku/>
        <w:wordWrap/>
        <w:overflowPunct/>
        <w:topLinePunct w:val="0"/>
        <w:bidi w:val="0"/>
        <w:snapToGrid w:val="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食堂安全生产管理规定</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（1）建立安全生产责任制。谁主管，谁负责，食堂设立专职安全生产管理员，切实履行安全生产管理、监督职责，认真落实安全生产措施，确保责任到位，工作到位。</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（2）各类机械设备、燃气设备、煤气储存、管道设备、电器设备的使用，必须严格按照各类设备的操作规程操作，杜绝违规操作，对违反设备操作规程操作造成人员伤亡、财务损失的，由</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承担一切经济责任和法律责任。</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严格遵守采购人有关用电规定。外加电线电路、用电器的铺设、连接、安装，必须报采购人有关部门申请安装，不能擅自乱拉、乱接电线，不能擅自增加用电器数量，增大用电功率，对违反规定，造成触电、断电、短路引起火灾事故的违章人员及相关责任人要严肃处理，并承担所有损失，事故特别严重的，要追究相应的经济和法律责任。</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（4）加强防火安全意识。液化气库内严禁烟火，禁止进行产生火花的作业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上下班要认真检查送气管道、开关、炉头，若发现漏气现象立即关闭总闸，并通知有关部门迅速维修完好；厨房设备及管道要及时清除污垢或易燃物，</w:t>
      </w:r>
      <w:r>
        <w:rPr>
          <w:rFonts w:hint="eastAsia" w:ascii="宋体" w:hAnsi="宋体" w:eastAsia="宋体" w:cs="宋体"/>
          <w:color w:val="000000"/>
          <w:sz w:val="24"/>
          <w:szCs w:val="24"/>
          <w:lang w:eastAsia="zh-CN"/>
        </w:rPr>
        <w:t>严防</w:t>
      </w:r>
      <w:r>
        <w:rPr>
          <w:rFonts w:hint="eastAsia" w:ascii="宋体" w:hAnsi="宋体" w:eastAsia="宋体" w:cs="宋体"/>
          <w:color w:val="000000"/>
          <w:sz w:val="24"/>
          <w:szCs w:val="24"/>
        </w:rPr>
        <w:t>安全隐患的产生。</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（5）保证生产从业人员正确、熟练掌握消防器材、设备的使用方法，定期对器材、设备设施进行检查，确保消防器材充足有效。</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（6）定期对食堂的机器电器设备、输送油（气）管道、开关等进行检查，发现问题立即维修，并建立台账。</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（7）加强食品卫生管理，严防传染疾病的传播流行及食物中毒事故的发生。</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（8）认真做好食品仓库、冷库的管理，防止食品变质、霉烂食品流入加工制作工序，食品贮存要合乎卫生、安全要求。</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（9）经常性地组织食堂员工开展工作安全教育。进入食堂场所要穿防滑水鞋，防止滑倒跌伤；员工在进行餐具消毒、煮饭、菜肴制作时，必须按章</w:t>
      </w:r>
      <w:r>
        <w:rPr>
          <w:rFonts w:hint="eastAsia" w:ascii="宋体" w:hAnsi="宋体" w:cs="宋体"/>
          <w:color w:val="000000"/>
          <w:sz w:val="24"/>
          <w:szCs w:val="24"/>
          <w:lang w:eastAsia="zh-CN"/>
        </w:rPr>
        <w:t>操</w:t>
      </w:r>
      <w:r>
        <w:rPr>
          <w:rFonts w:hint="eastAsia" w:ascii="宋体" w:hAnsi="宋体" w:eastAsia="宋体" w:cs="宋体"/>
          <w:color w:val="000000"/>
          <w:sz w:val="24"/>
          <w:szCs w:val="24"/>
        </w:rPr>
        <w:t>作，防止被热水、热油、高温蒸汽、高温餐具、厨具等灼伤</w:t>
      </w:r>
      <w:r>
        <w:rPr>
          <w:rFonts w:hint="eastAsia" w:ascii="宋体" w:hAnsi="宋体" w:eastAsia="宋体" w:cs="宋体"/>
          <w:color w:val="000000"/>
          <w:sz w:val="24"/>
          <w:szCs w:val="24"/>
          <w:lang w:eastAsia="zh-CN"/>
        </w:rPr>
        <w:t>烫伤</w:t>
      </w:r>
      <w:r>
        <w:rPr>
          <w:rFonts w:hint="eastAsia" w:ascii="宋体" w:hAnsi="宋体" w:eastAsia="宋体" w:cs="宋体"/>
          <w:color w:val="000000"/>
          <w:sz w:val="24"/>
          <w:szCs w:val="24"/>
        </w:rPr>
        <w:t>、在刀工制作时，要防止被刀切伤割伤等。如发生跌伤、灼伤</w:t>
      </w:r>
      <w:r>
        <w:rPr>
          <w:rFonts w:hint="eastAsia" w:ascii="宋体" w:hAnsi="宋体" w:eastAsia="宋体" w:cs="宋体"/>
          <w:color w:val="000000"/>
          <w:sz w:val="24"/>
          <w:szCs w:val="24"/>
          <w:lang w:eastAsia="zh-CN"/>
        </w:rPr>
        <w:t>烫伤</w:t>
      </w:r>
      <w:r>
        <w:rPr>
          <w:rFonts w:hint="eastAsia" w:ascii="宋体" w:hAnsi="宋体" w:eastAsia="宋体" w:cs="宋体"/>
          <w:color w:val="000000"/>
          <w:sz w:val="24"/>
          <w:szCs w:val="24"/>
        </w:rPr>
        <w:t>、触电、刀伤等事故，要迅速组织抢救治疗，情况严重的要立即报告上级领导，果断采取必要救治措施。</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（10）严格按照食品卫生防疫要求，及时做好</w:t>
      </w:r>
      <w:r>
        <w:rPr>
          <w:rFonts w:hint="eastAsia" w:ascii="宋体" w:hAnsi="宋体" w:eastAsia="宋体" w:cs="宋体"/>
          <w:color w:val="000000"/>
          <w:sz w:val="24"/>
          <w:szCs w:val="24"/>
          <w:lang w:eastAsia="zh-CN"/>
        </w:rPr>
        <w:t>各类台账</w:t>
      </w:r>
      <w:r>
        <w:rPr>
          <w:rFonts w:hint="eastAsia" w:ascii="宋体" w:hAnsi="宋体" w:eastAsia="宋体" w:cs="宋体"/>
          <w:color w:val="000000"/>
          <w:sz w:val="24"/>
          <w:szCs w:val="24"/>
        </w:rPr>
        <w:t>的登记工作。</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）强化管理职能，提高节能管理水平，加强节能监管，落实节能考核，在能源消耗定额范围内使用能源，年用能（水、电、气）指标下降3%（或政府要求的下降率）以上。</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）双方每季清点资产一次。发现有遗失和采购人未认可的损坏物品，</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须及时补足或赔偿。</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垃圾处理要求：</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食品处理区内可能产生废弃物或垃圾的场所均应设有废弃物容器。废弃物容器应与加工用容器有明显的区分标识。 </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垃圾容器应配有盖子，以坚固及不透水的材料制造，能防止污染食品、食品接触面、水源及地面，防止有害动物的侵入，防止不良气味或污水的溢出，内壁应光滑以便于清洗。专间内的垃圾容器盖子应为非手动开启式。 </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垃圾应及时清除，清除后的容器应及时清洗，必要时进行消毒。 </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在加工经营场所外适当地点宜设置结构密闭的废弃物临时集中存放设施。 </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垃圾污物应按指定地点放置，不得随意弃放。清扫、保洁及生活服务的工作质量按国家卫生城市管理的有关标准严格验收。</w:t>
      </w:r>
    </w:p>
    <w:p>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按采购人以及上级主管部门的要求做好垃圾分类工作，按规范要求运送并投放至集置点。</w:t>
      </w:r>
    </w:p>
    <w:p>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bCs/>
          <w:color w:val="000000"/>
          <w:sz w:val="24"/>
          <w:szCs w:val="24"/>
          <w:lang w:eastAsia="zh-CN"/>
        </w:rPr>
        <w:t>采购人</w:t>
      </w:r>
      <w:r>
        <w:rPr>
          <w:rFonts w:hint="eastAsia" w:ascii="宋体" w:hAnsi="宋体" w:eastAsia="宋体" w:cs="宋体"/>
          <w:bCs/>
          <w:color w:val="000000"/>
          <w:sz w:val="24"/>
          <w:szCs w:val="24"/>
        </w:rPr>
        <w:t>制订的有关安全规章制度。</w:t>
      </w:r>
    </w:p>
    <w:p>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成交</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制订并经采购人认可的安全规章制度。</w:t>
      </w:r>
    </w:p>
    <w:p>
      <w:pPr>
        <w:pStyle w:val="5"/>
        <w:pageBreakBefore w:val="0"/>
        <w:numPr>
          <w:ilvl w:val="0"/>
          <w:numId w:val="0"/>
        </w:numPr>
        <w:kinsoku/>
        <w:wordWrap/>
        <w:overflowPunct/>
        <w:topLinePunct w:val="0"/>
        <w:bidi w:val="0"/>
        <w:snapToGrid w:val="0"/>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四、双方责任</w:t>
      </w:r>
    </w:p>
    <w:p>
      <w:pPr>
        <w:pStyle w:val="400"/>
        <w:pageBreakBefore w:val="0"/>
        <w:numPr>
          <w:ilvl w:val="0"/>
          <w:numId w:val="0"/>
        </w:numPr>
        <w:tabs>
          <w:tab w:val="left" w:pos="567"/>
        </w:tabs>
        <w:kinsoku/>
        <w:wordWrap/>
        <w:overflowPunct/>
        <w:topLinePunct w:val="0"/>
        <w:bidi w:val="0"/>
        <w:spacing w:after="0" w:afterLines="0" w:line="360" w:lineRule="auto"/>
        <w:ind w:leftChars="0"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1.采购人责任：</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（1）</w:t>
      </w:r>
      <w:r>
        <w:rPr>
          <w:rFonts w:hint="eastAsia" w:ascii="宋体" w:hAnsi="宋体" w:eastAsia="宋体" w:cs="宋体"/>
          <w:color w:val="000000"/>
          <w:sz w:val="24"/>
          <w:szCs w:val="24"/>
        </w:rPr>
        <w:t>根据中标结果</w:t>
      </w:r>
      <w:r>
        <w:rPr>
          <w:rFonts w:hint="eastAsia" w:ascii="宋体" w:hAnsi="宋体" w:eastAsia="宋体" w:cs="宋体"/>
          <w:color w:val="000000"/>
          <w:sz w:val="24"/>
          <w:szCs w:val="24"/>
          <w:lang w:eastAsia="zh-CN"/>
        </w:rPr>
        <w:t>按</w:t>
      </w:r>
      <w:r>
        <w:rPr>
          <w:rFonts w:hint="eastAsia" w:ascii="宋体" w:hAnsi="宋体" w:cs="宋体"/>
          <w:color w:val="000000"/>
          <w:sz w:val="24"/>
          <w:szCs w:val="24"/>
          <w:lang w:eastAsia="zh-CN"/>
        </w:rPr>
        <w:t>季度</w:t>
      </w:r>
      <w:r>
        <w:rPr>
          <w:rFonts w:hint="eastAsia" w:ascii="宋体" w:hAnsi="宋体" w:eastAsia="宋体" w:cs="宋体"/>
          <w:color w:val="000000"/>
          <w:sz w:val="24"/>
          <w:szCs w:val="24"/>
        </w:rPr>
        <w:t>支付餐饮服务承包费，支付方式为先用后付，以</w:t>
      </w:r>
      <w:r>
        <w:rPr>
          <w:rFonts w:hint="eastAsia" w:ascii="宋体" w:hAnsi="宋体" w:eastAsia="宋体" w:cs="宋体"/>
          <w:color w:val="000000"/>
          <w:sz w:val="24"/>
          <w:szCs w:val="24"/>
          <w:lang w:eastAsia="zh-CN"/>
        </w:rPr>
        <w:t>银行转账</w:t>
      </w:r>
      <w:r>
        <w:rPr>
          <w:rFonts w:hint="eastAsia" w:ascii="宋体" w:hAnsi="宋体" w:eastAsia="宋体" w:cs="宋体"/>
          <w:color w:val="000000"/>
          <w:sz w:val="24"/>
          <w:szCs w:val="24"/>
        </w:rPr>
        <w:t>支票或电汇方式支付。具体支付金额需结合考核结果。</w:t>
      </w:r>
    </w:p>
    <w:p>
      <w:pPr>
        <w:pageBreakBefore w:val="0"/>
        <w:numPr>
          <w:ilvl w:val="0"/>
          <w:numId w:val="0"/>
        </w:numPr>
        <w:tabs>
          <w:tab w:val="left" w:pos="1134"/>
        </w:tabs>
        <w:kinsoku/>
        <w:wordWrap/>
        <w:overflowPunct/>
        <w:topLinePunct w:val="0"/>
        <w:bidi w:val="0"/>
        <w:snapToGrid w:val="0"/>
        <w:spacing w:line="360" w:lineRule="auto"/>
        <w:ind w:left="0" w:leftChars="0" w:firstLine="464" w:firstLineChars="200"/>
        <w:rPr>
          <w:rFonts w:hint="eastAsia" w:ascii="宋体" w:hAnsi="宋体" w:eastAsia="宋体" w:cs="宋体"/>
          <w:color w:val="000000"/>
          <w:spacing w:val="-4"/>
          <w:sz w:val="24"/>
          <w:szCs w:val="24"/>
        </w:rPr>
      </w:pPr>
      <w:r>
        <w:rPr>
          <w:rFonts w:hint="eastAsia" w:ascii="宋体" w:hAnsi="宋体" w:eastAsia="宋体" w:cs="宋体"/>
          <w:b w:val="0"/>
          <w:color w:val="000000"/>
          <w:spacing w:val="-4"/>
          <w:kern w:val="2"/>
          <w:sz w:val="24"/>
          <w:szCs w:val="24"/>
          <w:lang w:val="en-US" w:eastAsia="zh-CN" w:bidi="ar-SA"/>
        </w:rPr>
        <w:t>（2）</w:t>
      </w:r>
      <w:r>
        <w:rPr>
          <w:rFonts w:hint="eastAsia" w:ascii="宋体" w:hAnsi="宋体" w:eastAsia="宋体" w:cs="宋体"/>
          <w:color w:val="000000"/>
          <w:spacing w:val="-4"/>
          <w:sz w:val="24"/>
          <w:szCs w:val="24"/>
        </w:rPr>
        <w:t>负担食堂运行中所消耗水、电、煤气、设备、工具、餐具、设备维修费用。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（3）</w:t>
      </w:r>
      <w:r>
        <w:rPr>
          <w:rFonts w:hint="eastAsia" w:ascii="宋体" w:hAnsi="宋体" w:eastAsia="宋体" w:cs="宋体"/>
          <w:color w:val="000000"/>
          <w:sz w:val="24"/>
          <w:szCs w:val="24"/>
        </w:rPr>
        <w:t>根据职工用餐刷卡和采购人单位公务用餐消费结果结算餐饮费用。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（4）</w:t>
      </w:r>
      <w:r>
        <w:rPr>
          <w:rFonts w:hint="eastAsia" w:ascii="宋体" w:hAnsi="宋体" w:eastAsia="宋体" w:cs="宋体"/>
          <w:color w:val="000000"/>
          <w:sz w:val="24"/>
          <w:szCs w:val="24"/>
        </w:rPr>
        <w:t>承担合同约定和法律法规及规章规定应当支付</w:t>
      </w:r>
      <w:r>
        <w:rPr>
          <w:rFonts w:hint="eastAsia" w:ascii="宋体" w:hAnsi="宋体" w:eastAsia="宋体" w:cs="宋体"/>
          <w:color w:val="000000"/>
          <w:sz w:val="24"/>
          <w:szCs w:val="24"/>
          <w:lang w:eastAsia="zh-CN"/>
        </w:rPr>
        <w:t>的其他费用</w:t>
      </w:r>
      <w:r>
        <w:rPr>
          <w:rFonts w:hint="eastAsia" w:ascii="宋体" w:hAnsi="宋体" w:eastAsia="宋体" w:cs="宋体"/>
          <w:color w:val="000000"/>
          <w:sz w:val="24"/>
          <w:szCs w:val="24"/>
        </w:rPr>
        <w:t>。</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（5）</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每月进行考核，考核标准见具体条款。</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2.投标人责任：</w:t>
      </w:r>
    </w:p>
    <w:p>
      <w:pPr>
        <w:pageBreakBefore w:val="0"/>
        <w:numPr>
          <w:ilvl w:val="0"/>
          <w:numId w:val="0"/>
        </w:numPr>
        <w:tabs>
          <w:tab w:val="left" w:pos="1134"/>
        </w:tabs>
        <w:kinsoku/>
        <w:wordWrap/>
        <w:overflowPunct/>
        <w:topLinePunct w:val="0"/>
        <w:bidi w:val="0"/>
        <w:snapToGrid w:val="0"/>
        <w:spacing w:line="360" w:lineRule="auto"/>
        <w:ind w:left="0" w:leftChars="0" w:firstLine="464" w:firstLineChars="200"/>
        <w:rPr>
          <w:rFonts w:hint="eastAsia" w:ascii="宋体" w:hAnsi="宋体" w:eastAsia="宋体" w:cs="宋体"/>
          <w:color w:val="000000"/>
          <w:spacing w:val="-4"/>
          <w:sz w:val="24"/>
          <w:szCs w:val="24"/>
        </w:rPr>
      </w:pPr>
      <w:r>
        <w:rPr>
          <w:rFonts w:hint="eastAsia" w:ascii="宋体" w:hAnsi="宋体" w:eastAsia="宋体" w:cs="宋体"/>
          <w:b w:val="0"/>
          <w:color w:val="000000"/>
          <w:spacing w:val="-4"/>
          <w:kern w:val="2"/>
          <w:sz w:val="24"/>
          <w:szCs w:val="24"/>
          <w:lang w:val="en-US" w:eastAsia="zh-CN" w:bidi="ar-SA"/>
        </w:rPr>
        <w:t>（1）</w:t>
      </w:r>
      <w:r>
        <w:rPr>
          <w:rFonts w:hint="eastAsia" w:ascii="宋体" w:hAnsi="宋体" w:eastAsia="宋体" w:cs="宋体"/>
          <w:color w:val="000000"/>
          <w:spacing w:val="-4"/>
          <w:sz w:val="24"/>
          <w:szCs w:val="24"/>
        </w:rPr>
        <w:t>根据成交结果和每月考核结果向采购人按</w:t>
      </w:r>
      <w:r>
        <w:rPr>
          <w:rFonts w:hint="eastAsia" w:ascii="宋体" w:hAnsi="宋体" w:cs="宋体"/>
          <w:color w:val="000000"/>
          <w:spacing w:val="-4"/>
          <w:sz w:val="24"/>
          <w:szCs w:val="24"/>
          <w:lang w:eastAsia="zh-CN"/>
        </w:rPr>
        <w:t>季度</w:t>
      </w:r>
      <w:r>
        <w:rPr>
          <w:rFonts w:hint="eastAsia" w:ascii="宋体" w:hAnsi="宋体" w:eastAsia="宋体" w:cs="宋体"/>
          <w:color w:val="000000"/>
          <w:spacing w:val="-4"/>
          <w:sz w:val="24"/>
          <w:szCs w:val="24"/>
        </w:rPr>
        <w:t>收取餐饮服务承包费。该承包费包含了进驻食堂餐饮服务人员劳动报酬福利及社会保障费用、企业管理费、利润、应交税费</w:t>
      </w:r>
      <w:r>
        <w:rPr>
          <w:rFonts w:hint="eastAsia" w:ascii="宋体" w:hAnsi="宋体" w:eastAsia="宋体" w:cs="宋体"/>
          <w:color w:val="000000"/>
          <w:spacing w:val="-4"/>
          <w:sz w:val="24"/>
          <w:szCs w:val="24"/>
          <w:lang w:eastAsia="zh-CN"/>
        </w:rPr>
        <w:t>及</w:t>
      </w:r>
      <w:r>
        <w:rPr>
          <w:rFonts w:hint="eastAsia" w:ascii="宋体" w:hAnsi="宋体" w:eastAsia="宋体" w:cs="宋体"/>
          <w:color w:val="000000"/>
          <w:spacing w:val="-4"/>
          <w:sz w:val="24"/>
          <w:szCs w:val="24"/>
        </w:rPr>
        <w:t>服务人员工作衣帽、胸牌等完成承包任务所需一切人员费用（不含已经明确由采购人另行支付的费用）。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（2）</w:t>
      </w:r>
      <w:r>
        <w:rPr>
          <w:rFonts w:hint="eastAsia" w:ascii="宋体" w:hAnsi="宋体" w:eastAsia="宋体" w:cs="宋体"/>
          <w:color w:val="000000"/>
          <w:sz w:val="24"/>
          <w:szCs w:val="24"/>
        </w:rPr>
        <w:t>负责餐饮服务人员的工资、补贴、劳保、福利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社会保障费用</w:t>
      </w:r>
      <w:r>
        <w:rPr>
          <w:rFonts w:hint="eastAsia" w:ascii="宋体" w:hAnsi="宋体" w:eastAsia="宋体" w:cs="宋体"/>
          <w:color w:val="000000"/>
          <w:sz w:val="24"/>
          <w:szCs w:val="24"/>
          <w:lang w:eastAsia="zh-CN"/>
        </w:rPr>
        <w:t>、意外保险</w:t>
      </w:r>
      <w:r>
        <w:rPr>
          <w:rFonts w:hint="eastAsia" w:ascii="宋体" w:hAnsi="宋体" w:eastAsia="宋体" w:cs="宋体"/>
          <w:color w:val="000000"/>
          <w:sz w:val="24"/>
          <w:szCs w:val="24"/>
        </w:rPr>
        <w:t>等所有应当支付费用。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（3）</w:t>
      </w:r>
      <w:r>
        <w:rPr>
          <w:rFonts w:hint="eastAsia" w:ascii="宋体" w:hAnsi="宋体" w:eastAsia="宋体" w:cs="宋体"/>
          <w:color w:val="000000"/>
          <w:sz w:val="24"/>
          <w:szCs w:val="24"/>
        </w:rPr>
        <w:t>负责员工劳动技能培训和食品安全培训及领取相关证件所需全部费用。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（4）</w:t>
      </w:r>
      <w:r>
        <w:rPr>
          <w:rFonts w:hint="eastAsia" w:ascii="宋体" w:hAnsi="宋体" w:eastAsia="宋体" w:cs="宋体"/>
          <w:color w:val="000000"/>
          <w:sz w:val="24"/>
          <w:szCs w:val="24"/>
        </w:rPr>
        <w:t>负责办理《食品经营许可证》及其相关费用。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（5）</w:t>
      </w:r>
      <w:r>
        <w:rPr>
          <w:rFonts w:hint="eastAsia" w:ascii="宋体" w:hAnsi="宋体" w:eastAsia="宋体" w:cs="宋体"/>
          <w:color w:val="000000"/>
          <w:sz w:val="24"/>
          <w:szCs w:val="24"/>
        </w:rPr>
        <w:t>负责餐饮服务人员的身体健康检查健康证的领取及相关费用。</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（6）</w:t>
      </w:r>
      <w:r>
        <w:rPr>
          <w:rFonts w:hint="eastAsia" w:ascii="宋体" w:hAnsi="宋体" w:eastAsia="宋体" w:cs="宋体"/>
          <w:color w:val="000000"/>
          <w:sz w:val="24"/>
          <w:szCs w:val="24"/>
        </w:rPr>
        <w:t>负责工作场所、设备、工具、餐具的清洁卫生。</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Cs/>
          <w:color w:val="000000"/>
          <w:sz w:val="24"/>
          <w:szCs w:val="24"/>
        </w:rPr>
      </w:pPr>
      <w:r>
        <w:rPr>
          <w:rFonts w:hint="eastAsia" w:ascii="宋体" w:hAnsi="宋体" w:eastAsia="宋体" w:cs="宋体"/>
          <w:b w:val="0"/>
          <w:bCs/>
          <w:color w:val="000000"/>
          <w:kern w:val="2"/>
          <w:sz w:val="24"/>
          <w:szCs w:val="24"/>
          <w:lang w:val="en-US" w:eastAsia="zh-CN" w:bidi="ar-SA"/>
        </w:rPr>
        <w:t>（7）</w:t>
      </w:r>
      <w:r>
        <w:rPr>
          <w:rFonts w:hint="eastAsia" w:ascii="宋体" w:hAnsi="宋体" w:eastAsia="宋体" w:cs="宋体"/>
          <w:color w:val="000000"/>
          <w:sz w:val="24"/>
          <w:szCs w:val="24"/>
        </w:rPr>
        <w:t>承担合同约定和法律法规及规章规定应当支付</w:t>
      </w:r>
      <w:r>
        <w:rPr>
          <w:rFonts w:hint="eastAsia" w:ascii="宋体" w:hAnsi="宋体" w:eastAsia="宋体" w:cs="宋体"/>
          <w:color w:val="000000"/>
          <w:sz w:val="24"/>
          <w:szCs w:val="24"/>
          <w:lang w:eastAsia="zh-CN"/>
        </w:rPr>
        <w:t>的其他费用</w:t>
      </w:r>
      <w:r>
        <w:rPr>
          <w:rFonts w:hint="eastAsia" w:ascii="宋体" w:hAnsi="宋体" w:eastAsia="宋体" w:cs="宋体"/>
          <w:color w:val="000000"/>
          <w:sz w:val="24"/>
          <w:szCs w:val="24"/>
        </w:rPr>
        <w:t>。</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color w:val="000000"/>
          <w:sz w:val="24"/>
          <w:szCs w:val="24"/>
        </w:rPr>
      </w:pPr>
      <w:r>
        <w:rPr>
          <w:rFonts w:hint="eastAsia" w:ascii="宋体" w:hAnsi="宋体" w:eastAsia="宋体" w:cs="宋体"/>
          <w:b w:val="0"/>
          <w:color w:val="000000"/>
          <w:kern w:val="2"/>
          <w:sz w:val="24"/>
          <w:szCs w:val="24"/>
          <w:lang w:val="en-US" w:eastAsia="zh-CN" w:bidi="ar-SA"/>
        </w:rPr>
        <w:t>（8）</w:t>
      </w:r>
      <w:r>
        <w:rPr>
          <w:rFonts w:hint="eastAsia" w:ascii="宋体" w:hAnsi="宋体" w:eastAsia="宋体" w:cs="宋体"/>
          <w:color w:val="000000"/>
          <w:sz w:val="24"/>
          <w:szCs w:val="24"/>
        </w:rPr>
        <w:t>必须按照实际原</w:t>
      </w:r>
      <w:r>
        <w:rPr>
          <w:rFonts w:hint="eastAsia" w:ascii="宋体" w:hAnsi="宋体" w:eastAsia="宋体" w:cs="宋体"/>
          <w:color w:val="000000"/>
          <w:sz w:val="24"/>
          <w:szCs w:val="24"/>
          <w:lang w:eastAsia="zh-CN"/>
        </w:rPr>
        <w:t>辅</w:t>
      </w:r>
      <w:r>
        <w:rPr>
          <w:rFonts w:hint="eastAsia" w:ascii="宋体" w:hAnsi="宋体" w:eastAsia="宋体" w:cs="宋体"/>
          <w:color w:val="000000"/>
          <w:sz w:val="24"/>
          <w:szCs w:val="24"/>
        </w:rPr>
        <w:t>材料进价提供员工伙食并保证伙食质量，不得以任何形式从中牟取利润。</w:t>
      </w:r>
    </w:p>
    <w:p>
      <w:pPr>
        <w:pageBreakBefore w:val="0"/>
        <w:numPr>
          <w:ilvl w:val="0"/>
          <w:numId w:val="0"/>
        </w:numPr>
        <w:tabs>
          <w:tab w:val="left" w:pos="1134"/>
        </w:tabs>
        <w:kinsoku/>
        <w:wordWrap/>
        <w:overflowPunct/>
        <w:topLinePunct w:val="0"/>
        <w:bidi w:val="0"/>
        <w:snapToGrid w:val="0"/>
        <w:spacing w:line="360" w:lineRule="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五、服务质量考核</w:t>
      </w:r>
    </w:p>
    <w:p>
      <w:pPr>
        <w:pageBreakBefore w:val="0"/>
        <w:numPr>
          <w:ilvl w:val="0"/>
          <w:numId w:val="0"/>
        </w:numPr>
        <w:tabs>
          <w:tab w:val="left" w:pos="1134"/>
        </w:tabs>
        <w:kinsoku/>
        <w:wordWrap/>
        <w:overflowPunct/>
        <w:topLinePunct w:val="0"/>
        <w:bidi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采购人可以制定考核制度，对成交</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的工作质量进行考核，包括下列内容：安全情况、服务质量、菜肴质量、环境和个人卫生、员工满意度、外卖价格、人员到位情况等。</w:t>
      </w:r>
    </w:p>
    <w:p>
      <w:pPr>
        <w:pStyle w:val="5"/>
        <w:pageBreakBefore w:val="0"/>
        <w:numPr>
          <w:ilvl w:val="0"/>
          <w:numId w:val="0"/>
        </w:numPr>
        <w:kinsoku/>
        <w:wordWrap/>
        <w:overflowPunct/>
        <w:topLinePunct w:val="0"/>
        <w:bidi w:val="0"/>
        <w:snapToGrid w:val="0"/>
        <w:spacing w:line="360" w:lineRule="auto"/>
        <w:ind w:left="432" w:leftChars="0" w:hanging="432" w:firstLineChars="0"/>
        <w:rPr>
          <w:rFonts w:hint="eastAsia" w:ascii="宋体" w:hAnsi="宋体" w:eastAsia="宋体" w:cs="宋体"/>
          <w:bCs w:val="0"/>
          <w:color w:val="000000"/>
          <w:sz w:val="24"/>
          <w:szCs w:val="24"/>
        </w:rPr>
      </w:pPr>
      <w:r>
        <w:rPr>
          <w:rFonts w:hint="eastAsia" w:ascii="宋体" w:hAnsi="宋体" w:eastAsia="宋体" w:cs="宋体"/>
          <w:b/>
          <w:bCs w:val="0"/>
          <w:color w:val="000000"/>
          <w:kern w:val="2"/>
          <w:sz w:val="24"/>
          <w:szCs w:val="24"/>
          <w:lang w:val="zh-CN" w:eastAsia="zh-CN" w:bidi="ar-SA"/>
        </w:rPr>
        <w:t>六、</w:t>
      </w:r>
      <w:r>
        <w:rPr>
          <w:rFonts w:hint="eastAsia" w:ascii="宋体" w:hAnsi="宋体" w:eastAsia="宋体" w:cs="宋体"/>
          <w:bCs w:val="0"/>
          <w:color w:val="000000"/>
          <w:sz w:val="24"/>
          <w:szCs w:val="24"/>
        </w:rPr>
        <w:t>双方义务</w:t>
      </w:r>
    </w:p>
    <w:p>
      <w:pPr>
        <w:pageBreakBefore w:val="0"/>
        <w:numPr>
          <w:ilvl w:val="0"/>
          <w:numId w:val="0"/>
        </w:numPr>
        <w:kinsoku/>
        <w:wordWrap/>
        <w:overflowPunct/>
        <w:topLinePunct w:val="0"/>
        <w:bidi w:val="0"/>
        <w:snapToGrid w:val="0"/>
        <w:spacing w:line="360" w:lineRule="auto"/>
        <w:ind w:leftChars="0" w:firstLine="480" w:firstLineChars="200"/>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（一）采购人义务：</w:t>
      </w:r>
    </w:p>
    <w:p>
      <w:pPr>
        <w:pageBreakBefore w:val="0"/>
        <w:numPr>
          <w:ilvl w:val="0"/>
          <w:numId w:val="0"/>
        </w:numPr>
        <w:kinsoku/>
        <w:wordWrap/>
        <w:overflowPunct/>
        <w:topLinePunct w:val="0"/>
        <w:bidi w:val="0"/>
        <w:snapToGrid w:val="0"/>
        <w:spacing w:line="360" w:lineRule="auto"/>
        <w:ind w:leftChars="0" w:firstLine="480" w:firstLineChars="200"/>
        <w:outlineLvl w:val="9"/>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（1）维护食堂的就餐秩序及治安。</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（2）重大就餐人员变动应提前通知食堂。</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（3）提前通知停电停水停气情况。</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（4）提供必需的设施设备。</w:t>
      </w:r>
    </w:p>
    <w:p>
      <w:pPr>
        <w:pageBreakBefore w:val="0"/>
        <w:numPr>
          <w:ilvl w:val="0"/>
          <w:numId w:val="0"/>
        </w:numPr>
        <w:tabs>
          <w:tab w:val="left" w:pos="1134"/>
        </w:tabs>
        <w:kinsoku/>
        <w:wordWrap/>
        <w:overflowPunct/>
        <w:topLinePunct w:val="0"/>
        <w:bidi w:val="0"/>
        <w:snapToGrid w:val="0"/>
        <w:spacing w:line="360" w:lineRule="auto"/>
        <w:ind w:left="0" w:leftChars="0" w:firstLine="480" w:firstLineChars="200"/>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（5）每月按时支付经确认的相关费用给投标人。</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（二）投标人义务：</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color w:val="000000"/>
          <w:sz w:val="24"/>
          <w:szCs w:val="24"/>
        </w:rPr>
        <w:t>负责</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工作人员的安全教育工作。</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任何人员出现工伤或死亡事故，</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要负完全责任，所有费用由</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支付，采购人不承担任何责任。</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的人员在采购单位范围内，应遵守采购单位的规章制度。若</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的人员在采购人的范围内违反采购人的规章制度，应接受采购人的处理</w:t>
      </w:r>
      <w:r>
        <w:rPr>
          <w:rFonts w:hint="eastAsia" w:ascii="宋体" w:hAnsi="宋体" w:cs="宋体"/>
          <w:color w:val="000000"/>
          <w:sz w:val="24"/>
          <w:szCs w:val="24"/>
          <w:lang w:eastAsia="zh-CN"/>
        </w:rPr>
        <w:t>。</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color w:val="000000"/>
          <w:sz w:val="24"/>
          <w:szCs w:val="24"/>
        </w:rPr>
        <w:t>保证有在服务点的有效《食品经营许可证》，其工作人员必须经过体检合格，有健康证及卫生知识培训证。</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color w:val="000000"/>
          <w:sz w:val="24"/>
          <w:szCs w:val="24"/>
        </w:rPr>
        <w:t>负责服务区域治安保卫、安全防火、防盗等工作，保证服务区域内所有设施、工具物品及不动产的安全完好。</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（5）</w:t>
      </w:r>
      <w:r>
        <w:rPr>
          <w:rFonts w:hint="eastAsia" w:ascii="宋体" w:hAnsi="宋体" w:eastAsia="宋体" w:cs="宋体"/>
          <w:color w:val="000000"/>
          <w:sz w:val="24"/>
          <w:szCs w:val="24"/>
        </w:rPr>
        <w:t>保证按采购人提出的时间，按质、按量向就餐人员提供早餐、午餐、晚餐及加班餐等餐次的伙食。</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color w:val="000000"/>
          <w:sz w:val="24"/>
          <w:szCs w:val="24"/>
        </w:rPr>
        <w:t>接受采购人的监督检查，对采购人提出的问题和员工投诉及时整改纠正。</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（7）</w:t>
      </w:r>
      <w:r>
        <w:rPr>
          <w:rFonts w:hint="eastAsia" w:ascii="宋体" w:hAnsi="宋体" w:eastAsia="宋体" w:cs="宋体"/>
          <w:color w:val="000000"/>
          <w:sz w:val="24"/>
          <w:szCs w:val="24"/>
        </w:rPr>
        <w:t>按采购实际价格供应食物，不偷工减料。</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（8）</w:t>
      </w:r>
      <w:r>
        <w:rPr>
          <w:rFonts w:hint="eastAsia" w:ascii="宋体" w:hAnsi="宋体" w:eastAsia="宋体" w:cs="宋体"/>
          <w:color w:val="000000"/>
          <w:sz w:val="24"/>
          <w:szCs w:val="24"/>
        </w:rPr>
        <w:t>保证采购、制作、销售的食品质量符合国家的食品卫生、安全标准。</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（9）</w:t>
      </w:r>
      <w:r>
        <w:rPr>
          <w:rFonts w:hint="eastAsia" w:ascii="宋体" w:hAnsi="宋体" w:eastAsia="宋体" w:cs="宋体"/>
          <w:color w:val="000000"/>
          <w:sz w:val="24"/>
          <w:szCs w:val="24"/>
        </w:rPr>
        <w:t>保证生产现场、室内外环境卫生符合有关创卫要求和餐饮卫生要求。</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color w:val="auto"/>
          <w:kern w:val="2"/>
          <w:sz w:val="24"/>
          <w:szCs w:val="24"/>
          <w:lang w:val="en-US" w:eastAsia="zh-CN" w:bidi="ar-SA"/>
        </w:rPr>
        <w:t>（10）</w:t>
      </w:r>
      <w:r>
        <w:rPr>
          <w:rFonts w:hint="eastAsia" w:ascii="宋体" w:hAnsi="宋体" w:eastAsia="宋体" w:cs="宋体"/>
          <w:color w:val="000000"/>
          <w:sz w:val="24"/>
          <w:szCs w:val="24"/>
        </w:rPr>
        <w:t xml:space="preserve">加强厨具、设备、用具的管理，保证对厨房设备、设施和各类物品进行日常定期维修、维护保养、填补工作。厨房设施设备如破损不能正常使用，则需进行及时维修，保证正常运作。 </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 w:val="0"/>
          <w:color w:val="auto"/>
          <w:kern w:val="2"/>
          <w:sz w:val="24"/>
          <w:szCs w:val="24"/>
          <w:lang w:val="en-US" w:eastAsia="zh-CN" w:bidi="ar-SA"/>
        </w:rPr>
        <w:t>（11）</w:t>
      </w:r>
      <w:r>
        <w:rPr>
          <w:rFonts w:hint="eastAsia" w:ascii="宋体" w:hAnsi="宋体" w:eastAsia="宋体" w:cs="宋体"/>
          <w:color w:val="000000"/>
          <w:sz w:val="24"/>
          <w:szCs w:val="24"/>
        </w:rPr>
        <w:t>按照国家有关餐具卫生管理要求，做好公共餐具消毒工作，随时接受市场监管、卫生监督部门和采购人的监督检查，并配合做好各项“创卫”必检工作。</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（12）本食堂的服务人员应专职负责本项目区域内的服务，投标人不得对外经营，且员工在工作时间内不得对外兼职，一经发现，采购人有权终止合同，且无须承担任何责任。</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（13）投标人必须按照劳动合同法的规定合法规范用工，并全面承担所聘员工涉及劳动关系的所有事宜。投标人与其他商家或雇佣人员产生的账务、劳资纠纷，均与采购人无关。</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（14）投标人员工应相对稳定，管理岗位人员变化（如需调动、辞职等）需提前书面征求采购人意见并提供书面补充人员情况说明经采购人同意后方可办理相应手续。</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（15）投标人应针对服务中的不足提出整改方案并付诸实施；采购人不定期对食堂后勤服务工作进行考核，若用户满意度在70%及以下的，采购人可以解除合同，且无须承担任何责任。</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（16）由于投标人派遣人员个人原因给采购人造成的经济损失的，由投标人负责赔偿。</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（17）投标人员工有以下情形之一的，采购人可立即通知并退回：</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①在试用期内不符合采购人工作要求的。</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②严重违反采购人劳动纪律、规章制度的。</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③严重工作失职，营私舞弊，给采购人造成重大经济损失的。</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④被依法追究刑事责任的。</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⑤发生其他应退回的事宜。</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（18）投标人须自行配备员工的劳保用品，统一工作制服，工作服装的选择由投标人提供选型经采购人确认。</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19）投标人应承诺在合同期内，为承包区域内提供以上食堂服务，并承担由此带来的一切风险。投标人必须按照采购人要求做好食堂服务工作，食堂不得对外经营。制作好的菜肴按采购人规定的价格进行发售，并接受采购人的监督与检查。投标人要确保为采购人提供优质、高效的专业服务，并根据采购人要求改变不满意的服务状况。</w:t>
      </w:r>
    </w:p>
    <w:p>
      <w:pPr>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（20）如堂食人数、病房送餐人数发生重大变化或有其他重大变故时，投标人应与采购人及时协商并变更服务合同内容。</w:t>
      </w:r>
    </w:p>
    <w:p>
      <w:pPr>
        <w:spacing w:line="360" w:lineRule="auto"/>
        <w:ind w:firstLine="480" w:firstLineChars="200"/>
        <w:jc w:val="both"/>
        <w:outlineLvl w:val="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（21）投标人须</w:t>
      </w:r>
      <w:r>
        <w:rPr>
          <w:rFonts w:hint="default" w:ascii="宋体" w:hAnsi="宋体" w:eastAsia="宋体" w:cs="宋体"/>
          <w:b w:val="0"/>
          <w:color w:val="auto"/>
          <w:kern w:val="2"/>
          <w:sz w:val="24"/>
          <w:szCs w:val="24"/>
          <w:lang w:val="en-US" w:eastAsia="zh-CN" w:bidi="ar-SA"/>
        </w:rPr>
        <w:t>书面承诺若因投标人原因导致食品安全事故发生</w:t>
      </w:r>
      <w:r>
        <w:rPr>
          <w:rFonts w:hint="eastAsia" w:ascii="宋体" w:hAnsi="宋体" w:cs="宋体"/>
          <w:b w:val="0"/>
          <w:color w:val="auto"/>
          <w:kern w:val="2"/>
          <w:sz w:val="24"/>
          <w:szCs w:val="24"/>
          <w:lang w:val="en-US" w:eastAsia="zh-CN" w:bidi="ar-SA"/>
        </w:rPr>
        <w:t>，</w:t>
      </w:r>
      <w:r>
        <w:rPr>
          <w:rFonts w:hint="default" w:ascii="宋体" w:hAnsi="宋体" w:eastAsia="宋体" w:cs="宋体"/>
          <w:b w:val="0"/>
          <w:color w:val="auto"/>
          <w:kern w:val="2"/>
          <w:sz w:val="24"/>
          <w:szCs w:val="24"/>
          <w:lang w:val="en-US" w:eastAsia="zh-CN" w:bidi="ar-SA"/>
        </w:rPr>
        <w:t>由投标人承担全部责任</w:t>
      </w:r>
      <w:r>
        <w:rPr>
          <w:rFonts w:hint="eastAsia" w:ascii="宋体" w:hAnsi="宋体" w:eastAsia="宋体" w:cs="宋体"/>
          <w:b w:val="0"/>
          <w:color w:val="auto"/>
          <w:kern w:val="2"/>
          <w:sz w:val="24"/>
          <w:szCs w:val="24"/>
          <w:lang w:val="en-US" w:eastAsia="zh-CN" w:bidi="ar-SA"/>
        </w:rPr>
        <w:t>。</w:t>
      </w:r>
    </w:p>
    <w:p>
      <w:pPr>
        <w:spacing w:line="360" w:lineRule="auto"/>
        <w:ind w:firstLine="480" w:firstLineChars="200"/>
        <w:jc w:val="both"/>
        <w:outlineLvl w:val="0"/>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（22）投标人须提供一个以上的残疾人特殊学校实训合作岗位。</w:t>
      </w: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77"/>
      <w:bookmarkEnd w:id="28"/>
      <w:bookmarkStart w:id="29" w:name="_Toc184313300"/>
      <w:bookmarkEnd w:id="29"/>
      <w:bookmarkStart w:id="30" w:name="_Toc184312114"/>
      <w:bookmarkEnd w:id="30"/>
      <w:bookmarkStart w:id="31" w:name="_Toc184312137"/>
      <w:bookmarkEnd w:id="31"/>
      <w:bookmarkStart w:id="32" w:name="_Toc184313253"/>
      <w:bookmarkEnd w:id="32"/>
      <w:bookmarkStart w:id="33" w:name="_Toc184310335"/>
      <w:bookmarkEnd w:id="33"/>
      <w:bookmarkStart w:id="34" w:name="_Toc184312125"/>
      <w:bookmarkEnd w:id="34"/>
      <w:bookmarkStart w:id="35" w:name="_Toc184312067"/>
      <w:bookmarkEnd w:id="35"/>
      <w:bookmarkStart w:id="36" w:name="_Toc184310339"/>
      <w:bookmarkEnd w:id="36"/>
      <w:bookmarkStart w:id="37" w:name="_Toc184314463"/>
      <w:bookmarkEnd w:id="37"/>
      <w:bookmarkStart w:id="38" w:name="_Toc184312089"/>
      <w:bookmarkEnd w:id="38"/>
      <w:bookmarkStart w:id="39" w:name="_Toc184308086"/>
      <w:bookmarkEnd w:id="39"/>
      <w:bookmarkStart w:id="40" w:name="_Toc184312082"/>
      <w:bookmarkEnd w:id="40"/>
      <w:bookmarkStart w:id="41" w:name="_Toc184313239"/>
      <w:bookmarkEnd w:id="41"/>
      <w:bookmarkStart w:id="42" w:name="_Toc184310322"/>
      <w:bookmarkEnd w:id="42"/>
      <w:bookmarkStart w:id="43" w:name="_Toc184310291"/>
      <w:bookmarkEnd w:id="43"/>
      <w:bookmarkStart w:id="44" w:name="_Toc184310277"/>
      <w:bookmarkEnd w:id="44"/>
      <w:bookmarkStart w:id="45" w:name="_Toc184308084"/>
      <w:bookmarkEnd w:id="45"/>
      <w:bookmarkStart w:id="46" w:name="_Toc184313257"/>
      <w:bookmarkEnd w:id="46"/>
      <w:bookmarkStart w:id="47" w:name="_Toc184308061"/>
      <w:bookmarkEnd w:id="47"/>
      <w:bookmarkStart w:id="48" w:name="_Toc184312108"/>
      <w:bookmarkEnd w:id="48"/>
      <w:bookmarkStart w:id="49" w:name="_Toc184312097"/>
      <w:bookmarkEnd w:id="49"/>
      <w:bookmarkStart w:id="50" w:name="_Toc184313298"/>
      <w:bookmarkEnd w:id="50"/>
      <w:bookmarkStart w:id="51" w:name="_Toc184310275"/>
      <w:bookmarkEnd w:id="51"/>
      <w:bookmarkStart w:id="52" w:name="_Toc184312092"/>
      <w:bookmarkEnd w:id="52"/>
      <w:bookmarkStart w:id="53" w:name="_Toc184314453"/>
      <w:bookmarkEnd w:id="53"/>
      <w:bookmarkStart w:id="54" w:name="_Toc184312111"/>
      <w:bookmarkEnd w:id="54"/>
      <w:bookmarkStart w:id="55" w:name="_Toc184308058"/>
      <w:bookmarkEnd w:id="55"/>
      <w:bookmarkStart w:id="56" w:name="_Toc184314439"/>
      <w:bookmarkEnd w:id="56"/>
      <w:bookmarkStart w:id="57" w:name="_Toc184308094"/>
      <w:bookmarkEnd w:id="57"/>
      <w:bookmarkStart w:id="58" w:name="_Toc184314438"/>
      <w:bookmarkEnd w:id="58"/>
      <w:bookmarkStart w:id="59" w:name="_Toc184313290"/>
      <w:bookmarkEnd w:id="59"/>
      <w:bookmarkStart w:id="60" w:name="_Toc184310330"/>
      <w:bookmarkEnd w:id="60"/>
      <w:bookmarkStart w:id="61" w:name="_Toc184310337"/>
      <w:bookmarkEnd w:id="61"/>
      <w:bookmarkStart w:id="62" w:name="_Toc184312127"/>
      <w:bookmarkEnd w:id="62"/>
      <w:bookmarkStart w:id="63" w:name="_Toc184314433"/>
      <w:bookmarkEnd w:id="63"/>
      <w:bookmarkStart w:id="64" w:name="_Toc184314434"/>
      <w:bookmarkEnd w:id="64"/>
      <w:bookmarkStart w:id="65" w:name="_Toc184310321"/>
      <w:bookmarkEnd w:id="65"/>
      <w:bookmarkStart w:id="66" w:name="_Toc184312121"/>
      <w:bookmarkEnd w:id="66"/>
      <w:bookmarkStart w:id="67" w:name="_Toc184308040"/>
      <w:bookmarkEnd w:id="67"/>
      <w:bookmarkStart w:id="68" w:name="_Toc184310300"/>
      <w:bookmarkEnd w:id="68"/>
      <w:bookmarkStart w:id="69" w:name="_Toc184314417"/>
      <w:bookmarkEnd w:id="69"/>
      <w:bookmarkStart w:id="70" w:name="_Toc184308045"/>
      <w:bookmarkEnd w:id="70"/>
      <w:bookmarkStart w:id="71" w:name="_Toc184308042"/>
      <w:bookmarkEnd w:id="71"/>
      <w:bookmarkStart w:id="72" w:name="_Toc184310295"/>
      <w:bookmarkEnd w:id="72"/>
      <w:bookmarkStart w:id="73" w:name="_Toc184313294"/>
      <w:bookmarkEnd w:id="73"/>
      <w:bookmarkStart w:id="74" w:name="_Toc184312085"/>
      <w:bookmarkEnd w:id="74"/>
      <w:bookmarkStart w:id="75" w:name="_Toc184313305"/>
      <w:bookmarkEnd w:id="75"/>
      <w:bookmarkStart w:id="76" w:name="_Toc184308062"/>
      <w:bookmarkEnd w:id="76"/>
      <w:bookmarkStart w:id="77" w:name="_Toc184312115"/>
      <w:bookmarkEnd w:id="77"/>
      <w:bookmarkStart w:id="78" w:name="_Toc184312116"/>
      <w:bookmarkEnd w:id="78"/>
      <w:bookmarkStart w:id="79" w:name="_Toc184308054"/>
      <w:bookmarkEnd w:id="79"/>
      <w:bookmarkStart w:id="80" w:name="_Toc184308106"/>
      <w:bookmarkEnd w:id="80"/>
      <w:bookmarkStart w:id="81" w:name="_Toc184310316"/>
      <w:bookmarkEnd w:id="81"/>
      <w:bookmarkStart w:id="82" w:name="_Toc184310297"/>
      <w:bookmarkEnd w:id="82"/>
      <w:bookmarkStart w:id="83" w:name="_Toc184310331"/>
      <w:bookmarkEnd w:id="83"/>
      <w:bookmarkStart w:id="84" w:name="_Toc184312072"/>
      <w:bookmarkEnd w:id="84"/>
      <w:bookmarkStart w:id="85" w:name="_Toc184312068"/>
      <w:bookmarkEnd w:id="85"/>
      <w:bookmarkStart w:id="86" w:name="_Toc184314412"/>
      <w:bookmarkEnd w:id="86"/>
      <w:bookmarkStart w:id="87" w:name="_Toc184314480"/>
      <w:bookmarkEnd w:id="87"/>
      <w:bookmarkStart w:id="88" w:name="_Toc184310288"/>
      <w:bookmarkEnd w:id="88"/>
      <w:bookmarkStart w:id="89" w:name="_Toc184313302"/>
      <w:bookmarkEnd w:id="89"/>
      <w:bookmarkStart w:id="90" w:name="_Toc184310286"/>
      <w:bookmarkEnd w:id="90"/>
      <w:bookmarkStart w:id="91" w:name="_Toc184314432"/>
      <w:bookmarkEnd w:id="91"/>
      <w:bookmarkStart w:id="92" w:name="_Toc184312080"/>
      <w:bookmarkEnd w:id="92"/>
      <w:bookmarkStart w:id="93" w:name="_Toc184313264"/>
      <w:bookmarkEnd w:id="93"/>
      <w:bookmarkStart w:id="94" w:name="_Toc184313238"/>
      <w:bookmarkEnd w:id="94"/>
      <w:bookmarkStart w:id="95" w:name="_Toc184313258"/>
      <w:bookmarkEnd w:id="95"/>
      <w:bookmarkStart w:id="96" w:name="_Toc184308102"/>
      <w:bookmarkEnd w:id="96"/>
      <w:bookmarkStart w:id="97" w:name="_Toc184313292"/>
      <w:bookmarkEnd w:id="97"/>
      <w:bookmarkStart w:id="98" w:name="_Toc184314449"/>
      <w:bookmarkEnd w:id="98"/>
      <w:bookmarkStart w:id="99" w:name="_Toc184310344"/>
      <w:bookmarkEnd w:id="99"/>
      <w:bookmarkStart w:id="100" w:name="_Toc184308044"/>
      <w:bookmarkEnd w:id="100"/>
      <w:bookmarkStart w:id="101" w:name="_Toc184312102"/>
      <w:bookmarkEnd w:id="101"/>
      <w:bookmarkStart w:id="102" w:name="_Toc184310333"/>
      <w:bookmarkEnd w:id="102"/>
      <w:bookmarkStart w:id="103" w:name="_Toc184308076"/>
      <w:bookmarkEnd w:id="103"/>
      <w:bookmarkStart w:id="104" w:name="_Toc184310342"/>
      <w:bookmarkEnd w:id="104"/>
      <w:bookmarkStart w:id="105" w:name="_Toc184310325"/>
      <w:bookmarkEnd w:id="105"/>
      <w:bookmarkStart w:id="106" w:name="_Toc184314461"/>
      <w:bookmarkEnd w:id="106"/>
      <w:bookmarkStart w:id="107" w:name="_Toc184313287"/>
      <w:bookmarkEnd w:id="107"/>
      <w:bookmarkStart w:id="108" w:name="_Toc184313303"/>
      <w:bookmarkEnd w:id="108"/>
      <w:bookmarkStart w:id="109" w:name="_Toc184310299"/>
      <w:bookmarkEnd w:id="109"/>
      <w:bookmarkStart w:id="110" w:name="_Toc184314431"/>
      <w:bookmarkEnd w:id="110"/>
      <w:bookmarkStart w:id="111" w:name="_Toc184310301"/>
      <w:bookmarkEnd w:id="111"/>
      <w:bookmarkStart w:id="112" w:name="_Toc184310317"/>
      <w:bookmarkEnd w:id="112"/>
      <w:bookmarkStart w:id="113" w:name="_Toc184314465"/>
      <w:bookmarkEnd w:id="113"/>
      <w:bookmarkStart w:id="114" w:name="_Toc184310311"/>
      <w:bookmarkEnd w:id="114"/>
      <w:bookmarkStart w:id="115" w:name="_Toc184313256"/>
      <w:bookmarkEnd w:id="115"/>
      <w:bookmarkStart w:id="116" w:name="_Toc184308083"/>
      <w:bookmarkEnd w:id="116"/>
      <w:bookmarkStart w:id="117" w:name="_Toc184314447"/>
      <w:bookmarkEnd w:id="117"/>
      <w:bookmarkStart w:id="118" w:name="_Toc184310341"/>
      <w:bookmarkEnd w:id="118"/>
      <w:bookmarkStart w:id="119" w:name="_Toc184313242"/>
      <w:bookmarkEnd w:id="119"/>
      <w:bookmarkStart w:id="120" w:name="_Toc184312081"/>
      <w:bookmarkEnd w:id="120"/>
      <w:bookmarkStart w:id="121" w:name="_Toc184308064"/>
      <w:bookmarkEnd w:id="121"/>
      <w:bookmarkStart w:id="122" w:name="_Toc184308057"/>
      <w:bookmarkEnd w:id="122"/>
      <w:bookmarkStart w:id="123" w:name="_Toc184312118"/>
      <w:bookmarkEnd w:id="123"/>
      <w:bookmarkStart w:id="124" w:name="_Toc184314482"/>
      <w:bookmarkEnd w:id="124"/>
      <w:bookmarkStart w:id="125" w:name="_Toc184312120"/>
      <w:bookmarkEnd w:id="125"/>
      <w:bookmarkStart w:id="126" w:name="_Toc184313259"/>
      <w:bookmarkEnd w:id="126"/>
      <w:bookmarkStart w:id="127" w:name="_Toc184310303"/>
      <w:bookmarkEnd w:id="127"/>
      <w:bookmarkStart w:id="128" w:name="_Toc184308090"/>
      <w:bookmarkEnd w:id="128"/>
      <w:bookmarkStart w:id="129" w:name="_Toc184313266"/>
      <w:bookmarkEnd w:id="129"/>
      <w:bookmarkStart w:id="130" w:name="_Toc184314472"/>
      <w:bookmarkEnd w:id="130"/>
      <w:bookmarkStart w:id="131" w:name="_Toc184314457"/>
      <w:bookmarkEnd w:id="131"/>
      <w:bookmarkStart w:id="132" w:name="_Toc184310293"/>
      <w:bookmarkEnd w:id="132"/>
      <w:bookmarkStart w:id="133" w:name="_Toc184314425"/>
      <w:bookmarkEnd w:id="133"/>
      <w:bookmarkStart w:id="134" w:name="_Toc184312074"/>
      <w:bookmarkEnd w:id="134"/>
      <w:bookmarkStart w:id="135" w:name="_Toc184308088"/>
      <w:bookmarkEnd w:id="135"/>
      <w:bookmarkStart w:id="136" w:name="_Toc184313260"/>
      <w:bookmarkEnd w:id="136"/>
      <w:bookmarkStart w:id="137" w:name="_Toc184314479"/>
      <w:bookmarkEnd w:id="137"/>
      <w:bookmarkStart w:id="138" w:name="_Toc184310274"/>
      <w:bookmarkEnd w:id="138"/>
      <w:bookmarkStart w:id="139" w:name="_Toc184310282"/>
      <w:bookmarkEnd w:id="139"/>
      <w:bookmarkStart w:id="140" w:name="_Toc184313274"/>
      <w:bookmarkEnd w:id="140"/>
      <w:bookmarkStart w:id="141" w:name="_Toc184308066"/>
      <w:bookmarkEnd w:id="141"/>
      <w:bookmarkStart w:id="142" w:name="_Toc184313288"/>
      <w:bookmarkEnd w:id="142"/>
      <w:bookmarkStart w:id="143" w:name="_Toc184310278"/>
      <w:bookmarkEnd w:id="143"/>
      <w:bookmarkStart w:id="144" w:name="_Toc184312107"/>
      <w:bookmarkEnd w:id="144"/>
      <w:bookmarkStart w:id="145" w:name="_Toc184308047"/>
      <w:bookmarkEnd w:id="145"/>
      <w:bookmarkStart w:id="146" w:name="_Toc184314423"/>
      <w:bookmarkEnd w:id="146"/>
      <w:bookmarkStart w:id="147" w:name="_Toc184310308"/>
      <w:bookmarkEnd w:id="147"/>
      <w:bookmarkStart w:id="148" w:name="_Toc184308071"/>
      <w:bookmarkEnd w:id="148"/>
      <w:bookmarkStart w:id="149" w:name="_Toc184310281"/>
      <w:bookmarkEnd w:id="149"/>
      <w:bookmarkStart w:id="150" w:name="_Toc184313297"/>
      <w:bookmarkEnd w:id="150"/>
      <w:bookmarkStart w:id="151" w:name="_Toc184312088"/>
      <w:bookmarkEnd w:id="151"/>
      <w:bookmarkStart w:id="152" w:name="_Toc184310306"/>
      <w:bookmarkEnd w:id="152"/>
      <w:bookmarkStart w:id="153" w:name="_Toc184314475"/>
      <w:bookmarkEnd w:id="153"/>
      <w:bookmarkStart w:id="154" w:name="_Toc184310329"/>
      <w:bookmarkEnd w:id="154"/>
      <w:bookmarkStart w:id="155" w:name="_Toc184312119"/>
      <w:bookmarkEnd w:id="155"/>
      <w:bookmarkStart w:id="156" w:name="_Toc184313240"/>
      <w:bookmarkEnd w:id="156"/>
      <w:bookmarkStart w:id="157" w:name="_Toc184308067"/>
      <w:bookmarkEnd w:id="157"/>
      <w:bookmarkStart w:id="158" w:name="_Toc184308039"/>
      <w:bookmarkEnd w:id="158"/>
      <w:bookmarkStart w:id="159" w:name="_Toc184308097"/>
      <w:bookmarkEnd w:id="159"/>
      <w:bookmarkStart w:id="160" w:name="_Toc184308050"/>
      <w:bookmarkEnd w:id="160"/>
      <w:bookmarkStart w:id="161" w:name="_Toc184310305"/>
      <w:bookmarkEnd w:id="161"/>
      <w:bookmarkStart w:id="162" w:name="_Toc184310327"/>
      <w:bookmarkEnd w:id="162"/>
      <w:bookmarkStart w:id="163" w:name="_Toc184314416"/>
      <w:bookmarkEnd w:id="163"/>
      <w:bookmarkStart w:id="164" w:name="_Toc184312110"/>
      <w:bookmarkEnd w:id="164"/>
      <w:bookmarkStart w:id="165" w:name="_Toc184312124"/>
      <w:bookmarkEnd w:id="165"/>
      <w:bookmarkStart w:id="166" w:name="_Toc184308087"/>
      <w:bookmarkEnd w:id="166"/>
      <w:bookmarkStart w:id="167" w:name="_Toc184312105"/>
      <w:bookmarkEnd w:id="167"/>
      <w:bookmarkStart w:id="168" w:name="_Toc184308049"/>
      <w:bookmarkEnd w:id="168"/>
      <w:bookmarkStart w:id="169" w:name="_Toc184312103"/>
      <w:bookmarkEnd w:id="169"/>
      <w:bookmarkStart w:id="170" w:name="_Toc184308055"/>
      <w:bookmarkEnd w:id="170"/>
      <w:bookmarkStart w:id="171" w:name="_Toc184314467"/>
      <w:bookmarkEnd w:id="171"/>
      <w:bookmarkStart w:id="172" w:name="_Toc184312093"/>
      <w:bookmarkEnd w:id="172"/>
      <w:bookmarkStart w:id="173" w:name="_Toc184310310"/>
      <w:bookmarkEnd w:id="173"/>
      <w:bookmarkStart w:id="174" w:name="_Toc184313283"/>
      <w:bookmarkEnd w:id="174"/>
      <w:bookmarkStart w:id="175" w:name="_Toc184308098"/>
      <w:bookmarkEnd w:id="175"/>
      <w:bookmarkStart w:id="176" w:name="_Toc184314426"/>
      <w:bookmarkEnd w:id="176"/>
      <w:bookmarkStart w:id="177" w:name="_Toc184314444"/>
      <w:bookmarkEnd w:id="177"/>
      <w:bookmarkStart w:id="178" w:name="_Toc184310343"/>
      <w:bookmarkEnd w:id="178"/>
      <w:bookmarkStart w:id="179" w:name="_Toc184310292"/>
      <w:bookmarkEnd w:id="179"/>
      <w:bookmarkStart w:id="180" w:name="_Toc184313271"/>
      <w:bookmarkEnd w:id="180"/>
      <w:bookmarkStart w:id="181" w:name="_Toc184314451"/>
      <w:bookmarkEnd w:id="181"/>
      <w:bookmarkStart w:id="182" w:name="_Toc184314418"/>
      <w:bookmarkEnd w:id="182"/>
      <w:bookmarkStart w:id="183" w:name="_Toc184314429"/>
      <w:bookmarkEnd w:id="183"/>
      <w:bookmarkStart w:id="184" w:name="_Toc184312134"/>
      <w:bookmarkEnd w:id="184"/>
      <w:bookmarkStart w:id="185" w:name="_Toc184310340"/>
      <w:bookmarkEnd w:id="185"/>
      <w:bookmarkStart w:id="186" w:name="_Toc184310298"/>
      <w:bookmarkEnd w:id="186"/>
      <w:bookmarkStart w:id="187" w:name="_Toc184312117"/>
      <w:bookmarkEnd w:id="187"/>
      <w:bookmarkStart w:id="188" w:name="_Toc184313278"/>
      <w:bookmarkEnd w:id="188"/>
      <w:bookmarkStart w:id="189" w:name="_Toc184308093"/>
      <w:bookmarkEnd w:id="189"/>
      <w:bookmarkStart w:id="190" w:name="_Toc184314468"/>
      <w:bookmarkEnd w:id="190"/>
      <w:bookmarkStart w:id="191" w:name="_Toc184308068"/>
      <w:bookmarkEnd w:id="191"/>
      <w:bookmarkStart w:id="192" w:name="_Toc184312131"/>
      <w:bookmarkEnd w:id="192"/>
      <w:bookmarkStart w:id="193" w:name="_Toc184308051"/>
      <w:bookmarkEnd w:id="193"/>
      <w:bookmarkStart w:id="194" w:name="_Toc184308053"/>
      <w:bookmarkEnd w:id="194"/>
      <w:bookmarkStart w:id="195" w:name="_Toc184308108"/>
      <w:bookmarkEnd w:id="195"/>
      <w:bookmarkStart w:id="196" w:name="_Toc184313309"/>
      <w:bookmarkEnd w:id="196"/>
      <w:bookmarkStart w:id="197" w:name="_Toc184310324"/>
      <w:bookmarkEnd w:id="197"/>
      <w:bookmarkStart w:id="198" w:name="_Toc184313252"/>
      <w:bookmarkEnd w:id="198"/>
      <w:bookmarkStart w:id="199" w:name="_Toc184314413"/>
      <w:bookmarkEnd w:id="199"/>
      <w:bookmarkStart w:id="200" w:name="_Toc184308036"/>
      <w:bookmarkEnd w:id="200"/>
      <w:bookmarkStart w:id="201" w:name="_Toc184313268"/>
      <w:bookmarkEnd w:id="201"/>
      <w:bookmarkStart w:id="202" w:name="_Toc184308052"/>
      <w:bookmarkEnd w:id="202"/>
      <w:bookmarkStart w:id="203" w:name="_Toc184314460"/>
      <w:bookmarkEnd w:id="203"/>
      <w:bookmarkStart w:id="204" w:name="_Toc184313291"/>
      <w:bookmarkEnd w:id="204"/>
      <w:bookmarkStart w:id="205" w:name="_Toc184314455"/>
      <w:bookmarkEnd w:id="205"/>
      <w:bookmarkStart w:id="206" w:name="_Toc184308038"/>
      <w:bookmarkEnd w:id="206"/>
      <w:bookmarkStart w:id="207" w:name="_Toc184312136"/>
      <w:bookmarkEnd w:id="207"/>
      <w:bookmarkStart w:id="208" w:name="_Toc184314452"/>
      <w:bookmarkEnd w:id="208"/>
      <w:bookmarkStart w:id="209" w:name="_Toc184312076"/>
      <w:bookmarkEnd w:id="209"/>
      <w:bookmarkStart w:id="210" w:name="_Toc184308080"/>
      <w:bookmarkEnd w:id="210"/>
      <w:bookmarkStart w:id="211" w:name="_Toc184313255"/>
      <w:bookmarkEnd w:id="211"/>
      <w:bookmarkStart w:id="212" w:name="_Toc184314471"/>
      <w:bookmarkEnd w:id="212"/>
      <w:bookmarkStart w:id="213" w:name="_Toc184313276"/>
      <w:bookmarkEnd w:id="213"/>
      <w:bookmarkStart w:id="214" w:name="_Toc184312070"/>
      <w:bookmarkEnd w:id="214"/>
      <w:bookmarkStart w:id="215" w:name="_Toc184312083"/>
      <w:bookmarkEnd w:id="215"/>
      <w:bookmarkStart w:id="216" w:name="_Toc184313310"/>
      <w:bookmarkEnd w:id="216"/>
      <w:bookmarkStart w:id="217" w:name="_Toc184312135"/>
      <w:bookmarkEnd w:id="217"/>
      <w:bookmarkStart w:id="218" w:name="_Toc184308082"/>
      <w:bookmarkEnd w:id="218"/>
      <w:bookmarkStart w:id="219" w:name="_Toc184310313"/>
      <w:bookmarkEnd w:id="219"/>
      <w:bookmarkStart w:id="220" w:name="_Toc184313289"/>
      <w:bookmarkEnd w:id="220"/>
      <w:bookmarkStart w:id="221" w:name="_Toc184312101"/>
      <w:bookmarkEnd w:id="221"/>
      <w:bookmarkStart w:id="222" w:name="_Toc184314410"/>
      <w:bookmarkEnd w:id="222"/>
      <w:bookmarkStart w:id="223" w:name="_Toc184313284"/>
      <w:bookmarkEnd w:id="223"/>
      <w:bookmarkStart w:id="224" w:name="_Toc184310320"/>
      <w:bookmarkEnd w:id="224"/>
      <w:bookmarkStart w:id="225" w:name="_Toc184313293"/>
      <w:bookmarkEnd w:id="225"/>
      <w:bookmarkStart w:id="226" w:name="_Toc184314430"/>
      <w:bookmarkEnd w:id="226"/>
      <w:bookmarkStart w:id="227" w:name="_Toc184314435"/>
      <w:bookmarkEnd w:id="227"/>
      <w:bookmarkStart w:id="228" w:name="_Toc184312128"/>
      <w:bookmarkEnd w:id="228"/>
      <w:bookmarkStart w:id="229" w:name="_Toc184312078"/>
      <w:bookmarkEnd w:id="229"/>
      <w:bookmarkStart w:id="230" w:name="_Toc184308107"/>
      <w:bookmarkEnd w:id="230"/>
      <w:bookmarkStart w:id="231" w:name="_Toc184314436"/>
      <w:bookmarkEnd w:id="231"/>
      <w:bookmarkStart w:id="232" w:name="_Toc184312095"/>
      <w:bookmarkEnd w:id="232"/>
      <w:bookmarkStart w:id="233" w:name="_Toc184314411"/>
      <w:bookmarkEnd w:id="233"/>
      <w:bookmarkStart w:id="234" w:name="_Toc184314469"/>
      <w:bookmarkEnd w:id="234"/>
      <w:bookmarkStart w:id="235" w:name="_Toc184312139"/>
      <w:bookmarkEnd w:id="235"/>
      <w:bookmarkStart w:id="236" w:name="_Toc184310283"/>
      <w:bookmarkEnd w:id="236"/>
      <w:bookmarkStart w:id="237" w:name="_Toc184314466"/>
      <w:bookmarkEnd w:id="237"/>
      <w:bookmarkStart w:id="238" w:name="_Toc184312104"/>
      <w:bookmarkEnd w:id="238"/>
      <w:bookmarkStart w:id="239" w:name="_Toc184313286"/>
      <w:bookmarkEnd w:id="239"/>
      <w:bookmarkStart w:id="240" w:name="_Toc184313280"/>
      <w:bookmarkEnd w:id="240"/>
      <w:bookmarkStart w:id="241" w:name="_Toc184310307"/>
      <w:bookmarkEnd w:id="241"/>
      <w:bookmarkStart w:id="242" w:name="_Toc184310312"/>
      <w:bookmarkEnd w:id="242"/>
      <w:bookmarkStart w:id="243" w:name="_Toc184313296"/>
      <w:bookmarkEnd w:id="243"/>
      <w:bookmarkStart w:id="244" w:name="_Toc184308060"/>
      <w:bookmarkEnd w:id="244"/>
      <w:bookmarkStart w:id="245" w:name="_Toc184313306"/>
      <w:bookmarkEnd w:id="245"/>
      <w:bookmarkStart w:id="246" w:name="_Toc184312075"/>
      <w:bookmarkEnd w:id="246"/>
      <w:bookmarkStart w:id="247" w:name="_Toc184314456"/>
      <w:bookmarkEnd w:id="247"/>
      <w:bookmarkStart w:id="248" w:name="_Toc184310319"/>
      <w:bookmarkEnd w:id="248"/>
      <w:bookmarkStart w:id="249" w:name="_Toc184310336"/>
      <w:bookmarkEnd w:id="249"/>
      <w:bookmarkStart w:id="250" w:name="_Toc184310338"/>
      <w:bookmarkEnd w:id="250"/>
      <w:bookmarkStart w:id="251" w:name="_Toc184314422"/>
      <w:bookmarkEnd w:id="251"/>
      <w:bookmarkStart w:id="252" w:name="_Toc184314481"/>
      <w:bookmarkEnd w:id="252"/>
      <w:bookmarkStart w:id="253" w:name="_Toc184313263"/>
      <w:bookmarkEnd w:id="253"/>
      <w:bookmarkStart w:id="254" w:name="_Toc184310304"/>
      <w:bookmarkEnd w:id="254"/>
      <w:bookmarkStart w:id="255" w:name="_Toc184313295"/>
      <w:bookmarkEnd w:id="255"/>
      <w:bookmarkStart w:id="256" w:name="_Toc184308037"/>
      <w:bookmarkEnd w:id="256"/>
      <w:bookmarkStart w:id="257" w:name="_Toc184314421"/>
      <w:bookmarkEnd w:id="257"/>
      <w:bookmarkStart w:id="258" w:name="_Toc184314440"/>
      <w:bookmarkEnd w:id="258"/>
      <w:bookmarkStart w:id="259" w:name="_Toc184314415"/>
      <w:bookmarkEnd w:id="259"/>
      <w:bookmarkStart w:id="260" w:name="_Toc184312073"/>
      <w:bookmarkEnd w:id="260"/>
      <w:bookmarkStart w:id="261" w:name="_Toc184308099"/>
      <w:bookmarkEnd w:id="261"/>
      <w:bookmarkStart w:id="262" w:name="_Toc184312091"/>
      <w:bookmarkEnd w:id="262"/>
      <w:bookmarkStart w:id="263" w:name="_Toc184310273"/>
      <w:bookmarkEnd w:id="263"/>
      <w:bookmarkStart w:id="264" w:name="_Toc184312094"/>
      <w:bookmarkEnd w:id="264"/>
      <w:bookmarkStart w:id="265" w:name="_Toc184308073"/>
      <w:bookmarkEnd w:id="265"/>
      <w:bookmarkStart w:id="266" w:name="_Toc184314424"/>
      <w:bookmarkEnd w:id="266"/>
      <w:bookmarkStart w:id="267" w:name="_Toc184312086"/>
      <w:bookmarkEnd w:id="267"/>
      <w:bookmarkStart w:id="268" w:name="_Toc184310272"/>
      <w:bookmarkEnd w:id="268"/>
      <w:bookmarkStart w:id="269" w:name="_Toc184312129"/>
      <w:bookmarkEnd w:id="269"/>
      <w:bookmarkStart w:id="270" w:name="_Toc184312090"/>
      <w:bookmarkEnd w:id="270"/>
      <w:bookmarkStart w:id="271" w:name="_Toc184310323"/>
      <w:bookmarkEnd w:id="271"/>
      <w:bookmarkStart w:id="272" w:name="_Toc184308078"/>
      <w:bookmarkEnd w:id="272"/>
      <w:bookmarkStart w:id="273" w:name="_Toc184312099"/>
      <w:bookmarkEnd w:id="273"/>
      <w:bookmarkStart w:id="274" w:name="_Toc184313307"/>
      <w:bookmarkEnd w:id="274"/>
      <w:bookmarkStart w:id="275" w:name="_Toc184308092"/>
      <w:bookmarkEnd w:id="275"/>
      <w:bookmarkStart w:id="276" w:name="_Toc184312132"/>
      <w:bookmarkEnd w:id="276"/>
      <w:bookmarkStart w:id="277" w:name="_Toc184308063"/>
      <w:bookmarkEnd w:id="277"/>
      <w:bookmarkStart w:id="278" w:name="_Toc184308069"/>
      <w:bookmarkEnd w:id="278"/>
      <w:bookmarkStart w:id="279" w:name="_Toc184312096"/>
      <w:bookmarkEnd w:id="279"/>
      <w:bookmarkStart w:id="280" w:name="_Toc184308101"/>
      <w:bookmarkEnd w:id="280"/>
      <w:bookmarkStart w:id="281" w:name="_Toc184310334"/>
      <w:bookmarkEnd w:id="281"/>
      <w:bookmarkStart w:id="282" w:name="_Toc184312130"/>
      <w:bookmarkEnd w:id="282"/>
      <w:bookmarkStart w:id="283" w:name="_Toc184313270"/>
      <w:bookmarkEnd w:id="283"/>
      <w:bookmarkStart w:id="284" w:name="_Toc184313301"/>
      <w:bookmarkEnd w:id="284"/>
      <w:bookmarkStart w:id="285" w:name="_Toc184314446"/>
      <w:bookmarkEnd w:id="285"/>
      <w:bookmarkStart w:id="286" w:name="_Toc184308100"/>
      <w:bookmarkEnd w:id="286"/>
      <w:bookmarkStart w:id="287" w:name="_Toc184314441"/>
      <w:bookmarkEnd w:id="287"/>
      <w:bookmarkStart w:id="288" w:name="_Toc184310326"/>
      <w:bookmarkEnd w:id="288"/>
      <w:bookmarkStart w:id="289" w:name="_Toc184314445"/>
      <w:bookmarkEnd w:id="289"/>
      <w:bookmarkStart w:id="290" w:name="_Toc184313246"/>
      <w:bookmarkEnd w:id="290"/>
      <w:bookmarkStart w:id="291" w:name="_Toc184308085"/>
      <w:bookmarkEnd w:id="291"/>
      <w:bookmarkStart w:id="292" w:name="_Toc184313277"/>
      <w:bookmarkEnd w:id="292"/>
      <w:bookmarkStart w:id="293" w:name="_Toc184308079"/>
      <w:bookmarkEnd w:id="293"/>
      <w:bookmarkStart w:id="294" w:name="_Toc184310296"/>
      <w:bookmarkEnd w:id="294"/>
      <w:bookmarkStart w:id="295" w:name="_Toc184313250"/>
      <w:bookmarkEnd w:id="295"/>
      <w:bookmarkStart w:id="296" w:name="_Toc184314476"/>
      <w:bookmarkEnd w:id="296"/>
      <w:bookmarkStart w:id="297" w:name="_Toc184308072"/>
      <w:bookmarkEnd w:id="297"/>
      <w:bookmarkStart w:id="298" w:name="_Toc184308048"/>
      <w:bookmarkEnd w:id="298"/>
      <w:bookmarkStart w:id="299" w:name="_Toc184313281"/>
      <w:bookmarkEnd w:id="299"/>
      <w:bookmarkStart w:id="300" w:name="_Toc184308095"/>
      <w:bookmarkEnd w:id="300"/>
      <w:bookmarkStart w:id="301" w:name="_Toc184312122"/>
      <w:bookmarkEnd w:id="301"/>
      <w:bookmarkStart w:id="302" w:name="_Toc184310309"/>
      <w:bookmarkEnd w:id="302"/>
      <w:bookmarkStart w:id="303" w:name="_Toc184314427"/>
      <w:bookmarkEnd w:id="303"/>
      <w:bookmarkStart w:id="304" w:name="_Toc184310280"/>
      <w:bookmarkEnd w:id="304"/>
      <w:bookmarkStart w:id="305" w:name="_Toc184310287"/>
      <w:bookmarkEnd w:id="305"/>
      <w:bookmarkStart w:id="306" w:name="_Toc184312112"/>
      <w:bookmarkEnd w:id="306"/>
      <w:bookmarkStart w:id="307" w:name="_Toc184313285"/>
      <w:bookmarkEnd w:id="307"/>
      <w:bookmarkStart w:id="308" w:name="_Toc184314450"/>
      <w:bookmarkEnd w:id="308"/>
      <w:bookmarkStart w:id="309" w:name="_Toc184312098"/>
      <w:bookmarkEnd w:id="309"/>
      <w:bookmarkStart w:id="310" w:name="_Toc184310285"/>
      <w:bookmarkEnd w:id="310"/>
      <w:bookmarkStart w:id="311" w:name="_Toc184314420"/>
      <w:bookmarkEnd w:id="311"/>
      <w:bookmarkStart w:id="312" w:name="_Toc184314414"/>
      <w:bookmarkEnd w:id="312"/>
      <w:bookmarkStart w:id="313" w:name="_Toc184308046"/>
      <w:bookmarkEnd w:id="313"/>
      <w:bookmarkStart w:id="314" w:name="_Toc184314428"/>
      <w:bookmarkEnd w:id="314"/>
      <w:bookmarkStart w:id="315" w:name="_Toc184313275"/>
      <w:bookmarkEnd w:id="315"/>
      <w:bookmarkStart w:id="316" w:name="_Toc184313245"/>
      <w:bookmarkEnd w:id="316"/>
      <w:bookmarkStart w:id="317" w:name="_Toc184312077"/>
      <w:bookmarkEnd w:id="317"/>
      <w:bookmarkStart w:id="318" w:name="_Toc184312079"/>
      <w:bookmarkEnd w:id="318"/>
      <w:bookmarkStart w:id="319" w:name="_Toc184312109"/>
      <w:bookmarkEnd w:id="319"/>
      <w:bookmarkStart w:id="320" w:name="_Toc184313273"/>
      <w:bookmarkEnd w:id="320"/>
      <w:bookmarkStart w:id="321" w:name="_Toc184313243"/>
      <w:bookmarkEnd w:id="321"/>
      <w:bookmarkStart w:id="322" w:name="_Toc184308074"/>
      <w:bookmarkEnd w:id="322"/>
      <w:bookmarkStart w:id="323" w:name="_Toc184308059"/>
      <w:bookmarkEnd w:id="323"/>
      <w:bookmarkStart w:id="324" w:name="_Toc184313244"/>
      <w:bookmarkEnd w:id="324"/>
      <w:bookmarkStart w:id="325" w:name="_Toc184308041"/>
      <w:bookmarkEnd w:id="325"/>
      <w:bookmarkStart w:id="326" w:name="_Toc184314478"/>
      <w:bookmarkEnd w:id="326"/>
      <w:bookmarkStart w:id="327" w:name="_Toc184313249"/>
      <w:bookmarkEnd w:id="327"/>
      <w:bookmarkStart w:id="328" w:name="_Toc184310302"/>
      <w:bookmarkEnd w:id="328"/>
      <w:bookmarkStart w:id="329" w:name="_Toc184312126"/>
      <w:bookmarkEnd w:id="329"/>
      <w:bookmarkStart w:id="330" w:name="_Toc184314419"/>
      <w:bookmarkEnd w:id="330"/>
      <w:bookmarkStart w:id="331" w:name="_Toc184312113"/>
      <w:bookmarkEnd w:id="331"/>
      <w:bookmarkStart w:id="332" w:name="_Toc184314459"/>
      <w:bookmarkEnd w:id="332"/>
      <w:bookmarkStart w:id="333" w:name="_Toc184308096"/>
      <w:bookmarkEnd w:id="333"/>
      <w:bookmarkStart w:id="334" w:name="_Toc184310328"/>
      <w:bookmarkEnd w:id="334"/>
      <w:bookmarkStart w:id="335" w:name="_Toc184312106"/>
      <w:bookmarkEnd w:id="335"/>
      <w:bookmarkStart w:id="336" w:name="_Toc184312123"/>
      <w:bookmarkEnd w:id="336"/>
      <w:bookmarkStart w:id="337" w:name="_Toc184313269"/>
      <w:bookmarkEnd w:id="337"/>
      <w:bookmarkStart w:id="338" w:name="_Toc184314448"/>
      <w:bookmarkEnd w:id="338"/>
      <w:bookmarkStart w:id="339" w:name="_Toc184313282"/>
      <w:bookmarkEnd w:id="339"/>
      <w:bookmarkStart w:id="340" w:name="_Toc184310332"/>
      <w:bookmarkEnd w:id="340"/>
      <w:bookmarkStart w:id="341" w:name="_Toc184312071"/>
      <w:bookmarkEnd w:id="341"/>
      <w:bookmarkStart w:id="342" w:name="_Toc184312087"/>
      <w:bookmarkEnd w:id="342"/>
      <w:bookmarkStart w:id="343" w:name="_Toc184314464"/>
      <w:bookmarkEnd w:id="343"/>
      <w:bookmarkStart w:id="344" w:name="_Toc184314474"/>
      <w:bookmarkEnd w:id="344"/>
      <w:bookmarkStart w:id="345" w:name="_Toc184313248"/>
      <w:bookmarkEnd w:id="345"/>
      <w:bookmarkStart w:id="346" w:name="_Toc184308070"/>
      <w:bookmarkEnd w:id="346"/>
      <w:bookmarkStart w:id="347" w:name="_Toc184314473"/>
      <w:bookmarkEnd w:id="347"/>
      <w:bookmarkStart w:id="348" w:name="_Toc184308043"/>
      <w:bookmarkEnd w:id="348"/>
      <w:bookmarkStart w:id="349" w:name="_Toc184310290"/>
      <w:bookmarkEnd w:id="349"/>
      <w:bookmarkStart w:id="350" w:name="_Toc184310284"/>
      <w:bookmarkEnd w:id="350"/>
      <w:bookmarkStart w:id="351" w:name="_Toc184314437"/>
      <w:bookmarkEnd w:id="351"/>
      <w:bookmarkStart w:id="352" w:name="_Toc184314454"/>
      <w:bookmarkEnd w:id="352"/>
      <w:bookmarkStart w:id="353" w:name="_Toc184313299"/>
      <w:bookmarkEnd w:id="353"/>
      <w:bookmarkStart w:id="354" w:name="_Toc184310315"/>
      <w:bookmarkEnd w:id="354"/>
      <w:bookmarkStart w:id="355" w:name="_Toc184313247"/>
      <w:bookmarkEnd w:id="355"/>
      <w:bookmarkStart w:id="356" w:name="_Toc184308075"/>
      <w:bookmarkEnd w:id="356"/>
      <w:bookmarkStart w:id="357" w:name="_Toc184313254"/>
      <w:bookmarkEnd w:id="357"/>
      <w:bookmarkStart w:id="358" w:name="_Toc184310318"/>
      <w:bookmarkEnd w:id="358"/>
      <w:bookmarkStart w:id="359" w:name="_Toc184308091"/>
      <w:bookmarkEnd w:id="359"/>
      <w:bookmarkStart w:id="360" w:name="_Toc184313261"/>
      <w:bookmarkEnd w:id="360"/>
      <w:bookmarkStart w:id="361" w:name="_Toc184313304"/>
      <w:bookmarkEnd w:id="361"/>
      <w:bookmarkStart w:id="362" w:name="_Toc184313279"/>
      <w:bookmarkEnd w:id="362"/>
      <w:bookmarkStart w:id="363" w:name="_Toc184310276"/>
      <w:bookmarkEnd w:id="363"/>
      <w:bookmarkStart w:id="364" w:name="_Toc184313265"/>
      <w:bookmarkEnd w:id="364"/>
      <w:bookmarkStart w:id="365" w:name="_Toc184313262"/>
      <w:bookmarkEnd w:id="365"/>
      <w:bookmarkStart w:id="366" w:name="_Toc184310294"/>
      <w:bookmarkEnd w:id="366"/>
      <w:bookmarkStart w:id="367" w:name="_Toc184312084"/>
      <w:bookmarkEnd w:id="367"/>
      <w:bookmarkStart w:id="368" w:name="_Toc184313241"/>
      <w:bookmarkEnd w:id="368"/>
      <w:bookmarkStart w:id="369" w:name="_Toc184310279"/>
      <w:bookmarkEnd w:id="369"/>
      <w:bookmarkStart w:id="370" w:name="_Toc184314477"/>
      <w:bookmarkEnd w:id="370"/>
      <w:bookmarkStart w:id="371" w:name="_Toc184308089"/>
      <w:bookmarkEnd w:id="371"/>
      <w:bookmarkStart w:id="372" w:name="_Toc184310289"/>
      <w:bookmarkEnd w:id="372"/>
      <w:bookmarkStart w:id="373" w:name="_Toc184314443"/>
      <w:bookmarkEnd w:id="373"/>
      <w:bookmarkStart w:id="374" w:name="_Toc184312100"/>
      <w:bookmarkEnd w:id="374"/>
      <w:bookmarkStart w:id="375" w:name="_Toc184310314"/>
      <w:bookmarkEnd w:id="375"/>
      <w:bookmarkStart w:id="376" w:name="_Toc184308065"/>
      <w:bookmarkEnd w:id="376"/>
      <w:bookmarkStart w:id="377" w:name="_Toc184308103"/>
      <w:bookmarkEnd w:id="377"/>
      <w:bookmarkStart w:id="378" w:name="_Toc184308105"/>
      <w:bookmarkEnd w:id="378"/>
      <w:bookmarkStart w:id="379" w:name="_Toc184314458"/>
      <w:bookmarkEnd w:id="379"/>
      <w:bookmarkStart w:id="380" w:name="_Toc184313267"/>
      <w:bookmarkEnd w:id="380"/>
      <w:bookmarkStart w:id="381" w:name="_Toc184313308"/>
      <w:bookmarkEnd w:id="381"/>
      <w:bookmarkStart w:id="382" w:name="_Toc184312138"/>
      <w:bookmarkEnd w:id="382"/>
      <w:bookmarkStart w:id="383" w:name="_Toc184312069"/>
      <w:bookmarkEnd w:id="383"/>
      <w:bookmarkStart w:id="384" w:name="_Toc184313251"/>
      <w:bookmarkEnd w:id="384"/>
      <w:bookmarkStart w:id="385" w:name="_Toc184314462"/>
      <w:bookmarkEnd w:id="385"/>
      <w:bookmarkStart w:id="386" w:name="_Toc184313272"/>
      <w:bookmarkEnd w:id="386"/>
      <w:bookmarkStart w:id="387" w:name="_Toc184308056"/>
      <w:bookmarkEnd w:id="387"/>
      <w:bookmarkStart w:id="388" w:name="_Toc184314470"/>
      <w:bookmarkEnd w:id="388"/>
      <w:bookmarkStart w:id="389" w:name="_Toc184312133"/>
      <w:bookmarkEnd w:id="389"/>
      <w:bookmarkStart w:id="390" w:name="_Toc184308081"/>
      <w:bookmarkEnd w:id="390"/>
      <w:bookmarkStart w:id="391" w:name="_Toc184308104"/>
      <w:bookmarkEnd w:id="391"/>
      <w:bookmarkStart w:id="392" w:name="_Toc184314442"/>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6290"/>
        <w:gridCol w:w="828"/>
        <w:gridCol w:w="8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3335" w:type="pct"/>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评标标准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分值</w:t>
            </w:r>
          </w:p>
        </w:tc>
        <w:tc>
          <w:tcPr>
            <w:tcW w:w="439" w:type="pct"/>
            <w:vAlign w:val="center"/>
          </w:tcPr>
          <w:p>
            <w:pPr>
              <w:snapToGrid w:val="0"/>
              <w:spacing w:line="360" w:lineRule="auto"/>
              <w:jc w:val="center"/>
              <w:rPr>
                <w:rFonts w:hint="eastAsia" w:ascii="宋体" w:hAnsi="宋体" w:eastAsia="宋体" w:cs="宋体"/>
                <w:b w:val="0"/>
                <w:bCs/>
                <w:sz w:val="21"/>
                <w:szCs w:val="21"/>
              </w:rPr>
            </w:pPr>
          </w:p>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主观分/客观分属性</w:t>
            </w:r>
          </w:p>
        </w:tc>
        <w:tc>
          <w:tcPr>
            <w:tcW w:w="545" w:type="pct"/>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投标文件中评标标准相应的商务技术资料目录</w:t>
            </w:r>
            <w:r>
              <w:rPr>
                <w:rFonts w:hint="eastAsia" w:ascii="宋体" w:hAnsi="宋体" w:eastAsia="宋体" w:cs="宋体"/>
                <w:b w:val="0"/>
                <w:bCs/>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41"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1</w:t>
            </w:r>
          </w:p>
        </w:tc>
        <w:tc>
          <w:tcPr>
            <w:tcW w:w="3335" w:type="pct"/>
            <w:vAlign w:val="center"/>
          </w:tcPr>
          <w:p>
            <w:pPr>
              <w:snapToGrid w:val="0"/>
              <w:spacing w:line="36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成功经验：</w:t>
            </w:r>
            <w:r>
              <w:rPr>
                <w:rFonts w:hint="eastAsia" w:ascii="宋体" w:hAnsi="宋体" w:eastAsia="宋体" w:cs="宋体"/>
                <w:b w:val="0"/>
                <w:bCs/>
                <w:kern w:val="0"/>
                <w:sz w:val="21"/>
                <w:szCs w:val="21"/>
              </w:rPr>
              <w:t>投标人自202</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年1月至投标截止日</w:t>
            </w:r>
            <w:r>
              <w:rPr>
                <w:rFonts w:hint="eastAsia" w:ascii="宋体" w:hAnsi="宋体" w:eastAsia="宋体" w:cs="宋体"/>
                <w:b w:val="0"/>
                <w:bCs/>
                <w:sz w:val="21"/>
                <w:szCs w:val="21"/>
              </w:rPr>
              <w:t>（以合同签订日期为准）承担过类似项目的，每个得</w:t>
            </w:r>
            <w:r>
              <w:rPr>
                <w:rFonts w:hint="eastAsia" w:ascii="宋体" w:hAnsi="宋体" w:eastAsia="宋体" w:cs="宋体"/>
                <w:b w:val="0"/>
                <w:bCs/>
                <w:sz w:val="21"/>
                <w:szCs w:val="21"/>
                <w:lang w:val="en-US" w:eastAsia="zh-CN"/>
              </w:rPr>
              <w:t>0.5</w:t>
            </w:r>
            <w:r>
              <w:rPr>
                <w:rFonts w:hint="eastAsia" w:ascii="宋体" w:hAnsi="宋体" w:eastAsia="宋体" w:cs="宋体"/>
                <w:b w:val="0"/>
                <w:bCs/>
                <w:sz w:val="21"/>
                <w:szCs w:val="21"/>
              </w:rPr>
              <w:t>分，本项最高得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分。（同时提供合同和项目业主对其履约情况的证明材料，否则不得分）</w:t>
            </w:r>
          </w:p>
        </w:tc>
        <w:tc>
          <w:tcPr>
            <w:tcW w:w="439"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1</w:t>
            </w:r>
          </w:p>
        </w:tc>
        <w:tc>
          <w:tcPr>
            <w:tcW w:w="439"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客观分</w:t>
            </w:r>
          </w:p>
        </w:tc>
        <w:tc>
          <w:tcPr>
            <w:tcW w:w="545" w:type="pct"/>
            <w:vAlign w:val="center"/>
          </w:tcPr>
          <w:p>
            <w:pPr>
              <w:spacing w:line="360" w:lineRule="auto"/>
              <w:jc w:val="center"/>
              <w:rPr>
                <w:rFonts w:hint="eastAsia" w:ascii="宋体" w:hAnsi="宋体" w:eastAsia="宋体" w:cs="宋体"/>
                <w:b w:val="0"/>
                <w:bCs/>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41"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2</w:t>
            </w:r>
          </w:p>
        </w:tc>
        <w:tc>
          <w:tcPr>
            <w:tcW w:w="3335" w:type="pct"/>
            <w:vAlign w:val="center"/>
          </w:tcPr>
          <w:p>
            <w:pPr>
              <w:snapToGrid w:val="0"/>
              <w:spacing w:line="36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themeColor="text1"/>
                <w:sz w:val="21"/>
                <w:szCs w:val="21"/>
                <w:highlight w:val="none"/>
                <w14:textFill>
                  <w14:solidFill>
                    <w14:schemeClr w14:val="tx1"/>
                  </w14:solidFill>
                </w14:textFill>
              </w:rPr>
              <w:t>投标人具有有效的质量管理体系认证证书得1分；具有有效的环境管理体系认证证书得1分；具有有效的职业健康安全管理体系认证证书得1分；</w:t>
            </w:r>
            <w:r>
              <w:rPr>
                <w:rFonts w:hint="eastAsia" w:ascii="宋体" w:hAnsi="宋体" w:eastAsia="宋体" w:cs="宋体"/>
                <w:b w:val="0"/>
                <w:bCs/>
                <w:color w:val="auto"/>
                <w:sz w:val="21"/>
                <w:szCs w:val="21"/>
                <w:highlight w:val="none"/>
              </w:rPr>
              <w:t>具有有效的食品安全管理体系认证证书得1分；具有有效的餐饮管理服务体系认证证书得1分；</w:t>
            </w:r>
            <w:r>
              <w:rPr>
                <w:rFonts w:hint="eastAsia" w:ascii="宋体" w:hAnsi="宋体" w:eastAsia="宋体" w:cs="宋体"/>
                <w:b w:val="0"/>
                <w:bCs/>
                <w:color w:val="000000" w:themeColor="text1"/>
                <w:sz w:val="21"/>
                <w:szCs w:val="21"/>
                <w:highlight w:val="none"/>
                <w14:textFill>
                  <w14:solidFill>
                    <w14:schemeClr w14:val="tx1"/>
                  </w14:solidFill>
                </w14:textFill>
              </w:rPr>
              <w:t>本项最高得</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分。（证书须在有效期内，提供有效证书复印件，不提供的不得分）</w:t>
            </w:r>
          </w:p>
        </w:tc>
        <w:tc>
          <w:tcPr>
            <w:tcW w:w="439"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w:t>
            </w:r>
          </w:p>
        </w:tc>
        <w:tc>
          <w:tcPr>
            <w:tcW w:w="439" w:type="pct"/>
            <w:vAlign w:val="center"/>
          </w:tcPr>
          <w:p>
            <w:pPr>
              <w:snapToGrid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客观分</w:t>
            </w:r>
          </w:p>
        </w:tc>
        <w:tc>
          <w:tcPr>
            <w:tcW w:w="545" w:type="pct"/>
            <w:vAlign w:val="center"/>
          </w:tcPr>
          <w:p>
            <w:pPr>
              <w:spacing w:line="360" w:lineRule="auto"/>
              <w:jc w:val="center"/>
              <w:rPr>
                <w:rFonts w:hint="eastAsia" w:ascii="宋体" w:hAnsi="宋体" w:eastAsia="宋体" w:cs="宋体"/>
                <w:b w:val="0"/>
                <w:bCs/>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p>
        </w:tc>
        <w:tc>
          <w:tcPr>
            <w:tcW w:w="3335" w:type="pct"/>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zh-CN"/>
              </w:rPr>
              <w:t>整体服务方案情况，①提供的食堂餐饮服务内容是否满足采购需求，②有具体的工作流程及工作方案。根据提供的方案内容进行评分，方案科学、可靠且满足采购需求，</w:t>
            </w:r>
            <w:r>
              <w:rPr>
                <w:rFonts w:hint="eastAsia" w:ascii="宋体" w:hAnsi="宋体" w:eastAsia="宋体" w:cs="宋体"/>
                <w:b w:val="0"/>
                <w:bCs/>
                <w:color w:val="000000" w:themeColor="text1"/>
                <w:sz w:val="21"/>
                <w:szCs w:val="21"/>
                <w:highlight w:val="none"/>
                <w14:textFill>
                  <w14:solidFill>
                    <w14:schemeClr w14:val="tx1"/>
                  </w14:solidFill>
                </w14:textFill>
              </w:rPr>
              <w:t>方案完整具有针对性明确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val="0"/>
                <w:bCs/>
                <w:sz w:val="21"/>
                <w:szCs w:val="21"/>
                <w:lang w:val="zh-CN"/>
              </w:rPr>
              <w:t>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w:t>
            </w:r>
            <w:r>
              <w:rPr>
                <w:rFonts w:hint="eastAsia" w:ascii="宋体" w:hAnsi="宋体" w:eastAsia="宋体" w:cs="宋体"/>
                <w:b w:val="0"/>
                <w:bCs/>
                <w:color w:val="000000" w:themeColor="text1"/>
                <w:sz w:val="21"/>
                <w:szCs w:val="21"/>
                <w:highlight w:val="none"/>
                <w14:textFill>
                  <w14:solidFill>
                    <w14:schemeClr w14:val="tx1"/>
                  </w14:solidFill>
                </w14:textFill>
              </w:rPr>
              <w:t>方案有欠缺、不够详细的得1</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分，</w:t>
            </w:r>
            <w:r>
              <w:rPr>
                <w:rFonts w:hint="eastAsia" w:ascii="宋体" w:hAnsi="宋体" w:eastAsia="宋体" w:cs="宋体"/>
                <w:b w:val="0"/>
                <w:bCs/>
                <w:sz w:val="21"/>
                <w:szCs w:val="21"/>
                <w:lang w:val="zh-CN"/>
              </w:rPr>
              <w:t>不满足不得分，最高得</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val="zh-CN"/>
              </w:rPr>
              <w:t>分。</w:t>
            </w:r>
          </w:p>
        </w:tc>
        <w:tc>
          <w:tcPr>
            <w:tcW w:w="439"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p>
        </w:tc>
        <w:tc>
          <w:tcPr>
            <w:tcW w:w="3335" w:type="pct"/>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zh-CN"/>
              </w:rPr>
              <w:t>供应商具有①明确的食堂服务质量标准，②保障食堂服务质量的具体措施。根据提供的方案内容进行评分，方案科学、合理、措施得当且满足采购需求的每项得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2分，内容有所欠缺或措施不可行需完善得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分，未提供或不合理的不得分，最高得6分。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439" w:type="pct"/>
            <w:vAlign w:val="center"/>
          </w:tcPr>
          <w:p>
            <w:pPr>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Merge w:val="restar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p>
        </w:tc>
        <w:tc>
          <w:tcPr>
            <w:tcW w:w="3335" w:type="pct"/>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zh-CN"/>
              </w:rPr>
              <w:t>针对本项目提供的服务要求提出的应对方案，包括：①服务时间要求、②菜品种类要求、③规章制度制定、④各类台账；根据提供的服务内容进行评分，方案科学、合理、措施得当且满足采购需求的每项得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2分，内容有所欠缺需完善得1分，不满足不得分，最高得12分。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12</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Merge w:val="continue"/>
            <w:vAlign w:val="center"/>
          </w:tcPr>
          <w:p>
            <w:pPr>
              <w:spacing w:line="360" w:lineRule="auto"/>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p>
        </w:tc>
        <w:tc>
          <w:tcPr>
            <w:tcW w:w="3335" w:type="pct"/>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zh-CN"/>
              </w:rPr>
              <w:t>卫生管理保障包括①食品制作，②厨房用品消毒，③所有区域的卫生，④厨房垃圾处理；根据提供的内容进行评分，方案科学、合理、措施得当且满足采购需求的每项得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2分，内容有所欠缺或措施不可行需完善得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分，未提供或不合理的不得分，最高得</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lang w:val="zh-CN"/>
              </w:rPr>
              <w:t>分。</w:t>
            </w:r>
          </w:p>
        </w:tc>
        <w:tc>
          <w:tcPr>
            <w:tcW w:w="439"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7</w:t>
            </w:r>
          </w:p>
        </w:tc>
        <w:tc>
          <w:tcPr>
            <w:tcW w:w="3335" w:type="pct"/>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安全管理保障包括①食物的留样，②食品添加剂控制，③食材的检疫农残，④易燃易爆存放，⑤安全检查情况；</w:t>
            </w:r>
            <w:r>
              <w:rPr>
                <w:rFonts w:hint="eastAsia" w:ascii="宋体" w:hAnsi="宋体" w:eastAsia="宋体" w:cs="宋体"/>
                <w:b w:val="0"/>
                <w:bCs/>
                <w:sz w:val="21"/>
                <w:szCs w:val="21"/>
                <w:lang w:val="zh-CN"/>
              </w:rPr>
              <w:t>根据提供的内容进行评分，内容完整、措施得当且符合采购需求的，每项得</w:t>
            </w:r>
            <w:r>
              <w:rPr>
                <w:rFonts w:hint="eastAsia" w:ascii="宋体" w:hAnsi="宋体" w:eastAsia="宋体" w:cs="宋体"/>
                <w:b w:val="0"/>
                <w:bCs/>
                <w:sz w:val="21"/>
                <w:szCs w:val="21"/>
              </w:rPr>
              <w:t>2</w:t>
            </w:r>
            <w:r>
              <w:rPr>
                <w:rFonts w:hint="eastAsia" w:ascii="宋体" w:hAnsi="宋体" w:eastAsia="宋体" w:cs="宋体"/>
                <w:b w:val="0"/>
                <w:bCs/>
                <w:sz w:val="21"/>
                <w:szCs w:val="21"/>
                <w:lang w:val="zh-CN"/>
              </w:rPr>
              <w:t>分，内容欠缺或措施不可行的需完善得</w:t>
            </w:r>
            <w:r>
              <w:rPr>
                <w:rFonts w:hint="eastAsia" w:ascii="宋体" w:hAnsi="宋体" w:eastAsia="宋体" w:cs="宋体"/>
                <w:b w:val="0"/>
                <w:bCs/>
                <w:sz w:val="21"/>
                <w:szCs w:val="21"/>
              </w:rPr>
              <w:t>1</w:t>
            </w:r>
            <w:r>
              <w:rPr>
                <w:rFonts w:hint="eastAsia" w:ascii="宋体" w:hAnsi="宋体" w:eastAsia="宋体" w:cs="宋体"/>
                <w:b w:val="0"/>
                <w:bCs/>
                <w:sz w:val="21"/>
                <w:szCs w:val="21"/>
                <w:lang w:val="zh-CN"/>
              </w:rPr>
              <w:t>分，未提供或不合理的不得分，最高得</w:t>
            </w:r>
            <w:r>
              <w:rPr>
                <w:rFonts w:hint="eastAsia" w:ascii="宋体" w:hAnsi="宋体" w:eastAsia="宋体" w:cs="宋体"/>
                <w:b w:val="0"/>
                <w:bCs/>
                <w:sz w:val="21"/>
                <w:szCs w:val="21"/>
              </w:rPr>
              <w:t>10</w:t>
            </w:r>
            <w:r>
              <w:rPr>
                <w:rFonts w:hint="eastAsia" w:ascii="宋体" w:hAnsi="宋体" w:eastAsia="宋体" w:cs="宋体"/>
                <w:b w:val="0"/>
                <w:bCs/>
                <w:sz w:val="21"/>
                <w:szCs w:val="21"/>
                <w:lang w:val="zh-CN"/>
              </w:rPr>
              <w:t>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p>
        </w:tc>
        <w:tc>
          <w:tcPr>
            <w:tcW w:w="3335" w:type="pct"/>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lang w:val="zh-CN"/>
              </w:rPr>
              <w:t>节能管理保障包括：①水、电、燃气控制，②食物制作数量控制；根据提供的内容进行评分，方案科学、合理、措施得当且满足采购需求的每项得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2分，内容有所欠缺或措施不可行需完善得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分，未提供或不合理的不得分，最高得</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val="zh-CN"/>
              </w:rPr>
              <w:t>分。</w:t>
            </w:r>
          </w:p>
        </w:tc>
        <w:tc>
          <w:tcPr>
            <w:tcW w:w="439"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3335" w:type="pct"/>
            <w:vAlign w:val="center"/>
          </w:tcPr>
          <w:p>
            <w:pPr>
              <w:spacing w:line="360" w:lineRule="auto"/>
              <w:jc w:val="left"/>
              <w:rPr>
                <w:rFonts w:hint="eastAsia" w:ascii="宋体" w:hAnsi="宋体" w:eastAsia="宋体" w:cs="宋体"/>
                <w:b w:val="0"/>
                <w:bCs/>
                <w:sz w:val="21"/>
                <w:szCs w:val="21"/>
                <w:lang w:val="zh-CN"/>
              </w:rPr>
            </w:pPr>
            <w:r>
              <w:rPr>
                <w:rFonts w:hint="eastAsia" w:ascii="宋体" w:hAnsi="宋体" w:eastAsia="宋体" w:cs="宋体"/>
                <w:b w:val="0"/>
                <w:bCs/>
                <w:sz w:val="21"/>
                <w:szCs w:val="21"/>
              </w:rPr>
              <w:t>应急保障方案情况：①对食堂餐饮服务过程中可能存在的风险情况分析，②根据风险情况制定有相应的食堂突发事件应急处置预案及保障措施情况。根据提供的方案内容进行评分，</w:t>
            </w:r>
            <w:r>
              <w:rPr>
                <w:rFonts w:hint="eastAsia" w:ascii="宋体" w:hAnsi="宋体" w:eastAsia="宋体" w:cs="宋体"/>
                <w:b w:val="0"/>
                <w:bCs/>
                <w:sz w:val="21"/>
                <w:szCs w:val="21"/>
                <w:lang w:val="zh-CN"/>
              </w:rPr>
              <w:t>方案科学、合理、措施得当且满足采购需求的每项得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2分，内容有所欠缺或措施不可行需完善得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分，未提供或不合理的不得分，</w:t>
            </w:r>
            <w:r>
              <w:rPr>
                <w:rFonts w:hint="eastAsia" w:ascii="宋体" w:hAnsi="宋体" w:eastAsia="宋体" w:cs="宋体"/>
                <w:b w:val="0"/>
                <w:bCs/>
                <w:sz w:val="21"/>
                <w:szCs w:val="21"/>
              </w:rPr>
              <w:t>最高得6分。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Merge w:val="restar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3335" w:type="pct"/>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具备保障资源及应急保障能力，在服务点遇到临时性保障任务（含停水停电停气、不良气候、有关部门召开重要会议等情况下），根据情况及时增派人员保障方案。根据提供的方案内容进行评分，满足采购需求得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eastAsia="宋体" w:cs="宋体"/>
                <w:b w:val="0"/>
                <w:bCs/>
                <w:color w:val="000000" w:themeColor="text1"/>
                <w:sz w:val="21"/>
                <w:szCs w:val="21"/>
                <w:highlight w:val="none"/>
                <w14:textFill>
                  <w14:solidFill>
                    <w14:schemeClr w14:val="tx1"/>
                  </w14:solidFill>
                </w14:textFill>
              </w:rPr>
              <w:t>方案较合理，针对性较明确</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的得</w:t>
            </w:r>
            <w:r>
              <w:rPr>
                <w:rFonts w:hint="eastAsia" w:ascii="宋体" w:hAnsi="宋体" w:eastAsia="宋体" w:cs="宋体"/>
                <w:b w:val="0"/>
                <w:bCs/>
                <w:sz w:val="21"/>
                <w:szCs w:val="21"/>
                <w:lang w:val="zh-CN"/>
              </w:rPr>
              <w:t>2分，内容有所欠缺或措施不可行需完善得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分，</w:t>
            </w:r>
            <w:r>
              <w:rPr>
                <w:rFonts w:hint="eastAsia" w:ascii="宋体" w:hAnsi="宋体" w:eastAsia="宋体" w:cs="宋体"/>
                <w:b w:val="0"/>
                <w:bCs/>
                <w:sz w:val="21"/>
                <w:szCs w:val="21"/>
              </w:rPr>
              <w:t>未提供或不满足不得分，最高得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p>
        </w:tc>
        <w:tc>
          <w:tcPr>
            <w:tcW w:w="439"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Merge w:val="continue"/>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3335" w:type="pct"/>
            <w:vAlign w:val="center"/>
          </w:tcPr>
          <w:p>
            <w:pPr>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质量保证措施是否明确、可行、针对性强，措施详尽、准确、针对性强且合理可行的，得3分；内容有欠缺、基本合理可行的，得2分；措施不全面或合理可行性有欠缺的，得1分；完全不符或未提供的不得分。</w:t>
            </w:r>
          </w:p>
        </w:tc>
        <w:tc>
          <w:tcPr>
            <w:tcW w:w="439" w:type="pct"/>
            <w:vAlign w:val="center"/>
          </w:tcPr>
          <w:p>
            <w:pPr>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3335" w:type="pct"/>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拟担任项目经理情况：有类似餐饮管理经验（提供业绩合同）的，每个得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分，本项最高得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分。（须提供项目经理的社保缴纳证明材料，否则不得分）</w:t>
            </w:r>
          </w:p>
        </w:tc>
        <w:tc>
          <w:tcPr>
            <w:tcW w:w="439" w:type="pct"/>
            <w:vAlign w:val="center"/>
          </w:tcPr>
          <w:p>
            <w:pPr>
              <w:snapToGrid w:val="0"/>
              <w:spacing w:line="36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客观分</w:t>
            </w:r>
          </w:p>
        </w:tc>
        <w:tc>
          <w:tcPr>
            <w:tcW w:w="545" w:type="pct"/>
            <w:vMerge w:val="restar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3335" w:type="pct"/>
            <w:vAlign w:val="center"/>
          </w:tcPr>
          <w:p>
            <w:pPr>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人员配备：针对本项目的具体情况，科学合理配置项目负责人、厨师长和相关人员。评委根据投标人提供方案的相关内容，重点考察企业对配置的项目经理、厨师长（技师技能及以上）的基本情况进行评审，人员配置方案符合要求，内容完整的得5分；人员配置方案符合要求，内容有所欠缺的得</w:t>
            </w:r>
            <w:r>
              <w:rPr>
                <w:rFonts w:hint="eastAsia" w:ascii="宋体" w:hAnsi="宋体" w:cs="宋体"/>
                <w:b w:val="0"/>
                <w:bCs/>
                <w:sz w:val="21"/>
                <w:szCs w:val="21"/>
                <w:lang w:val="en-US" w:eastAsia="zh-CN"/>
              </w:rPr>
              <w:t>3</w:t>
            </w:r>
            <w:r>
              <w:rPr>
                <w:rFonts w:hint="eastAsia" w:ascii="宋体" w:hAnsi="宋体" w:eastAsia="宋体" w:cs="宋体"/>
                <w:b w:val="0"/>
                <w:bCs/>
                <w:sz w:val="21"/>
                <w:szCs w:val="21"/>
                <w:lang w:val="en-US" w:eastAsia="zh-CN"/>
              </w:rPr>
              <w:t>分；人员配置方案有所欠缺，内容不完整的得</w:t>
            </w:r>
            <w:r>
              <w:rPr>
                <w:rFonts w:hint="eastAsia" w:ascii="宋体" w:hAnsi="宋体" w:cs="宋体"/>
                <w:b w:val="0"/>
                <w:bCs/>
                <w:sz w:val="21"/>
                <w:szCs w:val="21"/>
                <w:lang w:val="en-US" w:eastAsia="zh-CN"/>
              </w:rPr>
              <w:t>1</w:t>
            </w:r>
            <w:r>
              <w:rPr>
                <w:rFonts w:hint="eastAsia" w:ascii="宋体" w:hAnsi="宋体" w:eastAsia="宋体" w:cs="宋体"/>
                <w:b w:val="0"/>
                <w:bCs/>
                <w:sz w:val="21"/>
                <w:szCs w:val="21"/>
                <w:lang w:val="en-US" w:eastAsia="zh-CN"/>
              </w:rPr>
              <w:t>分；不符合的不得分。</w:t>
            </w:r>
          </w:p>
        </w:tc>
        <w:tc>
          <w:tcPr>
            <w:tcW w:w="439" w:type="pct"/>
            <w:vAlign w:val="center"/>
          </w:tcPr>
          <w:p>
            <w:pPr>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Merge w:val="continue"/>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w:t>
            </w:r>
          </w:p>
        </w:tc>
        <w:tc>
          <w:tcPr>
            <w:tcW w:w="3335" w:type="pct"/>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val="0"/>
                <w:color w:val="auto"/>
                <w:sz w:val="21"/>
                <w:szCs w:val="21"/>
                <w:highlight w:val="none"/>
                <w:lang w:val="en-US" w:eastAsia="zh-CN"/>
              </w:rPr>
              <w:t>筹备过</w:t>
            </w:r>
            <w:r>
              <w:rPr>
                <w:rFonts w:hint="eastAsia" w:ascii="宋体" w:hAnsi="宋体" w:eastAsia="宋体" w:cs="宋体"/>
                <w:b w:val="0"/>
                <w:bCs w:val="0"/>
                <w:color w:val="auto"/>
                <w:sz w:val="21"/>
                <w:szCs w:val="21"/>
                <w:highlight w:val="none"/>
              </w:rPr>
              <w:t>程中对需准备的设施、材料、服装、人员进场等</w:t>
            </w:r>
            <w:r>
              <w:rPr>
                <w:rFonts w:hint="eastAsia" w:ascii="宋体" w:hAnsi="宋体" w:eastAsia="宋体" w:cs="宋体"/>
                <w:b w:val="0"/>
                <w:bCs w:val="0"/>
                <w:color w:val="auto"/>
                <w:sz w:val="21"/>
                <w:szCs w:val="21"/>
                <w:highlight w:val="none"/>
                <w:lang w:eastAsia="zh-CN"/>
              </w:rPr>
              <w:t>各环节的工作</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准备充分，内容明确具体，针对性强</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；各环节的工作准备基本充分，内容基本明确，有一定的针对性</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；各环节的工作准备一般，内容的具体程度一般，针对性一般</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无相关内容的不得分。</w:t>
            </w:r>
            <w:r>
              <w:rPr>
                <w:rFonts w:hint="eastAsia" w:ascii="宋体" w:hAnsi="宋体" w:eastAsia="宋体" w:cs="宋体"/>
                <w:b w:val="0"/>
                <w:bCs w:val="0"/>
                <w:sz w:val="21"/>
                <w:szCs w:val="21"/>
                <w:highlight w:val="none"/>
              </w:rPr>
              <w:t>最高得</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439"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3335" w:type="pct"/>
            <w:vAlign w:val="center"/>
          </w:tcPr>
          <w:p>
            <w:pPr>
              <w:snapToGrid w:val="0"/>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供应商具有合理的服务人员岗位培训计划，培训的内容包括法律法规、操作流程、服务标准、岗位技能、专业知识等。根据提供的方案内容进行评分：方案科学、合理、内容完整且满足采购需求的，得4分，</w:t>
            </w:r>
            <w:r>
              <w:rPr>
                <w:rFonts w:hint="eastAsia" w:ascii="宋体" w:hAnsi="宋体" w:eastAsia="宋体" w:cs="宋体"/>
                <w:b w:val="0"/>
                <w:bCs/>
                <w:sz w:val="21"/>
                <w:szCs w:val="21"/>
                <w:lang w:val="zh-CN"/>
              </w:rPr>
              <w:t>方案内容有所欠缺需完善</w:t>
            </w:r>
            <w:r>
              <w:rPr>
                <w:rFonts w:hint="eastAsia" w:ascii="宋体" w:hAnsi="宋体" w:eastAsia="宋体" w:cs="宋体"/>
                <w:b w:val="0"/>
                <w:bCs/>
                <w:sz w:val="21"/>
                <w:szCs w:val="21"/>
              </w:rPr>
              <w:t>的，得2分，</w:t>
            </w:r>
            <w:r>
              <w:rPr>
                <w:rFonts w:hint="eastAsia" w:ascii="宋体" w:hAnsi="宋体" w:eastAsia="宋体" w:cs="宋体"/>
                <w:b w:val="0"/>
                <w:bCs/>
                <w:sz w:val="21"/>
                <w:szCs w:val="21"/>
                <w:lang w:val="zh-CN"/>
              </w:rPr>
              <w:t>未提供或不合理的不得分</w:t>
            </w:r>
            <w:r>
              <w:rPr>
                <w:rFonts w:hint="eastAsia" w:ascii="宋体" w:hAnsi="宋体" w:eastAsia="宋体" w:cs="宋体"/>
                <w:b w:val="0"/>
                <w:bCs/>
                <w:sz w:val="21"/>
                <w:szCs w:val="21"/>
              </w:rPr>
              <w:t>；最高得4分。</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3335" w:type="pct"/>
            <w:vAlign w:val="center"/>
          </w:tcPr>
          <w:p>
            <w:pPr>
              <w:pStyle w:val="25"/>
              <w:keepNext w:val="0"/>
              <w:keepLines w:val="0"/>
              <w:pageBreakBefore w:val="0"/>
              <w:kinsoku/>
              <w:wordWrap/>
              <w:overflowPunct/>
              <w:topLinePunct w:val="0"/>
              <w:bidi w:val="0"/>
              <w:snapToGrid/>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投标人根据招标需求，</w:t>
            </w:r>
            <w:r>
              <w:rPr>
                <w:rFonts w:hint="eastAsia" w:ascii="宋体" w:hAnsi="宋体" w:eastAsia="宋体" w:cs="宋体"/>
                <w:color w:val="000000" w:themeColor="text1"/>
                <w:sz w:val="21"/>
                <w:szCs w:val="21"/>
                <w:highlight w:val="none"/>
                <w14:textFill>
                  <w14:solidFill>
                    <w14:schemeClr w14:val="tx1"/>
                  </w14:solidFill>
                </w14:textFill>
              </w:rPr>
              <w:t>对本项目提出合理化建议</w:t>
            </w:r>
            <w:r>
              <w:rPr>
                <w:rFonts w:hint="eastAsia" w:ascii="宋体" w:hAnsi="宋体" w:eastAsia="宋体" w:cs="宋体"/>
                <w:snapToGrid w:val="0"/>
                <w:color w:val="000000" w:themeColor="text1"/>
                <w:sz w:val="21"/>
                <w:szCs w:val="21"/>
                <w:highlight w:val="none"/>
                <w14:textFill>
                  <w14:solidFill>
                    <w14:schemeClr w14:val="tx1"/>
                  </w14:solidFill>
                </w14:textFill>
              </w:rPr>
              <w:t>综合评定。</w:t>
            </w:r>
          </w:p>
          <w:p>
            <w:pPr>
              <w:pStyle w:val="25"/>
              <w:keepNext w:val="0"/>
              <w:keepLines w:val="0"/>
              <w:pageBreakBefore w:val="0"/>
              <w:kinsoku/>
              <w:wordWrap/>
              <w:overflowPunct/>
              <w:topLinePunct w:val="0"/>
              <w:bidi w:val="0"/>
              <w:snapToGrid/>
              <w:spacing w:after="0" w:line="360" w:lineRule="auto"/>
              <w:textAlignment w:val="auto"/>
              <w:rPr>
                <w:rFonts w:hint="eastAsia" w:ascii="宋体" w:hAnsi="宋体" w:eastAsia="宋体" w:cs="宋体"/>
                <w:b w:val="0"/>
                <w:bCs/>
                <w:sz w:val="21"/>
                <w:szCs w:val="21"/>
              </w:rPr>
            </w:pPr>
            <w:r>
              <w:rPr>
                <w:rFonts w:hint="eastAsia" w:ascii="宋体" w:hAnsi="宋体" w:eastAsia="宋体" w:cs="宋体"/>
                <w:color w:val="000000" w:themeColor="text1"/>
                <w:sz w:val="21"/>
                <w:szCs w:val="21"/>
                <w:highlight w:val="none"/>
                <w14:textFill>
                  <w14:solidFill>
                    <w14:schemeClr w14:val="tx1"/>
                  </w14:solidFill>
                </w14:textFill>
              </w:rPr>
              <w:t>合理化建议科学合理的得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分；合理化建议较科学合理的得2分；合理化建议不够科学合理的得1分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sz w:val="21"/>
                <w:szCs w:val="21"/>
                <w:lang w:val="zh-CN"/>
              </w:rPr>
              <w:t>未提供或不合理的不得分</w:t>
            </w:r>
            <w:r>
              <w:rPr>
                <w:rFonts w:hint="eastAsia" w:ascii="宋体" w:hAnsi="宋体" w:eastAsia="宋体" w:cs="宋体"/>
                <w:b w:val="0"/>
                <w:bCs/>
                <w:sz w:val="21"/>
                <w:szCs w:val="21"/>
              </w:rPr>
              <w:t>；最高得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439"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439"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主观分</w:t>
            </w:r>
          </w:p>
        </w:tc>
        <w:tc>
          <w:tcPr>
            <w:tcW w:w="545" w:type="pct"/>
            <w:vAlign w:val="center"/>
          </w:tcPr>
          <w:p>
            <w:pPr>
              <w:spacing w:line="360" w:lineRule="auto"/>
              <w:jc w:val="center"/>
              <w:rPr>
                <w:rFonts w:hint="eastAsia" w:ascii="宋体" w:hAnsi="宋体" w:eastAsia="宋体" w:cs="宋体"/>
                <w:b w:val="0"/>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41"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3335" w:type="pct"/>
          </w:tcPr>
          <w:p>
            <w:pPr>
              <w:snapToGrid w:val="0"/>
              <w:spacing w:line="360" w:lineRule="auto"/>
              <w:rPr>
                <w:rFonts w:hint="eastAsia" w:ascii="宋体" w:hAnsi="宋体" w:eastAsia="宋体" w:cs="宋体"/>
                <w:b w:val="0"/>
                <w:bCs/>
                <w:sz w:val="21"/>
                <w:szCs w:val="21"/>
              </w:rPr>
            </w:pPr>
            <w:bookmarkStart w:id="393" w:name="_Toc94096625"/>
            <w:r>
              <w:rPr>
                <w:rFonts w:hint="eastAsia" w:ascii="宋体" w:hAnsi="宋体" w:eastAsia="宋体" w:cs="宋体"/>
                <w:b w:val="0"/>
                <w:bCs/>
                <w:sz w:val="21"/>
                <w:szCs w:val="21"/>
              </w:rPr>
              <w:t>评标过程中以投标文件“开标一览表（报价表）”内各项报价之和作为评审依据（即有效报价），有效投标报价的最低价作为评标基准价，其最低报价为满分；按［投标报价得分=（评标基准价/投标报价）*价格权重］的计算公式计算。</w:t>
            </w:r>
            <w:bookmarkEnd w:id="393"/>
          </w:p>
          <w:p>
            <w:pPr>
              <w:snapToGrid w:val="0"/>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评标过程中，不得去掉报价中的最高报价和最低报价。</w:t>
            </w:r>
          </w:p>
          <w:p>
            <w:pPr>
              <w:snapToGrid w:val="0"/>
              <w:spacing w:line="360" w:lineRule="auto"/>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rPr>
              <w:t>因落实政府采购政策需要进行价格调整的，以调整后的价格计算评标基准价和投标报价。</w:t>
            </w:r>
          </w:p>
        </w:tc>
        <w:tc>
          <w:tcPr>
            <w:tcW w:w="439" w:type="pct"/>
            <w:vAlign w:val="center"/>
          </w:tcPr>
          <w:p>
            <w:pPr>
              <w:snapToGrid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439" w:type="pct"/>
            <w:vAlign w:val="center"/>
          </w:tcPr>
          <w:p>
            <w:pPr>
              <w:snapToGrid w:val="0"/>
              <w:spacing w:line="360" w:lineRule="auto"/>
              <w:jc w:val="center"/>
              <w:rPr>
                <w:rFonts w:hint="eastAsia" w:ascii="宋体" w:hAnsi="宋体" w:eastAsia="宋体" w:cs="宋体"/>
                <w:b w:val="0"/>
                <w:bCs/>
                <w:sz w:val="21"/>
                <w:szCs w:val="21"/>
              </w:rPr>
            </w:pPr>
          </w:p>
        </w:tc>
        <w:tc>
          <w:tcPr>
            <w:tcW w:w="545" w:type="pct"/>
            <w:vAlign w:val="center"/>
          </w:tcPr>
          <w:p>
            <w:pPr>
              <w:snapToGrid w:val="0"/>
              <w:spacing w:line="36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w:t>
            </w:r>
          </w:p>
        </w:tc>
      </w:tr>
    </w:tbl>
    <w:p>
      <w:pPr>
        <w:rPr>
          <w:rFonts w:hint="eastAsia"/>
          <w:color w:val="auto"/>
          <w:highlight w:val="none"/>
          <w:lang w:val="en-US" w:eastAsia="zh-CN"/>
        </w:rPr>
      </w:pPr>
    </w:p>
    <w:p>
      <w:pPr>
        <w:rPr>
          <w:rFonts w:hint="eastAsia"/>
          <w:color w:val="auto"/>
          <w:highlight w:val="none"/>
          <w:lang w:val="en-US" w:eastAsia="zh-CN"/>
        </w:rPr>
      </w:pPr>
    </w:p>
    <w:p>
      <w:pPr>
        <w:spacing w:line="360" w:lineRule="auto"/>
        <w:rPr>
          <w:rFonts w:cs="仿宋_GB2312"/>
          <w:color w:val="auto"/>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cs="仿宋_GB2312"/>
          <w:color w:val="auto"/>
          <w:highlight w:val="none"/>
        </w:rPr>
        <w:t>投标人编制投标文件（商务技术文件部分）时，建议按此目录（序号和内容）提供评标标准相应的商务技术资料。</w:t>
      </w:r>
      <w:r>
        <w:rPr>
          <w:rFonts w:cs="仿宋_GB2312"/>
          <w:color w:val="auto"/>
          <w:highlight w:val="none"/>
        </w:rPr>
        <w:t> </w:t>
      </w: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5"/>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jc w:val="left"/>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2"/>
        <w:spacing w:before="120" w:line="22" w:lineRule="atLeast"/>
        <w:rPr>
          <w:rFonts w:ascii="宋体" w:hAnsi="宋体" w:eastAsia="宋体" w:cs="宋体"/>
          <w:color w:val="auto"/>
          <w:szCs w:val="24"/>
          <w:highlight w:val="none"/>
        </w:rPr>
      </w:pPr>
    </w:p>
    <w:p>
      <w:pPr>
        <w:pStyle w:val="602"/>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48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hint="eastAsia" w:ascii="宋体" w:hAnsi="宋体"/>
          <w:color w:val="auto"/>
          <w:sz w:val="24"/>
          <w:highlight w:val="none"/>
          <w:u w:val="single"/>
          <w:lang w:eastAsia="zh-CN"/>
        </w:rPr>
        <w:t>（</w:t>
      </w:r>
      <w:r>
        <w:rPr>
          <w:rFonts w:ascii="宋体" w:hAnsi="宋体"/>
          <w:color w:val="auto"/>
          <w:sz w:val="24"/>
          <w:highlight w:val="none"/>
          <w:lang w:val="zh-CN"/>
        </w:rPr>
        <w:t>以下简称：甲方</w:t>
      </w:r>
      <w:r>
        <w:rPr>
          <w:rFonts w:hint="eastAsia" w:ascii="宋体" w:hAnsi="宋体"/>
          <w:color w:val="auto"/>
          <w:sz w:val="24"/>
          <w:highlight w:val="none"/>
          <w:lang w:val="zh-CN"/>
        </w:rPr>
        <w:t>）</w:t>
      </w:r>
      <w:r>
        <w:rPr>
          <w:rFonts w:ascii="宋体" w:hAnsi="宋体"/>
          <w:color w:val="auto"/>
          <w:sz w:val="24"/>
          <w:highlight w:val="none"/>
          <w:lang w:val="zh-CN"/>
        </w:rPr>
        <w:t>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hint="eastAsia" w:ascii="宋体" w:hAnsi="宋体"/>
          <w:color w:val="auto"/>
          <w:sz w:val="24"/>
          <w:highlight w:val="none"/>
          <w:u w:val="single"/>
          <w:lang w:eastAsia="zh-CN"/>
        </w:rPr>
        <w:t>（</w:t>
      </w:r>
      <w:r>
        <w:rPr>
          <w:rFonts w:ascii="宋体" w:hAnsi="宋体"/>
          <w:color w:val="auto"/>
          <w:sz w:val="24"/>
          <w:highlight w:val="none"/>
          <w:lang w:val="zh-CN"/>
        </w:rPr>
        <w:t>以下简称：乙方</w:t>
      </w:r>
      <w:r>
        <w:rPr>
          <w:rFonts w:hint="eastAsia" w:ascii="宋体" w:hAnsi="宋体"/>
          <w:color w:val="auto"/>
          <w:sz w:val="24"/>
          <w:highlight w:val="none"/>
          <w:lang w:val="zh-CN"/>
        </w:rPr>
        <w:t>）</w:t>
      </w:r>
      <w:r>
        <w:rPr>
          <w:rFonts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pPr>
        <w:spacing w:line="480" w:lineRule="auto"/>
        <w:ind w:firstLine="482" w:firstLineChars="200"/>
        <w:outlineLvl w:val="0"/>
        <w:rPr>
          <w:rFonts w:ascii="宋体" w:hAnsi="宋体"/>
          <w:color w:val="auto"/>
          <w:sz w:val="24"/>
          <w:highlight w:val="none"/>
        </w:rPr>
      </w:pPr>
      <w:bookmarkStart w:id="396" w:name="_Toc28855"/>
      <w:bookmarkStart w:id="397" w:name="_Toc15367"/>
      <w:bookmarkStart w:id="398" w:name="_Toc20421"/>
      <w:bookmarkStart w:id="399" w:name="_Toc19273"/>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48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480" w:lineRule="auto"/>
        <w:ind w:firstLine="482" w:firstLineChars="200"/>
        <w:outlineLvl w:val="0"/>
        <w:rPr>
          <w:rFonts w:ascii="宋体" w:hAnsi="宋体"/>
          <w:b/>
          <w:color w:val="auto"/>
          <w:sz w:val="24"/>
          <w:highlight w:val="none"/>
        </w:rPr>
      </w:pPr>
      <w:bookmarkStart w:id="401" w:name="_Toc22185"/>
      <w:bookmarkStart w:id="402" w:name="_Toc18585"/>
      <w:bookmarkStart w:id="403" w:name="_Toc6773"/>
      <w:bookmarkStart w:id="404" w:name="_Toc6311"/>
      <w:bookmarkStart w:id="40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48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48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48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48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pPr>
        <w:spacing w:line="480" w:lineRule="auto"/>
        <w:ind w:firstLine="480" w:firstLineChars="200"/>
        <w:rPr>
          <w:rFonts w:ascii="宋体" w:hAnsi="宋体" w:cs="宋体"/>
          <w:color w:val="auto"/>
          <w:sz w:val="24"/>
          <w:highlight w:val="none"/>
          <w:u w:val="single"/>
        </w:rPr>
      </w:pPr>
      <w:bookmarkStart w:id="406" w:name="_Toc13918"/>
      <w:bookmarkStart w:id="407" w:name="_Toc4929"/>
      <w:bookmarkStart w:id="408" w:name="_Toc21124"/>
      <w:bookmarkStart w:id="409" w:name="_Toc1386"/>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8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48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48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48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3"/>
              <w:spacing w:line="48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3"/>
              <w:spacing w:line="480" w:lineRule="auto"/>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480" w:lineRule="auto"/>
              <w:ind w:firstLine="200"/>
              <w:jc w:val="center"/>
              <w:rPr>
                <w:rFonts w:hAnsi="宋体"/>
                <w:color w:val="auto"/>
                <w:sz w:val="24"/>
                <w:szCs w:val="24"/>
                <w:highlight w:val="none"/>
              </w:rPr>
            </w:pPr>
          </w:p>
        </w:tc>
        <w:tc>
          <w:tcPr>
            <w:tcW w:w="3402" w:type="dxa"/>
            <w:vAlign w:val="center"/>
          </w:tcPr>
          <w:p>
            <w:pPr>
              <w:pStyle w:val="323"/>
              <w:spacing w:line="480" w:lineRule="auto"/>
              <w:ind w:firstLine="200"/>
              <w:jc w:val="center"/>
              <w:rPr>
                <w:rFonts w:hAnsi="宋体"/>
                <w:color w:val="auto"/>
                <w:sz w:val="24"/>
                <w:szCs w:val="24"/>
                <w:highlight w:val="none"/>
              </w:rPr>
            </w:pPr>
          </w:p>
        </w:tc>
        <w:tc>
          <w:tcPr>
            <w:tcW w:w="2552" w:type="dxa"/>
            <w:vAlign w:val="center"/>
          </w:tcPr>
          <w:p>
            <w:pPr>
              <w:pStyle w:val="323"/>
              <w:spacing w:line="48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480" w:lineRule="auto"/>
              <w:ind w:firstLine="200"/>
              <w:jc w:val="center"/>
              <w:rPr>
                <w:rFonts w:hAnsi="宋体"/>
                <w:color w:val="auto"/>
                <w:sz w:val="24"/>
                <w:szCs w:val="24"/>
                <w:highlight w:val="none"/>
              </w:rPr>
            </w:pPr>
          </w:p>
        </w:tc>
        <w:tc>
          <w:tcPr>
            <w:tcW w:w="3402" w:type="dxa"/>
            <w:vAlign w:val="center"/>
          </w:tcPr>
          <w:p>
            <w:pPr>
              <w:pStyle w:val="323"/>
              <w:spacing w:line="480" w:lineRule="auto"/>
              <w:ind w:firstLine="200"/>
              <w:jc w:val="center"/>
              <w:rPr>
                <w:rFonts w:hAnsi="宋体"/>
                <w:color w:val="auto"/>
                <w:sz w:val="24"/>
                <w:szCs w:val="24"/>
                <w:highlight w:val="none"/>
              </w:rPr>
            </w:pPr>
          </w:p>
        </w:tc>
        <w:tc>
          <w:tcPr>
            <w:tcW w:w="2552" w:type="dxa"/>
            <w:vAlign w:val="center"/>
          </w:tcPr>
          <w:p>
            <w:pPr>
              <w:pStyle w:val="323"/>
              <w:spacing w:line="48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480" w:lineRule="auto"/>
              <w:ind w:firstLine="200"/>
              <w:jc w:val="center"/>
              <w:rPr>
                <w:rFonts w:hAnsi="宋体"/>
                <w:color w:val="auto"/>
                <w:sz w:val="24"/>
                <w:szCs w:val="24"/>
                <w:highlight w:val="none"/>
              </w:rPr>
            </w:pPr>
          </w:p>
        </w:tc>
        <w:tc>
          <w:tcPr>
            <w:tcW w:w="3402" w:type="dxa"/>
            <w:vAlign w:val="center"/>
          </w:tcPr>
          <w:p>
            <w:pPr>
              <w:pStyle w:val="323"/>
              <w:spacing w:line="480" w:lineRule="auto"/>
              <w:ind w:firstLine="200"/>
              <w:jc w:val="center"/>
              <w:rPr>
                <w:rFonts w:hAnsi="宋体"/>
                <w:color w:val="auto"/>
                <w:sz w:val="24"/>
                <w:szCs w:val="24"/>
                <w:highlight w:val="none"/>
              </w:rPr>
            </w:pPr>
          </w:p>
        </w:tc>
        <w:tc>
          <w:tcPr>
            <w:tcW w:w="2552" w:type="dxa"/>
            <w:vAlign w:val="center"/>
          </w:tcPr>
          <w:p>
            <w:pPr>
              <w:pStyle w:val="323"/>
              <w:spacing w:line="48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480" w:lineRule="auto"/>
              <w:ind w:firstLine="200"/>
              <w:jc w:val="center"/>
              <w:rPr>
                <w:rFonts w:hAnsi="宋体"/>
                <w:color w:val="auto"/>
                <w:sz w:val="24"/>
                <w:szCs w:val="24"/>
                <w:highlight w:val="none"/>
              </w:rPr>
            </w:pPr>
          </w:p>
        </w:tc>
        <w:tc>
          <w:tcPr>
            <w:tcW w:w="3402" w:type="dxa"/>
            <w:vAlign w:val="center"/>
          </w:tcPr>
          <w:p>
            <w:pPr>
              <w:pStyle w:val="323"/>
              <w:spacing w:line="480" w:lineRule="auto"/>
              <w:ind w:firstLine="200"/>
              <w:jc w:val="center"/>
              <w:rPr>
                <w:rFonts w:hAnsi="宋体"/>
                <w:color w:val="auto"/>
                <w:sz w:val="24"/>
                <w:szCs w:val="24"/>
                <w:highlight w:val="none"/>
              </w:rPr>
            </w:pPr>
          </w:p>
        </w:tc>
        <w:tc>
          <w:tcPr>
            <w:tcW w:w="2552" w:type="dxa"/>
            <w:vAlign w:val="center"/>
          </w:tcPr>
          <w:p>
            <w:pPr>
              <w:pStyle w:val="323"/>
              <w:spacing w:line="48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48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3"/>
              <w:spacing w:line="480" w:lineRule="auto"/>
              <w:ind w:firstLine="200"/>
              <w:jc w:val="center"/>
              <w:rPr>
                <w:rFonts w:hAnsi="宋体"/>
                <w:color w:val="auto"/>
                <w:sz w:val="24"/>
                <w:szCs w:val="24"/>
                <w:highlight w:val="none"/>
              </w:rPr>
            </w:pPr>
          </w:p>
        </w:tc>
      </w:tr>
    </w:tbl>
    <w:p>
      <w:pPr>
        <w:spacing w:line="480" w:lineRule="auto"/>
        <w:ind w:firstLine="480" w:firstLineChars="200"/>
        <w:rPr>
          <w:rFonts w:ascii="宋体" w:hAnsi="宋体"/>
          <w:color w:val="auto"/>
          <w:sz w:val="24"/>
          <w:highlight w:val="none"/>
        </w:rPr>
      </w:pPr>
      <w:bookmarkStart w:id="411" w:name="_Toc30158"/>
      <w:bookmarkStart w:id="412" w:name="_Toc30506"/>
      <w:bookmarkStart w:id="413" w:name="_Toc26916"/>
      <w:bookmarkStart w:id="414" w:name="_Toc3654"/>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spacing w:line="480" w:lineRule="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961"/>
        <w:spacing w:before="0" w:beforeAutospacing="0" w:after="0" w:afterAutospacing="0" w:line="480" w:lineRule="auto"/>
        <w:ind w:firstLine="480"/>
        <w:rPr>
          <w:b/>
          <w:color w:val="auto"/>
          <w:highlight w:val="none"/>
        </w:rPr>
      </w:pPr>
      <w:bookmarkStart w:id="416" w:name="_Toc22618"/>
      <w:bookmarkStart w:id="417" w:name="_Toc10340"/>
      <w:bookmarkStart w:id="418" w:name="_Toc1814"/>
      <w:bookmarkStart w:id="419" w:name="_Toc8772"/>
      <w:bookmarkStart w:id="420" w:name="_Toc11108"/>
      <w:bookmarkStart w:id="421" w:name="_Toc31421"/>
      <w:bookmarkStart w:id="422" w:name="_Toc4760"/>
      <w:bookmarkStart w:id="423" w:name="_Toc3625"/>
      <w:r>
        <w:rPr>
          <w:rFonts w:hint="eastAsia"/>
          <w:b/>
          <w:color w:val="auto"/>
          <w:highlight w:val="none"/>
        </w:rPr>
        <w:t>1.4履约保证金</w:t>
      </w:r>
    </w:p>
    <w:p>
      <w:pPr>
        <w:pStyle w:val="961"/>
        <w:spacing w:before="0" w:beforeAutospacing="0" w:after="0" w:afterAutospacing="0" w:line="48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48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8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48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8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48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961"/>
        <w:spacing w:before="0" w:beforeAutospacing="0" w:after="0" w:afterAutospacing="0" w:line="48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48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48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48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48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8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48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48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48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48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480" w:lineRule="auto"/>
        <w:ind w:firstLine="482" w:firstLineChars="200"/>
        <w:outlineLvl w:val="0"/>
        <w:rPr>
          <w:rFonts w:ascii="宋体" w:hAnsi="宋体"/>
          <w:color w:val="auto"/>
          <w:sz w:val="24"/>
          <w:highlight w:val="none"/>
          <w:u w:val="single"/>
        </w:rPr>
      </w:pPr>
      <w:bookmarkStart w:id="424" w:name="_Toc8586"/>
      <w:bookmarkStart w:id="425" w:name="_Toc2375"/>
      <w:bookmarkStart w:id="426" w:name="_Toc24662"/>
      <w:bookmarkStart w:id="427" w:name="_Toc5698"/>
      <w:bookmarkStart w:id="428" w:name="_Toc3079"/>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48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48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480" w:lineRule="auto"/>
        <w:ind w:firstLine="480" w:firstLineChars="200"/>
        <w:rPr>
          <w:rFonts w:ascii="宋体" w:hAnsi="宋体" w:cs="宋体"/>
          <w:color w:val="auto"/>
          <w:sz w:val="24"/>
          <w:highlight w:val="none"/>
        </w:rPr>
      </w:pPr>
      <w:bookmarkStart w:id="429" w:name="_Toc30329"/>
      <w:bookmarkStart w:id="430" w:name="_Toc26807"/>
      <w:bookmarkStart w:id="431" w:name="_Toc9497"/>
      <w:bookmarkStart w:id="432" w:name="_Toc18683"/>
      <w:bookmarkStart w:id="433" w:name="_Toc32454"/>
      <w:r>
        <w:rPr>
          <w:rFonts w:hint="eastAsia" w:ascii="宋体" w:hAnsi="宋体" w:cs="宋体"/>
          <w:color w:val="auto"/>
          <w:sz w:val="24"/>
          <w:highlight w:val="none"/>
        </w:rPr>
        <w:t>1.8.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48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480" w:lineRule="auto"/>
        <w:ind w:firstLine="482" w:firstLineChars="200"/>
        <w:outlineLvl w:val="0"/>
        <w:rPr>
          <w:rFonts w:ascii="宋体" w:hAnsi="宋体" w:cs="宋体"/>
          <w:b/>
          <w:color w:val="auto"/>
          <w:sz w:val="24"/>
          <w:highlight w:val="none"/>
        </w:rPr>
      </w:pPr>
      <w:bookmarkStart w:id="434" w:name="_Toc16021"/>
      <w:bookmarkStart w:id="435" w:name="_Toc28375"/>
      <w:bookmarkStart w:id="436" w:name="_Toc15583"/>
      <w:r>
        <w:rPr>
          <w:rFonts w:hint="eastAsia" w:ascii="宋体" w:hAnsi="宋体" w:cs="宋体"/>
          <w:b/>
          <w:color w:val="auto"/>
          <w:sz w:val="24"/>
          <w:highlight w:val="none"/>
        </w:rPr>
        <w:t>1.9合同争议的解决</w:t>
      </w:r>
      <w:bookmarkEnd w:id="434"/>
      <w:bookmarkEnd w:id="435"/>
      <w:bookmarkEnd w:id="436"/>
    </w:p>
    <w:p>
      <w:pPr>
        <w:spacing w:line="48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48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48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480" w:lineRule="auto"/>
        <w:ind w:firstLine="482" w:firstLineChars="200"/>
        <w:outlineLvl w:val="0"/>
        <w:rPr>
          <w:rFonts w:ascii="宋体" w:hAnsi="宋体" w:cs="宋体"/>
          <w:b/>
          <w:color w:val="auto"/>
          <w:sz w:val="24"/>
          <w:highlight w:val="none"/>
        </w:rPr>
      </w:pPr>
      <w:bookmarkStart w:id="437" w:name="_Toc11173"/>
      <w:bookmarkStart w:id="438" w:name="_Toc7245"/>
      <w:bookmarkStart w:id="439" w:name="_Toc15322"/>
      <w:r>
        <w:rPr>
          <w:rFonts w:hint="eastAsia" w:ascii="宋体" w:hAnsi="宋体" w:cs="宋体"/>
          <w:b/>
          <w:color w:val="auto"/>
          <w:sz w:val="24"/>
          <w:highlight w:val="none"/>
        </w:rPr>
        <w:t>2.0 合同生效</w:t>
      </w:r>
      <w:bookmarkEnd w:id="437"/>
      <w:bookmarkEnd w:id="438"/>
      <w:bookmarkEnd w:id="439"/>
    </w:p>
    <w:p>
      <w:pPr>
        <w:spacing w:line="48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w:t>
      </w:r>
      <w:r>
        <w:rPr>
          <w:rFonts w:hint="eastAsia" w:ascii="宋体" w:hAnsi="宋体"/>
          <w:color w:val="auto"/>
          <w:sz w:val="24"/>
          <w:highlight w:val="none"/>
          <w:lang w:val="zh-CN"/>
        </w:rPr>
        <w:t>：</w:t>
      </w:r>
      <w:r>
        <w:rPr>
          <w:rFonts w:ascii="宋体" w:hAnsi="宋体"/>
          <w:color w:val="auto"/>
          <w:sz w:val="24"/>
          <w:highlight w:val="none"/>
          <w:lang w:val="zh-CN"/>
        </w:rPr>
        <w:t xml:space="preserve">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w:t>
      </w:r>
      <w:r>
        <w:rPr>
          <w:rFonts w:hint="eastAsia" w:ascii="宋体" w:hAnsi="宋体"/>
          <w:color w:val="auto"/>
          <w:sz w:val="24"/>
          <w:highlight w:val="none"/>
          <w:lang w:val="zh-CN"/>
        </w:rPr>
        <w:t>：</w:t>
      </w:r>
      <w:r>
        <w:rPr>
          <w:rFonts w:ascii="宋体" w:hAnsi="宋体"/>
          <w:color w:val="auto"/>
          <w:sz w:val="24"/>
          <w:highlight w:val="none"/>
          <w:lang w:val="zh-CN"/>
        </w:rPr>
        <w:t xml:space="preserve">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31297"/>
      <w:bookmarkStart w:id="441" w:name="_Toc14021"/>
      <w:bookmarkStart w:id="442" w:name="_Toc25079"/>
      <w:bookmarkStart w:id="443" w:name="_Toc19680"/>
      <w:bookmarkStart w:id="444" w:name="_Toc5228"/>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19539"/>
      <w:bookmarkStart w:id="446" w:name="_Toc31402"/>
      <w:bookmarkStart w:id="447" w:name="_Toc16752"/>
      <w:bookmarkStart w:id="448" w:name="_Toc3769"/>
      <w:bookmarkStart w:id="449" w:name="_Toc23289"/>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w:t>
      </w:r>
      <w:r>
        <w:rPr>
          <w:rFonts w:ascii="宋体" w:hAnsi="宋体"/>
          <w:color w:val="auto"/>
          <w:sz w:val="24"/>
          <w:highlight w:val="none"/>
        </w:rPr>
        <w:t>如果有的话</w:t>
      </w:r>
      <w:r>
        <w:rPr>
          <w:rFonts w:hint="eastAsia" w:ascii="宋体" w:hAnsi="宋体"/>
          <w:color w:val="auto"/>
          <w:sz w:val="24"/>
          <w:highlight w:val="none"/>
          <w:lang w:eastAsia="zh-CN"/>
        </w:rPr>
        <w:t>）</w:t>
      </w:r>
      <w:r>
        <w:rPr>
          <w:rFonts w:ascii="宋体" w:hAnsi="宋体"/>
          <w:color w:val="auto"/>
          <w:sz w:val="24"/>
          <w:highlight w:val="none"/>
        </w:rPr>
        <w:t>及其技术规范偏差表</w:t>
      </w:r>
      <w:r>
        <w:rPr>
          <w:rFonts w:hint="eastAsia" w:ascii="宋体" w:hAnsi="宋体"/>
          <w:color w:val="auto"/>
          <w:sz w:val="24"/>
          <w:highlight w:val="none"/>
          <w:lang w:eastAsia="zh-CN"/>
        </w:rPr>
        <w:t>（</w:t>
      </w:r>
      <w:r>
        <w:rPr>
          <w:rFonts w:ascii="宋体" w:hAnsi="宋体"/>
          <w:color w:val="auto"/>
          <w:sz w:val="24"/>
          <w:highlight w:val="none"/>
        </w:rPr>
        <w:t>如果被甲方接受的话</w:t>
      </w:r>
      <w:r>
        <w:rPr>
          <w:rFonts w:hint="eastAsia" w:ascii="宋体" w:hAnsi="宋体"/>
          <w:color w:val="auto"/>
          <w:sz w:val="24"/>
          <w:highlight w:val="none"/>
          <w:lang w:eastAsia="zh-CN"/>
        </w:rPr>
        <w:t>）</w:t>
      </w:r>
      <w:r>
        <w:rPr>
          <w:rFonts w:ascii="宋体" w:hAnsi="宋体"/>
          <w:color w:val="auto"/>
          <w:sz w:val="24"/>
          <w:highlight w:val="none"/>
        </w:rPr>
        <w:t>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27945"/>
      <w:bookmarkStart w:id="451" w:name="_Toc13673"/>
      <w:bookmarkStart w:id="452" w:name="_Toc12412"/>
      <w:bookmarkStart w:id="453" w:name="_Toc4133"/>
      <w:bookmarkStart w:id="454" w:name="_Toc9161"/>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22011"/>
      <w:bookmarkStart w:id="456" w:name="_Toc15447"/>
      <w:bookmarkStart w:id="457" w:name="_Toc26555"/>
      <w:bookmarkStart w:id="458" w:name="_Toc31233"/>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8990"/>
      <w:bookmarkStart w:id="461" w:name="_Toc13467"/>
      <w:bookmarkStart w:id="462" w:name="_Toc13154"/>
      <w:bookmarkStart w:id="463" w:name="_Toc30507"/>
      <w:bookmarkStart w:id="464" w:name="_Toc16163"/>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10663"/>
      <w:bookmarkStart w:id="471" w:name="_Toc23368"/>
      <w:bookmarkStart w:id="472" w:name="_Toc42"/>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25571"/>
      <w:bookmarkStart w:id="474" w:name="_Toc26633"/>
      <w:bookmarkStart w:id="475" w:name="_Toc32494"/>
      <w:bookmarkStart w:id="476" w:name="_Toc14371"/>
      <w:bookmarkStart w:id="477" w:name="_Toc4720"/>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25783"/>
      <w:bookmarkStart w:id="479" w:name="_Toc14115"/>
      <w:bookmarkStart w:id="480" w:name="_Toc24465"/>
      <w:bookmarkStart w:id="481" w:name="_Toc23854"/>
      <w:bookmarkStart w:id="482" w:name="_Toc3638"/>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7315"/>
      <w:bookmarkStart w:id="484" w:name="_Toc14814"/>
      <w:bookmarkStart w:id="485" w:name="_Toc30105"/>
      <w:bookmarkStart w:id="486" w:name="_Toc25525"/>
      <w:bookmarkStart w:id="487" w:name="_Toc26883"/>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1123"/>
      <w:bookmarkStart w:id="489" w:name="_Toc23323"/>
      <w:bookmarkStart w:id="490" w:name="_Toc2016"/>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9808"/>
      <w:bookmarkStart w:id="495" w:name="_Toc31892"/>
      <w:bookmarkStart w:id="496" w:name="_Toc12666"/>
      <w:bookmarkStart w:id="497" w:name="_Toc25198"/>
      <w:bookmarkStart w:id="498" w:name="_Toc2308"/>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5063"/>
      <w:bookmarkStart w:id="502" w:name="_Toc20808"/>
      <w:bookmarkStart w:id="503" w:name="_Toc12254"/>
      <w:bookmarkStart w:id="504" w:name="_Toc28906"/>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6" w:name="_Toc30599"/>
      <w:bookmarkStart w:id="507" w:name="_Toc4355"/>
      <w:bookmarkStart w:id="508" w:name="_Toc18540"/>
      <w:r>
        <w:rPr>
          <w:rFonts w:hint="eastAsia" w:ascii="宋体" w:hAnsi="宋体" w:cs="宋体"/>
          <w:b/>
          <w:color w:val="auto"/>
          <w:sz w:val="24"/>
          <w:highlight w:val="none"/>
        </w:rPr>
        <w:t>2.18 计量单位</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pStyle w:val="26"/>
        <w:ind w:left="0" w:leftChars="0" w:firstLine="0" w:firstLineChars="0"/>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6"/>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pPr>
        <w:spacing w:line="360" w:lineRule="auto"/>
        <w:ind w:firstLine="482" w:firstLineChars="200"/>
        <w:rPr>
          <w:rFonts w:ascii="宋体" w:hAnsi="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8"/>
      </w:rPr>
    </w:pPr>
    <w:r>
      <w:fldChar w:fldCharType="begin"/>
    </w:r>
    <w:r>
      <w:rPr>
        <w:rStyle w:val="78"/>
      </w:rPr>
      <w:instrText xml:space="preserve">PAGE  </w:instrText>
    </w:r>
    <w:r>
      <w:fldChar w:fldCharType="end"/>
    </w:r>
  </w:p>
  <w:p>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91899912"/>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78"/>
      </w:rPr>
    </w:pPr>
    <w:r>
      <w:fldChar w:fldCharType="begin"/>
    </w:r>
    <w:r>
      <w:rPr>
        <w:rStyle w:val="78"/>
      </w:rPr>
      <w:instrText xml:space="preserve">PAGE  </w:instrText>
    </w:r>
    <w:r>
      <w:fldChar w:fldCharType="end"/>
    </w:r>
  </w:p>
  <w:p>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w:t>
    </w:r>
    <w:r>
      <w:rPr>
        <w:rFonts w:hint="eastAsia"/>
      </w:rPr>
      <w:t xml:space="preserve">             </w:t>
    </w:r>
    <w:r>
      <w:t>杭州市政府采购公开招标文件</w:t>
    </w:r>
  </w:p>
  <w:p>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p>
  <w:p>
    <w:pPr>
      <w:pStyle w:val="47"/>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CEAF4"/>
    <w:multiLevelType w:val="singleLevel"/>
    <w:tmpl w:val="DF6CEAF4"/>
    <w:lvl w:ilvl="0" w:tentative="0">
      <w:start w:val="4"/>
      <w:numFmt w:val="chineseCounting"/>
      <w:suff w:val="nothing"/>
      <w:lvlText w:val="%1、"/>
      <w:lvlJc w:val="left"/>
      <w:rPr>
        <w:rFonts w:hint="eastAsia"/>
      </w:rPr>
    </w:lvl>
  </w:abstractNum>
  <w:abstractNum w:abstractNumId="1">
    <w:nsid w:val="FCF119BB"/>
    <w:multiLevelType w:val="singleLevel"/>
    <w:tmpl w:val="FCF119BB"/>
    <w:lvl w:ilvl="0" w:tentative="0">
      <w:start w:val="1"/>
      <w:numFmt w:val="decimal"/>
      <w:suff w:val="nothing"/>
      <w:lvlText w:val="（%1）"/>
      <w:lvlJc w:val="left"/>
    </w:lvl>
  </w:abstractNum>
  <w:abstractNum w:abstractNumId="2">
    <w:nsid w:val="3365A6E8"/>
    <w:multiLevelType w:val="singleLevel"/>
    <w:tmpl w:val="3365A6E8"/>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2U3OGUyOTQyOWJkODgzOGViODQzYzhkYTY4O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1A96"/>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4402CA"/>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41277"/>
    <w:rsid w:val="0A587DC9"/>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C2517"/>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25480"/>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537860"/>
    <w:rsid w:val="19932372"/>
    <w:rsid w:val="19A20DD5"/>
    <w:rsid w:val="19AE03F1"/>
    <w:rsid w:val="1A071A03"/>
    <w:rsid w:val="1A1F16AE"/>
    <w:rsid w:val="1A3B5C77"/>
    <w:rsid w:val="1A984BAD"/>
    <w:rsid w:val="1AB8220E"/>
    <w:rsid w:val="1AE4166C"/>
    <w:rsid w:val="1AF06CFB"/>
    <w:rsid w:val="1AF11B8D"/>
    <w:rsid w:val="1B0A68A9"/>
    <w:rsid w:val="1B11359C"/>
    <w:rsid w:val="1B2A271F"/>
    <w:rsid w:val="1B530544"/>
    <w:rsid w:val="1B713184"/>
    <w:rsid w:val="1BA209CF"/>
    <w:rsid w:val="1BB4777D"/>
    <w:rsid w:val="1BD75AB8"/>
    <w:rsid w:val="1BE441FB"/>
    <w:rsid w:val="1C0459C2"/>
    <w:rsid w:val="1C1B3B4A"/>
    <w:rsid w:val="1C3A1FA9"/>
    <w:rsid w:val="1C6872A1"/>
    <w:rsid w:val="1C88086E"/>
    <w:rsid w:val="1CD84D60"/>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904F0"/>
    <w:rsid w:val="216133FC"/>
    <w:rsid w:val="2185666F"/>
    <w:rsid w:val="21D56769"/>
    <w:rsid w:val="21E52EF3"/>
    <w:rsid w:val="21FB5D7B"/>
    <w:rsid w:val="22015E94"/>
    <w:rsid w:val="220B1C3D"/>
    <w:rsid w:val="221D1D20"/>
    <w:rsid w:val="22334A87"/>
    <w:rsid w:val="22BE6801"/>
    <w:rsid w:val="22E22A19"/>
    <w:rsid w:val="23014171"/>
    <w:rsid w:val="233500BF"/>
    <w:rsid w:val="23377FF7"/>
    <w:rsid w:val="236B425F"/>
    <w:rsid w:val="23836192"/>
    <w:rsid w:val="23901F29"/>
    <w:rsid w:val="239C0061"/>
    <w:rsid w:val="23B908A4"/>
    <w:rsid w:val="23E95BEF"/>
    <w:rsid w:val="23FB0A83"/>
    <w:rsid w:val="23FD0064"/>
    <w:rsid w:val="243D5090"/>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539F5"/>
    <w:rsid w:val="29806583"/>
    <w:rsid w:val="298265C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17993"/>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3660E1"/>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F5989"/>
    <w:rsid w:val="37EE7094"/>
    <w:rsid w:val="38296C89"/>
    <w:rsid w:val="383002EB"/>
    <w:rsid w:val="38586797"/>
    <w:rsid w:val="389B0515"/>
    <w:rsid w:val="38BC0149"/>
    <w:rsid w:val="38D87D1C"/>
    <w:rsid w:val="39416E46"/>
    <w:rsid w:val="39544CE7"/>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26666"/>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44673F"/>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A1A77"/>
    <w:rsid w:val="50962ECB"/>
    <w:rsid w:val="50A42E38"/>
    <w:rsid w:val="50A4577F"/>
    <w:rsid w:val="50B73D1F"/>
    <w:rsid w:val="50BD5BC9"/>
    <w:rsid w:val="50C11EEE"/>
    <w:rsid w:val="50E97CFC"/>
    <w:rsid w:val="50FA4028"/>
    <w:rsid w:val="510D65B7"/>
    <w:rsid w:val="511157AB"/>
    <w:rsid w:val="5142540C"/>
    <w:rsid w:val="518832C8"/>
    <w:rsid w:val="51962A9D"/>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1CA9"/>
    <w:rsid w:val="58B85899"/>
    <w:rsid w:val="58E363A9"/>
    <w:rsid w:val="595E1678"/>
    <w:rsid w:val="596D5BD4"/>
    <w:rsid w:val="597E3DD8"/>
    <w:rsid w:val="5983260B"/>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178A0"/>
    <w:rsid w:val="5EFC7377"/>
    <w:rsid w:val="5F06174D"/>
    <w:rsid w:val="5F3A3602"/>
    <w:rsid w:val="5F45733B"/>
    <w:rsid w:val="5F6277C6"/>
    <w:rsid w:val="5F6D0B1D"/>
    <w:rsid w:val="5F8D0B82"/>
    <w:rsid w:val="5FCC5339"/>
    <w:rsid w:val="5FE34A5B"/>
    <w:rsid w:val="5FFE0BD7"/>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A0E21"/>
    <w:rsid w:val="6ADE0BD1"/>
    <w:rsid w:val="6AE96859"/>
    <w:rsid w:val="6B147746"/>
    <w:rsid w:val="6B24787C"/>
    <w:rsid w:val="6B573233"/>
    <w:rsid w:val="6B5B6274"/>
    <w:rsid w:val="6B935D53"/>
    <w:rsid w:val="6BDD2F9E"/>
    <w:rsid w:val="6BFB7BD7"/>
    <w:rsid w:val="6C196F71"/>
    <w:rsid w:val="6C226FCB"/>
    <w:rsid w:val="6C31226F"/>
    <w:rsid w:val="6C552F0B"/>
    <w:rsid w:val="6C5A326C"/>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1F290F"/>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B4E91"/>
    <w:rsid w:val="77340A39"/>
    <w:rsid w:val="77351FD0"/>
    <w:rsid w:val="77472422"/>
    <w:rsid w:val="777F31F2"/>
    <w:rsid w:val="77D1700D"/>
    <w:rsid w:val="77EC04CC"/>
    <w:rsid w:val="78775729"/>
    <w:rsid w:val="78811502"/>
    <w:rsid w:val="78A42DB0"/>
    <w:rsid w:val="78A656AB"/>
    <w:rsid w:val="78B2245C"/>
    <w:rsid w:val="78E172CC"/>
    <w:rsid w:val="78EA1D1F"/>
    <w:rsid w:val="78FD502C"/>
    <w:rsid w:val="7904172F"/>
    <w:rsid w:val="790F7E27"/>
    <w:rsid w:val="792A231A"/>
    <w:rsid w:val="79316829"/>
    <w:rsid w:val="79690FD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75C9C"/>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4"/>
    <w:autoRedefine/>
    <w:qFormat/>
    <w:uiPriority w:val="0"/>
    <w:pPr>
      <w:ind w:firstLine="420"/>
    </w:pPr>
    <w:rPr>
      <w:rFonts w:hAnsi="Calibri" w:cs="Times New Roman"/>
      <w:snapToGrid/>
      <w:szCs w:val="20"/>
    </w:rPr>
  </w:style>
  <w:style w:type="paragraph" w:styleId="27">
    <w:name w:val="Body Text Indent"/>
    <w:basedOn w:val="1"/>
    <w:next w:val="28"/>
    <w:link w:val="268"/>
    <w:autoRedefine/>
    <w:qFormat/>
    <w:uiPriority w:val="0"/>
    <w:pPr>
      <w:spacing w:line="480" w:lineRule="exact"/>
      <w:ind w:firstLine="480" w:firstLineChars="200"/>
    </w:pPr>
    <w:rPr>
      <w:rFonts w:ascii="宋体" w:hAnsi="宋体"/>
      <w:sz w:val="24"/>
    </w:rPr>
  </w:style>
  <w:style w:type="paragraph" w:customStyle="1" w:styleId="28">
    <w:name w:val="正文文本首行缩进 2"/>
    <w:basedOn w:val="29"/>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9">
    <w:name w:val="正文缩进1"/>
    <w:basedOn w:val="30"/>
    <w:next w:val="28"/>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0">
    <w:name w:val="正文1"/>
    <w:basedOn w:val="31"/>
    <w:next w:val="32"/>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2">
    <w:name w:val="标题 21"/>
    <w:basedOn w:val="30"/>
    <w:next w:val="30"/>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autoRedefine/>
    <w:qFormat/>
    <w:uiPriority w:val="0"/>
    <w:pPr>
      <w:adjustRightInd/>
      <w:spacing w:line="360" w:lineRule="auto"/>
      <w:ind w:left="100" w:leftChars="200" w:hanging="200" w:hangingChars="200"/>
    </w:pPr>
    <w:rPr>
      <w:rFonts w:eastAsia="微软雅黑"/>
    </w:rPr>
  </w:style>
  <w:style w:type="paragraph" w:styleId="3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Plain Text"/>
    <w:basedOn w:val="1"/>
    <w:link w:val="129"/>
    <w:autoRedefine/>
    <w:qFormat/>
    <w:uiPriority w:val="0"/>
    <w:rPr>
      <w:rFonts w:ascii="宋体" w:hAnsi="Courier New" w:cs="Arial"/>
      <w:snapToGrid w:val="0"/>
      <w:szCs w:val="21"/>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autoRedefine/>
    <w:qFormat/>
    <w:uiPriority w:val="0"/>
    <w:pPr>
      <w:ind w:left="2940" w:leftChars="1400"/>
    </w:pPr>
  </w:style>
  <w:style w:type="paragraph" w:styleId="42">
    <w:name w:val="Date"/>
    <w:basedOn w:val="1"/>
    <w:next w:val="1"/>
    <w:link w:val="185"/>
    <w:autoRedefine/>
    <w:qFormat/>
    <w:uiPriority w:val="0"/>
    <w:pPr>
      <w:ind w:left="100" w:leftChars="2500"/>
    </w:pPr>
    <w:rPr>
      <w:rFonts w:ascii="宋体"/>
      <w:sz w:val="24"/>
      <w:szCs w:val="21"/>
      <w:lang w:val="zh-CN"/>
    </w:rPr>
  </w:style>
  <w:style w:type="paragraph" w:styleId="43">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4">
    <w:name w:val="endnote text"/>
    <w:basedOn w:val="1"/>
    <w:link w:val="933"/>
    <w:autoRedefine/>
    <w:qFormat/>
    <w:uiPriority w:val="0"/>
    <w:rPr>
      <w:lang w:val="zh-CN"/>
    </w:rPr>
  </w:style>
  <w:style w:type="paragraph" w:styleId="45">
    <w:name w:val="Balloon Text"/>
    <w:basedOn w:val="1"/>
    <w:link w:val="192"/>
    <w:autoRedefine/>
    <w:qFormat/>
    <w:uiPriority w:val="0"/>
    <w:rPr>
      <w:sz w:val="18"/>
      <w:szCs w:val="18"/>
    </w:rPr>
  </w:style>
  <w:style w:type="paragraph" w:styleId="46">
    <w:name w:val="footer"/>
    <w:basedOn w:val="1"/>
    <w:link w:val="386"/>
    <w:autoRedefine/>
    <w:qFormat/>
    <w:uiPriority w:val="99"/>
    <w:pPr>
      <w:tabs>
        <w:tab w:val="center" w:pos="4153"/>
        <w:tab w:val="right" w:pos="8306"/>
      </w:tabs>
      <w:snapToGrid w:val="0"/>
      <w:jc w:val="left"/>
    </w:pPr>
    <w:rPr>
      <w:sz w:val="18"/>
      <w:szCs w:val="18"/>
    </w:rPr>
  </w:style>
  <w:style w:type="paragraph" w:styleId="47">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autoRedefine/>
    <w:qFormat/>
    <w:uiPriority w:val="0"/>
    <w:pPr>
      <w:ind w:left="2100" w:leftChars="1000"/>
    </w:pPr>
  </w:style>
  <w:style w:type="paragraph" w:styleId="58">
    <w:name w:val="List 5"/>
    <w:basedOn w:val="1"/>
    <w:autoRedefine/>
    <w:qFormat/>
    <w:uiPriority w:val="0"/>
    <w:pPr>
      <w:adjustRightInd/>
      <w:ind w:left="100" w:leftChars="800" w:hanging="200" w:hangingChars="200"/>
    </w:pPr>
  </w:style>
  <w:style w:type="paragraph" w:styleId="59">
    <w:name w:val="Body Text Indent 3"/>
    <w:basedOn w:val="1"/>
    <w:link w:val="378"/>
    <w:autoRedefine/>
    <w:qFormat/>
    <w:uiPriority w:val="0"/>
    <w:pPr>
      <w:spacing w:line="360" w:lineRule="auto"/>
      <w:ind w:firstLine="420"/>
    </w:pPr>
    <w:rPr>
      <w:sz w:val="24"/>
      <w:szCs w:val="20"/>
    </w:rPr>
  </w:style>
  <w:style w:type="paragraph" w:styleId="60">
    <w:name w:val="toc 2"/>
    <w:basedOn w:val="1"/>
    <w:next w:val="1"/>
    <w:autoRedefine/>
    <w:qFormat/>
    <w:uiPriority w:val="0"/>
    <w:pPr>
      <w:ind w:left="420" w:leftChars="200"/>
    </w:pPr>
  </w:style>
  <w:style w:type="paragraph" w:styleId="61">
    <w:name w:val="toc 9"/>
    <w:basedOn w:val="1"/>
    <w:next w:val="1"/>
    <w:autoRedefine/>
    <w:qFormat/>
    <w:uiPriority w:val="0"/>
    <w:pPr>
      <w:ind w:left="3360" w:leftChars="1600"/>
    </w:pPr>
  </w:style>
  <w:style w:type="paragraph" w:styleId="62">
    <w:name w:val="Body Text 2"/>
    <w:basedOn w:val="1"/>
    <w:link w:val="305"/>
    <w:autoRedefine/>
    <w:qFormat/>
    <w:uiPriority w:val="0"/>
    <w:pPr>
      <w:spacing w:after="120" w:line="480" w:lineRule="auto"/>
    </w:pPr>
  </w:style>
  <w:style w:type="paragraph" w:styleId="63">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21"/>
    <w:next w:val="21"/>
    <w:link w:val="100"/>
    <w:autoRedefine/>
    <w:qFormat/>
    <w:uiPriority w:val="0"/>
    <w:rPr>
      <w:b/>
      <w:bCs/>
    </w:rPr>
  </w:style>
  <w:style w:type="paragraph" w:styleId="67">
    <w:name w:val="Body Text First Indent 2"/>
    <w:basedOn w:val="27"/>
    <w:link w:val="125"/>
    <w:autoRedefine/>
    <w:qFormat/>
    <w:uiPriority w:val="0"/>
    <w:pPr>
      <w:adjustRightInd/>
      <w:spacing w:after="120" w:line="240" w:lineRule="auto"/>
      <w:ind w:left="420" w:leftChars="200" w:firstLine="210"/>
    </w:pPr>
    <w:rPr>
      <w:sz w:val="21"/>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paragraph" w:customStyle="1" w:styleId="85">
    <w:name w:val="Normal Indent1"/>
    <w:basedOn w:val="1"/>
    <w:autoRedefine/>
    <w:qFormat/>
    <w:uiPriority w:val="0"/>
    <w:pPr>
      <w:ind w:firstLine="420" w:firstLineChars="200"/>
    </w:p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6"/>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7"/>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5"/>
    <w:autoRedefine/>
    <w:qFormat/>
    <w:uiPriority w:val="0"/>
    <w:rPr>
      <w:rFonts w:ascii="Arial" w:hAnsi="Arial" w:eastAsia="黑体" w:cs="Arial"/>
      <w:snapToGrid w:val="0"/>
      <w:kern w:val="0"/>
      <w:szCs w:val="21"/>
    </w:rPr>
  </w:style>
  <w:style w:type="character" w:customStyle="1" w:styleId="129">
    <w:name w:val="纯文本 Char"/>
    <w:link w:val="39"/>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3"/>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42"/>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5"/>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5"/>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7"/>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5"/>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3"/>
    <w:autoRedefine/>
    <w:qFormat/>
    <w:uiPriority w:val="0"/>
    <w:rPr>
      <w:rFonts w:ascii="黑体" w:hAnsi="Courier New" w:eastAsia="黑体"/>
    </w:rPr>
  </w:style>
  <w:style w:type="character" w:customStyle="1" w:styleId="305">
    <w:name w:val="正文文本 2 Char1"/>
    <w:link w:val="62"/>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43"/>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6"/>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6"/>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8"/>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9"/>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6"/>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7"/>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5"/>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5"/>
    <w:autoRedefine/>
    <w:qFormat/>
    <w:uiPriority w:val="0"/>
    <w:rPr>
      <w:rFonts w:ascii="Arial" w:hAnsi="Arial" w:eastAsia="黑体" w:cs="Arial"/>
      <w:snapToGrid w:val="0"/>
      <w:kern w:val="0"/>
      <w:szCs w:val="21"/>
    </w:rPr>
  </w:style>
  <w:style w:type="character" w:customStyle="1" w:styleId="435">
    <w:name w:val="hui"/>
    <w:basedOn w:val="75"/>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2"/>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3"/>
    <w:autoRedefine/>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9"/>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3"/>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4"/>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5"/>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40179</Words>
  <Characters>42632</Characters>
  <Lines>281</Lines>
  <Paragraphs>79</Paragraphs>
  <TotalTime>189</TotalTime>
  <ScaleCrop>false</ScaleCrop>
  <LinksUpToDate>false</LinksUpToDate>
  <CharactersWithSpaces>48205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WPS_1481965622</cp:lastModifiedBy>
  <cp:lastPrinted>2024-04-01T06:37:00Z</cp:lastPrinted>
  <dcterms:modified xsi:type="dcterms:W3CDTF">2024-04-25T08:45:52Z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3FCA3036179E45E982843F1124ADB02C_13</vt:lpwstr>
  </property>
</Properties>
</file>