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微软雅黑" w:hAnsi="微软雅黑" w:eastAsia="微软雅黑" w:cs="微软雅黑"/>
          <w:b/>
          <w:snapToGrid w:val="0"/>
          <w:sz w:val="52"/>
          <w:lang w:eastAsia="zh-CN"/>
        </w:rPr>
      </w:pPr>
      <w:r>
        <w:rPr>
          <w:rFonts w:hint="eastAsia" w:ascii="微软雅黑" w:hAnsi="微软雅黑" w:eastAsia="微软雅黑" w:cs="微软雅黑"/>
          <w:bCs/>
          <w:snapToGrid w:val="0"/>
          <w:sz w:val="44"/>
          <w:szCs w:val="44"/>
          <w:lang w:eastAsia="zh-CN"/>
        </w:rPr>
        <w:t>湖州市南浔区住房和城乡建设局年度（2022-2025）绿化养护服务采购</w:t>
      </w:r>
    </w:p>
    <w:p>
      <w:pPr>
        <w:adjustRightInd w:val="0"/>
        <w:snapToGrid w:val="0"/>
        <w:spacing w:line="360" w:lineRule="auto"/>
        <w:jc w:val="center"/>
        <w:rPr>
          <w:rFonts w:ascii="微软雅黑" w:hAnsi="微软雅黑" w:eastAsia="微软雅黑" w:cs="微软雅黑"/>
          <w:b/>
          <w:snapToGrid w:val="0"/>
          <w:color w:val="auto"/>
          <w:sz w:val="44"/>
          <w:szCs w:val="21"/>
        </w:rPr>
      </w:pPr>
      <w:r>
        <w:rPr>
          <w:rFonts w:hint="eastAsia" w:ascii="微软雅黑" w:hAnsi="微软雅黑" w:eastAsia="微软雅黑" w:cs="微软雅黑"/>
          <w:b/>
          <w:color w:val="auto"/>
          <w:sz w:val="52"/>
          <w:szCs w:val="52"/>
        </w:rPr>
        <w:t>公开招标文件</w:t>
      </w:r>
    </w:p>
    <w:p>
      <w:pPr>
        <w:adjustRightInd w:val="0"/>
        <w:snapToGrid w:val="0"/>
        <w:spacing w:line="360" w:lineRule="auto"/>
        <w:jc w:val="center"/>
        <w:rPr>
          <w:rFonts w:hint="eastAsia" w:ascii="微软雅黑" w:hAnsi="微软雅黑" w:eastAsia="微软雅黑" w:cs="微软雅黑"/>
          <w:bCs/>
          <w:snapToGrid w:val="0"/>
          <w:sz w:val="30"/>
          <w:lang w:eastAsia="zh-CN"/>
        </w:rPr>
      </w:pPr>
      <w:r>
        <w:rPr>
          <w:rFonts w:hint="eastAsia" w:ascii="微软雅黑" w:hAnsi="微软雅黑" w:eastAsia="微软雅黑" w:cs="微软雅黑"/>
          <w:bCs/>
          <w:snapToGrid w:val="0"/>
          <w:sz w:val="30"/>
        </w:rPr>
        <w:t>招标文件编号：</w:t>
      </w:r>
      <w:r>
        <w:rPr>
          <w:rFonts w:hint="eastAsia" w:ascii="微软雅黑" w:hAnsi="微软雅黑" w:eastAsia="微软雅黑" w:cs="微软雅黑"/>
          <w:bCs/>
          <w:snapToGrid w:val="0"/>
          <w:sz w:val="30"/>
          <w:lang w:eastAsia="zh-CN"/>
        </w:rPr>
        <w:t>浙华采字【2022】hzf-7046号</w:t>
      </w:r>
    </w:p>
    <w:p>
      <w:pPr>
        <w:adjustRightInd w:val="0"/>
        <w:snapToGrid w:val="0"/>
        <w:spacing w:line="360" w:lineRule="auto"/>
        <w:jc w:val="center"/>
        <w:rPr>
          <w:rFonts w:ascii="微软雅黑" w:hAnsi="微软雅黑" w:eastAsia="微软雅黑" w:cs="微软雅黑"/>
          <w:bCs/>
          <w:snapToGrid w:val="0"/>
          <w:sz w:val="30"/>
        </w:rPr>
      </w:pPr>
    </w:p>
    <w:p>
      <w:pPr>
        <w:adjustRightInd w:val="0"/>
        <w:snapToGrid w:val="0"/>
        <w:spacing w:line="360" w:lineRule="auto"/>
        <w:jc w:val="center"/>
        <w:rPr>
          <w:rFonts w:ascii="微软雅黑" w:hAnsi="微软雅黑" w:eastAsia="微软雅黑" w:cs="微软雅黑"/>
          <w:b/>
          <w:snapToGrid w:val="0"/>
          <w:sz w:val="24"/>
        </w:rPr>
      </w:pPr>
      <w:r>
        <w:rPr>
          <w:rFonts w:hint="eastAsia" w:ascii="微软雅黑" w:hAnsi="微软雅黑" w:eastAsia="微软雅黑" w:cs="微软雅黑"/>
          <w:b/>
          <w:snapToGrid w:val="0"/>
          <w:sz w:val="24"/>
        </w:rPr>
        <w:t xml:space="preserve">【财政审批编号 : </w:t>
      </w:r>
      <w:r>
        <w:rPr>
          <w:rFonts w:hint="eastAsia" w:ascii="微软雅黑" w:hAnsi="微软雅黑" w:eastAsia="微软雅黑" w:cs="微软雅黑"/>
          <w:b/>
          <w:snapToGrid w:val="0"/>
          <w:sz w:val="24"/>
          <w:lang w:eastAsia="zh-CN"/>
        </w:rPr>
        <w:t>临[2022]653号</w:t>
      </w:r>
      <w:r>
        <w:rPr>
          <w:rFonts w:hint="eastAsia" w:ascii="微软雅黑" w:hAnsi="微软雅黑" w:eastAsia="微软雅黑" w:cs="微软雅黑"/>
          <w:b/>
          <w:snapToGrid w:val="0"/>
          <w:sz w:val="24"/>
        </w:rPr>
        <w:t>】</w:t>
      </w:r>
    </w:p>
    <w:p>
      <w:pPr>
        <w:adjustRightInd w:val="0"/>
        <w:snapToGrid w:val="0"/>
        <w:spacing w:line="360" w:lineRule="auto"/>
        <w:jc w:val="center"/>
        <w:rPr>
          <w:rFonts w:ascii="微软雅黑" w:hAnsi="微软雅黑" w:eastAsia="微软雅黑" w:cs="微软雅黑"/>
          <w:b/>
          <w:snapToGrid w:val="0"/>
          <w:sz w:val="32"/>
        </w:rPr>
      </w:pPr>
    </w:p>
    <w:p>
      <w:pPr>
        <w:pStyle w:val="2"/>
        <w:ind w:firstLine="0" w:firstLineChars="0"/>
        <w:rPr>
          <w:rFonts w:ascii="微软雅黑" w:hAnsi="微软雅黑" w:eastAsia="微软雅黑" w:cs="微软雅黑"/>
          <w:b/>
          <w:snapToGrid w:val="0"/>
          <w:sz w:val="32"/>
        </w:rPr>
      </w:pPr>
    </w:p>
    <w:p>
      <w:pPr>
        <w:adjustRightInd w:val="0"/>
        <w:snapToGrid w:val="0"/>
        <w:spacing w:line="360" w:lineRule="auto"/>
        <w:rPr>
          <w:rFonts w:ascii="微软雅黑" w:hAnsi="微软雅黑" w:eastAsia="微软雅黑" w:cs="微软雅黑"/>
          <w:bCs/>
          <w:snapToGrid w:val="0"/>
          <w:sz w:val="32"/>
        </w:rPr>
      </w:pPr>
    </w:p>
    <w:p>
      <w:pPr>
        <w:adjustRightInd w:val="0"/>
        <w:snapToGrid w:val="0"/>
        <w:ind w:left="1920" w:hanging="1920" w:hangingChars="600"/>
        <w:rPr>
          <w:rFonts w:hint="eastAsia" w:ascii="微软雅黑" w:hAnsi="微软雅黑" w:eastAsia="微软雅黑" w:cs="微软雅黑"/>
          <w:bCs/>
          <w:snapToGrid w:val="0"/>
          <w:sz w:val="32"/>
          <w:u w:val="single"/>
          <w:lang w:eastAsia="zh-CN"/>
        </w:rPr>
      </w:pPr>
      <w:r>
        <w:rPr>
          <w:rFonts w:hint="eastAsia" w:ascii="微软雅黑" w:hAnsi="微软雅黑" w:eastAsia="微软雅黑" w:cs="微软雅黑"/>
          <w:bCs/>
          <w:snapToGrid w:val="0"/>
          <w:sz w:val="32"/>
        </w:rPr>
        <w:t>项目名称：</w:t>
      </w:r>
      <w:r>
        <w:rPr>
          <w:rFonts w:hint="eastAsia" w:ascii="微软雅黑" w:hAnsi="微软雅黑" w:eastAsia="微软雅黑" w:cs="微软雅黑"/>
          <w:bCs/>
          <w:snapToGrid w:val="0"/>
          <w:sz w:val="32"/>
          <w:u w:val="single"/>
          <w:lang w:eastAsia="zh-CN"/>
        </w:rPr>
        <w:t>湖州市南浔区住房和城乡建设局年度（2022-2025）绿化养护服务采购</w:t>
      </w:r>
    </w:p>
    <w:p>
      <w:pPr>
        <w:adjustRightInd w:val="0"/>
        <w:snapToGrid w:val="0"/>
        <w:rPr>
          <w:rFonts w:ascii="微软雅黑" w:hAnsi="微软雅黑" w:eastAsia="微软雅黑" w:cs="微软雅黑"/>
          <w:bCs/>
          <w:snapToGrid w:val="0"/>
          <w:sz w:val="32"/>
        </w:rPr>
      </w:pPr>
    </w:p>
    <w:p>
      <w:pPr>
        <w:adjustRightInd w:val="0"/>
        <w:snapToGrid w:val="0"/>
        <w:rPr>
          <w:rFonts w:ascii="微软雅黑" w:hAnsi="微软雅黑" w:eastAsia="微软雅黑" w:cs="微软雅黑"/>
          <w:bCs/>
          <w:snapToGrid w:val="0"/>
          <w:sz w:val="32"/>
          <w:u w:val="single"/>
        </w:rPr>
      </w:pPr>
      <w:r>
        <w:rPr>
          <w:rFonts w:hint="eastAsia" w:ascii="微软雅黑" w:hAnsi="微软雅黑" w:eastAsia="微软雅黑" w:cs="微软雅黑"/>
          <w:bCs/>
          <w:snapToGrid w:val="0"/>
          <w:spacing w:val="60"/>
          <w:sz w:val="32"/>
        </w:rPr>
        <w:t>采购单位</w:t>
      </w:r>
      <w:r>
        <w:rPr>
          <w:rFonts w:hint="eastAsia" w:ascii="微软雅黑" w:hAnsi="微软雅黑" w:eastAsia="微软雅黑" w:cs="微软雅黑"/>
          <w:bCs/>
          <w:snapToGrid w:val="0"/>
          <w:sz w:val="32"/>
        </w:rPr>
        <w:t>：</w:t>
      </w:r>
      <w:r>
        <w:rPr>
          <w:rFonts w:hint="eastAsia" w:ascii="微软雅黑" w:hAnsi="微软雅黑" w:eastAsia="微软雅黑" w:cs="微软雅黑"/>
          <w:bCs/>
          <w:snapToGrid w:val="0"/>
          <w:sz w:val="32"/>
          <w:u w:val="single"/>
          <w:lang w:eastAsia="zh-CN"/>
        </w:rPr>
        <w:t>南浔区住房和城乡建设局</w:t>
      </w:r>
      <w:r>
        <w:rPr>
          <w:rFonts w:hint="eastAsia" w:ascii="微软雅黑" w:hAnsi="微软雅黑" w:eastAsia="微软雅黑" w:cs="微软雅黑"/>
          <w:bCs/>
          <w:snapToGrid w:val="0"/>
          <w:sz w:val="32"/>
          <w:u w:val="single"/>
        </w:rPr>
        <w:t xml:space="preserve"> </w:t>
      </w:r>
    </w:p>
    <w:p>
      <w:pPr>
        <w:adjustRightInd w:val="0"/>
        <w:snapToGrid w:val="0"/>
        <w:rPr>
          <w:rFonts w:ascii="微软雅黑" w:hAnsi="微软雅黑" w:eastAsia="微软雅黑" w:cs="微软雅黑"/>
          <w:bCs/>
          <w:snapToGrid w:val="0"/>
          <w:sz w:val="32"/>
        </w:rPr>
      </w:pPr>
    </w:p>
    <w:p>
      <w:pPr>
        <w:adjustRightInd w:val="0"/>
        <w:snapToGrid w:val="0"/>
        <w:rPr>
          <w:rFonts w:ascii="微软雅黑" w:hAnsi="微软雅黑" w:eastAsia="微软雅黑" w:cs="微软雅黑"/>
          <w:bCs/>
          <w:snapToGrid w:val="0"/>
          <w:sz w:val="32"/>
        </w:rPr>
      </w:pPr>
      <w:r>
        <w:rPr>
          <w:rFonts w:hint="eastAsia" w:ascii="微软雅黑" w:hAnsi="微软雅黑" w:eastAsia="微软雅黑" w:cs="微软雅黑"/>
          <w:bCs/>
          <w:snapToGrid w:val="0"/>
          <w:sz w:val="32"/>
        </w:rPr>
        <w:t>招标代理机构：</w:t>
      </w:r>
      <w:r>
        <w:rPr>
          <w:rFonts w:hint="eastAsia" w:ascii="微软雅黑" w:hAnsi="微软雅黑" w:eastAsia="微软雅黑" w:cs="微软雅黑"/>
          <w:bCs/>
          <w:snapToGrid w:val="0"/>
          <w:sz w:val="32"/>
          <w:u w:val="single"/>
        </w:rPr>
        <w:t>浙江华夏工程管理有限公司</w:t>
      </w:r>
    </w:p>
    <w:p>
      <w:pPr>
        <w:adjustRightInd w:val="0"/>
        <w:snapToGrid w:val="0"/>
        <w:ind w:firstLine="839" w:firstLineChars="262"/>
        <w:rPr>
          <w:rFonts w:ascii="微软雅黑" w:hAnsi="微软雅黑" w:eastAsia="微软雅黑" w:cs="微软雅黑"/>
          <w:b/>
          <w:snapToGrid w:val="0"/>
          <w:sz w:val="32"/>
        </w:rPr>
      </w:pPr>
    </w:p>
    <w:p>
      <w:pPr>
        <w:adjustRightInd w:val="0"/>
        <w:snapToGrid w:val="0"/>
        <w:spacing w:line="360" w:lineRule="auto"/>
        <w:jc w:val="center"/>
        <w:rPr>
          <w:rFonts w:ascii="微软雅黑" w:hAnsi="微软雅黑" w:eastAsia="微软雅黑" w:cs="微软雅黑"/>
          <w:bCs/>
          <w:snapToGrid w:val="0"/>
          <w:sz w:val="32"/>
        </w:rPr>
      </w:pPr>
      <w:r>
        <w:rPr>
          <w:rFonts w:hint="eastAsia" w:ascii="微软雅黑" w:hAnsi="微软雅黑" w:eastAsia="微软雅黑" w:cs="微软雅黑"/>
          <w:bCs/>
          <w:snapToGrid w:val="0"/>
          <w:sz w:val="32"/>
          <w:u w:val="single"/>
        </w:rPr>
        <w:t xml:space="preserve">2022 </w:t>
      </w:r>
      <w:r>
        <w:rPr>
          <w:rFonts w:hint="eastAsia" w:ascii="微软雅黑" w:hAnsi="微软雅黑" w:eastAsia="微软雅黑" w:cs="微软雅黑"/>
          <w:bCs/>
          <w:snapToGrid w:val="0"/>
          <w:sz w:val="32"/>
        </w:rPr>
        <w:t>年</w:t>
      </w:r>
      <w:r>
        <w:rPr>
          <w:rFonts w:hint="eastAsia" w:ascii="微软雅黑" w:hAnsi="微软雅黑" w:eastAsia="微软雅黑" w:cs="微软雅黑"/>
          <w:bCs/>
          <w:snapToGrid w:val="0"/>
          <w:sz w:val="32"/>
          <w:u w:val="single"/>
          <w:lang w:val="en-US" w:eastAsia="zh-CN"/>
        </w:rPr>
        <w:t>8</w:t>
      </w:r>
      <w:r>
        <w:rPr>
          <w:rFonts w:hint="eastAsia" w:ascii="微软雅黑" w:hAnsi="微软雅黑" w:eastAsia="微软雅黑" w:cs="微软雅黑"/>
          <w:bCs/>
          <w:snapToGrid w:val="0"/>
          <w:sz w:val="32"/>
        </w:rPr>
        <w:t>月</w:t>
      </w:r>
    </w:p>
    <w:p>
      <w:pPr>
        <w:jc w:val="left"/>
        <w:rPr>
          <w:rFonts w:ascii="微软雅黑" w:hAnsi="微软雅黑" w:eastAsia="微软雅黑" w:cs="微软雅黑"/>
        </w:rPr>
        <w:sectPr>
          <w:headerReference r:id="rId4" w:type="first"/>
          <w:headerReference r:id="rId3" w:type="default"/>
          <w:pgSz w:w="11907" w:h="16840"/>
          <w:pgMar w:top="1134" w:right="1247" w:bottom="1191" w:left="1128" w:header="851" w:footer="992" w:gutter="0"/>
          <w:cols w:space="720" w:num="1"/>
          <w:docGrid w:linePitch="381" w:charSpace="0"/>
        </w:sectPr>
      </w:pPr>
      <w:bookmarkStart w:id="0" w:name="_Toc20907"/>
    </w:p>
    <w:p>
      <w:pPr>
        <w:spacing w:line="360" w:lineRule="auto"/>
        <w:jc w:val="center"/>
        <w:outlineLvl w:val="0"/>
        <w:rPr>
          <w:rFonts w:ascii="微软雅黑" w:hAnsi="微软雅黑" w:eastAsia="微软雅黑" w:cs="微软雅黑"/>
        </w:rPr>
      </w:pPr>
      <w:r>
        <w:rPr>
          <w:rFonts w:hint="eastAsia" w:ascii="微软雅黑" w:hAnsi="微软雅黑" w:eastAsia="微软雅黑" w:cs="微软雅黑"/>
          <w:b/>
          <w:sz w:val="44"/>
          <w:szCs w:val="44"/>
        </w:rPr>
        <w:t>目  录</w:t>
      </w:r>
      <w:bookmarkEnd w:id="0"/>
    </w:p>
    <w:p>
      <w:pPr>
        <w:pStyle w:val="16"/>
        <w:spacing w:line="480" w:lineRule="exact"/>
        <w:rPr>
          <w:rFonts w:ascii="微软雅黑" w:hAnsi="微软雅黑" w:eastAsia="微软雅黑" w:cs="微软雅黑"/>
          <w:kern w:val="0"/>
          <w:szCs w:val="28"/>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"1-2" \h \u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kern w:val="0"/>
          <w:szCs w:val="28"/>
        </w:rPr>
        <w:t>招标公告</w:t>
      </w:r>
      <w:r>
        <w:rPr>
          <w:rFonts w:hint="eastAsia" w:ascii="微软雅黑" w:hAnsi="微软雅黑" w:eastAsia="微软雅黑" w:cs="微软雅黑"/>
          <w:kern w:val="0"/>
          <w:szCs w:val="28"/>
        </w:rPr>
        <w:tab/>
      </w:r>
      <w:r>
        <w:rPr>
          <w:rFonts w:hint="eastAsia" w:ascii="微软雅黑" w:hAnsi="微软雅黑" w:eastAsia="微软雅黑" w:cs="微软雅黑"/>
          <w:kern w:val="0"/>
          <w:szCs w:val="28"/>
        </w:rPr>
        <w:t>.........................................................................................................1</w:t>
      </w:r>
    </w:p>
    <w:p>
      <w:pPr>
        <w:pStyle w:val="16"/>
        <w:tabs>
          <w:tab w:val="right" w:leader="dot" w:pos="8494"/>
        </w:tabs>
        <w:rPr>
          <w:rFonts w:ascii="微软雅黑" w:hAnsi="微软雅黑" w:eastAsia="微软雅黑" w:cs="微软雅黑"/>
          <w:szCs w:val="28"/>
        </w:rPr>
      </w:pPr>
      <w:r>
        <w:rPr>
          <w:rStyle w:val="24"/>
          <w:rFonts w:hint="eastAsia" w:ascii="微软雅黑" w:hAnsi="微软雅黑" w:eastAsia="微软雅黑" w:cs="微软雅黑"/>
          <w:sz w:val="28"/>
          <w:szCs w:val="28"/>
        </w:rPr>
        <w:fldChar w:fldCharType="begin"/>
      </w:r>
      <w:r>
        <w:rPr>
          <w:rStyle w:val="24"/>
          <w:rFonts w:hint="eastAsia" w:ascii="微软雅黑" w:hAnsi="微软雅黑" w:eastAsia="微软雅黑" w:cs="微软雅黑"/>
          <w:sz w:val="28"/>
          <w:szCs w:val="28"/>
        </w:rPr>
        <w:instrText xml:space="preserve">TOC \o "1-3" \h \z \u</w:instrText>
      </w:r>
      <w:r>
        <w:rPr>
          <w:rStyle w:val="24"/>
          <w:rFonts w:hint="eastAsia" w:ascii="微软雅黑" w:hAnsi="微软雅黑" w:eastAsia="微软雅黑" w:cs="微软雅黑"/>
          <w:sz w:val="28"/>
          <w:szCs w:val="28"/>
        </w:rPr>
        <w:fldChar w:fldCharType="separate"/>
      </w:r>
      <w:r>
        <w:fldChar w:fldCharType="begin"/>
      </w:r>
      <w:r>
        <w:instrText xml:space="preserve"> HYPERLINK \l "_Toc36641136" </w:instrText>
      </w:r>
      <w:r>
        <w:fldChar w:fldCharType="separate"/>
      </w:r>
      <w:r>
        <w:rPr>
          <w:rStyle w:val="24"/>
          <w:rFonts w:hint="eastAsia" w:ascii="微软雅黑" w:hAnsi="微软雅黑" w:eastAsia="微软雅黑" w:cs="微软雅黑"/>
          <w:sz w:val="28"/>
          <w:szCs w:val="28"/>
        </w:rPr>
        <w:t>第一章投标人须知</w:t>
      </w:r>
      <w:r>
        <w:rPr>
          <w:rFonts w:hint="eastAsia" w:ascii="微软雅黑" w:hAnsi="微软雅黑" w:eastAsia="微软雅黑" w:cs="微软雅黑"/>
          <w:szCs w:val="28"/>
        </w:rPr>
        <w:tab/>
      </w:r>
      <w:r>
        <w:rPr>
          <w:rFonts w:hint="eastAsia" w:ascii="微软雅黑" w:hAnsi="微软雅黑" w:eastAsia="微软雅黑" w:cs="微软雅黑"/>
          <w:szCs w:val="28"/>
        </w:rPr>
        <w:t>8</w:t>
      </w:r>
      <w:r>
        <w:rPr>
          <w:rFonts w:hint="eastAsia" w:ascii="微软雅黑" w:hAnsi="微软雅黑" w:eastAsia="微软雅黑" w:cs="微软雅黑"/>
          <w:szCs w:val="28"/>
        </w:rPr>
        <w:fldChar w:fldCharType="end"/>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"_Toc36641137" </w:instrText>
      </w:r>
      <w:r>
        <w:fldChar w:fldCharType="separate"/>
      </w:r>
      <w:r>
        <w:rPr>
          <w:rStyle w:val="24"/>
          <w:rFonts w:hint="eastAsia" w:ascii="微软雅黑" w:hAnsi="微软雅黑" w:eastAsia="微软雅黑" w:cs="微软雅黑"/>
          <w:sz w:val="28"/>
          <w:szCs w:val="28"/>
        </w:rPr>
        <w:t>前附表</w:t>
      </w:r>
      <w:r>
        <w:rPr>
          <w:rFonts w:hint="eastAsia" w:ascii="微软雅黑" w:hAnsi="微软雅黑" w:eastAsia="微软雅黑" w:cs="微软雅黑"/>
          <w:szCs w:val="28"/>
        </w:rPr>
        <w:tab/>
      </w:r>
      <w:r>
        <w:rPr>
          <w:rFonts w:hint="eastAsia" w:ascii="微软雅黑" w:hAnsi="微软雅黑" w:eastAsia="微软雅黑" w:cs="微软雅黑"/>
          <w:szCs w:val="28"/>
        </w:rPr>
        <w:t>8</w:t>
      </w:r>
      <w:r>
        <w:rPr>
          <w:rFonts w:hint="eastAsia" w:ascii="微软雅黑" w:hAnsi="微软雅黑" w:eastAsia="微软雅黑" w:cs="微软雅黑"/>
          <w:szCs w:val="28"/>
        </w:rPr>
        <w:fldChar w:fldCharType="end"/>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"_Toc36641138" </w:instrText>
      </w:r>
      <w:r>
        <w:fldChar w:fldCharType="separate"/>
      </w:r>
      <w:r>
        <w:rPr>
          <w:rStyle w:val="24"/>
          <w:rFonts w:hint="eastAsia" w:ascii="微软雅黑" w:hAnsi="微软雅黑" w:eastAsia="微软雅黑" w:cs="微软雅黑"/>
          <w:sz w:val="28"/>
          <w:szCs w:val="28"/>
        </w:rPr>
        <w:t>一、总则</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1</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"_Toc36641139" </w:instrText>
      </w:r>
      <w:r>
        <w:fldChar w:fldCharType="separate"/>
      </w:r>
      <w:r>
        <w:rPr>
          <w:rStyle w:val="24"/>
          <w:rFonts w:hint="eastAsia" w:ascii="微软雅黑" w:hAnsi="微软雅黑" w:eastAsia="微软雅黑" w:cs="微软雅黑"/>
          <w:sz w:val="28"/>
          <w:szCs w:val="28"/>
        </w:rPr>
        <w:t>二、招标文件的说明</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3</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"_Toc36641140" </w:instrText>
      </w:r>
      <w:r>
        <w:fldChar w:fldCharType="separate"/>
      </w:r>
      <w:r>
        <w:rPr>
          <w:rStyle w:val="24"/>
          <w:rFonts w:hint="eastAsia" w:ascii="微软雅黑" w:hAnsi="微软雅黑" w:eastAsia="微软雅黑" w:cs="微软雅黑"/>
          <w:sz w:val="28"/>
          <w:szCs w:val="28"/>
        </w:rPr>
        <w:t>三、投标文件的编制</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4</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"_Toc36641141" </w:instrText>
      </w:r>
      <w:r>
        <w:fldChar w:fldCharType="separate"/>
      </w:r>
      <w:r>
        <w:rPr>
          <w:rStyle w:val="24"/>
          <w:rFonts w:hint="eastAsia" w:ascii="微软雅黑" w:hAnsi="微软雅黑" w:eastAsia="微软雅黑" w:cs="微软雅黑"/>
          <w:sz w:val="28"/>
          <w:szCs w:val="28"/>
        </w:rPr>
        <w:t>四、投标文件的提交</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_Toc36641141 \h </w:instrText>
      </w:r>
      <w:r>
        <w:rPr>
          <w:rFonts w:hint="eastAsia" w:ascii="微软雅黑" w:hAnsi="微软雅黑" w:eastAsia="微软雅黑" w:cs="微软雅黑"/>
          <w:szCs w:val="28"/>
        </w:rPr>
        <w:fldChar w:fldCharType="separate"/>
      </w:r>
      <w:r>
        <w:rPr>
          <w:rFonts w:ascii="微软雅黑" w:hAnsi="微软雅黑" w:eastAsia="微软雅黑" w:cs="微软雅黑"/>
          <w:szCs w:val="28"/>
        </w:rPr>
        <w:t>18</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"_Toc36641142" </w:instrText>
      </w:r>
      <w:r>
        <w:fldChar w:fldCharType="separate"/>
      </w:r>
      <w:r>
        <w:rPr>
          <w:rStyle w:val="24"/>
          <w:rFonts w:hint="eastAsia" w:ascii="微软雅黑" w:hAnsi="微软雅黑" w:eastAsia="微软雅黑" w:cs="微软雅黑"/>
          <w:sz w:val="28"/>
          <w:szCs w:val="28"/>
        </w:rPr>
        <w:t>五、开标程序</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8</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"_Toc36641143" </w:instrText>
      </w:r>
      <w:r>
        <w:fldChar w:fldCharType="separate"/>
      </w:r>
      <w:r>
        <w:rPr>
          <w:rStyle w:val="24"/>
          <w:rFonts w:hint="eastAsia" w:ascii="微软雅黑" w:hAnsi="微软雅黑" w:eastAsia="微软雅黑" w:cs="微软雅黑"/>
          <w:snapToGrid w:val="0"/>
          <w:sz w:val="28"/>
          <w:szCs w:val="28"/>
        </w:rPr>
        <w:t>六、评标</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8</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"_Toc36641144" </w:instrText>
      </w:r>
      <w:r>
        <w:fldChar w:fldCharType="separate"/>
      </w:r>
      <w:r>
        <w:rPr>
          <w:rStyle w:val="24"/>
          <w:rFonts w:hint="eastAsia" w:ascii="微软雅黑" w:hAnsi="微软雅黑" w:eastAsia="微软雅黑" w:cs="微软雅黑"/>
          <w:sz w:val="28"/>
          <w:szCs w:val="28"/>
        </w:rPr>
        <w:t>七、合同的授予</w:t>
      </w:r>
      <w:r>
        <w:rPr>
          <w:rFonts w:hint="eastAsia" w:ascii="微软雅黑" w:hAnsi="微软雅黑" w:eastAsia="微软雅黑" w:cs="微软雅黑"/>
          <w:szCs w:val="28"/>
        </w:rPr>
        <w:tab/>
      </w:r>
      <w:r>
        <w:rPr>
          <w:rFonts w:hint="eastAsia" w:ascii="微软雅黑" w:hAnsi="微软雅黑" w:eastAsia="微软雅黑" w:cs="微软雅黑"/>
          <w:szCs w:val="28"/>
        </w:rPr>
        <w:t>2</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1</w:t>
      </w:r>
    </w:p>
    <w:p>
      <w:pPr>
        <w:pStyle w:val="17"/>
        <w:tabs>
          <w:tab w:val="right" w:leader="dot" w:pos="8494"/>
        </w:tabs>
        <w:ind w:left="560"/>
        <w:rPr>
          <w:rFonts w:ascii="微软雅黑" w:hAnsi="微软雅黑" w:eastAsia="微软雅黑" w:cs="微软雅黑"/>
          <w:szCs w:val="28"/>
        </w:rPr>
      </w:pPr>
      <w:r>
        <w:fldChar w:fldCharType="begin"/>
      </w:r>
      <w:r>
        <w:instrText xml:space="preserve"> HYPERLINK \l "_Toc36641145" </w:instrText>
      </w:r>
      <w:r>
        <w:fldChar w:fldCharType="separate"/>
      </w:r>
      <w:r>
        <w:rPr>
          <w:rStyle w:val="24"/>
          <w:rFonts w:hint="eastAsia" w:ascii="微软雅黑" w:hAnsi="微软雅黑" w:eastAsia="微软雅黑" w:cs="微软雅黑"/>
          <w:sz w:val="28"/>
          <w:szCs w:val="28"/>
        </w:rPr>
        <w:t>八、质疑</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_Toc36641145 \h </w:instrText>
      </w:r>
      <w:r>
        <w:rPr>
          <w:rFonts w:hint="eastAsia" w:ascii="微软雅黑" w:hAnsi="微软雅黑" w:eastAsia="微软雅黑" w:cs="微软雅黑"/>
          <w:szCs w:val="28"/>
        </w:rPr>
        <w:fldChar w:fldCharType="separate"/>
      </w:r>
      <w:r>
        <w:rPr>
          <w:rFonts w:ascii="微软雅黑" w:hAnsi="微软雅黑" w:eastAsia="微软雅黑" w:cs="微软雅黑"/>
          <w:szCs w:val="28"/>
        </w:rPr>
        <w:t>23</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pPr>
        <w:pStyle w:val="17"/>
        <w:tabs>
          <w:tab w:val="right" w:leader="dot" w:pos="8494"/>
        </w:tabs>
        <w:ind w:left="560"/>
      </w:pPr>
      <w:r>
        <w:fldChar w:fldCharType="begin"/>
      </w:r>
      <w:r>
        <w:instrText xml:space="preserve"> HYPERLINK \l "_Toc36641145" </w:instrText>
      </w:r>
      <w:r>
        <w:fldChar w:fldCharType="separate"/>
      </w:r>
      <w:r>
        <w:rPr>
          <w:rFonts w:hint="eastAsia" w:ascii="微软雅黑" w:hAnsi="微软雅黑" w:eastAsia="微软雅黑" w:cs="微软雅黑"/>
        </w:rPr>
        <w:t>九</w:t>
      </w:r>
      <w:r>
        <w:rPr>
          <w:rStyle w:val="24"/>
          <w:rFonts w:hint="eastAsia" w:ascii="微软雅黑" w:hAnsi="微软雅黑" w:eastAsia="微软雅黑" w:cs="微软雅黑"/>
          <w:sz w:val="28"/>
          <w:szCs w:val="28"/>
        </w:rPr>
        <w:t>、履约验收</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_Toc36641145 \h </w:instrText>
      </w:r>
      <w:r>
        <w:rPr>
          <w:rFonts w:hint="eastAsia" w:ascii="微软雅黑" w:hAnsi="微软雅黑" w:eastAsia="微软雅黑" w:cs="微软雅黑"/>
          <w:szCs w:val="28"/>
        </w:rPr>
        <w:fldChar w:fldCharType="separate"/>
      </w:r>
      <w:r>
        <w:rPr>
          <w:rFonts w:ascii="微软雅黑" w:hAnsi="微软雅黑" w:eastAsia="微软雅黑" w:cs="微软雅黑"/>
          <w:szCs w:val="28"/>
        </w:rPr>
        <w:t>23</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pPr>
        <w:pStyle w:val="16"/>
        <w:tabs>
          <w:tab w:val="right" w:leader="dot" w:pos="8494"/>
        </w:tabs>
        <w:rPr>
          <w:rFonts w:ascii="微软雅黑" w:hAnsi="微软雅黑" w:eastAsia="微软雅黑" w:cs="微软雅黑"/>
          <w:szCs w:val="28"/>
        </w:rPr>
      </w:pPr>
      <w:r>
        <w:fldChar w:fldCharType="begin"/>
      </w:r>
      <w:r>
        <w:instrText xml:space="preserve"> HYPERLINK \l "_Toc36641147" </w:instrText>
      </w:r>
      <w:r>
        <w:fldChar w:fldCharType="separate"/>
      </w:r>
      <w:r>
        <w:rPr>
          <w:rStyle w:val="24"/>
          <w:rFonts w:hint="eastAsia" w:ascii="微软雅黑" w:hAnsi="微软雅黑" w:eastAsia="微软雅黑" w:cs="微软雅黑"/>
          <w:sz w:val="28"/>
          <w:szCs w:val="28"/>
        </w:rPr>
        <w:t>第二章招标需求</w:t>
      </w:r>
      <w:r>
        <w:rPr>
          <w:rFonts w:hint="eastAsia" w:ascii="微软雅黑" w:hAnsi="微软雅黑" w:eastAsia="微软雅黑" w:cs="微软雅黑"/>
          <w:szCs w:val="28"/>
        </w:rPr>
        <w:tab/>
      </w:r>
      <w:r>
        <w:rPr>
          <w:rFonts w:hint="eastAsia" w:ascii="微软雅黑" w:hAnsi="微软雅黑" w:eastAsia="微软雅黑" w:cs="微软雅黑"/>
          <w:szCs w:val="28"/>
        </w:rPr>
        <w:t>2</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4</w:t>
      </w:r>
    </w:p>
    <w:p>
      <w:pPr>
        <w:pStyle w:val="16"/>
        <w:tabs>
          <w:tab w:val="right" w:leader="dot" w:pos="8494"/>
        </w:tabs>
        <w:rPr>
          <w:rFonts w:ascii="微软雅黑" w:hAnsi="微软雅黑" w:eastAsia="微软雅黑" w:cs="微软雅黑"/>
          <w:szCs w:val="28"/>
        </w:rPr>
      </w:pPr>
      <w:r>
        <w:fldChar w:fldCharType="begin"/>
      </w:r>
      <w:r>
        <w:instrText xml:space="preserve"> HYPERLINK \l "_Toc36641148" </w:instrText>
      </w:r>
      <w:r>
        <w:fldChar w:fldCharType="separate"/>
      </w:r>
      <w:r>
        <w:rPr>
          <w:rStyle w:val="24"/>
          <w:rFonts w:hint="eastAsia" w:ascii="微软雅黑" w:hAnsi="微软雅黑" w:eastAsia="微软雅黑" w:cs="微软雅黑"/>
          <w:sz w:val="28"/>
          <w:szCs w:val="28"/>
        </w:rPr>
        <w:t>第三章评标办法及评分标准</w:t>
      </w:r>
      <w:r>
        <w:rPr>
          <w:rFonts w:hint="eastAsia" w:ascii="微软雅黑" w:hAnsi="微软雅黑" w:eastAsia="微软雅黑" w:cs="微软雅黑"/>
          <w:szCs w:val="28"/>
        </w:rPr>
        <w:tab/>
      </w:r>
      <w:r>
        <w:rPr>
          <w:rFonts w:hint="eastAsia" w:ascii="微软雅黑" w:hAnsi="微软雅黑" w:eastAsia="微软雅黑" w:cs="微软雅黑"/>
          <w:szCs w:val="28"/>
        </w:rPr>
        <w:t>3</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7</w:t>
      </w:r>
    </w:p>
    <w:p>
      <w:pPr>
        <w:pStyle w:val="16"/>
        <w:tabs>
          <w:tab w:val="right" w:leader="dot" w:pos="8494"/>
        </w:tabs>
        <w:rPr>
          <w:rFonts w:ascii="微软雅黑" w:hAnsi="微软雅黑" w:eastAsia="微软雅黑" w:cs="微软雅黑"/>
          <w:szCs w:val="28"/>
        </w:rPr>
      </w:pPr>
      <w:r>
        <w:fldChar w:fldCharType="begin"/>
      </w:r>
      <w:r>
        <w:instrText xml:space="preserve"> HYPERLINK \l "_Toc36641149" </w:instrText>
      </w:r>
      <w:r>
        <w:fldChar w:fldCharType="separate"/>
      </w:r>
      <w:r>
        <w:rPr>
          <w:rStyle w:val="24"/>
          <w:rFonts w:hint="eastAsia" w:ascii="微软雅黑" w:hAnsi="微软雅黑" w:eastAsia="微软雅黑" w:cs="微软雅黑"/>
          <w:sz w:val="28"/>
          <w:szCs w:val="28"/>
        </w:rPr>
        <w:t>第四章合同主要条款</w:t>
      </w:r>
      <w:r>
        <w:rPr>
          <w:rFonts w:hint="eastAsia" w:ascii="微软雅黑" w:hAnsi="微软雅黑" w:eastAsia="微软雅黑" w:cs="微软雅黑"/>
          <w:szCs w:val="28"/>
        </w:rPr>
        <w:tab/>
      </w:r>
      <w:r>
        <w:rPr>
          <w:rFonts w:hint="eastAsia" w:ascii="微软雅黑" w:hAnsi="微软雅黑" w:eastAsia="微软雅黑" w:cs="微软雅黑"/>
          <w:szCs w:val="28"/>
        </w:rPr>
        <w:t>4</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3</w:t>
      </w:r>
    </w:p>
    <w:p>
      <w:pPr>
        <w:pStyle w:val="16"/>
        <w:tabs>
          <w:tab w:val="right" w:leader="dot" w:pos="8494"/>
        </w:tabs>
        <w:rPr>
          <w:rFonts w:ascii="微软雅黑" w:hAnsi="微软雅黑" w:eastAsia="微软雅黑" w:cs="微软雅黑"/>
          <w:szCs w:val="28"/>
        </w:rPr>
      </w:pPr>
      <w:r>
        <w:fldChar w:fldCharType="begin"/>
      </w:r>
      <w:r>
        <w:instrText xml:space="preserve"> HYPERLINK \l "_Toc36641150" </w:instrText>
      </w:r>
      <w:r>
        <w:fldChar w:fldCharType="separate"/>
      </w:r>
      <w:r>
        <w:rPr>
          <w:rStyle w:val="24"/>
          <w:rFonts w:hint="eastAsia" w:ascii="微软雅黑" w:hAnsi="微软雅黑" w:eastAsia="微软雅黑" w:cs="微软雅黑"/>
          <w:sz w:val="28"/>
          <w:szCs w:val="28"/>
        </w:rPr>
        <w:t>第五章投标文件的格式</w:t>
      </w:r>
      <w:r>
        <w:rPr>
          <w:rFonts w:hint="eastAsia" w:ascii="微软雅黑" w:hAnsi="微软雅黑" w:eastAsia="微软雅黑" w:cs="微软雅黑"/>
          <w:szCs w:val="28"/>
        </w:rPr>
        <w:tab/>
      </w:r>
      <w:r>
        <w:rPr>
          <w:rFonts w:hint="eastAsia" w:ascii="微软雅黑" w:hAnsi="微软雅黑" w:eastAsia="微软雅黑" w:cs="微软雅黑"/>
          <w:szCs w:val="28"/>
        </w:rPr>
        <w:t>5</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3</w:t>
      </w:r>
    </w:p>
    <w:p>
      <w:pPr>
        <w:pStyle w:val="16"/>
        <w:tabs>
          <w:tab w:val="right" w:leader="dot" w:pos="9532"/>
        </w:tabs>
        <w:spacing w:line="360" w:lineRule="auto"/>
        <w:rPr>
          <w:rFonts w:ascii="微软雅黑" w:hAnsi="微软雅黑" w:eastAsia="微软雅黑" w:cs="微软雅黑"/>
        </w:rPr>
      </w:pPr>
      <w:r>
        <w:rPr>
          <w:rStyle w:val="24"/>
          <w:rFonts w:hint="eastAsia" w:ascii="微软雅黑" w:hAnsi="微软雅黑" w:eastAsia="微软雅黑" w:cs="微软雅黑"/>
          <w:sz w:val="28"/>
          <w:szCs w:val="28"/>
        </w:rPr>
        <w:fldChar w:fldCharType="end"/>
      </w:r>
    </w:p>
    <w:p>
      <w:pPr>
        <w:rPr>
          <w:rFonts w:ascii="微软雅黑" w:hAnsi="微软雅黑" w:eastAsia="微软雅黑" w:cs="微软雅黑"/>
        </w:rPr>
      </w:pPr>
    </w:p>
    <w:p>
      <w:pPr>
        <w:adjustRightInd w:val="0"/>
        <w:snapToGrid w:val="0"/>
        <w:spacing w:line="360" w:lineRule="auto"/>
        <w:ind w:firstLine="600"/>
        <w:rPr>
          <w:rFonts w:ascii="微软雅黑" w:hAnsi="微软雅黑" w:eastAsia="微软雅黑" w:cs="微软雅黑"/>
          <w:sz w:val="30"/>
          <w:szCs w:val="30"/>
        </w:rPr>
      </w:pPr>
      <w:r>
        <w:rPr>
          <w:rFonts w:hint="eastAsia" w:ascii="微软雅黑" w:hAnsi="微软雅黑" w:eastAsia="微软雅黑" w:cs="微软雅黑"/>
          <w:szCs w:val="30"/>
        </w:rPr>
        <w:fldChar w:fldCharType="end"/>
      </w:r>
    </w:p>
    <w:p>
      <w:pPr>
        <w:adjustRightInd w:val="0"/>
        <w:snapToGrid w:val="0"/>
        <w:spacing w:line="360" w:lineRule="auto"/>
        <w:rPr>
          <w:rFonts w:ascii="微软雅黑" w:hAnsi="微软雅黑" w:eastAsia="微软雅黑" w:cs="微软雅黑"/>
          <w:sz w:val="30"/>
          <w:szCs w:val="30"/>
        </w:rPr>
      </w:pPr>
    </w:p>
    <w:p>
      <w:pPr>
        <w:spacing w:line="360" w:lineRule="auto"/>
        <w:jc w:val="center"/>
        <w:outlineLvl w:val="0"/>
        <w:rPr>
          <w:rFonts w:ascii="微软雅黑" w:hAnsi="微软雅黑" w:eastAsia="微软雅黑" w:cs="微软雅黑"/>
          <w:b/>
          <w:sz w:val="44"/>
          <w:szCs w:val="44"/>
        </w:rPr>
      </w:pPr>
      <w:bookmarkStart w:id="1" w:name="_Toc28990"/>
    </w:p>
    <w:p>
      <w:pPr>
        <w:spacing w:line="360" w:lineRule="auto"/>
        <w:jc w:val="center"/>
        <w:outlineLvl w:val="0"/>
        <w:rPr>
          <w:rFonts w:ascii="微软雅黑" w:hAnsi="微软雅黑" w:eastAsia="微软雅黑" w:cs="微软雅黑"/>
          <w:b/>
          <w:sz w:val="44"/>
          <w:szCs w:val="44"/>
        </w:rPr>
      </w:pPr>
    </w:p>
    <w:p>
      <w:pPr>
        <w:spacing w:line="360" w:lineRule="auto"/>
        <w:jc w:val="center"/>
        <w:outlineLvl w:val="0"/>
        <w:rPr>
          <w:rFonts w:ascii="微软雅黑" w:hAnsi="微软雅黑" w:eastAsia="微软雅黑" w:cs="微软雅黑"/>
          <w:b/>
          <w:sz w:val="44"/>
          <w:szCs w:val="44"/>
        </w:rPr>
        <w:sectPr>
          <w:footerReference r:id="rId5" w:type="default"/>
          <w:pgSz w:w="11910" w:h="16840"/>
          <w:pgMar w:top="1440" w:right="1080" w:bottom="1440" w:left="1080" w:header="999" w:footer="1033" w:gutter="0"/>
          <w:cols w:space="720" w:num="1"/>
        </w:sectPr>
      </w:pPr>
    </w:p>
    <w:p>
      <w:pPr>
        <w:spacing w:line="360" w:lineRule="auto"/>
        <w:jc w:val="center"/>
        <w:outlineLvl w:val="0"/>
        <w:rPr>
          <w:rFonts w:ascii="微软雅黑" w:hAnsi="微软雅黑" w:eastAsia="微软雅黑" w:cs="微软雅黑"/>
          <w:sz w:val="21"/>
          <w:szCs w:val="21"/>
        </w:rPr>
      </w:pPr>
      <w:r>
        <w:rPr>
          <w:rFonts w:hint="eastAsia" w:ascii="微软雅黑" w:hAnsi="微软雅黑" w:eastAsia="微软雅黑" w:cs="微软雅黑"/>
          <w:b/>
          <w:sz w:val="44"/>
          <w:szCs w:val="44"/>
        </w:rPr>
        <w:t xml:space="preserve"> 公开招标采购公告</w:t>
      </w:r>
      <w:bookmarkEnd w:id="1"/>
    </w:p>
    <w:p>
      <w:pPr>
        <w:pStyle w:val="13"/>
        <w:adjustRightInd w:val="0"/>
        <w:snapToGrid w:val="0"/>
        <w:spacing w:line="36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根据《中华人民共和国政府采购法》、《政府采购货物和服务招标投标管理办法》等规定，经</w:t>
      </w:r>
      <w:r>
        <w:rPr>
          <w:rFonts w:hint="eastAsia" w:ascii="微软雅黑" w:hAnsi="微软雅黑" w:eastAsia="微软雅黑" w:cs="微软雅黑"/>
          <w:kern w:val="0"/>
          <w:sz w:val="24"/>
        </w:rPr>
        <w:t>湖州市南浔区财政局</w:t>
      </w:r>
      <w:r>
        <w:rPr>
          <w:rFonts w:hint="eastAsia" w:ascii="微软雅黑" w:hAnsi="微软雅黑" w:eastAsia="微软雅黑" w:cs="微软雅黑"/>
          <w:sz w:val="24"/>
          <w:szCs w:val="24"/>
        </w:rPr>
        <w:t>批准（财政审批编号:</w:t>
      </w:r>
      <w:r>
        <w:rPr>
          <w:rFonts w:hint="eastAsia" w:ascii="微软雅黑" w:hAnsi="微软雅黑" w:eastAsia="微软雅黑" w:cs="微软雅黑"/>
          <w:sz w:val="24"/>
          <w:szCs w:val="24"/>
          <w:lang w:eastAsia="zh-CN"/>
        </w:rPr>
        <w:t>临[2022]653号</w:t>
      </w:r>
      <w:r>
        <w:rPr>
          <w:rFonts w:hint="eastAsia" w:ascii="微软雅黑" w:hAnsi="微软雅黑" w:eastAsia="微软雅黑" w:cs="微软雅黑"/>
          <w:sz w:val="24"/>
          <w:szCs w:val="24"/>
        </w:rPr>
        <w:t>），现就</w:t>
      </w:r>
      <w:r>
        <w:rPr>
          <w:rFonts w:hint="eastAsia" w:ascii="微软雅黑" w:hAnsi="微软雅黑" w:eastAsia="微软雅黑" w:cs="微软雅黑"/>
          <w:color w:val="auto"/>
          <w:kern w:val="0"/>
          <w:sz w:val="24"/>
          <w:u w:val="single"/>
          <w:lang w:eastAsia="zh-CN"/>
        </w:rPr>
        <w:t xml:space="preserve">南浔区住房和城乡建设局 </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lang w:eastAsia="zh-CN"/>
        </w:rPr>
        <w:t>湖州市南浔区住房和城乡建设局年度（2022-2025）绿化养护服务采购</w:t>
      </w:r>
      <w:r>
        <w:rPr>
          <w:rFonts w:hint="eastAsia" w:ascii="微软雅黑" w:hAnsi="微软雅黑" w:eastAsia="微软雅黑" w:cs="微软雅黑"/>
          <w:sz w:val="24"/>
          <w:szCs w:val="24"/>
        </w:rPr>
        <w:t>进行公开招标采购，欢迎中华人民共和国境内的合格投标人前来参加投标。</w:t>
      </w:r>
    </w:p>
    <w:p>
      <w:pPr>
        <w:pStyle w:val="13"/>
        <w:numPr>
          <w:ilvl w:val="0"/>
          <w:numId w:val="1"/>
        </w:numPr>
        <w:adjustRightInd w:val="0"/>
        <w:snapToGrid w:val="0"/>
        <w:spacing w:line="360" w:lineRule="auto"/>
        <w:ind w:firstLineChars="0"/>
        <w:outlineLvl w:val="1"/>
        <w:rPr>
          <w:rFonts w:ascii="微软雅黑" w:hAnsi="微软雅黑" w:eastAsia="微软雅黑" w:cs="微软雅黑"/>
          <w:sz w:val="24"/>
          <w:szCs w:val="24"/>
        </w:rPr>
      </w:pPr>
      <w:bookmarkStart w:id="2" w:name="_Toc7519"/>
      <w:r>
        <w:rPr>
          <w:rFonts w:hint="eastAsia" w:ascii="微软雅黑" w:hAnsi="微软雅黑" w:eastAsia="微软雅黑" w:cs="微软雅黑"/>
          <w:b/>
          <w:sz w:val="24"/>
          <w:szCs w:val="24"/>
        </w:rPr>
        <w:t>项目编号：</w:t>
      </w:r>
      <w:bookmarkEnd w:id="2"/>
      <w:r>
        <w:rPr>
          <w:rFonts w:hint="eastAsia" w:ascii="微软雅黑" w:hAnsi="微软雅黑" w:eastAsia="微软雅黑" w:cs="微软雅黑"/>
          <w:sz w:val="24"/>
          <w:szCs w:val="24"/>
          <w:lang w:eastAsia="zh-CN"/>
        </w:rPr>
        <w:t>浙华采字【2022】hzf-7046号</w:t>
      </w:r>
      <w:r>
        <w:rPr>
          <w:rFonts w:hint="eastAsia" w:ascii="微软雅黑" w:hAnsi="微软雅黑" w:eastAsia="微软雅黑" w:cs="微软雅黑"/>
          <w:sz w:val="24"/>
          <w:szCs w:val="24"/>
        </w:rPr>
        <w:t xml:space="preserve"> </w:t>
      </w:r>
    </w:p>
    <w:p>
      <w:pPr>
        <w:pStyle w:val="13"/>
        <w:numPr>
          <w:ilvl w:val="0"/>
          <w:numId w:val="1"/>
        </w:numPr>
        <w:adjustRightInd w:val="0"/>
        <w:snapToGrid w:val="0"/>
        <w:spacing w:line="360" w:lineRule="auto"/>
        <w:ind w:firstLineChars="0"/>
        <w:outlineLvl w:val="1"/>
        <w:rPr>
          <w:rFonts w:ascii="微软雅黑" w:hAnsi="微软雅黑" w:eastAsia="微软雅黑" w:cs="微软雅黑"/>
          <w:sz w:val="24"/>
          <w:szCs w:val="24"/>
        </w:rPr>
      </w:pPr>
      <w:bookmarkStart w:id="3" w:name="_Toc3936"/>
      <w:r>
        <w:rPr>
          <w:rFonts w:hint="eastAsia" w:ascii="微软雅黑" w:hAnsi="微软雅黑" w:eastAsia="微软雅黑" w:cs="微软雅黑"/>
          <w:b/>
          <w:sz w:val="24"/>
          <w:szCs w:val="24"/>
        </w:rPr>
        <w:t>项目组织形式：</w:t>
      </w:r>
      <w:bookmarkEnd w:id="3"/>
      <w:r>
        <w:rPr>
          <w:rFonts w:hint="eastAsia" w:ascii="微软雅黑" w:hAnsi="微软雅黑" w:eastAsia="微软雅黑" w:cs="微软雅黑"/>
          <w:sz w:val="24"/>
          <w:szCs w:val="24"/>
        </w:rPr>
        <w:t>分散采购委托代理</w:t>
      </w:r>
    </w:p>
    <w:p>
      <w:pPr>
        <w:pStyle w:val="13"/>
        <w:numPr>
          <w:ilvl w:val="0"/>
          <w:numId w:val="1"/>
        </w:numPr>
        <w:adjustRightInd w:val="0"/>
        <w:snapToGrid w:val="0"/>
        <w:spacing w:line="360" w:lineRule="auto"/>
        <w:ind w:firstLineChars="0"/>
        <w:outlineLvl w:val="1"/>
        <w:rPr>
          <w:rFonts w:ascii="微软雅黑" w:hAnsi="微软雅黑" w:eastAsia="微软雅黑" w:cs="微软雅黑"/>
          <w:sz w:val="24"/>
          <w:szCs w:val="24"/>
        </w:rPr>
      </w:pPr>
      <w:bookmarkStart w:id="4" w:name="_Toc20830"/>
      <w:r>
        <w:rPr>
          <w:rFonts w:hint="eastAsia" w:ascii="微软雅黑" w:hAnsi="微软雅黑" w:eastAsia="微软雅黑" w:cs="微软雅黑"/>
          <w:b/>
          <w:sz w:val="24"/>
          <w:szCs w:val="24"/>
        </w:rPr>
        <w:t>招标方式：</w:t>
      </w:r>
      <w:r>
        <w:rPr>
          <w:rFonts w:hint="eastAsia" w:ascii="微软雅黑" w:hAnsi="微软雅黑" w:eastAsia="微软雅黑" w:cs="微软雅黑"/>
          <w:sz w:val="24"/>
          <w:szCs w:val="24"/>
        </w:rPr>
        <w:t>公开招标</w:t>
      </w:r>
      <w:bookmarkEnd w:id="4"/>
    </w:p>
    <w:p>
      <w:pPr>
        <w:pStyle w:val="13"/>
        <w:numPr>
          <w:ilvl w:val="0"/>
          <w:numId w:val="1"/>
        </w:numPr>
        <w:adjustRightInd w:val="0"/>
        <w:snapToGrid w:val="0"/>
        <w:spacing w:line="360" w:lineRule="auto"/>
        <w:ind w:firstLineChars="0"/>
        <w:outlineLvl w:val="1"/>
        <w:rPr>
          <w:rFonts w:ascii="微软雅黑" w:hAnsi="微软雅黑" w:eastAsia="微软雅黑" w:cs="微软雅黑"/>
          <w:b/>
          <w:sz w:val="24"/>
          <w:szCs w:val="24"/>
        </w:rPr>
      </w:pPr>
      <w:bookmarkStart w:id="5" w:name="_Toc4561"/>
      <w:r>
        <w:rPr>
          <w:rFonts w:hint="eastAsia" w:ascii="微软雅黑" w:hAnsi="微软雅黑" w:eastAsia="微软雅黑" w:cs="微软雅黑"/>
          <w:b/>
          <w:sz w:val="24"/>
          <w:szCs w:val="24"/>
        </w:rPr>
        <w:t>采购内容：</w:t>
      </w:r>
      <w:bookmarkEnd w:id="5"/>
    </w:p>
    <w:tbl>
      <w:tblPr>
        <w:tblStyle w:val="19"/>
        <w:tblW w:w="10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0"/>
        <w:gridCol w:w="2707"/>
        <w:gridCol w:w="1050"/>
        <w:gridCol w:w="945"/>
        <w:gridCol w:w="1935"/>
        <w:gridCol w:w="3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67"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序号</w:t>
            </w:r>
          </w:p>
        </w:tc>
        <w:tc>
          <w:tcPr>
            <w:tcW w:w="27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采购内容</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单位及数量</w:t>
            </w: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服务期限</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采购预算</w:t>
            </w:r>
          </w:p>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(最高限价)</w:t>
            </w:r>
          </w:p>
        </w:tc>
        <w:tc>
          <w:tcPr>
            <w:tcW w:w="3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5"/>
                <w:rFonts w:ascii="微软雅黑" w:hAnsi="微软雅黑" w:eastAsia="微软雅黑" w:cs="微软雅黑"/>
                <w:color w:val="auto"/>
                <w:sz w:val="24"/>
              </w:rPr>
            </w:pPr>
            <w:r>
              <w:rPr>
                <w:rStyle w:val="25"/>
                <w:rFonts w:hint="eastAsia" w:ascii="微软雅黑" w:hAnsi="微软雅黑" w:eastAsia="微软雅黑" w:cs="微软雅黑"/>
                <w:color w:val="auto"/>
                <w:sz w:val="24"/>
              </w:rPr>
              <w:t>简要服务内容及要求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微软雅黑"/>
                <w:kern w:val="0"/>
                <w:sz w:val="24"/>
              </w:rPr>
            </w:pPr>
            <w:r>
              <w:rPr>
                <w:rFonts w:hint="eastAsia" w:ascii="微软雅黑" w:hAnsi="微软雅黑" w:eastAsia="微软雅黑" w:cs="微软雅黑"/>
                <w:sz w:val="24"/>
              </w:rPr>
              <w:t>1</w:t>
            </w:r>
          </w:p>
        </w:tc>
        <w:tc>
          <w:tcPr>
            <w:tcW w:w="2707"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微软雅黑" w:hAnsi="微软雅黑" w:eastAsia="微软雅黑" w:cs="微软雅黑"/>
                <w:kern w:val="0"/>
                <w:sz w:val="24"/>
                <w:lang w:eastAsia="zh-CN"/>
              </w:rPr>
            </w:pPr>
            <w:r>
              <w:rPr>
                <w:rFonts w:hint="eastAsia" w:ascii="微软雅黑" w:hAnsi="微软雅黑" w:eastAsia="微软雅黑" w:cs="微软雅黑"/>
                <w:sz w:val="24"/>
                <w:lang w:eastAsia="zh-CN"/>
              </w:rPr>
              <w:t>湖州市南浔区住房和城乡建设局年度（2022-2025）绿化养护服务采购</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1项</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微软雅黑"/>
                <w:kern w:val="0"/>
                <w:sz w:val="24"/>
              </w:rPr>
            </w:pPr>
            <w:r>
              <w:rPr>
                <w:rFonts w:hint="eastAsia" w:ascii="微软雅黑" w:hAnsi="微软雅黑" w:eastAsia="微软雅黑" w:cs="微软雅黑"/>
                <w:kern w:val="0"/>
                <w:sz w:val="24"/>
              </w:rPr>
              <w:t>3年</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微软雅黑" w:hAnsi="微软雅黑" w:eastAsia="微软雅黑" w:cs="微软雅黑"/>
                <w:color w:val="FF0000"/>
                <w:kern w:val="0"/>
                <w:sz w:val="24"/>
              </w:rPr>
            </w:pPr>
            <w:r>
              <w:rPr>
                <w:rFonts w:hint="eastAsia" w:ascii="微软雅黑" w:hAnsi="微软雅黑" w:eastAsia="微软雅黑" w:cs="微软雅黑"/>
                <w:kern w:val="0"/>
                <w:sz w:val="24"/>
              </w:rPr>
              <w:t>630万元（210万元/年）</w:t>
            </w:r>
          </w:p>
        </w:tc>
        <w:tc>
          <w:tcPr>
            <w:tcW w:w="312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微软雅黑" w:hAnsi="微软雅黑" w:eastAsia="微软雅黑" w:cs="微软雅黑"/>
                <w:kern w:val="0"/>
                <w:sz w:val="24"/>
              </w:rPr>
            </w:pPr>
            <w:r>
              <w:rPr>
                <w:rFonts w:hint="eastAsia" w:ascii="微软雅黑" w:hAnsi="微软雅黑" w:eastAsia="微软雅黑" w:cs="微软雅黑"/>
                <w:sz w:val="24"/>
              </w:rPr>
              <w:t>服务地点：南浔中心城区向阳西路、南浔大道、联谊西路、新安路等城市公共绿地，主要内容为公共绿地日常养护管理与保洁、草花种植、应急整治任务等，具体内容详见招标需求。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277" w:type="dxa"/>
            <w:gridSpan w:val="6"/>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jc w:val="left"/>
              <w:rPr>
                <w:rFonts w:ascii="微软雅黑" w:hAnsi="微软雅黑" w:eastAsia="微软雅黑" w:cs="微软雅黑"/>
                <w:sz w:val="21"/>
                <w:szCs w:val="21"/>
              </w:rPr>
            </w:pPr>
            <w:r>
              <w:rPr>
                <w:rFonts w:hint="eastAsia" w:ascii="微软雅黑" w:hAnsi="微软雅黑" w:eastAsia="微软雅黑" w:cs="微软雅黑"/>
                <w:b/>
                <w:kern w:val="0"/>
                <w:sz w:val="24"/>
                <w:szCs w:val="21"/>
              </w:rPr>
              <w:t>▲</w:t>
            </w:r>
            <w:r>
              <w:rPr>
                <w:rFonts w:hint="eastAsia" w:ascii="微软雅黑" w:hAnsi="微软雅黑" w:eastAsia="微软雅黑" w:cs="微软雅黑"/>
                <w:b/>
                <w:bCs/>
                <w:kern w:val="0"/>
                <w:sz w:val="24"/>
                <w:szCs w:val="21"/>
              </w:rPr>
              <w:t>注：</w:t>
            </w:r>
            <w:r>
              <w:rPr>
                <w:rFonts w:hint="eastAsia" w:ascii="微软雅黑" w:hAnsi="微软雅黑" w:eastAsia="微软雅黑" w:cs="微软雅黑"/>
                <w:b/>
                <w:bCs/>
                <w:sz w:val="24"/>
                <w:szCs w:val="21"/>
              </w:rPr>
              <w:t>投标报价及投标报价组成超最高限价均作无效标处理。</w:t>
            </w:r>
          </w:p>
        </w:tc>
      </w:tr>
    </w:tbl>
    <w:p>
      <w:pPr>
        <w:pStyle w:val="13"/>
        <w:numPr>
          <w:ilvl w:val="0"/>
          <w:numId w:val="1"/>
        </w:numPr>
        <w:adjustRightInd w:val="0"/>
        <w:snapToGrid w:val="0"/>
        <w:spacing w:line="360" w:lineRule="auto"/>
        <w:ind w:firstLineChars="0"/>
        <w:outlineLvl w:val="1"/>
        <w:rPr>
          <w:rFonts w:ascii="微软雅黑" w:hAnsi="微软雅黑" w:eastAsia="微软雅黑" w:cs="微软雅黑"/>
          <w:b/>
          <w:sz w:val="24"/>
          <w:szCs w:val="24"/>
        </w:rPr>
      </w:pPr>
      <w:bookmarkStart w:id="6" w:name="_Toc4575"/>
      <w:r>
        <w:rPr>
          <w:rFonts w:hint="eastAsia" w:ascii="微软雅黑" w:hAnsi="微软雅黑" w:eastAsia="微软雅黑" w:cs="微软雅黑"/>
          <w:b/>
          <w:sz w:val="24"/>
          <w:szCs w:val="24"/>
        </w:rPr>
        <w:t>合格投标人的资格要求：</w:t>
      </w:r>
      <w:bookmarkEnd w:id="6"/>
    </w:p>
    <w:p>
      <w:pPr>
        <w:numPr>
          <w:ilvl w:val="0"/>
          <w:numId w:val="2"/>
        </w:numPr>
        <w:spacing w:line="500" w:lineRule="exact"/>
        <w:rPr>
          <w:rFonts w:ascii="微软雅黑" w:hAnsi="微软雅黑" w:eastAsia="微软雅黑" w:cs="微软雅黑"/>
          <w:sz w:val="24"/>
        </w:rPr>
      </w:pPr>
      <w:r>
        <w:rPr>
          <w:rFonts w:hint="eastAsia" w:ascii="微软雅黑" w:hAnsi="微软雅黑" w:eastAsia="微软雅黑" w:cs="微软雅黑"/>
          <w:sz w:val="24"/>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numPr>
          <w:ilvl w:val="0"/>
          <w:numId w:val="2"/>
        </w:numPr>
        <w:spacing w:line="500" w:lineRule="exact"/>
        <w:rPr>
          <w:rFonts w:ascii="微软雅黑" w:hAnsi="微软雅黑" w:eastAsia="微软雅黑" w:cs="微软雅黑"/>
          <w:sz w:val="24"/>
        </w:rPr>
      </w:pPr>
      <w:r>
        <w:rPr>
          <w:rFonts w:hint="eastAsia" w:ascii="微软雅黑" w:hAnsi="微软雅黑" w:eastAsia="微软雅黑" w:cs="微软雅黑"/>
          <w:sz w:val="24"/>
        </w:rPr>
        <w:t>单位负责人为同一人或者存在控股、管理关系的不同单位，不得参加同一标项投标。</w:t>
      </w:r>
    </w:p>
    <w:p>
      <w:pPr>
        <w:numPr>
          <w:ilvl w:val="0"/>
          <w:numId w:val="2"/>
        </w:numPr>
        <w:snapToGrid w:val="0"/>
        <w:spacing w:line="500" w:lineRule="exact"/>
        <w:rPr>
          <w:rFonts w:ascii="微软雅黑" w:hAnsi="微软雅黑" w:eastAsia="微软雅黑" w:cs="微软雅黑"/>
        </w:rPr>
      </w:pPr>
      <w:r>
        <w:rPr>
          <w:rFonts w:hint="eastAsia" w:ascii="微软雅黑" w:hAnsi="微软雅黑" w:eastAsia="微软雅黑" w:cs="微软雅黑"/>
          <w:sz w:val="24"/>
        </w:rPr>
        <w:t>至本项目开标截止时间前，投标人未列入失信被执行人、重大税收违法案件当事人名单、政府采购严重违法失信行为记录名单的（以“信用中国”网站www.creditchina.gov.cn、“中国政府采购网”www.ccgp.gov.cn查询结果为准）。</w:t>
      </w:r>
    </w:p>
    <w:p>
      <w:pPr>
        <w:numPr>
          <w:ilvl w:val="0"/>
          <w:numId w:val="2"/>
        </w:numPr>
        <w:snapToGrid w:val="0"/>
        <w:spacing w:line="500" w:lineRule="exact"/>
        <w:rPr>
          <w:rFonts w:ascii="微软雅黑" w:hAnsi="微软雅黑" w:eastAsia="微软雅黑" w:cs="微软雅黑"/>
          <w:color w:val="auto"/>
        </w:rPr>
      </w:pPr>
      <w:r>
        <w:rPr>
          <w:rFonts w:hint="eastAsia" w:ascii="宋体" w:hAnsi="宋体"/>
          <w:b/>
          <w:color w:val="auto"/>
          <w:sz w:val="24"/>
        </w:rPr>
        <w:t>落实政府采购政策需满足的资格要求：</w:t>
      </w:r>
      <w:r>
        <w:rPr>
          <w:rFonts w:ascii="宋体" w:hAnsi="宋体"/>
          <w:b/>
          <w:color w:val="auto"/>
          <w:sz w:val="24"/>
        </w:rPr>
        <w:t>本项目属于</w:t>
      </w:r>
      <w:r>
        <w:rPr>
          <w:rFonts w:hint="eastAsia" w:ascii="宋体" w:hAnsi="宋体"/>
          <w:b/>
          <w:color w:val="auto"/>
          <w:sz w:val="24"/>
        </w:rPr>
        <w:t>预留份额专门面向中小企业采购的采购项目。【</w:t>
      </w:r>
      <w:r>
        <w:rPr>
          <w:rFonts w:ascii="宋体" w:hAnsi="宋体" w:cs="宋体"/>
          <w:color w:val="auto"/>
          <w:sz w:val="24"/>
        </w:rPr>
        <w:t>预留份额通过</w:t>
      </w:r>
      <w:r>
        <w:rPr>
          <w:rFonts w:hint="eastAsia" w:ascii="宋体" w:hAnsi="宋体" w:cs="宋体"/>
          <w:color w:val="auto"/>
          <w:sz w:val="24"/>
        </w:rPr>
        <w:t>以下措施</w:t>
      </w:r>
      <w:r>
        <w:rPr>
          <w:rFonts w:hint="eastAsia" w:ascii="宋体" w:hAnsi="宋体" w:cs="宋体"/>
          <w:color w:val="auto"/>
          <w:sz w:val="24"/>
          <w:lang w:eastAsia="zh-CN"/>
        </w:rPr>
        <w:t>实施</w:t>
      </w:r>
      <w:r>
        <w:rPr>
          <w:rFonts w:hint="eastAsia" w:ascii="宋体" w:hAnsi="宋体" w:cs="宋体"/>
          <w:color w:val="auto"/>
          <w:sz w:val="24"/>
        </w:rPr>
        <w:t>：预留</w:t>
      </w:r>
      <w:r>
        <w:rPr>
          <w:rFonts w:hint="eastAsia" w:ascii="宋体" w:hAnsi="宋体" w:cs="宋体"/>
          <w:color w:val="auto"/>
          <w:sz w:val="24"/>
          <w:lang w:eastAsia="zh-CN"/>
        </w:rPr>
        <w:t>采购项目</w:t>
      </w:r>
      <w:r>
        <w:rPr>
          <w:rFonts w:hint="eastAsia" w:ascii="宋体" w:hAnsi="宋体" w:cs="宋体"/>
          <w:color w:val="auto"/>
          <w:sz w:val="24"/>
        </w:rPr>
        <w:t>预算总额的40%专门面向</w:t>
      </w:r>
      <w:r>
        <w:rPr>
          <w:rFonts w:hint="eastAsia" w:ascii="宋体" w:hAnsi="宋体" w:cs="宋体"/>
          <w:color w:val="auto"/>
          <w:sz w:val="24"/>
          <w:lang w:eastAsia="zh-CN"/>
        </w:rPr>
        <w:t>小微</w:t>
      </w:r>
      <w:r>
        <w:rPr>
          <w:rFonts w:hint="eastAsia" w:ascii="宋体" w:hAnsi="宋体" w:cs="宋体"/>
          <w:color w:val="auto"/>
          <w:sz w:val="24"/>
        </w:rPr>
        <w:t>企业采购。大中型企业向小微企业合理分包</w:t>
      </w:r>
      <w:r>
        <w:rPr>
          <w:rFonts w:hint="eastAsia" w:ascii="宋体" w:hAnsi="宋体" w:cs="宋体"/>
          <w:color w:val="auto"/>
          <w:sz w:val="24"/>
          <w:lang w:eastAsia="zh-CN"/>
        </w:rPr>
        <w:t>，</w:t>
      </w:r>
      <w:r>
        <w:rPr>
          <w:rFonts w:ascii="宋体" w:hAnsi="宋体" w:cs="宋体"/>
          <w:color w:val="auto"/>
          <w:sz w:val="24"/>
        </w:rPr>
        <w:t>分包意向协议中</w:t>
      </w:r>
      <w:r>
        <w:rPr>
          <w:rFonts w:hint="eastAsia" w:ascii="宋体" w:hAnsi="宋体" w:cs="宋体"/>
          <w:color w:val="auto"/>
          <w:sz w:val="24"/>
        </w:rPr>
        <w:t>须明确</w:t>
      </w:r>
      <w:r>
        <w:rPr>
          <w:rFonts w:ascii="宋体" w:hAnsi="宋体" w:cs="宋体"/>
          <w:color w:val="auto"/>
          <w:sz w:val="24"/>
        </w:rPr>
        <w:t>采购项目总额的</w:t>
      </w:r>
      <w:r>
        <w:rPr>
          <w:rFonts w:hint="eastAsia" w:ascii="宋体" w:hAnsi="宋体" w:cs="宋体"/>
          <w:color w:val="auto"/>
          <w:sz w:val="24"/>
        </w:rPr>
        <w:t>4</w:t>
      </w:r>
      <w:r>
        <w:rPr>
          <w:rFonts w:ascii="宋体" w:hAnsi="宋体" w:cs="宋体"/>
          <w:color w:val="auto"/>
          <w:sz w:val="24"/>
        </w:rPr>
        <w:t>0%以上专门面向</w:t>
      </w:r>
      <w:r>
        <w:rPr>
          <w:rFonts w:hint="eastAsia" w:ascii="宋体" w:hAnsi="宋体" w:cs="宋体"/>
          <w:color w:val="auto"/>
          <w:sz w:val="24"/>
          <w:lang w:eastAsia="zh-CN"/>
        </w:rPr>
        <w:t>小微</w:t>
      </w:r>
      <w:r>
        <w:rPr>
          <w:rFonts w:ascii="宋体" w:hAnsi="宋体" w:cs="宋体"/>
          <w:color w:val="auto"/>
          <w:sz w:val="24"/>
        </w:rPr>
        <w:t>企业采购。接受分包合同的</w:t>
      </w:r>
      <w:r>
        <w:rPr>
          <w:rFonts w:hint="eastAsia" w:ascii="宋体" w:hAnsi="宋体" w:cs="宋体"/>
          <w:color w:val="auto"/>
          <w:sz w:val="24"/>
          <w:lang w:eastAsia="zh-CN"/>
        </w:rPr>
        <w:t>小微</w:t>
      </w:r>
      <w:r>
        <w:rPr>
          <w:rFonts w:ascii="宋体" w:hAnsi="宋体" w:cs="宋体"/>
          <w:color w:val="auto"/>
          <w:sz w:val="24"/>
        </w:rPr>
        <w:t>企业与分包企业之间不得存在直接控股、管理关系。</w:t>
      </w:r>
      <w:r>
        <w:rPr>
          <w:rFonts w:hint="eastAsia" w:ascii="宋体" w:hAnsi="宋体"/>
          <w:b/>
          <w:color w:val="auto"/>
          <w:sz w:val="24"/>
        </w:rPr>
        <w:t>若</w:t>
      </w:r>
      <w:r>
        <w:rPr>
          <w:rFonts w:ascii="宋体" w:hAnsi="宋体"/>
          <w:b/>
          <w:color w:val="auto"/>
          <w:sz w:val="24"/>
        </w:rPr>
        <w:t>供应商提供所有标的均由</w:t>
      </w:r>
      <w:r>
        <w:rPr>
          <w:rFonts w:hint="eastAsia" w:ascii="宋体" w:hAnsi="宋体"/>
          <w:b/>
          <w:color w:val="auto"/>
          <w:sz w:val="24"/>
          <w:lang w:eastAsia="zh-CN"/>
        </w:rPr>
        <w:t>小微</w:t>
      </w:r>
      <w:r>
        <w:rPr>
          <w:rFonts w:ascii="宋体" w:hAnsi="宋体"/>
          <w:b/>
          <w:color w:val="auto"/>
          <w:sz w:val="24"/>
        </w:rPr>
        <w:t>企业制造、承建或承接，</w:t>
      </w:r>
      <w:r>
        <w:rPr>
          <w:rFonts w:hint="eastAsia" w:ascii="宋体" w:hAnsi="宋体"/>
          <w:b/>
          <w:color w:val="auto"/>
          <w:sz w:val="24"/>
          <w:lang w:eastAsia="zh-CN"/>
        </w:rPr>
        <w:t>则</w:t>
      </w:r>
      <w:r>
        <w:rPr>
          <w:rFonts w:ascii="宋体" w:hAnsi="宋体"/>
          <w:b/>
          <w:color w:val="auto"/>
          <w:sz w:val="24"/>
        </w:rPr>
        <w:t>视同符合本条资格条件，无需再进行分包</w:t>
      </w:r>
      <w:r>
        <w:rPr>
          <w:rFonts w:hint="eastAsia" w:ascii="宋体" w:hAnsi="宋体"/>
          <w:b/>
          <w:color w:val="auto"/>
          <w:sz w:val="24"/>
        </w:rPr>
        <w:t>，无需提供分包意向协议</w:t>
      </w:r>
      <w:r>
        <w:rPr>
          <w:rFonts w:hint="eastAsia" w:ascii="宋体" w:hAnsi="宋体"/>
          <w:b/>
          <w:color w:val="auto"/>
          <w:sz w:val="24"/>
          <w:lang w:eastAsia="zh-CN"/>
        </w:rPr>
        <w:t>。</w:t>
      </w:r>
      <w:r>
        <w:rPr>
          <w:rFonts w:hint="eastAsia" w:ascii="宋体" w:hAnsi="宋体"/>
          <w:b/>
          <w:color w:val="auto"/>
          <w:sz w:val="24"/>
        </w:rPr>
        <w:t>】</w:t>
      </w:r>
    </w:p>
    <w:p>
      <w:pPr>
        <w:numPr>
          <w:ilvl w:val="0"/>
          <w:numId w:val="2"/>
        </w:numPr>
        <w:snapToGrid w:val="0"/>
        <w:spacing w:line="500" w:lineRule="exact"/>
        <w:rPr>
          <w:rFonts w:ascii="微软雅黑" w:hAnsi="微软雅黑" w:eastAsia="微软雅黑" w:cs="微软雅黑"/>
          <w:sz w:val="24"/>
        </w:rPr>
      </w:pPr>
      <w:r>
        <w:rPr>
          <w:rFonts w:hint="eastAsia" w:ascii="微软雅黑" w:hAnsi="微软雅黑" w:eastAsia="微软雅黑" w:cs="微软雅黑"/>
          <w:sz w:val="24"/>
        </w:rPr>
        <w:t>本项目不接受联合体投标。</w:t>
      </w:r>
    </w:p>
    <w:p>
      <w:pPr>
        <w:widowControl/>
        <w:numPr>
          <w:ilvl w:val="0"/>
          <w:numId w:val="1"/>
        </w:numPr>
        <w:spacing w:line="500" w:lineRule="exact"/>
        <w:jc w:val="left"/>
        <w:rPr>
          <w:rFonts w:ascii="微软雅黑" w:hAnsi="微软雅黑" w:eastAsia="微软雅黑" w:cs="微软雅黑"/>
          <w:b/>
          <w:bCs/>
          <w:kern w:val="0"/>
          <w:sz w:val="24"/>
        </w:rPr>
      </w:pPr>
      <w:bookmarkStart w:id="7" w:name="_Toc19747"/>
      <w:r>
        <w:rPr>
          <w:rFonts w:hint="eastAsia" w:ascii="微软雅黑" w:hAnsi="微软雅黑" w:eastAsia="微软雅黑" w:cs="微软雅黑"/>
          <w:b/>
          <w:bCs/>
          <w:kern w:val="0"/>
          <w:sz w:val="24"/>
        </w:rPr>
        <w:t>采购文件的获取:</w:t>
      </w:r>
    </w:p>
    <w:bookmarkEnd w:id="7"/>
    <w:p>
      <w:pPr>
        <w:widowControl/>
        <w:numPr>
          <w:ilvl w:val="0"/>
          <w:numId w:val="3"/>
        </w:numPr>
        <w:snapToGrid w:val="0"/>
        <w:spacing w:line="500" w:lineRule="exact"/>
        <w:jc w:val="left"/>
        <w:textAlignment w:val="baseline"/>
        <w:rPr>
          <w:rFonts w:ascii="微软雅黑" w:hAnsi="微软雅黑" w:eastAsia="微软雅黑" w:cs="微软雅黑"/>
          <w:color w:val="000000"/>
          <w:kern w:val="0"/>
          <w:sz w:val="24"/>
        </w:rPr>
      </w:pPr>
      <w:bookmarkStart w:id="8" w:name="_Toc4490"/>
      <w:bookmarkStart w:id="9" w:name="_Toc32145"/>
      <w:r>
        <w:rPr>
          <w:rFonts w:hint="eastAsia" w:ascii="微软雅黑" w:hAnsi="微软雅黑" w:eastAsia="微软雅黑" w:cs="微软雅黑"/>
          <w:color w:val="000000"/>
          <w:kern w:val="0"/>
          <w:sz w:val="24"/>
        </w:rPr>
        <w:t>获取文件时间：自公告发布之日起至投标截止时间（潜在供应商获取采购文件前应当在电子交易平台上注册账号并登录,截止时间后不再接受潜在供应商获取采购文件）</w:t>
      </w:r>
    </w:p>
    <w:p>
      <w:pPr>
        <w:snapToGrid w:val="0"/>
        <w:spacing w:line="500" w:lineRule="exact"/>
        <w:textAlignment w:val="baseline"/>
        <w:rPr>
          <w:rFonts w:ascii="微软雅黑" w:hAnsi="微软雅黑" w:eastAsia="微软雅黑" w:cs="微软雅黑"/>
          <w:b/>
          <w:sz w:val="24"/>
          <w:u w:val="single"/>
        </w:rPr>
      </w:pPr>
      <w:r>
        <w:rPr>
          <w:rFonts w:hint="eastAsia" w:ascii="微软雅黑" w:hAnsi="微软雅黑" w:eastAsia="微软雅黑" w:cs="微软雅黑"/>
          <w:b/>
          <w:sz w:val="24"/>
          <w:u w:val="single" w:color="000000"/>
        </w:rPr>
        <w:t>本公告自发布之日起公告期限为5个工作日。</w:t>
      </w:r>
    </w:p>
    <w:p>
      <w:pPr>
        <w:widowControl/>
        <w:numPr>
          <w:ilvl w:val="0"/>
          <w:numId w:val="3"/>
        </w:numPr>
        <w:snapToGrid w:val="0"/>
        <w:spacing w:line="50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本项目采购文件实行网上在线申请，不收取工本费。</w:t>
      </w:r>
    </w:p>
    <w:p>
      <w:pPr>
        <w:widowControl/>
        <w:numPr>
          <w:ilvl w:val="0"/>
          <w:numId w:val="3"/>
        </w:numPr>
        <w:snapToGrid w:val="0"/>
        <w:spacing w:line="50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获取方式：供应商登录浙江政府采购网(http://zfcg.czt.zj.gov.cn/)进入政采云系统“项目采购”模块“获取采购文件”菜单，进行网上获取招标文件。（“政采云”注册账号、密码登录系统后获取采购文件）或在湖州市公共资源交易信息网（http://ggzy.huzhou.gov.cn/hzfront/)“政府采购”--“分散采购”版块下载。</w:t>
      </w:r>
    </w:p>
    <w:p>
      <w:pPr>
        <w:pStyle w:val="26"/>
        <w:numPr>
          <w:ilvl w:val="0"/>
          <w:numId w:val="3"/>
        </w:numPr>
        <w:snapToGrid w:val="0"/>
        <w:spacing w:line="500" w:lineRule="exact"/>
        <w:rPr>
          <w:rFonts w:ascii="微软雅黑" w:hAnsi="微软雅黑" w:eastAsia="微软雅黑" w:cs="微软雅黑"/>
          <w:b/>
          <w:sz w:val="24"/>
        </w:rPr>
      </w:pPr>
      <w:r>
        <w:rPr>
          <w:rFonts w:hint="eastAsia" w:ascii="微软雅黑" w:hAnsi="微软雅黑" w:eastAsia="微软雅黑" w:cs="微软雅黑"/>
          <w:color w:val="000000"/>
          <w:sz w:val="24"/>
        </w:rPr>
        <w:t>免费注册网址：浙江政府采购网（供应商注册页面）：https://middle.zcygov.cn/settle-front/#/registry“政采云”，咨询电话：400-881-7190。已经注册成功的供应商无需重复注册。</w:t>
      </w:r>
    </w:p>
    <w:p>
      <w:pPr>
        <w:pStyle w:val="13"/>
        <w:numPr>
          <w:ilvl w:val="0"/>
          <w:numId w:val="3"/>
        </w:numPr>
        <w:snapToGrid w:val="0"/>
        <w:spacing w:line="360" w:lineRule="auto"/>
        <w:ind w:firstLineChars="0"/>
        <w:textAlignment w:val="baseline"/>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投标保证金：不缴纳</w:t>
      </w:r>
    </w:p>
    <w:p>
      <w:pPr>
        <w:pStyle w:val="13"/>
        <w:numPr>
          <w:ilvl w:val="0"/>
          <w:numId w:val="1"/>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投标文件的递交及相关事宜</w:t>
      </w:r>
    </w:p>
    <w:p>
      <w:pPr>
        <w:pStyle w:val="18"/>
        <w:numPr>
          <w:ilvl w:val="0"/>
          <w:numId w:val="4"/>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color w:val="000000"/>
        </w:rPr>
      </w:pPr>
      <w:r>
        <w:rPr>
          <w:rFonts w:hint="eastAsia" w:ascii="微软雅黑" w:hAnsi="微软雅黑" w:eastAsia="微软雅黑" w:cs="微软雅黑"/>
          <w:b/>
          <w:bCs/>
          <w:color w:val="000000"/>
        </w:rPr>
        <w:t>投标文件递交的截止时间</w:t>
      </w:r>
      <w:r>
        <w:rPr>
          <w:rFonts w:hint="eastAsia" w:ascii="微软雅黑" w:hAnsi="微软雅黑" w:eastAsia="微软雅黑" w:cs="微软雅黑"/>
          <w:color w:val="000000"/>
        </w:rPr>
        <w:t>（投标截止时间，下同）为2022年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日09：</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0。</w:t>
      </w:r>
    </w:p>
    <w:p>
      <w:pPr>
        <w:pStyle w:val="18"/>
        <w:numPr>
          <w:ilvl w:val="0"/>
          <w:numId w:val="4"/>
        </w:numPr>
        <w:shd w:val="clear" w:color="auto" w:fill="FFFFFF"/>
        <w:snapToGrid w:val="0"/>
        <w:spacing w:before="0" w:beforeAutospacing="0" w:after="0" w:afterAutospacing="0" w:line="360" w:lineRule="auto"/>
        <w:textAlignment w:val="baseline"/>
        <w:rPr>
          <w:rFonts w:ascii="微软雅黑" w:hAnsi="微软雅黑" w:eastAsia="微软雅黑" w:cs="微软雅黑"/>
          <w:b/>
          <w:bCs/>
          <w:color w:val="000000"/>
        </w:rPr>
      </w:pPr>
      <w:r>
        <w:rPr>
          <w:rFonts w:hint="eastAsia" w:ascii="微软雅黑" w:hAnsi="微软雅黑" w:eastAsia="微软雅黑" w:cs="微软雅黑"/>
          <w:b/>
          <w:bCs/>
          <w:color w:val="000000"/>
        </w:rPr>
        <w:t>投标文件递交方式：</w:t>
      </w:r>
    </w:p>
    <w:p>
      <w:pPr>
        <w:pStyle w:val="18"/>
        <w:numPr>
          <w:ilvl w:val="0"/>
          <w:numId w:val="5"/>
        </w:numPr>
        <w:shd w:val="clear" w:color="auto" w:fill="FFFFFF"/>
        <w:snapToGrid w:val="0"/>
        <w:spacing w:before="0" w:beforeAutospacing="0" w:after="0" w:afterAutospacing="0" w:line="360" w:lineRule="auto"/>
        <w:textAlignment w:val="baseline"/>
        <w:rPr>
          <w:rFonts w:ascii="微软雅黑" w:hAnsi="微软雅黑" w:eastAsia="微软雅黑" w:cs="微软雅黑"/>
          <w:color w:val="000000"/>
        </w:rPr>
      </w:pPr>
      <w:r>
        <w:rPr>
          <w:rFonts w:hint="eastAsia" w:ascii="微软雅黑" w:hAnsi="微软雅黑" w:eastAsia="微软雅黑" w:cs="微软雅黑"/>
          <w:b/>
          <w:bCs/>
          <w:color w:val="000000"/>
        </w:rPr>
        <w:t>电子投标文件：</w:t>
      </w:r>
      <w:r>
        <w:rPr>
          <w:rFonts w:hint="eastAsia" w:ascii="微软雅黑" w:hAnsi="微软雅黑" w:eastAsia="微软雅黑" w:cs="微软雅黑"/>
          <w:color w:val="000000"/>
        </w:rPr>
        <w:t>按政采云平台项目采购-电子交易操作指南及本招标文件要求递交。投标人应于2022年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 xml:space="preserve"> 日09：30（北京时间）前将加密的电子版投标文件上传到政采云系统中（不准时上传视为不参加）。</w:t>
      </w:r>
    </w:p>
    <w:p>
      <w:pPr>
        <w:pStyle w:val="18"/>
        <w:numPr>
          <w:ilvl w:val="0"/>
          <w:numId w:val="6"/>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color w:val="000000"/>
        </w:rPr>
      </w:pPr>
      <w:r>
        <w:rPr>
          <w:rFonts w:hint="eastAsia" w:ascii="微软雅黑" w:hAnsi="微软雅黑" w:eastAsia="微软雅黑" w:cs="微软雅黑"/>
          <w:color w:val="000000"/>
        </w:rPr>
        <w:t>供应商须在线获取CA数字证书（完成CA数字证书办理预计一周左右，建议各投标人自行把握时间），并登陆“浙江省政府采购网”(https://zfcg.czt.zj.gov.cn/)，进入“下载专区”下载“电子交易客户端”，制作投标文件。</w:t>
      </w:r>
    </w:p>
    <w:p>
      <w:pPr>
        <w:pStyle w:val="18"/>
        <w:numPr>
          <w:ilvl w:val="0"/>
          <w:numId w:val="6"/>
        </w:numPr>
        <w:shd w:val="clear" w:color="auto" w:fill="FFFFFF"/>
        <w:snapToGrid w:val="0"/>
        <w:spacing w:before="0" w:beforeAutospacing="0" w:after="0" w:afterAutospacing="0" w:line="360" w:lineRule="auto"/>
        <w:textAlignment w:val="baseline"/>
        <w:rPr>
          <w:rFonts w:ascii="微软雅黑" w:hAnsi="微软雅黑" w:eastAsia="微软雅黑" w:cs="微软雅黑"/>
          <w:color w:val="000000"/>
        </w:rPr>
      </w:pPr>
      <w:r>
        <w:rPr>
          <w:rFonts w:hint="eastAsia" w:ascii="微软雅黑" w:hAnsi="微软雅黑" w:eastAsia="微软雅黑" w:cs="微软雅黑"/>
          <w:color w:val="000000"/>
        </w:rPr>
        <w:t>投标人将加密的电子版投标文件于投标截止时间前上传到政采云系统中。具体的投标文件加密上传等操作详见政采云平台操作指南。</w:t>
      </w:r>
      <w:r>
        <w:rPr>
          <w:rFonts w:hint="eastAsia"/>
        </w:rPr>
        <w:fldChar w:fldCharType="begin"/>
      </w:r>
      <w:r>
        <w:instrText xml:space="preserve"> HYPERLINK "https://edu.zcygov.cn/luban/e-biding?utm=a0004.2ef5001f.0001.0109.da8b35e0da8611e98d8937b7ef8a3544" </w:instrText>
      </w:r>
      <w:r>
        <w:rPr>
          <w:rFonts w:hint="eastAsia"/>
        </w:rPr>
        <w:fldChar w:fldCharType="separate"/>
      </w:r>
      <w:r>
        <w:rPr>
          <w:rFonts w:hint="eastAsia" w:ascii="微软雅黑" w:hAnsi="微软雅黑" w:eastAsia="微软雅黑" w:cs="微软雅黑"/>
          <w:color w:val="000000"/>
        </w:rPr>
        <w:t>https://edu.zcygov.cn/luban/e-biding?utm=a0004.2ef5001f.0001.0109.da8b35e0da8611e98d8937b7ef8a3544</w:t>
      </w:r>
      <w:r>
        <w:rPr>
          <w:rFonts w:hint="eastAsia" w:ascii="微软雅黑" w:hAnsi="微软雅黑" w:eastAsia="微软雅黑" w:cs="微软雅黑"/>
          <w:color w:val="000000"/>
        </w:rPr>
        <w:fldChar w:fldCharType="end"/>
      </w:r>
    </w:p>
    <w:p>
      <w:pPr>
        <w:pStyle w:val="18"/>
        <w:numPr>
          <w:ilvl w:val="0"/>
          <w:numId w:val="5"/>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b/>
          <w:bCs/>
        </w:rPr>
        <w:t>备份投标文件</w:t>
      </w:r>
    </w:p>
    <w:p>
      <w:pPr>
        <w:pStyle w:val="18"/>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Style w:val="18"/>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color w:val="000000"/>
        </w:rPr>
      </w:pPr>
      <w:r>
        <w:rPr>
          <w:rFonts w:hint="eastAsia" w:ascii="微软雅黑" w:hAnsi="微软雅黑" w:eastAsia="微软雅黑" w:cs="微软雅黑"/>
        </w:rPr>
        <w:t>备份投标文件：</w:t>
      </w:r>
      <w:r>
        <w:rPr>
          <w:rFonts w:hint="eastAsia" w:ascii="微软雅黑" w:hAnsi="微软雅黑" w:eastAsia="微软雅黑" w:cs="微软雅黑"/>
          <w:color w:val="000000"/>
        </w:rPr>
        <w:t>以介质存储的数据电文形式的备份投标文件（bfbs格式），按政采云平台项目采购-电子交易操作指南中上传的电子投标文件格式，以U盘形式存储提供。数量为1份。U盘盘面上粘贴标签，标注单位名称，</w:t>
      </w:r>
      <w:r>
        <w:rPr>
          <w:rFonts w:hint="eastAsia" w:ascii="微软雅黑" w:hAnsi="微软雅黑" w:eastAsia="微软雅黑" w:cs="微软雅黑"/>
        </w:rPr>
        <w:t>装入一个外包封袋中进行邮寄。邮寄时，总的外包封袋上可不注明投标单位名称，但应注明投标单位的联系人、联系电话及投标项目名称。</w:t>
      </w:r>
    </w:p>
    <w:p>
      <w:pPr>
        <w:pStyle w:val="18"/>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color w:val="000000"/>
        </w:rPr>
      </w:pPr>
      <w:r>
        <w:rPr>
          <w:rFonts w:hint="eastAsia" w:ascii="微软雅黑" w:hAnsi="微软雅黑" w:eastAsia="微软雅黑" w:cs="微软雅黑"/>
        </w:rPr>
        <w:t>备份投标文件通过邮寄方式递交，电子流程正常进行时，备份投标文件不予开启。备份投标文件邮寄地址：湖州市吴兴区星洲国际10幢5楼，浙江华夏工程管理有限公司，联系人：采购部；联系电话：0572-2567837，采购人由二名人员（一名接收人、一名监督人员）统一负责接收投标文件至专门的存放室，二人均在接收记录单上对投标文件快递包裹的相关情况签字确认，与投标资料一并归档，接收文件全过程将录音录像。</w:t>
      </w:r>
    </w:p>
    <w:p>
      <w:pPr>
        <w:pStyle w:val="18"/>
        <w:numPr>
          <w:ilvl w:val="0"/>
          <w:numId w:val="4"/>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bookmarkStart w:id="10" w:name="_Toc1896"/>
      <w:bookmarkStart w:id="11" w:name="_Toc25948"/>
      <w:r>
        <w:rPr>
          <w:rFonts w:hint="eastAsia" w:ascii="微软雅黑" w:hAnsi="微软雅黑" w:eastAsia="微软雅黑" w:cs="微软雅黑"/>
          <w:b/>
          <w:bCs/>
          <w:color w:val="000000"/>
        </w:rPr>
        <w:t>投标文件的标前准备</w:t>
      </w:r>
    </w:p>
    <w:p>
      <w:pPr>
        <w:pStyle w:val="18"/>
        <w:shd w:val="clear" w:color="auto" w:fill="FFFFFF"/>
        <w:snapToGrid w:val="0"/>
        <w:spacing w:before="0" w:beforeAutospacing="0" w:after="0" w:afterAutospacing="0" w:line="360" w:lineRule="auto"/>
        <w:ind w:firstLine="480" w:firstLineChars="200"/>
        <w:textAlignment w:val="baseline"/>
        <w:rPr>
          <w:rFonts w:ascii="微软雅黑" w:hAnsi="微软雅黑" w:eastAsia="微软雅黑" w:cs="微软雅黑"/>
        </w:rPr>
      </w:pPr>
      <w:r>
        <w:rPr>
          <w:rFonts w:hint="eastAsia" w:ascii="微软雅黑" w:hAnsi="微软雅黑" w:eastAsia="微软雅黑" w:cs="微软雅黑"/>
        </w:rPr>
        <w:t>标前投标人必须完成以下操作：政府采购云平台正式供应商注册-CA数字证书申领-CA锁绑定-电子交易客户端的下载。完成CA数字证书办理在资料齐全的情况下预计7个工作日左右，建议供应商获取招标文件后立即办理。</w:t>
      </w:r>
    </w:p>
    <w:p>
      <w:pPr>
        <w:pStyle w:val="18"/>
        <w:snapToGrid w:val="0"/>
        <w:spacing w:before="0" w:beforeAutospacing="0" w:after="0" w:afterAutospacing="0" w:line="360" w:lineRule="auto"/>
        <w:ind w:firstLine="420"/>
        <w:textAlignment w:val="baseline"/>
        <w:rPr>
          <w:rFonts w:ascii="微软雅黑" w:hAnsi="微软雅黑" w:eastAsia="微软雅黑" w:cs="微软雅黑"/>
        </w:rPr>
      </w:pPr>
      <w:r>
        <w:rPr>
          <w:rFonts w:hint="eastAsia" w:ascii="微软雅黑" w:hAnsi="微软雅黑" w:eastAsia="微软雅黑" w:cs="微软雅黑"/>
        </w:rPr>
        <w:t>①《注册入驻操作指南【通用版】-供应商》：</w:t>
      </w:r>
      <w:r>
        <w:rPr>
          <w:rFonts w:hint="eastAsia" w:ascii="微软雅黑" w:hAnsi="微软雅黑" w:eastAsia="微软雅黑" w:cs="微软雅黑"/>
          <w:u w:val="single"/>
        </w:rPr>
        <w:t>https://service.zcygov.cn/#/knowledges/c㎡eqWwBFdiHxlNd_otq/w3Cd3GwBFdiHxlNd-BRD?keyword=%E4%BE%9B%E5%BA%94%E5%95%86%E5%85%A5%E9%A9%BB</w:t>
      </w:r>
      <w:r>
        <w:rPr>
          <w:rFonts w:hint="eastAsia" w:ascii="微软雅黑" w:hAnsi="微软雅黑" w:eastAsia="微软雅黑" w:cs="微软雅黑"/>
        </w:rPr>
        <w:t>；</w:t>
      </w:r>
    </w:p>
    <w:p>
      <w:pPr>
        <w:pStyle w:val="18"/>
        <w:snapToGrid w:val="0"/>
        <w:spacing w:before="0" w:beforeAutospacing="0" w:after="0" w:afterAutospacing="0" w:line="360" w:lineRule="auto"/>
        <w:ind w:firstLine="420"/>
        <w:textAlignment w:val="baseline"/>
        <w:rPr>
          <w:rFonts w:ascii="微软雅黑" w:hAnsi="微软雅黑" w:eastAsia="微软雅黑" w:cs="微软雅黑"/>
        </w:rPr>
      </w:pPr>
      <w:r>
        <w:rPr>
          <w:rFonts w:hint="eastAsia" w:ascii="微软雅黑" w:hAnsi="微软雅黑" w:eastAsia="微软雅黑" w:cs="微软雅黑"/>
        </w:rPr>
        <w:t>②《CA热点问题汇总》：</w:t>
      </w:r>
      <w:r>
        <w:rPr>
          <w:rFonts w:hint="eastAsia" w:ascii="微软雅黑" w:hAnsi="微软雅黑" w:eastAsia="微软雅黑" w:cs="微软雅黑"/>
          <w:u w:val="single"/>
        </w:rPr>
        <w:t>https://service.zcygov.cn/#/knowledges/depk120BkjoVoiMyPhAJ/8QejCnEBiyELHE-ohzp-</w:t>
      </w:r>
      <w:r>
        <w:rPr>
          <w:rFonts w:hint="eastAsia" w:ascii="微软雅黑" w:hAnsi="微软雅黑" w:eastAsia="微软雅黑" w:cs="微软雅黑"/>
        </w:rPr>
        <w:t>；</w:t>
      </w:r>
    </w:p>
    <w:p>
      <w:pPr>
        <w:pStyle w:val="18"/>
        <w:snapToGrid w:val="0"/>
        <w:spacing w:before="0" w:beforeAutospacing="0" w:after="0" w:afterAutospacing="0" w:line="360" w:lineRule="auto"/>
        <w:ind w:firstLine="405"/>
        <w:textAlignment w:val="baseline"/>
        <w:rPr>
          <w:rFonts w:ascii="微软雅黑" w:hAnsi="微软雅黑" w:eastAsia="微软雅黑" w:cs="微软雅黑"/>
          <w:b/>
          <w:bCs/>
        </w:rPr>
      </w:pPr>
      <w:r>
        <w:rPr>
          <w:rFonts w:hint="eastAsia" w:ascii="微软雅黑" w:hAnsi="微软雅黑" w:eastAsia="微软雅黑" w:cs="微软雅黑"/>
          <w:b/>
          <w:bCs/>
        </w:rPr>
        <w:t>注：为确保网上操作合法、有效和安全，投标供应商应当在投标截止时间前完成在“政府采购云平台”的身份认证，确保在电子投标过程中能够对相关数据电文进行加密和使用电子签章。</w:t>
      </w:r>
    </w:p>
    <w:p>
      <w:pPr>
        <w:pStyle w:val="18"/>
        <w:numPr>
          <w:ilvl w:val="0"/>
          <w:numId w:val="4"/>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b/>
          <w:bCs/>
        </w:rPr>
      </w:pPr>
      <w:r>
        <w:rPr>
          <w:rFonts w:hint="eastAsia" w:ascii="微软雅黑" w:hAnsi="微软雅黑" w:eastAsia="微软雅黑" w:cs="微软雅黑"/>
          <w:b/>
          <w:bCs/>
          <w:color w:val="000000"/>
        </w:rPr>
        <w:t>CA锁解密时间</w:t>
      </w:r>
      <w:r>
        <w:rPr>
          <w:rFonts w:hint="eastAsia" w:ascii="微软雅黑" w:hAnsi="微软雅黑" w:eastAsia="微软雅黑" w:cs="微软雅黑"/>
          <w:color w:val="000000"/>
        </w:rPr>
        <w:t>为开标当日09:30至10:00。超过投标截止时间未完成上传的投标文件或未按规定时间递交</w:t>
      </w:r>
      <w:r>
        <w:rPr>
          <w:rFonts w:hint="eastAsia" w:ascii="微软雅黑" w:hAnsi="微软雅黑" w:eastAsia="微软雅黑" w:cs="微软雅黑"/>
        </w:rPr>
        <w:t>备份投标文件的</w:t>
      </w:r>
      <w:r>
        <w:rPr>
          <w:rFonts w:hint="eastAsia" w:ascii="微软雅黑" w:hAnsi="微软雅黑" w:eastAsia="微软雅黑" w:cs="微软雅黑"/>
          <w:color w:val="000000"/>
        </w:rPr>
        <w:t>，招标人不予受理。</w:t>
      </w:r>
    </w:p>
    <w:p>
      <w:pPr>
        <w:pStyle w:val="13"/>
        <w:numPr>
          <w:ilvl w:val="0"/>
          <w:numId w:val="1"/>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开标时间</w:t>
      </w:r>
      <w:bookmarkEnd w:id="10"/>
      <w:bookmarkEnd w:id="11"/>
      <w:r>
        <w:rPr>
          <w:rFonts w:hint="eastAsia" w:ascii="微软雅黑" w:hAnsi="微软雅黑" w:eastAsia="微软雅黑" w:cs="微软雅黑"/>
          <w:b/>
          <w:sz w:val="24"/>
          <w:szCs w:val="24"/>
        </w:rPr>
        <w:t>：2022年</w:t>
      </w:r>
      <w:r>
        <w:rPr>
          <w:rFonts w:hint="eastAsia" w:ascii="微软雅黑" w:hAnsi="微软雅黑" w:eastAsia="微软雅黑" w:cs="微软雅黑"/>
          <w:b/>
          <w:sz w:val="24"/>
          <w:szCs w:val="24"/>
          <w:lang w:val="en-US" w:eastAsia="zh-CN"/>
        </w:rPr>
        <w:t>9</w:t>
      </w:r>
      <w:r>
        <w:rPr>
          <w:rFonts w:hint="eastAsia" w:ascii="微软雅黑" w:hAnsi="微软雅黑" w:eastAsia="微软雅黑" w:cs="微软雅黑"/>
          <w:b/>
          <w:sz w:val="24"/>
          <w:szCs w:val="24"/>
        </w:rPr>
        <w:t>月</w:t>
      </w:r>
      <w:r>
        <w:rPr>
          <w:rFonts w:hint="eastAsia" w:ascii="微软雅黑" w:hAnsi="微软雅黑" w:eastAsia="微软雅黑" w:cs="微软雅黑"/>
          <w:b/>
          <w:sz w:val="24"/>
          <w:szCs w:val="24"/>
          <w:lang w:val="en-US" w:eastAsia="zh-CN"/>
        </w:rPr>
        <w:t>8</w:t>
      </w:r>
      <w:r>
        <w:rPr>
          <w:rFonts w:hint="eastAsia" w:ascii="微软雅黑" w:hAnsi="微软雅黑" w:eastAsia="微软雅黑" w:cs="微软雅黑"/>
          <w:b/>
          <w:sz w:val="24"/>
          <w:szCs w:val="24"/>
        </w:rPr>
        <w:t xml:space="preserve"> 日09：30</w:t>
      </w:r>
    </w:p>
    <w:p>
      <w:pPr>
        <w:pStyle w:val="13"/>
        <w:numPr>
          <w:ilvl w:val="0"/>
          <w:numId w:val="1"/>
        </w:numPr>
        <w:snapToGrid w:val="0"/>
        <w:spacing w:line="360" w:lineRule="auto"/>
        <w:ind w:firstLineChars="0"/>
        <w:textAlignment w:val="baseline"/>
        <w:rPr>
          <w:rFonts w:ascii="微软雅黑" w:hAnsi="微软雅黑" w:eastAsia="微软雅黑" w:cs="微软雅黑"/>
          <w:bCs/>
          <w:sz w:val="24"/>
          <w:szCs w:val="24"/>
        </w:rPr>
      </w:pPr>
      <w:r>
        <w:rPr>
          <w:rFonts w:hint="eastAsia" w:ascii="微软雅黑" w:hAnsi="微软雅黑" w:eastAsia="微软雅黑" w:cs="微软雅黑"/>
          <w:b/>
          <w:sz w:val="24"/>
          <w:szCs w:val="24"/>
        </w:rPr>
        <w:t>开标地点：</w:t>
      </w:r>
      <w:bookmarkStart w:id="12" w:name="OLE_LINK2"/>
      <w:bookmarkStart w:id="13" w:name="OLE_LINK1"/>
      <w:r>
        <w:rPr>
          <w:rFonts w:hint="eastAsia" w:ascii="微软雅黑" w:hAnsi="微软雅黑" w:eastAsia="微软雅黑" w:cs="微软雅黑"/>
          <w:bCs/>
          <w:sz w:val="24"/>
          <w:szCs w:val="24"/>
        </w:rPr>
        <w:t>湖州市市民服务中心2号楼2楼开标室（湖州市仁皇山片区金盖山路66号），具体详见二楼大厅公告栏。</w:t>
      </w:r>
    </w:p>
    <w:p>
      <w:pPr>
        <w:pStyle w:val="13"/>
        <w:snapToGrid w:val="0"/>
        <w:spacing w:line="360" w:lineRule="auto"/>
        <w:ind w:firstLine="48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“政府采购云平台（www.zcygov.cn）”在线投标响应。</w:t>
      </w:r>
      <w:bookmarkEnd w:id="12"/>
      <w:bookmarkEnd w:id="13"/>
    </w:p>
    <w:p>
      <w:pPr>
        <w:pStyle w:val="13"/>
        <w:numPr>
          <w:ilvl w:val="0"/>
          <w:numId w:val="1"/>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发布招标公告的媒体为：</w:t>
      </w:r>
    </w:p>
    <w:p>
      <w:pPr>
        <w:widowControl/>
        <w:tabs>
          <w:tab w:val="left" w:pos="418"/>
        </w:tabs>
        <w:snapToGrid w:val="0"/>
        <w:spacing w:line="440" w:lineRule="exact"/>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浙江政府采购网 （https://zfcg.czt.zj.gov.cn/）；</w:t>
      </w:r>
    </w:p>
    <w:p>
      <w:pPr>
        <w:pStyle w:val="13"/>
        <w:snapToGrid w:val="0"/>
        <w:spacing w:line="440" w:lineRule="exact"/>
        <w:ind w:firstLine="480"/>
        <w:textAlignment w:val="baseline"/>
        <w:rPr>
          <w:rFonts w:ascii="微软雅黑" w:hAnsi="微软雅黑" w:eastAsia="微软雅黑" w:cs="微软雅黑"/>
          <w:kern w:val="0"/>
          <w:sz w:val="24"/>
        </w:rPr>
      </w:pPr>
      <w:bookmarkStart w:id="14" w:name="_Toc20946"/>
      <w:r>
        <w:rPr>
          <w:rFonts w:hint="eastAsia" w:ascii="微软雅黑" w:hAnsi="微软雅黑" w:eastAsia="微软雅黑" w:cs="微软雅黑"/>
          <w:kern w:val="0"/>
          <w:sz w:val="24"/>
        </w:rPr>
        <w:t>湖州市公共资源交易信息网（http://ggzy.huzhou.gov.cn/hzfront//hzfront/）；</w:t>
      </w:r>
      <w:bookmarkEnd w:id="14"/>
    </w:p>
    <w:p>
      <w:pPr>
        <w:pStyle w:val="13"/>
        <w:numPr>
          <w:ilvl w:val="0"/>
          <w:numId w:val="1"/>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其他事项</w:t>
      </w:r>
    </w:p>
    <w:p>
      <w:pPr>
        <w:pStyle w:val="13"/>
        <w:numPr>
          <w:ilvl w:val="0"/>
          <w:numId w:val="8"/>
        </w:numPr>
        <w:snapToGrid w:val="0"/>
        <w:spacing w:line="360" w:lineRule="auto"/>
        <w:ind w:firstLineChars="0"/>
        <w:textAlignment w:val="baseline"/>
        <w:rPr>
          <w:rFonts w:ascii="微软雅黑" w:hAnsi="微软雅黑" w:eastAsia="微软雅黑" w:cs="微软雅黑"/>
          <w:bCs/>
          <w:sz w:val="24"/>
          <w:szCs w:val="24"/>
        </w:rPr>
      </w:pPr>
      <w:r>
        <w:rPr>
          <w:rFonts w:hint="eastAsia" w:ascii="微软雅黑" w:hAnsi="微软雅黑" w:eastAsia="微软雅黑" w:cs="微软雅黑"/>
          <w:bCs/>
          <w:sz w:val="24"/>
          <w:szCs w:val="24"/>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质疑供应商对采购人、采购代理机构的答复不满意，或者采购人、采购代理机构未在规定时间内作出答复的，可以在答复期满后15个工作日内向同级财政部门提起投诉。质疑函范本、投诉书范本请到浙江政府采购网下载专区下载。“规定方式获取招标文件”是指：供应商按本项目招标公告要求申请获取招标文件通过后下载招标文件。</w:t>
      </w:r>
    </w:p>
    <w:p>
      <w:pPr>
        <w:pStyle w:val="13"/>
        <w:numPr>
          <w:ilvl w:val="0"/>
          <w:numId w:val="8"/>
        </w:numPr>
        <w:snapToGrid w:val="0"/>
        <w:spacing w:line="360" w:lineRule="auto"/>
        <w:ind w:firstLineChars="0"/>
        <w:textAlignment w:val="baseline"/>
        <w:rPr>
          <w:rFonts w:ascii="微软雅黑" w:hAnsi="微软雅黑" w:eastAsia="微软雅黑" w:cs="微软雅黑"/>
          <w:b/>
          <w:bCs/>
          <w:sz w:val="24"/>
          <w:szCs w:val="24"/>
        </w:rPr>
      </w:pPr>
      <w:r>
        <w:rPr>
          <w:rFonts w:hint="eastAsia" w:ascii="微软雅黑" w:hAnsi="微软雅黑" w:eastAsia="微软雅黑" w:cs="微软雅黑"/>
          <w:b/>
          <w:bCs/>
          <w:sz w:val="24"/>
          <w:szCs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13"/>
        <w:numPr>
          <w:ilvl w:val="0"/>
          <w:numId w:val="8"/>
        </w:numPr>
        <w:snapToGrid w:val="0"/>
        <w:spacing w:line="360" w:lineRule="auto"/>
        <w:ind w:firstLineChars="0"/>
        <w:textAlignment w:val="baseline"/>
        <w:rPr>
          <w:rFonts w:ascii="微软雅黑" w:hAnsi="微软雅黑" w:eastAsia="微软雅黑" w:cs="微软雅黑"/>
          <w:b/>
          <w:bCs/>
          <w:sz w:val="24"/>
          <w:szCs w:val="24"/>
        </w:rPr>
      </w:pPr>
      <w:r>
        <w:rPr>
          <w:rFonts w:hint="eastAsia" w:ascii="微软雅黑" w:hAnsi="微软雅黑" w:eastAsia="微软雅黑" w:cs="微软雅黑"/>
          <w:bCs/>
          <w:sz w:val="24"/>
          <w:szCs w:val="24"/>
        </w:rPr>
        <w:t>本项目为电子招投标项目，实行网上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将予以拒收。备份投标文件按招标文件相关要求通过邮寄方式递交。采购组织机构按照采购文件规定的时间通过电子交易平台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组织开启投标文件，所有供应商均应当准时在线参加。</w:t>
      </w:r>
    </w:p>
    <w:p>
      <w:pPr>
        <w:pStyle w:val="13"/>
        <w:numPr>
          <w:ilvl w:val="0"/>
          <w:numId w:val="8"/>
        </w:numPr>
        <w:snapToGrid w:val="0"/>
        <w:spacing w:line="360" w:lineRule="auto"/>
        <w:ind w:firstLineChars="0"/>
        <w:textAlignment w:val="baseline"/>
        <w:rPr>
          <w:rFonts w:ascii="微软雅黑" w:hAnsi="微软雅黑" w:eastAsia="微软雅黑" w:cs="微软雅黑"/>
          <w:sz w:val="24"/>
          <w:szCs w:val="24"/>
        </w:rPr>
      </w:pPr>
      <w:r>
        <w:rPr>
          <w:rFonts w:hint="eastAsia" w:ascii="微软雅黑" w:hAnsi="微软雅黑" w:eastAsia="微软雅黑" w:cs="微软雅黑"/>
          <w:kern w:val="0"/>
          <w:sz w:val="24"/>
          <w:szCs w:val="24"/>
        </w:rPr>
        <w:t>按照“不见面、少接触”的原则，本项目实行电子投标，采取“不见面”形式进行开评标活动，应按照本项目招标文件和政采云平台的要求编制、加密并提交投标文件, 投标人的法定代表人或其授权代表不需要参加现场投标和开标。供应商在使用系统进行投标的过程中遇到涉及平台使用的任何问题，可致电政采云平台技术支持热线咨询，联系方式：400-881-7190。</w:t>
      </w:r>
    </w:p>
    <w:p>
      <w:pPr>
        <w:pStyle w:val="13"/>
        <w:numPr>
          <w:ilvl w:val="0"/>
          <w:numId w:val="8"/>
        </w:numPr>
        <w:snapToGrid w:val="0"/>
        <w:spacing w:line="360" w:lineRule="auto"/>
        <w:ind w:firstLineChars="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本项目所有公告发布网站：“浙江省政府采购网”(http://zfcg.czt.zj.gov.cn/)和“湖州市公共资源交易信息网（http://ggzy.huzhou.gov.cn/hzfront/)“政府采购”--“分散采购”版块。</w:t>
      </w:r>
    </w:p>
    <w:bookmarkEnd w:id="8"/>
    <w:bookmarkEnd w:id="9"/>
    <w:p>
      <w:pPr>
        <w:pStyle w:val="13"/>
        <w:numPr>
          <w:ilvl w:val="0"/>
          <w:numId w:val="1"/>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对本次招标提出询问，请按以下方式联系。</w:t>
      </w:r>
    </w:p>
    <w:p>
      <w:pPr>
        <w:pStyle w:val="13"/>
        <w:numPr>
          <w:ilvl w:val="0"/>
          <w:numId w:val="9"/>
        </w:numPr>
        <w:snapToGrid w:val="0"/>
        <w:spacing w:line="360" w:lineRule="auto"/>
        <w:ind w:firstLineChars="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000000"/>
          <w:sz w:val="24"/>
          <w:szCs w:val="24"/>
        </w:rPr>
        <w:t>采购人：</w:t>
      </w:r>
      <w:r>
        <w:rPr>
          <w:rFonts w:hint="eastAsia" w:ascii="微软雅黑" w:hAnsi="微软雅黑" w:eastAsia="微软雅黑" w:cs="微软雅黑"/>
          <w:color w:val="auto"/>
          <w:sz w:val="24"/>
          <w:szCs w:val="24"/>
          <w:lang w:eastAsia="zh-CN"/>
        </w:rPr>
        <w:t xml:space="preserve">南浔区住房和城乡建设局 </w:t>
      </w:r>
    </w:p>
    <w:p>
      <w:pPr>
        <w:pStyle w:val="13"/>
        <w:snapToGrid w:val="0"/>
        <w:spacing w:line="360" w:lineRule="auto"/>
        <w:ind w:firstLine="0" w:firstLineChars="0"/>
        <w:textAlignment w:val="baseline"/>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联系人： 周其书      </w:t>
      </w:r>
      <w:r>
        <w:rPr>
          <w:rFonts w:hint="eastAsia" w:ascii="微软雅黑" w:hAnsi="微软雅黑" w:eastAsia="微软雅黑" w:cs="微软雅黑"/>
          <w:color w:val="000000"/>
          <w:kern w:val="0"/>
          <w:sz w:val="24"/>
          <w:szCs w:val="24"/>
        </w:rPr>
        <w:t>联系电话：</w:t>
      </w:r>
      <w:r>
        <w:rPr>
          <w:rFonts w:hint="eastAsia" w:ascii="微软雅黑" w:hAnsi="微软雅黑" w:eastAsia="微软雅黑" w:cs="微软雅黑"/>
          <w:color w:val="000000"/>
          <w:sz w:val="24"/>
          <w:szCs w:val="24"/>
        </w:rPr>
        <w:t>0572-3066088</w:t>
      </w:r>
    </w:p>
    <w:p>
      <w:pPr>
        <w:pStyle w:val="13"/>
        <w:snapToGrid w:val="0"/>
        <w:spacing w:line="360" w:lineRule="auto"/>
        <w:ind w:firstLine="0" w:firstLineChars="0"/>
        <w:textAlignment w:val="baseline"/>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地址：</w:t>
      </w:r>
      <w:r>
        <w:rPr>
          <w:rFonts w:hint="eastAsia" w:ascii="微软雅黑" w:hAnsi="微软雅黑" w:eastAsia="微软雅黑" w:cs="微软雅黑"/>
          <w:color w:val="000000"/>
          <w:sz w:val="24"/>
          <w:szCs w:val="24"/>
          <w:lang w:eastAsia="zh-CN"/>
        </w:rPr>
        <w:t>湖州市南浔区南林中路800号</w:t>
      </w:r>
    </w:p>
    <w:p>
      <w:pPr>
        <w:numPr>
          <w:ilvl w:val="0"/>
          <w:numId w:val="9"/>
        </w:numPr>
        <w:snapToGrid w:val="0"/>
        <w:spacing w:line="360" w:lineRule="auto"/>
        <w:jc w:val="left"/>
        <w:textAlignment w:val="baseline"/>
        <w:rPr>
          <w:rFonts w:ascii="微软雅黑" w:hAnsi="微软雅黑" w:eastAsia="微软雅黑" w:cs="微软雅黑"/>
          <w:color w:val="000000"/>
          <w:kern w:val="0"/>
          <w:sz w:val="24"/>
        </w:rPr>
      </w:pPr>
      <w:r>
        <w:rPr>
          <w:rFonts w:hint="eastAsia" w:ascii="微软雅黑" w:hAnsi="微软雅黑" w:eastAsia="微软雅黑" w:cs="微软雅黑"/>
          <w:color w:val="000000"/>
          <w:sz w:val="24"/>
        </w:rPr>
        <w:t xml:space="preserve">采购代理机构：浙江华夏工程管理有限公司    </w:t>
      </w:r>
    </w:p>
    <w:p>
      <w:pPr>
        <w:snapToGrid w:val="0"/>
        <w:spacing w:line="360" w:lineRule="auto"/>
        <w:jc w:val="left"/>
        <w:textAlignment w:val="baseline"/>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联系人：郑剑鸿          联系电话：0572-2567837</w:t>
      </w:r>
    </w:p>
    <w:p>
      <w:pPr>
        <w:pStyle w:val="2"/>
        <w:ind w:firstLine="0" w:firstLineChars="0"/>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质疑函接收人：丁女士    联系电话：0572-2567837  传真：0572-2567859</w:t>
      </w:r>
    </w:p>
    <w:p>
      <w:pPr>
        <w:snapToGrid w:val="0"/>
        <w:spacing w:line="360" w:lineRule="auto"/>
        <w:textAlignment w:val="baseline"/>
        <w:rPr>
          <w:rFonts w:ascii="微软雅黑" w:hAnsi="微软雅黑" w:eastAsia="微软雅黑" w:cs="微软雅黑"/>
          <w:color w:val="000000"/>
          <w:kern w:val="0"/>
          <w:sz w:val="24"/>
        </w:rPr>
      </w:pPr>
      <w:r>
        <w:rPr>
          <w:rFonts w:hint="eastAsia" w:ascii="微软雅黑" w:hAnsi="微软雅黑" w:eastAsia="微软雅黑" w:cs="微软雅黑"/>
          <w:sz w:val="24"/>
        </w:rPr>
        <w:t>地 址：</w:t>
      </w:r>
      <w:r>
        <w:rPr>
          <w:rFonts w:hint="eastAsia" w:ascii="微软雅黑" w:hAnsi="微软雅黑" w:eastAsia="微软雅黑" w:cs="微软雅黑"/>
          <w:color w:val="000000"/>
          <w:kern w:val="0"/>
          <w:sz w:val="24"/>
        </w:rPr>
        <w:t>湖州市星洲国际10幢5楼</w:t>
      </w:r>
    </w:p>
    <w:p>
      <w:pPr>
        <w:numPr>
          <w:ilvl w:val="0"/>
          <w:numId w:val="9"/>
        </w:numPr>
        <w:snapToGrid w:val="0"/>
        <w:spacing w:line="360" w:lineRule="auto"/>
        <w:textAlignment w:val="baseline"/>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政府采购行政监管及投诉受理部门：湖州市南浔区财政局         </w:t>
      </w:r>
    </w:p>
    <w:p>
      <w:pPr>
        <w:snapToGrid w:val="0"/>
        <w:spacing w:line="360" w:lineRule="auto"/>
        <w:textAlignment w:val="baseline"/>
        <w:rPr>
          <w:rFonts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联系人：孙先生          监督投诉电话：0572-3026731         </w:t>
      </w:r>
    </w:p>
    <w:p>
      <w:pPr>
        <w:pStyle w:val="2"/>
        <w:ind w:firstLine="240"/>
        <w:rPr>
          <w:rFonts w:ascii="微软雅黑" w:hAnsi="微软雅黑" w:eastAsia="微软雅黑" w:cs="微软雅黑"/>
          <w:sz w:val="24"/>
          <w:szCs w:val="18"/>
        </w:rPr>
      </w:pPr>
    </w:p>
    <w:p>
      <w:pPr>
        <w:pStyle w:val="13"/>
        <w:adjustRightInd w:val="0"/>
        <w:snapToGrid w:val="0"/>
        <w:spacing w:line="360" w:lineRule="auto"/>
        <w:ind w:firstLine="440"/>
        <w:rPr>
          <w:rFonts w:ascii="微软雅黑" w:hAnsi="微软雅黑" w:eastAsia="微软雅黑" w:cs="微软雅黑"/>
          <w:sz w:val="24"/>
        </w:rPr>
        <w:sectPr>
          <w:footerReference r:id="rId6" w:type="default"/>
          <w:pgSz w:w="11910" w:h="16840"/>
          <w:pgMar w:top="1440" w:right="1080" w:bottom="1440" w:left="1080" w:header="999" w:footer="1033" w:gutter="0"/>
          <w:pgNumType w:start="1"/>
          <w:cols w:space="720" w:num="1"/>
        </w:sectPr>
      </w:pPr>
      <w:r>
        <w:rPr>
          <w:rFonts w:hint="eastAsia" w:ascii="微软雅黑" w:hAnsi="微软雅黑" w:eastAsia="微软雅黑" w:cs="微软雅黑"/>
          <w:sz w:val="22"/>
          <w:szCs w:val="22"/>
        </w:rPr>
        <w:t>若对项目采购电子交易系统操作有疑问，可登录政采云（https://www.zcygov.cn/），点击右侧咨询小采，获取采小蜜智能服务管家帮助，或拨打政采云服务热线400-881-7190获取热线服务帮助。</w:t>
      </w:r>
      <w:bookmarkStart w:id="15" w:name="_Toc27574"/>
    </w:p>
    <w:bookmarkEnd w:id="15"/>
    <w:p>
      <w:pPr>
        <w:numPr>
          <w:ilvl w:val="0"/>
          <w:numId w:val="10"/>
        </w:numPr>
        <w:spacing w:line="360"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 xml:space="preserve"> 投标人须知</w:t>
      </w:r>
    </w:p>
    <w:p>
      <w:pPr>
        <w:pStyle w:val="6"/>
        <w:adjustRightInd w:val="0"/>
        <w:snapToGrid w:val="0"/>
        <w:spacing w:before="0" w:after="0" w:line="360" w:lineRule="exact"/>
        <w:jc w:val="center"/>
        <w:rPr>
          <w:rFonts w:ascii="微软雅黑" w:hAnsi="微软雅黑" w:eastAsia="微软雅黑" w:cs="微软雅黑"/>
          <w:sz w:val="24"/>
          <w:szCs w:val="24"/>
        </w:rPr>
      </w:pPr>
      <w:bookmarkStart w:id="16" w:name="_Toc9577"/>
      <w:r>
        <w:rPr>
          <w:rFonts w:hint="eastAsia" w:ascii="微软雅黑" w:hAnsi="微软雅黑" w:eastAsia="微软雅黑" w:cs="微软雅黑"/>
          <w:sz w:val="24"/>
          <w:szCs w:val="24"/>
        </w:rPr>
        <w:t>投标人须知前附表</w:t>
      </w:r>
    </w:p>
    <w:tbl>
      <w:tblPr>
        <w:tblStyle w:val="19"/>
        <w:tblW w:w="9042" w:type="dxa"/>
        <w:tblInd w:w="-99" w:type="dxa"/>
        <w:tblLayout w:type="fixed"/>
        <w:tblCellMar>
          <w:top w:w="0" w:type="dxa"/>
          <w:left w:w="108" w:type="dxa"/>
          <w:bottom w:w="0" w:type="dxa"/>
          <w:right w:w="108" w:type="dxa"/>
        </w:tblCellMar>
      </w:tblPr>
      <w:tblGrid>
        <w:gridCol w:w="585"/>
        <w:gridCol w:w="1857"/>
        <w:gridCol w:w="6600"/>
      </w:tblGrid>
      <w:tr>
        <w:tblPrEx>
          <w:tblCellMar>
            <w:top w:w="0" w:type="dxa"/>
            <w:left w:w="108" w:type="dxa"/>
            <w:bottom w:w="0" w:type="dxa"/>
            <w:right w:w="108" w:type="dxa"/>
          </w:tblCellMar>
        </w:tblPrEx>
        <w:trPr>
          <w:trHeight w:val="556" w:hRule="atLeast"/>
          <w:tblHeader/>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ind w:left="-92" w:leftChars="-33" w:right="-92" w:rightChars="-33"/>
              <w:jc w:val="center"/>
              <w:rPr>
                <w:rFonts w:ascii="微软雅黑" w:hAnsi="微软雅黑" w:eastAsia="微软雅黑" w:cs="微软雅黑"/>
                <w:kern w:val="0"/>
                <w:sz w:val="24"/>
              </w:rPr>
            </w:pPr>
            <w:bookmarkStart w:id="17" w:name="sys_招标项目基本内容及要求其他：Block"/>
            <w:bookmarkEnd w:id="17"/>
            <w:bookmarkStart w:id="18" w:name="招标项目基本内容及要求：Block"/>
            <w:bookmarkEnd w:id="18"/>
            <w:bookmarkStart w:id="19" w:name="招标项目基本内容及要求其他：Block"/>
            <w:bookmarkEnd w:id="19"/>
            <w:bookmarkStart w:id="20" w:name="sys_招标项目基本内容及要求：Block"/>
            <w:bookmarkEnd w:id="20"/>
            <w:r>
              <w:rPr>
                <w:rFonts w:hint="eastAsia" w:ascii="微软雅黑" w:hAnsi="微软雅黑" w:eastAsia="微软雅黑" w:cs="微软雅黑"/>
                <w:kern w:val="0"/>
                <w:sz w:val="24"/>
              </w:rPr>
              <w:t>序号</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项   目</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内     容</w:t>
            </w:r>
          </w:p>
        </w:tc>
      </w:tr>
      <w:tr>
        <w:tblPrEx>
          <w:tblCellMar>
            <w:top w:w="0" w:type="dxa"/>
            <w:left w:w="108" w:type="dxa"/>
            <w:bottom w:w="0" w:type="dxa"/>
            <w:right w:w="108" w:type="dxa"/>
          </w:tblCellMar>
        </w:tblPrEx>
        <w:trPr>
          <w:trHeight w:val="989"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sz w:val="24"/>
              </w:rPr>
              <w:t>项目名称</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微软雅黑" w:hAnsi="微软雅黑" w:eastAsia="微软雅黑" w:cs="微软雅黑"/>
                <w:kern w:val="0"/>
                <w:sz w:val="24"/>
                <w:lang w:eastAsia="zh-CN"/>
              </w:rPr>
            </w:pPr>
            <w:r>
              <w:rPr>
                <w:rFonts w:hint="eastAsia" w:ascii="微软雅黑" w:hAnsi="微软雅黑" w:eastAsia="微软雅黑" w:cs="微软雅黑"/>
                <w:kern w:val="0"/>
                <w:sz w:val="24"/>
                <w:lang w:eastAsia="zh-CN"/>
              </w:rPr>
              <w:t>湖州市南浔区住房和城乡建设局年度（2022-2025）绿化养护服务采购</w:t>
            </w:r>
          </w:p>
        </w:tc>
      </w:tr>
      <w:tr>
        <w:tblPrEx>
          <w:tblCellMar>
            <w:top w:w="0" w:type="dxa"/>
            <w:left w:w="108" w:type="dxa"/>
            <w:bottom w:w="0" w:type="dxa"/>
            <w:right w:w="108" w:type="dxa"/>
          </w:tblCellMar>
        </w:tblPrEx>
        <w:trPr>
          <w:trHeight w:val="974"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2</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sz w:val="24"/>
              </w:rPr>
              <w:t>编号</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招标文件编号：</w:t>
            </w:r>
            <w:r>
              <w:rPr>
                <w:rFonts w:hint="eastAsia" w:ascii="微软雅黑" w:hAnsi="微软雅黑" w:eastAsia="微软雅黑" w:cs="微软雅黑"/>
                <w:sz w:val="24"/>
                <w:lang w:eastAsia="zh-CN"/>
              </w:rPr>
              <w:t>浙华采字【2022】hzf-7046号</w:t>
            </w:r>
            <w:r>
              <w:rPr>
                <w:rFonts w:hint="eastAsia" w:ascii="微软雅黑" w:hAnsi="微软雅黑" w:eastAsia="微软雅黑" w:cs="微软雅黑"/>
                <w:sz w:val="24"/>
              </w:rPr>
              <w:t>；</w:t>
            </w:r>
          </w:p>
          <w:p>
            <w:pPr>
              <w:pStyle w:val="2"/>
              <w:spacing w:line="360" w:lineRule="exact"/>
              <w:ind w:firstLine="0" w:firstLineChars="0"/>
              <w:rPr>
                <w:rFonts w:hint="eastAsia" w:ascii="微软雅黑" w:hAnsi="微软雅黑" w:eastAsia="微软雅黑" w:cs="微软雅黑"/>
                <w:kern w:val="0"/>
                <w:sz w:val="24"/>
                <w:szCs w:val="24"/>
                <w:lang w:eastAsia="zh-CN"/>
              </w:rPr>
            </w:pPr>
            <w:r>
              <w:rPr>
                <w:rFonts w:hint="eastAsia" w:ascii="微软雅黑" w:hAnsi="微软雅黑" w:eastAsia="微软雅黑" w:cs="微软雅黑"/>
                <w:sz w:val="24"/>
                <w:szCs w:val="24"/>
              </w:rPr>
              <w:t>财政审批编号:</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临[2022]653号</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3</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sz w:val="24"/>
              </w:rPr>
              <w:t>招标内容</w:t>
            </w:r>
          </w:p>
        </w:tc>
        <w:tc>
          <w:tcPr>
            <w:tcW w:w="6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ind w:firstLine="0" w:firstLineChars="0"/>
              <w:rPr>
                <w:rFonts w:ascii="微软雅黑" w:hAnsi="微软雅黑" w:eastAsia="微软雅黑" w:cs="微软雅黑"/>
                <w:kern w:val="0"/>
                <w:sz w:val="24"/>
                <w:szCs w:val="24"/>
              </w:rPr>
            </w:pPr>
            <w:r>
              <w:rPr>
                <w:rFonts w:hint="eastAsia" w:ascii="微软雅黑" w:hAnsi="微软雅黑" w:eastAsia="微软雅黑" w:cs="微软雅黑"/>
                <w:sz w:val="24"/>
                <w:szCs w:val="24"/>
              </w:rPr>
              <w:t>服务地点：南浔中心城区向阳西路、南浔大道、联谊西路、新安路等城市公共绿地，主要内容为公共绿地日常养护管理与保洁、草花种植、应急整治任务等，具体内容详见招标需求。</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4</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bCs/>
                <w:sz w:val="24"/>
              </w:rPr>
            </w:pPr>
            <w:r>
              <w:rPr>
                <w:rFonts w:hint="eastAsia" w:ascii="微软雅黑" w:hAnsi="微软雅黑" w:eastAsia="微软雅黑" w:cs="微软雅黑"/>
                <w:bCs/>
                <w:sz w:val="24"/>
              </w:rPr>
              <w:t>投标报价及费用</w:t>
            </w:r>
          </w:p>
        </w:tc>
        <w:tc>
          <w:tcPr>
            <w:tcW w:w="6600"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ind w:firstLine="0" w:firstLineChars="0"/>
              <w:rPr>
                <w:rFonts w:ascii="微软雅黑" w:hAnsi="微软雅黑" w:eastAsia="微软雅黑" w:cs="微软雅黑"/>
                <w:bCs/>
                <w:sz w:val="24"/>
                <w:szCs w:val="24"/>
              </w:rPr>
            </w:pPr>
            <w:r>
              <w:rPr>
                <w:rFonts w:hint="eastAsia" w:ascii="微软雅黑" w:hAnsi="微软雅黑" w:eastAsia="微软雅黑" w:cs="微软雅黑"/>
                <w:kern w:val="0"/>
                <w:sz w:val="24"/>
                <w:szCs w:val="24"/>
              </w:rPr>
              <w:t>1、本项目投标应以人民币报价；2、不论投标结果如何，投标人均应自行承担所有与投标有关的全部费用。3、本项目招标代理服务费按¥</w:t>
            </w:r>
            <w:r>
              <w:rPr>
                <w:rFonts w:hint="eastAsia" w:ascii="微软雅黑" w:hAnsi="微软雅黑" w:eastAsia="微软雅黑" w:cs="微软雅黑"/>
                <w:kern w:val="0"/>
                <w:sz w:val="24"/>
                <w:szCs w:val="24"/>
                <w:lang w:val="en-US" w:eastAsia="zh-CN"/>
              </w:rPr>
              <w:t>37000</w:t>
            </w:r>
            <w:r>
              <w:rPr>
                <w:rFonts w:hint="eastAsia" w:ascii="微软雅黑" w:hAnsi="微软雅黑" w:eastAsia="微软雅黑" w:cs="微软雅黑"/>
                <w:kern w:val="0"/>
                <w:sz w:val="24"/>
                <w:szCs w:val="24"/>
              </w:rPr>
              <w:t>（人民币</w:t>
            </w:r>
            <w:r>
              <w:rPr>
                <w:rFonts w:hint="eastAsia" w:ascii="微软雅黑" w:hAnsi="微软雅黑" w:eastAsia="微软雅黑" w:cs="微软雅黑"/>
                <w:kern w:val="0"/>
                <w:sz w:val="24"/>
                <w:szCs w:val="24"/>
                <w:lang w:eastAsia="zh-CN"/>
              </w:rPr>
              <w:t>叁万柒仟</w:t>
            </w:r>
            <w:r>
              <w:rPr>
                <w:rFonts w:hint="eastAsia" w:ascii="微软雅黑" w:hAnsi="微软雅黑" w:eastAsia="微软雅黑" w:cs="微软雅黑"/>
                <w:kern w:val="0"/>
                <w:sz w:val="24"/>
                <w:szCs w:val="24"/>
              </w:rPr>
              <w:t>元整）收取，由中标单位在领取中标通知书前一次性向招标代理机构支付完成。</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5</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bCs/>
                <w:sz w:val="24"/>
              </w:rPr>
            </w:pPr>
            <w:r>
              <w:rPr>
                <w:rFonts w:hint="eastAsia" w:ascii="微软雅黑" w:hAnsi="微软雅黑" w:eastAsia="微软雅黑" w:cs="微软雅黑"/>
                <w:kern w:val="0"/>
                <w:sz w:val="24"/>
              </w:rPr>
              <w:t>采购人</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微软雅黑" w:hAnsi="微软雅黑" w:eastAsia="微软雅黑" w:cs="微软雅黑"/>
                <w:kern w:val="0"/>
                <w:sz w:val="24"/>
                <w:u w:val="single"/>
                <w:lang w:eastAsia="zh-CN"/>
              </w:rPr>
            </w:pPr>
            <w:r>
              <w:rPr>
                <w:rFonts w:hint="eastAsia" w:ascii="微软雅黑" w:hAnsi="微软雅黑" w:eastAsia="微软雅黑" w:cs="微软雅黑"/>
                <w:kern w:val="0"/>
                <w:sz w:val="24"/>
              </w:rPr>
              <w:t>名  称：</w:t>
            </w:r>
            <w:r>
              <w:rPr>
                <w:rFonts w:hint="eastAsia" w:ascii="微软雅黑" w:hAnsi="微软雅黑" w:eastAsia="微软雅黑" w:cs="微软雅黑"/>
                <w:color w:val="auto"/>
                <w:kern w:val="0"/>
                <w:sz w:val="24"/>
                <w:u w:val="single"/>
                <w:lang w:eastAsia="zh-CN"/>
              </w:rPr>
              <w:t xml:space="preserve">南浔区住房和城乡建设局 </w:t>
            </w:r>
          </w:p>
          <w:p>
            <w:pPr>
              <w:widowControl/>
              <w:spacing w:line="360" w:lineRule="exact"/>
              <w:jc w:val="left"/>
              <w:rPr>
                <w:rFonts w:hint="eastAsia" w:ascii="微软雅黑" w:hAnsi="微软雅黑" w:eastAsia="微软雅黑" w:cs="微软雅黑"/>
                <w:kern w:val="0"/>
                <w:sz w:val="24"/>
                <w:u w:val="single"/>
                <w:lang w:eastAsia="zh-CN"/>
              </w:rPr>
            </w:pPr>
            <w:r>
              <w:rPr>
                <w:rFonts w:hint="eastAsia" w:ascii="微软雅黑" w:hAnsi="微软雅黑" w:eastAsia="微软雅黑" w:cs="微软雅黑"/>
                <w:kern w:val="0"/>
                <w:sz w:val="24"/>
              </w:rPr>
              <w:t>地  址：</w:t>
            </w:r>
            <w:r>
              <w:rPr>
                <w:rFonts w:hint="eastAsia" w:ascii="微软雅黑" w:hAnsi="微软雅黑" w:eastAsia="微软雅黑" w:cs="微软雅黑"/>
                <w:kern w:val="0"/>
                <w:sz w:val="24"/>
                <w:u w:val="single"/>
                <w:lang w:eastAsia="zh-CN"/>
              </w:rPr>
              <w:t>湖州市南浔区南林中路800号</w:t>
            </w:r>
          </w:p>
          <w:p>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联系人：</w:t>
            </w:r>
            <w:r>
              <w:rPr>
                <w:rFonts w:hint="eastAsia" w:ascii="微软雅黑" w:hAnsi="微软雅黑" w:eastAsia="微软雅黑" w:cs="微软雅黑"/>
                <w:kern w:val="0"/>
                <w:sz w:val="24"/>
                <w:u w:val="single"/>
              </w:rPr>
              <w:t>周其书</w:t>
            </w:r>
          </w:p>
          <w:p>
            <w:pPr>
              <w:widowControl/>
              <w:spacing w:line="360" w:lineRule="exact"/>
              <w:jc w:val="left"/>
              <w:rPr>
                <w:rFonts w:ascii="微软雅黑" w:hAnsi="微软雅黑" w:eastAsia="微软雅黑" w:cs="微软雅黑"/>
                <w:bCs/>
                <w:sz w:val="24"/>
              </w:rPr>
            </w:pPr>
            <w:r>
              <w:rPr>
                <w:rFonts w:hint="eastAsia" w:ascii="微软雅黑" w:hAnsi="微软雅黑" w:eastAsia="微软雅黑" w:cs="微软雅黑"/>
                <w:kern w:val="0"/>
                <w:sz w:val="24"/>
              </w:rPr>
              <w:t>电  话：</w:t>
            </w:r>
            <w:r>
              <w:rPr>
                <w:rFonts w:hint="eastAsia" w:ascii="微软雅黑" w:hAnsi="微软雅黑" w:eastAsia="微软雅黑" w:cs="微软雅黑"/>
                <w:kern w:val="0"/>
                <w:sz w:val="24"/>
                <w:u w:val="single"/>
              </w:rPr>
              <w:t>0572-3066088</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6</w:t>
            </w:r>
          </w:p>
        </w:tc>
        <w:tc>
          <w:tcPr>
            <w:tcW w:w="185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采购代理机构</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名  称：</w:t>
            </w:r>
            <w:r>
              <w:rPr>
                <w:rFonts w:hint="eastAsia" w:ascii="微软雅黑" w:hAnsi="微软雅黑" w:eastAsia="微软雅黑" w:cs="微软雅黑"/>
                <w:kern w:val="0"/>
                <w:sz w:val="24"/>
                <w:u w:val="single"/>
              </w:rPr>
              <w:t>浙江华夏工程管理有限公司</w:t>
            </w:r>
          </w:p>
          <w:p>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地  址：</w:t>
            </w:r>
            <w:r>
              <w:rPr>
                <w:rFonts w:hint="eastAsia" w:ascii="微软雅黑" w:hAnsi="微软雅黑" w:eastAsia="微软雅黑" w:cs="微软雅黑"/>
                <w:kern w:val="0"/>
                <w:sz w:val="24"/>
                <w:u w:val="single"/>
              </w:rPr>
              <w:t xml:space="preserve">湖州市星洲国际10幢5楼 </w:t>
            </w:r>
          </w:p>
          <w:p>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联系人：</w:t>
            </w:r>
            <w:r>
              <w:rPr>
                <w:rFonts w:hint="eastAsia" w:ascii="微软雅黑" w:hAnsi="微软雅黑" w:eastAsia="微软雅黑" w:cs="微软雅黑"/>
                <w:kern w:val="0"/>
                <w:sz w:val="24"/>
                <w:u w:val="single"/>
              </w:rPr>
              <w:t>郑剑鸿</w:t>
            </w:r>
          </w:p>
          <w:p>
            <w:pPr>
              <w:widowControl/>
              <w:spacing w:line="36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电  话：</w:t>
            </w:r>
            <w:r>
              <w:rPr>
                <w:rFonts w:hint="eastAsia" w:ascii="微软雅黑" w:hAnsi="微软雅黑" w:eastAsia="微软雅黑" w:cs="微软雅黑"/>
                <w:kern w:val="0"/>
                <w:sz w:val="24"/>
                <w:u w:val="single"/>
              </w:rPr>
              <w:t xml:space="preserve">0572-2567837 </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7</w:t>
            </w:r>
          </w:p>
        </w:tc>
        <w:tc>
          <w:tcPr>
            <w:tcW w:w="1857"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center"/>
              <w:rPr>
                <w:rFonts w:ascii="微软雅黑" w:hAnsi="微软雅黑" w:eastAsia="微软雅黑" w:cs="微软雅黑"/>
                <w:b w:val="0"/>
                <w:bCs w:val="0"/>
                <w:kern w:val="0"/>
                <w:sz w:val="24"/>
                <w:highlight w:val="none"/>
              </w:rPr>
            </w:pPr>
            <w:r>
              <w:rPr>
                <w:rFonts w:hint="eastAsia" w:ascii="微软雅黑" w:hAnsi="微软雅黑" w:eastAsia="微软雅黑" w:cs="微软雅黑"/>
                <w:b w:val="0"/>
                <w:bCs w:val="0"/>
                <w:kern w:val="0"/>
                <w:sz w:val="24"/>
                <w:highlight w:val="none"/>
              </w:rPr>
              <w:t>项目预算金额、最高限价</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7.1预算金额：630万元【210万元/年】</w:t>
            </w:r>
          </w:p>
          <w:p>
            <w:pPr>
              <w:spacing w:line="400" w:lineRule="exact"/>
              <w:rPr>
                <w:rFonts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7.2最高限价：630万元【210万元/年】</w:t>
            </w:r>
          </w:p>
          <w:p>
            <w:pPr>
              <w:spacing w:line="400" w:lineRule="exact"/>
              <w:rPr>
                <w:rFonts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7.3分项最高限价：</w:t>
            </w:r>
          </w:p>
          <w:p>
            <w:pPr>
              <w:spacing w:line="400" w:lineRule="exact"/>
              <w:rPr>
                <w:rFonts w:hint="default" w:ascii="微软雅黑" w:hAnsi="微软雅黑" w:eastAsia="微软雅黑" w:cs="微软雅黑"/>
                <w:b w:val="0"/>
                <w:bCs w:val="0"/>
                <w:sz w:val="24"/>
                <w:highlight w:val="none"/>
                <w:lang w:val="en-US" w:eastAsia="zh-CN"/>
              </w:rPr>
            </w:pPr>
            <w:r>
              <w:rPr>
                <w:rFonts w:hint="eastAsia" w:ascii="微软雅黑" w:hAnsi="微软雅黑" w:eastAsia="微软雅黑" w:cs="微软雅黑"/>
                <w:b w:val="0"/>
                <w:bCs w:val="0"/>
                <w:sz w:val="24"/>
                <w:highlight w:val="none"/>
              </w:rPr>
              <w:t>7.3.1绿化养护单价最高限价：Ⅰ级绿化养护6</w:t>
            </w:r>
            <w:r>
              <w:rPr>
                <w:rFonts w:hint="eastAsia" w:ascii="微软雅黑" w:hAnsi="微软雅黑" w:eastAsia="微软雅黑" w:cs="微软雅黑"/>
                <w:b w:val="0"/>
                <w:bCs w:val="0"/>
                <w:sz w:val="24"/>
                <w:highlight w:val="none"/>
                <w:lang w:val="en-US" w:eastAsia="zh-CN"/>
              </w:rPr>
              <w:t>.2</w:t>
            </w:r>
            <w:r>
              <w:rPr>
                <w:rFonts w:hint="eastAsia" w:ascii="微软雅黑" w:hAnsi="微软雅黑" w:eastAsia="微软雅黑" w:cs="微软雅黑"/>
                <w:b w:val="0"/>
                <w:bCs w:val="0"/>
                <w:sz w:val="24"/>
                <w:highlight w:val="none"/>
              </w:rPr>
              <w:t>元/㎡</w:t>
            </w:r>
            <w:r>
              <w:rPr>
                <w:rFonts w:hint="eastAsia" w:ascii="微软雅黑" w:hAnsi="微软雅黑" w:eastAsia="微软雅黑" w:cs="微软雅黑"/>
                <w:b w:val="0"/>
                <w:bCs w:val="0"/>
                <w:sz w:val="24"/>
                <w:highlight w:val="none"/>
                <w:lang w:val="en-US" w:eastAsia="zh-CN"/>
              </w:rPr>
              <w:t>/年；</w:t>
            </w:r>
            <w:r>
              <w:rPr>
                <w:rFonts w:hint="eastAsia" w:ascii="微软雅黑" w:hAnsi="微软雅黑" w:eastAsia="微软雅黑" w:cs="微软雅黑"/>
                <w:b w:val="0"/>
                <w:bCs w:val="0"/>
                <w:sz w:val="24"/>
                <w:highlight w:val="none"/>
              </w:rPr>
              <w:t>Ⅱ级绿化养护</w:t>
            </w:r>
            <w:r>
              <w:rPr>
                <w:rFonts w:hint="eastAsia" w:ascii="微软雅黑" w:hAnsi="微软雅黑" w:eastAsia="微软雅黑" w:cs="微软雅黑"/>
                <w:b w:val="0"/>
                <w:bCs w:val="0"/>
                <w:sz w:val="24"/>
                <w:highlight w:val="none"/>
                <w:lang w:val="en-US" w:eastAsia="zh-CN"/>
              </w:rPr>
              <w:t>5</w:t>
            </w:r>
            <w:r>
              <w:rPr>
                <w:rFonts w:hint="eastAsia" w:ascii="微软雅黑" w:hAnsi="微软雅黑" w:eastAsia="微软雅黑" w:cs="微软雅黑"/>
                <w:b w:val="0"/>
                <w:bCs w:val="0"/>
                <w:sz w:val="24"/>
                <w:highlight w:val="none"/>
              </w:rPr>
              <w:t>元/㎡</w:t>
            </w:r>
            <w:r>
              <w:rPr>
                <w:rFonts w:hint="eastAsia" w:ascii="微软雅黑" w:hAnsi="微软雅黑" w:eastAsia="微软雅黑" w:cs="微软雅黑"/>
                <w:b w:val="0"/>
                <w:bCs w:val="0"/>
                <w:sz w:val="24"/>
                <w:highlight w:val="none"/>
                <w:lang w:val="en-US" w:eastAsia="zh-CN"/>
              </w:rPr>
              <w:t>/年</w:t>
            </w:r>
            <w:r>
              <w:rPr>
                <w:rFonts w:hint="eastAsia" w:ascii="微软雅黑" w:hAnsi="微软雅黑" w:eastAsia="微软雅黑" w:cs="微软雅黑"/>
                <w:b w:val="0"/>
                <w:bCs w:val="0"/>
                <w:sz w:val="24"/>
                <w:highlight w:val="none"/>
              </w:rPr>
              <w:t>；</w:t>
            </w:r>
            <w:r>
              <w:rPr>
                <w:rFonts w:hint="eastAsia" w:ascii="微软雅黑" w:hAnsi="微软雅黑" w:eastAsia="微软雅黑" w:cs="微软雅黑"/>
                <w:b w:val="0"/>
                <w:bCs w:val="0"/>
                <w:sz w:val="24"/>
                <w:highlight w:val="none"/>
                <w:lang w:eastAsia="zh-CN"/>
              </w:rPr>
              <w:t>行道树</w:t>
            </w:r>
            <w:r>
              <w:rPr>
                <w:rFonts w:hint="eastAsia" w:ascii="微软雅黑" w:hAnsi="微软雅黑" w:eastAsia="微软雅黑" w:cs="微软雅黑"/>
                <w:b w:val="0"/>
                <w:bCs w:val="0"/>
                <w:sz w:val="24"/>
                <w:highlight w:val="none"/>
                <w:lang w:val="en-US" w:eastAsia="zh-CN"/>
              </w:rPr>
              <w:t>60元/棵/年</w:t>
            </w:r>
            <w:r>
              <w:rPr>
                <w:rFonts w:hint="eastAsia" w:ascii="微软雅黑" w:hAnsi="微软雅黑" w:eastAsia="微软雅黑" w:cs="微软雅黑"/>
                <w:b w:val="0"/>
                <w:bCs w:val="0"/>
                <w:sz w:val="24"/>
                <w:highlight w:val="none"/>
              </w:rPr>
              <w:t>【不可竞争费用，按实结算】。</w:t>
            </w:r>
          </w:p>
          <w:p>
            <w:pPr>
              <w:spacing w:line="400" w:lineRule="exact"/>
              <w:rPr>
                <w:rFonts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7.3.2草花种植及养护最高限价：</w:t>
            </w:r>
            <w:r>
              <w:rPr>
                <w:rFonts w:hint="eastAsia" w:ascii="微软雅黑" w:hAnsi="微软雅黑" w:eastAsia="微软雅黑" w:cs="微软雅黑"/>
                <w:b w:val="0"/>
                <w:bCs w:val="0"/>
                <w:sz w:val="24"/>
                <w:highlight w:val="none"/>
                <w:lang w:val="en-US" w:eastAsia="zh-CN"/>
              </w:rPr>
              <w:t>774578元/年</w:t>
            </w:r>
            <w:r>
              <w:rPr>
                <w:rFonts w:hint="eastAsia" w:ascii="微软雅黑" w:hAnsi="微软雅黑" w:eastAsia="微软雅黑" w:cs="微软雅黑"/>
                <w:b w:val="0"/>
                <w:bCs w:val="0"/>
                <w:sz w:val="24"/>
                <w:highlight w:val="none"/>
              </w:rPr>
              <w:t>；</w:t>
            </w:r>
          </w:p>
          <w:p>
            <w:pPr>
              <w:spacing w:line="400" w:lineRule="exact"/>
              <w:rPr>
                <w:rFonts w:ascii="微软雅黑" w:hAnsi="微软雅黑" w:eastAsia="微软雅黑" w:cs="微软雅黑"/>
                <w:b w:val="0"/>
                <w:bCs w:val="0"/>
                <w:kern w:val="0"/>
                <w:sz w:val="24"/>
                <w:highlight w:val="none"/>
              </w:rPr>
            </w:pPr>
            <w:r>
              <w:rPr>
                <w:rFonts w:hint="eastAsia" w:ascii="微软雅黑" w:hAnsi="微软雅黑" w:eastAsia="微软雅黑" w:cs="微软雅黑"/>
                <w:b w:val="0"/>
                <w:bCs w:val="0"/>
                <w:sz w:val="24"/>
                <w:highlight w:val="none"/>
              </w:rPr>
              <w:t>7.3.3 应急整治费用：20万元/年【不可竞争费用，按实结算】。</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8</w:t>
            </w:r>
          </w:p>
        </w:tc>
        <w:tc>
          <w:tcPr>
            <w:tcW w:w="1857" w:type="dxa"/>
            <w:tcBorders>
              <w:top w:val="single" w:color="auto" w:sz="4" w:space="0"/>
              <w:left w:val="single" w:color="auto" w:sz="4" w:space="0"/>
              <w:bottom w:val="single" w:color="auto" w:sz="4" w:space="0"/>
              <w:right w:val="single" w:color="auto" w:sz="4" w:space="0"/>
            </w:tcBorders>
            <w:noWrap/>
            <w:vAlign w:val="center"/>
          </w:tcPr>
          <w:p>
            <w:pPr>
              <w:tabs>
                <w:tab w:val="left" w:pos="1425"/>
              </w:tabs>
              <w:spacing w:line="360" w:lineRule="exact"/>
              <w:jc w:val="center"/>
              <w:rPr>
                <w:rFonts w:ascii="微软雅黑" w:hAnsi="微软雅黑" w:eastAsia="微软雅黑" w:cs="微软雅黑"/>
                <w:bCs/>
                <w:color w:val="auto"/>
                <w:kern w:val="0"/>
                <w:sz w:val="24"/>
              </w:rPr>
            </w:pPr>
            <w:r>
              <w:rPr>
                <w:rFonts w:hint="eastAsia" w:ascii="微软雅黑" w:hAnsi="微软雅黑" w:eastAsia="微软雅黑" w:cs="微软雅黑"/>
                <w:sz w:val="24"/>
              </w:rPr>
              <w:t>中小企业预留份额情况</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微软雅黑" w:hAnsi="微软雅黑" w:eastAsia="微软雅黑" w:cs="微软雅黑"/>
                <w:bCs/>
                <w:color w:val="auto"/>
                <w:kern w:val="0"/>
                <w:sz w:val="24"/>
              </w:rPr>
            </w:pPr>
            <w:r>
              <w:rPr>
                <w:rFonts w:hint="eastAsia" w:ascii="微软雅黑" w:hAnsi="微软雅黑" w:eastAsia="微软雅黑" w:cs="微软雅黑"/>
                <w:kern w:val="0"/>
                <w:sz w:val="24"/>
              </w:rPr>
              <w:t>本项目属于预留份额专门面向中小企业采购的项目。</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9</w:t>
            </w:r>
          </w:p>
        </w:tc>
        <w:tc>
          <w:tcPr>
            <w:tcW w:w="1857" w:type="dxa"/>
            <w:tcBorders>
              <w:top w:val="single" w:color="auto" w:sz="4" w:space="0"/>
              <w:left w:val="single" w:color="auto" w:sz="4" w:space="0"/>
              <w:bottom w:val="single" w:color="auto" w:sz="4" w:space="0"/>
              <w:right w:val="single" w:color="auto" w:sz="4" w:space="0"/>
            </w:tcBorders>
            <w:noWrap/>
            <w:vAlign w:val="center"/>
          </w:tcPr>
          <w:p>
            <w:pPr>
              <w:tabs>
                <w:tab w:val="left" w:pos="1425"/>
              </w:tabs>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kern w:val="0"/>
                <w:sz w:val="24"/>
              </w:rPr>
              <w:t>是否允许联合体投标</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否</w:t>
            </w:r>
          </w:p>
        </w:tc>
      </w:tr>
      <w:tr>
        <w:tblPrEx>
          <w:tblCellMar>
            <w:top w:w="0" w:type="dxa"/>
            <w:left w:w="108" w:type="dxa"/>
            <w:bottom w:w="0" w:type="dxa"/>
            <w:right w:w="108" w:type="dxa"/>
          </w:tblCellMar>
        </w:tblPrEx>
        <w:trPr>
          <w:trHeight w:val="321"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10</w:t>
            </w:r>
          </w:p>
        </w:tc>
        <w:tc>
          <w:tcPr>
            <w:tcW w:w="1857" w:type="dxa"/>
            <w:tcBorders>
              <w:top w:val="single" w:color="auto" w:sz="4" w:space="0"/>
              <w:left w:val="single" w:color="auto" w:sz="4" w:space="0"/>
              <w:bottom w:val="single" w:color="auto" w:sz="4" w:space="0"/>
              <w:right w:val="single" w:color="auto" w:sz="4" w:space="0"/>
            </w:tcBorders>
            <w:noWrap/>
            <w:vAlign w:val="center"/>
          </w:tcPr>
          <w:p>
            <w:pPr>
              <w:tabs>
                <w:tab w:val="left" w:pos="1425"/>
              </w:tabs>
              <w:spacing w:line="360" w:lineRule="exact"/>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是否允许转包与分包</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微软雅黑" w:hAnsi="微软雅黑" w:eastAsia="微软雅黑" w:cs="微软雅黑"/>
                <w:kern w:val="0"/>
                <w:sz w:val="24"/>
              </w:rPr>
            </w:pPr>
            <w:r>
              <w:rPr>
                <w:rFonts w:hint="eastAsia" w:ascii="微软雅黑" w:hAnsi="微软雅黑" w:eastAsia="微软雅黑" w:cs="微软雅黑"/>
                <w:kern w:val="0"/>
                <w:sz w:val="24"/>
              </w:rPr>
              <w:t>转包：否</w:t>
            </w:r>
          </w:p>
          <w:p>
            <w:pPr>
              <w:spacing w:line="360" w:lineRule="exact"/>
              <w:rPr>
                <w:rFonts w:hint="eastAsia" w:ascii="微软雅黑" w:hAnsi="微软雅黑" w:eastAsia="微软雅黑" w:cs="微软雅黑"/>
                <w:kern w:val="0"/>
                <w:sz w:val="24"/>
              </w:rPr>
            </w:pPr>
            <w:r>
              <w:rPr>
                <w:rFonts w:hint="eastAsia" w:ascii="微软雅黑" w:hAnsi="微软雅黑" w:eastAsia="微软雅黑" w:cs="微软雅黑"/>
                <w:kern w:val="0"/>
                <w:sz w:val="24"/>
              </w:rPr>
              <w:t>分包：允许分包；非主体、非关键性工作允许分包。</w:t>
            </w:r>
          </w:p>
          <w:p>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CellMar>
            <w:top w:w="0" w:type="dxa"/>
            <w:left w:w="108" w:type="dxa"/>
            <w:bottom w:w="0" w:type="dxa"/>
            <w:right w:w="108" w:type="dxa"/>
          </w:tblCellMar>
        </w:tblPrEx>
        <w:trPr>
          <w:trHeight w:val="695"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11</w:t>
            </w:r>
          </w:p>
        </w:tc>
        <w:tc>
          <w:tcPr>
            <w:tcW w:w="1857"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center"/>
              <w:rPr>
                <w:rFonts w:ascii="微软雅黑" w:hAnsi="微软雅黑" w:eastAsia="微软雅黑" w:cs="微软雅黑"/>
                <w:sz w:val="24"/>
              </w:rPr>
            </w:pPr>
            <w:r>
              <w:rPr>
                <w:rFonts w:hint="eastAsia" w:ascii="微软雅黑" w:hAnsi="微软雅黑" w:eastAsia="微软雅黑" w:cs="微软雅黑"/>
                <w:kern w:val="0"/>
                <w:sz w:val="24"/>
              </w:rPr>
              <w:t>现场考察、开标前答疑会</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不组织</w:t>
            </w:r>
          </w:p>
        </w:tc>
      </w:tr>
      <w:tr>
        <w:tblPrEx>
          <w:tblCellMar>
            <w:top w:w="0" w:type="dxa"/>
            <w:left w:w="108" w:type="dxa"/>
            <w:bottom w:w="0" w:type="dxa"/>
            <w:right w:w="108" w:type="dxa"/>
          </w:tblCellMar>
        </w:tblPrEx>
        <w:trPr>
          <w:trHeight w:val="862"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12</w:t>
            </w:r>
          </w:p>
        </w:tc>
        <w:tc>
          <w:tcPr>
            <w:tcW w:w="1857"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样品或演示</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不需要</w:t>
            </w:r>
            <w:r>
              <w:rPr>
                <w:rFonts w:hint="eastAsia" w:ascii="微软雅黑" w:hAnsi="微软雅黑" w:eastAsia="微软雅黑" w:cs="微软雅黑"/>
                <w:bCs/>
                <w:kern w:val="0"/>
                <w:sz w:val="24"/>
              </w:rPr>
              <w:t>提供样品、无演示</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13</w:t>
            </w:r>
          </w:p>
        </w:tc>
        <w:tc>
          <w:tcPr>
            <w:tcW w:w="1857"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投标报价货币要求</w:t>
            </w:r>
          </w:p>
        </w:tc>
        <w:tc>
          <w:tcPr>
            <w:tcW w:w="660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微软雅黑" w:hAnsi="微软雅黑" w:eastAsia="微软雅黑" w:cs="微软雅黑"/>
                <w:kern w:val="0"/>
                <w:sz w:val="24"/>
                <w:u w:val="single"/>
              </w:rPr>
            </w:pPr>
            <w:r>
              <w:rPr>
                <w:rFonts w:hint="eastAsia" w:ascii="微软雅黑" w:hAnsi="微软雅黑" w:eastAsia="微软雅黑" w:cs="微软雅黑"/>
                <w:kern w:val="0"/>
                <w:sz w:val="24"/>
              </w:rPr>
              <w:t>所有投标均按</w:t>
            </w:r>
            <w:r>
              <w:rPr>
                <w:rFonts w:hint="eastAsia" w:ascii="微软雅黑" w:hAnsi="微软雅黑" w:eastAsia="微软雅黑" w:cs="微软雅黑"/>
                <w:kern w:val="0"/>
                <w:sz w:val="24"/>
                <w:u w:val="single"/>
              </w:rPr>
              <w:t>人民币</w:t>
            </w:r>
            <w:r>
              <w:rPr>
                <w:rFonts w:hint="eastAsia" w:ascii="微软雅黑" w:hAnsi="微软雅黑" w:eastAsia="微软雅黑" w:cs="微软雅黑"/>
                <w:kern w:val="0"/>
                <w:sz w:val="24"/>
              </w:rPr>
              <w:t>货币进行报价。</w:t>
            </w:r>
          </w:p>
        </w:tc>
      </w:tr>
      <w:tr>
        <w:tblPrEx>
          <w:tblCellMar>
            <w:top w:w="0" w:type="dxa"/>
            <w:left w:w="108" w:type="dxa"/>
            <w:bottom w:w="0" w:type="dxa"/>
            <w:right w:w="108" w:type="dxa"/>
          </w:tblCellMar>
        </w:tblPrEx>
        <w:trPr>
          <w:trHeight w:val="609" w:hRule="atLeast"/>
        </w:trPr>
        <w:tc>
          <w:tcPr>
            <w:tcW w:w="585"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14</w:t>
            </w:r>
          </w:p>
        </w:tc>
        <w:tc>
          <w:tcPr>
            <w:tcW w:w="1857" w:type="dxa"/>
            <w:tcBorders>
              <w:top w:val="single" w:color="auto" w:sz="4" w:space="0"/>
              <w:left w:val="single" w:color="auto" w:sz="4" w:space="0"/>
              <w:bottom w:val="single" w:color="auto" w:sz="8" w:space="0"/>
              <w:right w:val="single" w:color="auto" w:sz="8" w:space="0"/>
            </w:tcBorders>
            <w:noWrap/>
            <w:vAlign w:val="center"/>
          </w:tcPr>
          <w:p>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投标保证金</w:t>
            </w:r>
          </w:p>
        </w:tc>
        <w:tc>
          <w:tcPr>
            <w:tcW w:w="6600" w:type="dxa"/>
            <w:tcBorders>
              <w:top w:val="single" w:color="auto" w:sz="4" w:space="0"/>
              <w:left w:val="nil"/>
              <w:bottom w:val="single" w:color="auto" w:sz="8" w:space="0"/>
              <w:right w:val="single" w:color="auto" w:sz="8" w:space="0"/>
            </w:tcBorders>
            <w:noWrap/>
            <w:vAlign w:val="center"/>
          </w:tcPr>
          <w:p>
            <w:pPr>
              <w:spacing w:line="360" w:lineRule="exact"/>
              <w:rPr>
                <w:rFonts w:ascii="微软雅黑" w:hAnsi="微软雅黑" w:eastAsia="微软雅黑" w:cs="微软雅黑"/>
                <w:sz w:val="24"/>
              </w:rPr>
            </w:pPr>
            <w:r>
              <w:rPr>
                <w:rFonts w:hint="eastAsia" w:ascii="微软雅黑" w:hAnsi="微软雅黑" w:eastAsia="微软雅黑" w:cs="微软雅黑"/>
                <w:sz w:val="24"/>
              </w:rPr>
              <w:t>不缴纳</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8" w:space="0"/>
              <w:bottom w:val="single" w:color="auto" w:sz="8"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15</w:t>
            </w:r>
          </w:p>
        </w:tc>
        <w:tc>
          <w:tcPr>
            <w:tcW w:w="1857" w:type="dxa"/>
            <w:tcBorders>
              <w:top w:val="single" w:color="auto" w:sz="4" w:space="0"/>
              <w:left w:val="single" w:color="auto" w:sz="4" w:space="0"/>
              <w:bottom w:val="single" w:color="auto" w:sz="8" w:space="0"/>
              <w:right w:val="single" w:color="auto" w:sz="8" w:space="0"/>
            </w:tcBorders>
            <w:noWrap/>
            <w:vAlign w:val="center"/>
          </w:tcPr>
          <w:p>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投标有效期</w:t>
            </w:r>
          </w:p>
        </w:tc>
        <w:tc>
          <w:tcPr>
            <w:tcW w:w="6600" w:type="dxa"/>
            <w:tcBorders>
              <w:top w:val="single" w:color="auto" w:sz="4" w:space="0"/>
              <w:left w:val="nil"/>
              <w:bottom w:val="single" w:color="auto" w:sz="8" w:space="0"/>
              <w:right w:val="single" w:color="auto" w:sz="8" w:space="0"/>
            </w:tcBorders>
            <w:noWrap/>
            <w:vAlign w:val="center"/>
          </w:tcPr>
          <w:p>
            <w:pPr>
              <w:pStyle w:val="9"/>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u w:val="single"/>
              </w:rPr>
              <w:t>180</w:t>
            </w:r>
            <w:r>
              <w:rPr>
                <w:rFonts w:hint="eastAsia" w:ascii="微软雅黑" w:hAnsi="微软雅黑" w:eastAsia="微软雅黑" w:cs="微软雅黑"/>
                <w:szCs w:val="24"/>
              </w:rPr>
              <w:t>日历日</w:t>
            </w:r>
          </w:p>
        </w:tc>
      </w:tr>
      <w:tr>
        <w:tblPrEx>
          <w:tblCellMar>
            <w:top w:w="0" w:type="dxa"/>
            <w:left w:w="108" w:type="dxa"/>
            <w:bottom w:w="0" w:type="dxa"/>
            <w:right w:w="108" w:type="dxa"/>
          </w:tblCellMar>
        </w:tblPrEx>
        <w:trPr>
          <w:trHeight w:val="936" w:hRule="atLeast"/>
        </w:trPr>
        <w:tc>
          <w:tcPr>
            <w:tcW w:w="585" w:type="dxa"/>
            <w:tcBorders>
              <w:top w:val="nil"/>
              <w:left w:val="single" w:color="auto" w:sz="8"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16</w:t>
            </w:r>
          </w:p>
        </w:tc>
        <w:tc>
          <w:tcPr>
            <w:tcW w:w="1857" w:type="dxa"/>
            <w:tcBorders>
              <w:top w:val="nil"/>
              <w:left w:val="single" w:color="auto" w:sz="4" w:space="0"/>
              <w:bottom w:val="single" w:color="auto" w:sz="4" w:space="0"/>
              <w:right w:val="single" w:color="auto" w:sz="8"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sz w:val="24"/>
              </w:rPr>
              <w:t>投标文件及电子文档份数</w:t>
            </w:r>
          </w:p>
        </w:tc>
        <w:tc>
          <w:tcPr>
            <w:tcW w:w="6600" w:type="dxa"/>
            <w:tcBorders>
              <w:top w:val="nil"/>
              <w:left w:val="nil"/>
              <w:bottom w:val="single" w:color="auto" w:sz="4" w:space="0"/>
              <w:right w:val="single" w:color="auto" w:sz="8" w:space="0"/>
            </w:tcBorders>
            <w:noWrap/>
            <w:vAlign w:val="center"/>
          </w:tcPr>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1、投标人应准备电子投标文件、以介质存储的数据电文形式的备份投标文件：</w:t>
            </w:r>
          </w:p>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（1）电子投标文件，按政采云平台项目采购-电子交易操作指南及本招标文件要求递交。</w:t>
            </w:r>
          </w:p>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（2）以介质存储的数据电文形式（bfbs格式）的备份投标文件，按政采云平台项目采购-电子交易操作指南中上传的电子投标文件格式，以U盘形式存储提供。数量为1份。</w:t>
            </w:r>
            <w:r>
              <w:rPr>
                <w:rFonts w:hint="eastAsia" w:ascii="微软雅黑" w:hAnsi="微软雅黑" w:eastAsia="微软雅黑" w:cs="微软雅黑"/>
                <w:kern w:val="0"/>
                <w:sz w:val="24"/>
              </w:rPr>
              <w:t>（根据实际情况自行决定是否递交备份投标文件）</w:t>
            </w:r>
          </w:p>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2、是否需要提交纸质版投标文件：否，但中标后，中标单位需在领取中标通知书时，向招标代理机构提交与投标时电子投标文件一致的纸质版本一式三份（按照招标文件要求签字盖章）。</w:t>
            </w:r>
          </w:p>
          <w:p>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投标文件均由《资格文件》、《技术、商务、资信及其他文件》、《报价文件》组成。</w:t>
            </w:r>
          </w:p>
          <w:p>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仅提供备份投标文件的，投标无效。</w:t>
            </w:r>
          </w:p>
          <w:p>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本项目不强制要求供应商提交备份投标文件，但由于未提交备份投标文件而造成项目开评标活动无法进行下去的，投标无效的，相关风险由供应商自行承担。</w:t>
            </w:r>
          </w:p>
        </w:tc>
      </w:tr>
      <w:tr>
        <w:tblPrEx>
          <w:tblCellMar>
            <w:top w:w="0" w:type="dxa"/>
            <w:left w:w="108" w:type="dxa"/>
            <w:bottom w:w="0" w:type="dxa"/>
            <w:right w:w="108" w:type="dxa"/>
          </w:tblCellMar>
        </w:tblPrEx>
        <w:trPr>
          <w:trHeight w:val="90" w:hRule="atLeast"/>
        </w:trPr>
        <w:tc>
          <w:tcPr>
            <w:tcW w:w="585" w:type="dxa"/>
            <w:tcBorders>
              <w:top w:val="nil"/>
              <w:left w:val="single" w:color="auto" w:sz="8"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17</w:t>
            </w:r>
          </w:p>
        </w:tc>
        <w:tc>
          <w:tcPr>
            <w:tcW w:w="1857" w:type="dxa"/>
            <w:tcBorders>
              <w:top w:val="nil"/>
              <w:left w:val="single" w:color="auto" w:sz="4" w:space="0"/>
              <w:bottom w:val="single" w:color="auto" w:sz="4" w:space="0"/>
              <w:right w:val="single" w:color="auto" w:sz="8" w:space="0"/>
            </w:tcBorders>
            <w:noWrap/>
            <w:vAlign w:val="center"/>
          </w:tcPr>
          <w:p>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递交投标文件截止时间、地点</w:t>
            </w:r>
          </w:p>
        </w:tc>
        <w:tc>
          <w:tcPr>
            <w:tcW w:w="6600" w:type="dxa"/>
            <w:tcBorders>
              <w:top w:val="nil"/>
              <w:left w:val="nil"/>
              <w:bottom w:val="single" w:color="auto" w:sz="4" w:space="0"/>
              <w:right w:val="single" w:color="auto" w:sz="8" w:space="0"/>
            </w:tcBorders>
            <w:noWrap/>
            <w:vAlign w:val="center"/>
          </w:tcPr>
          <w:p>
            <w:pPr>
              <w:widowControl/>
              <w:spacing w:line="360" w:lineRule="exact"/>
              <w:rPr>
                <w:rFonts w:ascii="微软雅黑" w:hAnsi="微软雅黑" w:eastAsia="微软雅黑" w:cs="微软雅黑"/>
                <w:kern w:val="0"/>
                <w:sz w:val="24"/>
                <w:u w:val="single"/>
              </w:rPr>
            </w:pPr>
            <w:r>
              <w:rPr>
                <w:rFonts w:hint="eastAsia" w:ascii="微软雅黑" w:hAnsi="微软雅黑" w:eastAsia="微软雅黑" w:cs="微软雅黑"/>
                <w:kern w:val="0"/>
                <w:sz w:val="24"/>
              </w:rPr>
              <w:t>详见招标公告，以招标公告规定时间、地点为准。</w:t>
            </w:r>
          </w:p>
        </w:tc>
      </w:tr>
      <w:tr>
        <w:tblPrEx>
          <w:tblCellMar>
            <w:top w:w="0" w:type="dxa"/>
            <w:left w:w="108" w:type="dxa"/>
            <w:bottom w:w="0" w:type="dxa"/>
            <w:right w:w="108" w:type="dxa"/>
          </w:tblCellMar>
        </w:tblPrEx>
        <w:trPr>
          <w:trHeight w:val="439" w:hRule="atLeast"/>
        </w:trPr>
        <w:tc>
          <w:tcPr>
            <w:tcW w:w="585" w:type="dxa"/>
            <w:tcBorders>
              <w:top w:val="nil"/>
              <w:left w:val="single" w:color="auto" w:sz="8"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18</w:t>
            </w:r>
          </w:p>
        </w:tc>
        <w:tc>
          <w:tcPr>
            <w:tcW w:w="1857" w:type="dxa"/>
            <w:tcBorders>
              <w:top w:val="nil"/>
              <w:left w:val="single" w:color="auto" w:sz="4" w:space="0"/>
              <w:bottom w:val="single" w:color="auto" w:sz="4" w:space="0"/>
              <w:right w:val="single" w:color="auto" w:sz="8" w:space="0"/>
            </w:tcBorders>
            <w:noWrap/>
            <w:vAlign w:val="center"/>
          </w:tcPr>
          <w:p>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开标时间、地点</w:t>
            </w:r>
          </w:p>
        </w:tc>
        <w:tc>
          <w:tcPr>
            <w:tcW w:w="6600" w:type="dxa"/>
            <w:tcBorders>
              <w:top w:val="nil"/>
              <w:left w:val="nil"/>
              <w:bottom w:val="single" w:color="auto" w:sz="4" w:space="0"/>
              <w:right w:val="single" w:color="auto" w:sz="8" w:space="0"/>
            </w:tcBorders>
            <w:noWrap/>
            <w:vAlign w:val="center"/>
          </w:tcPr>
          <w:p>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2022 年</w:t>
            </w:r>
            <w:r>
              <w:rPr>
                <w:rFonts w:hint="eastAsia" w:ascii="微软雅黑" w:hAnsi="微软雅黑" w:eastAsia="微软雅黑" w:cs="微软雅黑"/>
                <w:kern w:val="0"/>
                <w:sz w:val="24"/>
                <w:lang w:val="en-US" w:eastAsia="zh-CN"/>
              </w:rPr>
              <w:t>9</w:t>
            </w:r>
            <w:r>
              <w:rPr>
                <w:rFonts w:hint="eastAsia" w:ascii="微软雅黑" w:hAnsi="微软雅黑" w:eastAsia="微软雅黑" w:cs="微软雅黑"/>
                <w:kern w:val="0"/>
                <w:sz w:val="24"/>
              </w:rPr>
              <w:t>月</w:t>
            </w:r>
            <w:r>
              <w:rPr>
                <w:rFonts w:hint="eastAsia" w:ascii="微软雅黑" w:hAnsi="微软雅黑" w:eastAsia="微软雅黑" w:cs="微软雅黑"/>
                <w:kern w:val="0"/>
                <w:sz w:val="24"/>
                <w:lang w:val="en-US" w:eastAsia="zh-CN"/>
              </w:rPr>
              <w:t xml:space="preserve">8 </w:t>
            </w:r>
            <w:r>
              <w:rPr>
                <w:rFonts w:hint="eastAsia" w:ascii="微软雅黑" w:hAnsi="微软雅黑" w:eastAsia="微软雅黑" w:cs="微软雅黑"/>
                <w:kern w:val="0"/>
                <w:sz w:val="24"/>
              </w:rPr>
              <w:t>日9时30分整（以政采云平台时间为准）；</w:t>
            </w:r>
          </w:p>
          <w:p>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地点：湖州市公共资源交易中心开标室（湖州市仁皇山片区金盖山路66号2号楼2楼）具体详见二楼休息区大屏幕。</w:t>
            </w:r>
          </w:p>
          <w:p>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“政府采购云平台（www.zcygov.cn）”在线响应。</w:t>
            </w:r>
          </w:p>
        </w:tc>
      </w:tr>
      <w:tr>
        <w:tblPrEx>
          <w:tblCellMar>
            <w:top w:w="0" w:type="dxa"/>
            <w:left w:w="108" w:type="dxa"/>
            <w:bottom w:w="0" w:type="dxa"/>
            <w:right w:w="108" w:type="dxa"/>
          </w:tblCellMar>
        </w:tblPrEx>
        <w:trPr>
          <w:trHeight w:val="614" w:hRule="atLeast"/>
        </w:trPr>
        <w:tc>
          <w:tcPr>
            <w:tcW w:w="585" w:type="dxa"/>
            <w:tcBorders>
              <w:top w:val="nil"/>
              <w:left w:val="single" w:color="auto" w:sz="8"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19</w:t>
            </w:r>
          </w:p>
        </w:tc>
        <w:tc>
          <w:tcPr>
            <w:tcW w:w="1857" w:type="dxa"/>
            <w:tcBorders>
              <w:top w:val="nil"/>
              <w:left w:val="single" w:color="auto" w:sz="4" w:space="0"/>
              <w:bottom w:val="single" w:color="auto" w:sz="4" w:space="0"/>
              <w:right w:val="single" w:color="auto" w:sz="8" w:space="0"/>
            </w:tcBorders>
            <w:noWrap/>
            <w:vAlign w:val="center"/>
          </w:tcPr>
          <w:p>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评标委员会组成</w:t>
            </w:r>
          </w:p>
        </w:tc>
        <w:tc>
          <w:tcPr>
            <w:tcW w:w="6600" w:type="dxa"/>
            <w:tcBorders>
              <w:top w:val="nil"/>
              <w:left w:val="nil"/>
              <w:bottom w:val="single" w:color="auto" w:sz="4" w:space="0"/>
              <w:right w:val="single" w:color="auto" w:sz="8" w:space="0"/>
            </w:tcBorders>
            <w:noWrap/>
            <w:vAlign w:val="center"/>
          </w:tcPr>
          <w:p>
            <w:pPr>
              <w:widowControl/>
              <w:spacing w:line="360" w:lineRule="exact"/>
              <w:rPr>
                <w:rFonts w:ascii="微软雅黑" w:hAnsi="微软雅黑" w:eastAsia="微软雅黑" w:cs="微软雅黑"/>
                <w:kern w:val="0"/>
                <w:sz w:val="24"/>
              </w:rPr>
            </w:pPr>
            <w:r>
              <w:rPr>
                <w:rFonts w:hint="eastAsia" w:ascii="微软雅黑" w:hAnsi="微软雅黑" w:eastAsia="微软雅黑" w:cs="微软雅黑"/>
                <w:sz w:val="24"/>
              </w:rPr>
              <w:t>评标委员会评标委员会依法组建，负责评标活动。评标委员会遵循公正、公平、科学合理，竞争择优的原则。</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20</w:t>
            </w:r>
          </w:p>
        </w:tc>
        <w:tc>
          <w:tcPr>
            <w:tcW w:w="18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评标办法</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综合评分法</w:t>
            </w:r>
          </w:p>
        </w:tc>
      </w:tr>
      <w:tr>
        <w:tblPrEx>
          <w:tblCellMar>
            <w:top w:w="0" w:type="dxa"/>
            <w:left w:w="108" w:type="dxa"/>
            <w:bottom w:w="0" w:type="dxa"/>
            <w:right w:w="108" w:type="dxa"/>
          </w:tblCellMar>
        </w:tblPrEx>
        <w:trPr>
          <w:trHeight w:val="943"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21</w:t>
            </w:r>
          </w:p>
        </w:tc>
        <w:tc>
          <w:tcPr>
            <w:tcW w:w="18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确定中标人的方式</w:t>
            </w:r>
          </w:p>
        </w:tc>
        <w:tc>
          <w:tcPr>
            <w:tcW w:w="6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中标人数量：</w:t>
            </w:r>
            <w:r>
              <w:rPr>
                <w:rFonts w:hint="eastAsia" w:ascii="微软雅黑" w:hAnsi="微软雅黑" w:eastAsia="微软雅黑" w:cs="微软雅黑"/>
                <w:kern w:val="0"/>
                <w:sz w:val="24"/>
                <w:u w:val="single"/>
              </w:rPr>
              <w:t>1家</w:t>
            </w:r>
          </w:p>
          <w:p>
            <w:pPr>
              <w:widowControl/>
              <w:spacing w:line="360" w:lineRule="exact"/>
              <w:rPr>
                <w:rFonts w:ascii="微软雅黑" w:hAnsi="微软雅黑" w:eastAsia="微软雅黑" w:cs="微软雅黑"/>
                <w:kern w:val="0"/>
                <w:sz w:val="24"/>
                <w:u w:val="single"/>
              </w:rPr>
            </w:pPr>
            <w:r>
              <w:rPr>
                <w:rFonts w:hint="eastAsia" w:ascii="微软雅黑" w:hAnsi="微软雅黑" w:eastAsia="微软雅黑" w:cs="微软雅黑"/>
                <w:kern w:val="0"/>
                <w:sz w:val="24"/>
              </w:rPr>
              <w:t>采购人确定中标人。</w:t>
            </w:r>
          </w:p>
        </w:tc>
      </w:tr>
      <w:tr>
        <w:tblPrEx>
          <w:tblCellMar>
            <w:top w:w="0" w:type="dxa"/>
            <w:left w:w="108" w:type="dxa"/>
            <w:bottom w:w="0" w:type="dxa"/>
            <w:right w:w="108" w:type="dxa"/>
          </w:tblCellMar>
        </w:tblPrEx>
        <w:trPr>
          <w:trHeight w:val="1309" w:hRule="atLeast"/>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22</w:t>
            </w:r>
          </w:p>
        </w:tc>
        <w:tc>
          <w:tcPr>
            <w:tcW w:w="1857"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sz w:val="24"/>
              </w:rPr>
              <w:t>履约保证金</w:t>
            </w:r>
          </w:p>
        </w:tc>
        <w:tc>
          <w:tcPr>
            <w:tcW w:w="6600"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exact"/>
              <w:jc w:val="left"/>
              <w:rPr>
                <w:rFonts w:ascii="微软雅黑" w:hAnsi="微软雅黑" w:eastAsia="微软雅黑" w:cs="微软雅黑"/>
                <w:sz w:val="24"/>
              </w:rPr>
            </w:pPr>
            <w:r>
              <w:rPr>
                <w:rFonts w:hint="eastAsia" w:ascii="微软雅黑" w:hAnsi="微软雅黑" w:eastAsia="微软雅黑" w:cs="微软雅黑"/>
                <w:sz w:val="24"/>
              </w:rPr>
              <w:t>本项目收取履约保证金</w:t>
            </w:r>
          </w:p>
          <w:p>
            <w:pPr>
              <w:shd w:val="clear" w:color="auto" w:fill="FFFFFF"/>
              <w:spacing w:line="360" w:lineRule="exact"/>
              <w:ind w:firstLine="240" w:firstLineChars="100"/>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履约保证金金额：</w:t>
            </w:r>
            <w:r>
              <w:rPr>
                <w:rFonts w:hint="eastAsia" w:ascii="微软雅黑" w:hAnsi="微软雅黑" w:eastAsia="微软雅黑" w:cs="微软雅黑"/>
                <w:kern w:val="0"/>
                <w:sz w:val="24"/>
                <w:u w:val="single"/>
              </w:rPr>
              <w:t>年合同金额的</w:t>
            </w:r>
            <w:r>
              <w:rPr>
                <w:rFonts w:hint="eastAsia" w:ascii="微软雅黑" w:hAnsi="微软雅黑" w:eastAsia="微软雅黑" w:cs="微软雅黑"/>
                <w:kern w:val="0"/>
                <w:sz w:val="24"/>
                <w:u w:val="single"/>
                <w:lang w:eastAsia="zh-CN"/>
              </w:rPr>
              <w:t>1%</w:t>
            </w:r>
          </w:p>
          <w:p>
            <w:pPr>
              <w:shd w:val="clear" w:color="auto" w:fill="FFFFFF"/>
              <w:spacing w:line="360" w:lineRule="exact"/>
              <w:ind w:firstLine="240" w:firstLineChars="100"/>
              <w:jc w:val="left"/>
              <w:rPr>
                <w:rFonts w:ascii="微软雅黑" w:hAnsi="微软雅黑" w:eastAsia="微软雅黑" w:cs="微软雅黑"/>
                <w:sz w:val="24"/>
              </w:rPr>
            </w:pPr>
            <w:r>
              <w:rPr>
                <w:rFonts w:hint="eastAsia" w:ascii="微软雅黑" w:hAnsi="微软雅黑" w:eastAsia="微软雅黑" w:cs="微软雅黑"/>
                <w:sz w:val="24"/>
              </w:rPr>
              <w:t>履约保证金递交时间：</w:t>
            </w:r>
            <w:r>
              <w:rPr>
                <w:rFonts w:hint="eastAsia" w:ascii="微软雅黑" w:hAnsi="微软雅黑" w:eastAsia="微软雅黑" w:cs="微软雅黑"/>
                <w:kern w:val="0"/>
                <w:sz w:val="24"/>
                <w:u w:val="single"/>
              </w:rPr>
              <w:t>签订合同之日起15日内</w:t>
            </w:r>
          </w:p>
          <w:p>
            <w:pPr>
              <w:shd w:val="clear" w:color="auto" w:fill="FFFFFF"/>
              <w:spacing w:line="360" w:lineRule="exact"/>
              <w:ind w:firstLine="240" w:firstLineChars="100"/>
              <w:jc w:val="left"/>
              <w:rPr>
                <w:rFonts w:ascii="微软雅黑" w:hAnsi="微软雅黑" w:eastAsia="微软雅黑" w:cs="微软雅黑"/>
                <w:sz w:val="24"/>
              </w:rPr>
            </w:pPr>
            <w:r>
              <w:rPr>
                <w:rFonts w:hint="eastAsia" w:ascii="微软雅黑" w:hAnsi="微软雅黑" w:eastAsia="微软雅黑" w:cs="微软雅黑"/>
                <w:sz w:val="24"/>
              </w:rPr>
              <w:t>履约保证金递交方式：</w:t>
            </w:r>
            <w:r>
              <w:rPr>
                <w:rFonts w:hint="eastAsia" w:ascii="微软雅黑" w:hAnsi="微软雅黑" w:eastAsia="微软雅黑" w:cs="微软雅黑"/>
                <w:sz w:val="24"/>
              </w:rPr>
              <w:sym w:font="Wingdings 2" w:char="0052"/>
            </w:r>
            <w:r>
              <w:rPr>
                <w:rFonts w:hint="eastAsia" w:ascii="微软雅黑" w:hAnsi="微软雅黑" w:eastAsia="微软雅黑" w:cs="微软雅黑"/>
                <w:sz w:val="24"/>
              </w:rPr>
              <w:t xml:space="preserve">以银行、保险公司出具保函形式； </w:t>
            </w:r>
            <w:r>
              <w:rPr>
                <w:rFonts w:hint="eastAsia" w:ascii="微软雅黑" w:hAnsi="微软雅黑" w:eastAsia="微软雅黑" w:cs="微软雅黑"/>
                <w:sz w:val="24"/>
              </w:rPr>
              <w:sym w:font="Wingdings 2" w:char="0052"/>
            </w:r>
            <w:r>
              <w:rPr>
                <w:rFonts w:hint="eastAsia" w:ascii="微软雅黑" w:hAnsi="微软雅黑" w:eastAsia="微软雅黑" w:cs="微软雅黑"/>
                <w:sz w:val="24"/>
              </w:rPr>
              <w:t>网银电汇</w:t>
            </w:r>
          </w:p>
          <w:p>
            <w:pPr>
              <w:shd w:val="clear" w:color="auto" w:fill="FFFFFF"/>
              <w:spacing w:line="360" w:lineRule="exact"/>
              <w:ind w:firstLine="240" w:firstLineChars="100"/>
              <w:jc w:val="left"/>
              <w:rPr>
                <w:rFonts w:ascii="微软雅黑" w:hAnsi="微软雅黑" w:eastAsia="微软雅黑" w:cs="微软雅黑"/>
                <w:kern w:val="0"/>
                <w:sz w:val="24"/>
              </w:rPr>
            </w:pPr>
            <w:r>
              <w:rPr>
                <w:rFonts w:hint="eastAsia" w:ascii="微软雅黑" w:hAnsi="微软雅黑" w:eastAsia="微软雅黑" w:cs="微软雅黑"/>
                <w:sz w:val="24"/>
              </w:rPr>
              <w:t>履约保证金退还时间及规定：</w:t>
            </w:r>
            <w:r>
              <w:rPr>
                <w:rFonts w:hint="eastAsia" w:ascii="微软雅黑" w:hAnsi="微软雅黑" w:eastAsia="微软雅黑" w:cs="微软雅黑"/>
                <w:kern w:val="0"/>
                <w:sz w:val="24"/>
                <w:u w:val="single"/>
              </w:rPr>
              <w:t xml:space="preserve">合同履行完毕后30日内无息退还   </w:t>
            </w:r>
          </w:p>
        </w:tc>
      </w:tr>
      <w:tr>
        <w:tblPrEx>
          <w:tblCellMar>
            <w:top w:w="0" w:type="dxa"/>
            <w:left w:w="108" w:type="dxa"/>
            <w:bottom w:w="0" w:type="dxa"/>
            <w:right w:w="108" w:type="dxa"/>
          </w:tblCellMar>
        </w:tblPrEx>
        <w:trPr>
          <w:trHeight w:val="3143" w:hRule="atLeast"/>
        </w:trPr>
        <w:tc>
          <w:tcPr>
            <w:tcW w:w="585" w:type="dxa"/>
            <w:tcBorders>
              <w:top w:val="single" w:color="auto" w:sz="4" w:space="0"/>
              <w:left w:val="single" w:color="auto" w:sz="8" w:space="0"/>
              <w:bottom w:val="single" w:color="auto" w:sz="4" w:space="0"/>
              <w:right w:val="single" w:color="auto" w:sz="4"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23</w:t>
            </w:r>
          </w:p>
        </w:tc>
        <w:tc>
          <w:tcPr>
            <w:tcW w:w="1857" w:type="dxa"/>
            <w:tcBorders>
              <w:top w:val="single" w:color="auto" w:sz="4" w:space="0"/>
              <w:left w:val="single" w:color="auto" w:sz="4" w:space="0"/>
              <w:bottom w:val="single" w:color="auto" w:sz="4" w:space="0"/>
              <w:right w:val="single" w:color="auto" w:sz="8" w:space="0"/>
            </w:tcBorders>
            <w:noWrap/>
            <w:vAlign w:val="center"/>
          </w:tcPr>
          <w:p>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质疑</w:t>
            </w:r>
          </w:p>
        </w:tc>
        <w:tc>
          <w:tcPr>
            <w:tcW w:w="6600" w:type="dxa"/>
            <w:tcBorders>
              <w:top w:val="single" w:color="auto" w:sz="4" w:space="0"/>
              <w:left w:val="nil"/>
              <w:bottom w:val="single" w:color="auto" w:sz="4" w:space="0"/>
              <w:right w:val="single" w:color="auto" w:sz="8" w:space="0"/>
            </w:tcBorders>
            <w:noWrap/>
            <w:vAlign w:val="center"/>
          </w:tcPr>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一、投标人认为自己的权益受到损害的，可以在知道或者应知其权益受到损害之日起七个工作日内，向采购代理机构提出质疑。</w:t>
            </w:r>
          </w:p>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1、接收质疑函的方式：接收加盖单位公章的书面质疑函</w:t>
            </w:r>
          </w:p>
          <w:p>
            <w:pPr>
              <w:widowControl/>
              <w:spacing w:line="36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sz w:val="24"/>
              </w:rPr>
              <w:t>联系单位：</w:t>
            </w:r>
            <w:r>
              <w:rPr>
                <w:rFonts w:hint="eastAsia" w:ascii="微软雅黑" w:hAnsi="微软雅黑" w:eastAsia="微软雅黑" w:cs="微软雅黑"/>
                <w:kern w:val="0"/>
                <w:sz w:val="24"/>
                <w:u w:val="single"/>
              </w:rPr>
              <w:t>浙江华夏工程管理有限公司</w:t>
            </w:r>
          </w:p>
          <w:p>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联 系 人：</w:t>
            </w:r>
            <w:r>
              <w:rPr>
                <w:rFonts w:hint="eastAsia" w:ascii="微软雅黑" w:hAnsi="微软雅黑" w:eastAsia="微软雅黑" w:cs="微软雅黑"/>
                <w:kern w:val="0"/>
                <w:sz w:val="24"/>
                <w:u w:val="single"/>
              </w:rPr>
              <w:t>丁锦赟</w:t>
            </w:r>
          </w:p>
          <w:p>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联系电话：</w:t>
            </w:r>
            <w:r>
              <w:rPr>
                <w:rFonts w:hint="eastAsia" w:ascii="微软雅黑" w:hAnsi="微软雅黑" w:eastAsia="微软雅黑" w:cs="微软雅黑"/>
                <w:kern w:val="0"/>
                <w:sz w:val="24"/>
                <w:u w:val="single"/>
              </w:rPr>
              <w:t>0572-2567837</w:t>
            </w:r>
          </w:p>
          <w:p>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通讯地址：</w:t>
            </w:r>
            <w:r>
              <w:rPr>
                <w:rFonts w:hint="eastAsia" w:ascii="微软雅黑" w:hAnsi="微软雅黑" w:eastAsia="微软雅黑" w:cs="微软雅黑"/>
                <w:kern w:val="0"/>
                <w:sz w:val="24"/>
                <w:u w:val="single"/>
              </w:rPr>
              <w:t>湖州市星洲国际10幢5楼</w:t>
            </w:r>
          </w:p>
          <w:p>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2、质疑函的内容、格式：应符合《政府采购质疑和投诉办法》相关规定和财政部门制定的《政府采购质疑函范本》格式。</w:t>
            </w:r>
          </w:p>
          <w:p>
            <w:pPr>
              <w:pStyle w:val="9"/>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rPr>
              <w:t>二、投标人应在法定质疑期内一次性针对同一采购程序环节提出质疑，否则针对再次提出质疑将不予接收。（采购程序环节分为：招标公告、招标文件、招标过程、中标结果）</w:t>
            </w:r>
          </w:p>
        </w:tc>
      </w:tr>
      <w:tr>
        <w:tblPrEx>
          <w:tblCellMar>
            <w:top w:w="0" w:type="dxa"/>
            <w:left w:w="108" w:type="dxa"/>
            <w:bottom w:w="0" w:type="dxa"/>
            <w:right w:w="108" w:type="dxa"/>
          </w:tblCellMar>
        </w:tblPrEx>
        <w:trPr>
          <w:trHeight w:val="668" w:hRule="atLeast"/>
        </w:trPr>
        <w:tc>
          <w:tcPr>
            <w:tcW w:w="9042" w:type="dxa"/>
            <w:gridSpan w:val="3"/>
            <w:tcBorders>
              <w:top w:val="single" w:color="auto" w:sz="4" w:space="0"/>
              <w:left w:val="single" w:color="auto" w:sz="8" w:space="0"/>
              <w:bottom w:val="single" w:color="auto" w:sz="8" w:space="0"/>
              <w:right w:val="single" w:color="auto" w:sz="8" w:space="0"/>
            </w:tcBorders>
            <w:noWrap/>
            <w:vAlign w:val="center"/>
          </w:tcPr>
          <w:p>
            <w:pPr>
              <w:pStyle w:val="9"/>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rPr>
              <w:t>解释：本招标文件的解释权属于招标采购单位。</w:t>
            </w:r>
          </w:p>
        </w:tc>
      </w:tr>
    </w:tbl>
    <w:p>
      <w:pPr>
        <w:spacing w:line="360" w:lineRule="auto"/>
        <w:jc w:val="center"/>
        <w:outlineLvl w:val="1"/>
        <w:rPr>
          <w:rFonts w:ascii="宋体" w:hAnsi="宋体" w:cs="宋体"/>
          <w:b/>
          <w:sz w:val="32"/>
          <w:szCs w:val="32"/>
        </w:rPr>
      </w:pPr>
    </w:p>
    <w:p>
      <w:pPr>
        <w:numPr>
          <w:ilvl w:val="0"/>
          <w:numId w:val="11"/>
        </w:numPr>
        <w:spacing w:line="360" w:lineRule="auto"/>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总  则</w:t>
      </w:r>
      <w:bookmarkEnd w:id="16"/>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适用范围</w:t>
      </w:r>
    </w:p>
    <w:p>
      <w:pPr>
        <w:spacing w:line="360" w:lineRule="auto"/>
        <w:ind w:firstLine="480" w:firstLineChars="200"/>
        <w:rPr>
          <w:rFonts w:ascii="微软雅黑" w:hAnsi="微软雅黑" w:eastAsia="微软雅黑" w:cs="微软雅黑"/>
          <w:bCs/>
          <w:snapToGrid w:val="0"/>
          <w:sz w:val="24"/>
          <w:u w:val="single"/>
        </w:rPr>
      </w:pPr>
      <w:r>
        <w:rPr>
          <w:rFonts w:hint="eastAsia" w:ascii="微软雅黑" w:hAnsi="微软雅黑" w:eastAsia="微软雅黑" w:cs="微软雅黑"/>
          <w:sz w:val="24"/>
        </w:rPr>
        <w:t>本招标文件适用于</w:t>
      </w:r>
      <w:r>
        <w:rPr>
          <w:rFonts w:hint="eastAsia" w:ascii="微软雅黑" w:hAnsi="微软雅黑" w:eastAsia="微软雅黑" w:cs="微软雅黑"/>
          <w:b/>
          <w:bCs/>
          <w:color w:val="auto"/>
          <w:sz w:val="24"/>
          <w:u w:val="single"/>
          <w:lang w:eastAsia="zh-CN"/>
        </w:rPr>
        <w:t xml:space="preserve">南浔区住房和城乡建设局 </w:t>
      </w:r>
      <w:r>
        <w:rPr>
          <w:rFonts w:hint="eastAsia" w:ascii="微软雅黑" w:hAnsi="微软雅黑" w:eastAsia="微软雅黑" w:cs="微软雅黑"/>
          <w:sz w:val="24"/>
        </w:rPr>
        <w:t>的</w:t>
      </w:r>
      <w:r>
        <w:rPr>
          <w:rFonts w:hint="eastAsia" w:ascii="微软雅黑" w:hAnsi="微软雅黑" w:eastAsia="微软雅黑" w:cs="微软雅黑"/>
          <w:b/>
          <w:bCs/>
          <w:sz w:val="24"/>
          <w:u w:val="single"/>
          <w:lang w:eastAsia="zh-CN"/>
        </w:rPr>
        <w:t>湖州市南浔区住房和城乡建设局年度（2022-2025）绿化养护服务采购</w:t>
      </w:r>
      <w:r>
        <w:rPr>
          <w:rFonts w:hint="eastAsia" w:ascii="微软雅黑" w:hAnsi="微软雅黑" w:eastAsia="微软雅黑" w:cs="微软雅黑"/>
          <w:sz w:val="24"/>
        </w:rPr>
        <w:t>的招标、投标、评标、定标、验收、合同履约、付款等行为（法律、法规另有规定的，从其规定）。</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定义</w:t>
      </w:r>
    </w:p>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2.1.</w:t>
      </w:r>
      <w:r>
        <w:rPr>
          <w:rFonts w:hint="eastAsia" w:ascii="微软雅黑" w:hAnsi="微软雅黑" w:eastAsia="微软雅黑" w:cs="微软雅黑"/>
          <w:b/>
          <w:bCs/>
          <w:sz w:val="24"/>
        </w:rPr>
        <w:t>“采购人”</w:t>
      </w:r>
      <w:r>
        <w:rPr>
          <w:rFonts w:hint="eastAsia" w:ascii="微软雅黑" w:hAnsi="微软雅黑" w:eastAsia="微软雅黑" w:cs="微软雅黑"/>
          <w:sz w:val="24"/>
        </w:rPr>
        <w:t>系指</w:t>
      </w:r>
      <w:r>
        <w:rPr>
          <w:rFonts w:hint="eastAsia" w:ascii="微软雅黑" w:hAnsi="微软雅黑" w:eastAsia="微软雅黑" w:cs="微软雅黑"/>
          <w:b/>
          <w:bCs/>
          <w:sz w:val="24"/>
          <w:lang w:eastAsia="zh-CN"/>
        </w:rPr>
        <w:t xml:space="preserve">南浔区住房和城乡建设局 </w:t>
      </w:r>
      <w:r>
        <w:rPr>
          <w:rFonts w:hint="eastAsia" w:ascii="微软雅黑" w:hAnsi="微软雅黑" w:eastAsia="微软雅黑" w:cs="微软雅黑"/>
          <w:b/>
          <w:bCs/>
          <w:sz w:val="24"/>
        </w:rPr>
        <w:t xml:space="preserve"> </w:t>
      </w:r>
      <w:r>
        <w:rPr>
          <w:rFonts w:hint="eastAsia" w:ascii="微软雅黑" w:hAnsi="微软雅黑" w:eastAsia="微软雅黑" w:cs="微软雅黑"/>
          <w:sz w:val="24"/>
        </w:rPr>
        <w:t>。</w:t>
      </w:r>
    </w:p>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2.2.“</w:t>
      </w:r>
      <w:r>
        <w:rPr>
          <w:rFonts w:hint="eastAsia" w:ascii="微软雅黑" w:hAnsi="微软雅黑" w:eastAsia="微软雅黑" w:cs="微软雅黑"/>
          <w:b/>
          <w:bCs/>
          <w:sz w:val="24"/>
        </w:rPr>
        <w:t>采购代理机构”</w:t>
      </w:r>
      <w:r>
        <w:rPr>
          <w:rFonts w:hint="eastAsia" w:ascii="微软雅黑" w:hAnsi="微软雅黑" w:eastAsia="微软雅黑" w:cs="微软雅黑"/>
          <w:sz w:val="24"/>
        </w:rPr>
        <w:t>系指浙江华夏工程管理有限公司。</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w:t>
      </w:r>
      <w:r>
        <w:rPr>
          <w:rFonts w:hint="eastAsia" w:ascii="微软雅黑" w:hAnsi="微软雅黑" w:eastAsia="微软雅黑" w:cs="微软雅黑"/>
          <w:b/>
          <w:bCs/>
          <w:sz w:val="24"/>
        </w:rPr>
        <w:t>“投标人”</w:t>
      </w:r>
      <w:r>
        <w:rPr>
          <w:rFonts w:hint="eastAsia" w:ascii="微软雅黑" w:hAnsi="微软雅黑" w:eastAsia="微软雅黑" w:cs="微软雅黑"/>
          <w:sz w:val="24"/>
        </w:rPr>
        <w:t>系指向采购人提供货物、工程或者服务的法人、非法人组织或者自然人。本项目的投标人及其投标服务须满足以下条件：</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2.3.1.在中华人民共和国境内注册，能够独立承担民事责任，有生产或供应能力的本国供应商。</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微软雅黑" w:hAnsi="微软雅黑" w:eastAsia="微软雅黑" w:cs="微软雅黑"/>
          <w:sz w:val="24"/>
          <w:lang w:eastAsia="zh-CN"/>
        </w:rPr>
      </w:pPr>
      <w:r>
        <w:rPr>
          <w:rFonts w:hint="eastAsia" w:ascii="微软雅黑" w:hAnsi="微软雅黑" w:eastAsia="微软雅黑" w:cs="微软雅黑"/>
          <w:sz w:val="24"/>
        </w:rPr>
        <w:t>2.3.3.</w:t>
      </w:r>
      <w:r>
        <w:rPr>
          <w:rFonts w:hint="eastAsia" w:ascii="微软雅黑" w:hAnsi="微软雅黑" w:eastAsia="微软雅黑" w:cs="微软雅黑"/>
          <w:color w:val="auto"/>
          <w:sz w:val="24"/>
          <w:lang w:eastAsia="zh-CN"/>
        </w:rPr>
        <w:t>符合本项目规定的其他资格条件。</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2.3.4.以采购代理机构认可的方式获得了本项目的招标文件。</w:t>
      </w:r>
    </w:p>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2.4</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本项目不接受联合体投标。</w:t>
      </w:r>
    </w:p>
    <w:p>
      <w:pPr>
        <w:snapToGrid w:val="0"/>
        <w:spacing w:line="360" w:lineRule="auto"/>
      </w:pPr>
      <w:r>
        <w:rPr>
          <w:rFonts w:hint="eastAsia" w:ascii="微软雅黑" w:hAnsi="微软雅黑" w:eastAsia="微软雅黑" w:cs="微软雅黑"/>
          <w:sz w:val="24"/>
        </w:rPr>
        <w:t>2.5. 单位负责人为同一人或者存在直接控股、管理关系的不同供应商，其相关投标将被认定为投标无效。</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资金来源</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3.2.项目预算金额和分项或分包最高限价见投标人须知表。</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3.3.投标人报价超过招标文件规定的预算金额或者分项、分包最高限价的，其投标将被认定为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pPr>
        <w:numPr>
          <w:ilvl w:val="0"/>
          <w:numId w:val="12"/>
        </w:numPr>
        <w:snapToGrid w:val="0"/>
        <w:spacing w:line="360" w:lineRule="auto"/>
        <w:outlineLvl w:val="2"/>
        <w:rPr>
          <w:rFonts w:ascii="微软雅黑" w:hAnsi="微软雅黑" w:eastAsia="微软雅黑" w:cs="微软雅黑"/>
          <w:b/>
          <w:sz w:val="24"/>
        </w:rPr>
      </w:pPr>
      <w:bookmarkStart w:id="21" w:name="_Toc266951048"/>
      <w:r>
        <w:rPr>
          <w:rFonts w:hint="eastAsia" w:ascii="微软雅黑" w:hAnsi="微软雅黑" w:eastAsia="微软雅黑" w:cs="微软雅黑"/>
          <w:b/>
          <w:sz w:val="24"/>
        </w:rPr>
        <w:t>语言文字</w:t>
      </w:r>
      <w:bookmarkEnd w:id="21"/>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除专用术语外，与投标有关的语言均使用中文。必要时专用术语应附有中文注释。对不同文字文本投标文件的解释发生异议的，以中文文本为准。</w:t>
      </w:r>
    </w:p>
    <w:p>
      <w:pPr>
        <w:numPr>
          <w:ilvl w:val="0"/>
          <w:numId w:val="12"/>
        </w:numPr>
        <w:snapToGrid w:val="0"/>
        <w:spacing w:line="360" w:lineRule="auto"/>
        <w:outlineLvl w:val="2"/>
        <w:rPr>
          <w:rFonts w:ascii="微软雅黑" w:hAnsi="微软雅黑" w:eastAsia="微软雅黑" w:cs="微软雅黑"/>
          <w:b/>
          <w:sz w:val="24"/>
        </w:rPr>
      </w:pPr>
      <w:bookmarkStart w:id="22" w:name="_1.8_计量单位"/>
      <w:bookmarkEnd w:id="22"/>
      <w:bookmarkStart w:id="23" w:name="_Toc266951049"/>
      <w:r>
        <w:rPr>
          <w:rFonts w:hint="eastAsia" w:ascii="微软雅黑" w:hAnsi="微软雅黑" w:eastAsia="微软雅黑" w:cs="微软雅黑"/>
          <w:b/>
          <w:sz w:val="24"/>
        </w:rPr>
        <w:t>计量单位</w:t>
      </w:r>
      <w:bookmarkEnd w:id="23"/>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除投标人须知表4条中有特殊要求外，投标文件中所使用的计量单位，应采用中华人民共和国法定计量单位。</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投标费用</w:t>
      </w:r>
    </w:p>
    <w:p>
      <w:pPr>
        <w:snapToGrid w:val="0"/>
        <w:spacing w:line="360" w:lineRule="auto"/>
        <w:ind w:firstLine="480" w:firstLineChars="200"/>
        <w:outlineLvl w:val="2"/>
        <w:rPr>
          <w:rFonts w:ascii="微软雅黑" w:hAnsi="微软雅黑" w:eastAsia="微软雅黑" w:cs="微软雅黑"/>
          <w:sz w:val="24"/>
        </w:rPr>
      </w:pPr>
      <w:r>
        <w:rPr>
          <w:rFonts w:hint="eastAsia" w:ascii="微软雅黑" w:hAnsi="微软雅黑" w:eastAsia="微软雅黑" w:cs="微软雅黑"/>
          <w:sz w:val="24"/>
        </w:rPr>
        <w:t>不论投标的结果如何，投标人应承担所有与投标有关的费用。</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现场考察、开标前答疑会</w:t>
      </w:r>
    </w:p>
    <w:p>
      <w:pPr>
        <w:adjustRightInd w:val="0"/>
        <w:snapToGrid w:val="0"/>
        <w:spacing w:line="360" w:lineRule="auto"/>
        <w:rPr>
          <w:rFonts w:ascii="微软雅黑" w:hAnsi="微软雅黑" w:eastAsia="微软雅黑" w:cs="微软雅黑"/>
          <w:b/>
          <w:bCs/>
          <w:sz w:val="24"/>
        </w:rPr>
      </w:pPr>
      <w:bookmarkStart w:id="24" w:name="_1.10_投标预备会"/>
      <w:bookmarkEnd w:id="24"/>
      <w:r>
        <w:rPr>
          <w:rFonts w:hint="eastAsia" w:ascii="微软雅黑" w:hAnsi="微软雅黑" w:eastAsia="微软雅黑" w:cs="微软雅黑"/>
          <w:kern w:val="0"/>
          <w:sz w:val="24"/>
        </w:rPr>
        <w:t>7.1.不组织现场考察或开标前答疑会，投标人自行现场考察，由于未现场考察而导致对项目实际情况不了解，影响技术文件编制、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微软雅黑" w:hAnsi="微软雅黑" w:eastAsia="微软雅黑" w:cs="微软雅黑"/>
          <w:kern w:val="0"/>
          <w:sz w:val="24"/>
        </w:rPr>
        <w:t>投标报价</w:t>
      </w:r>
      <w:r>
        <w:rPr>
          <w:rFonts w:hint="eastAsia" w:ascii="微软雅黑" w:hAnsi="微软雅黑" w:eastAsia="微软雅黑" w:cs="微软雅黑"/>
          <w:kern w:val="0"/>
          <w:sz w:val="24"/>
        </w:rPr>
        <w:fldChar w:fldCharType="end"/>
      </w:r>
      <w:r>
        <w:rPr>
          <w:rFonts w:hint="eastAsia" w:ascii="微软雅黑" w:hAnsi="微软雅黑" w:eastAsia="微软雅黑" w:cs="微软雅黑"/>
          <w:kern w:val="0"/>
          <w:sz w:val="24"/>
        </w:rPr>
        <w:t>准确性、综合因素响应不全面等问题的，由投标人自行承担相应后果。</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7.2.现场考察所发生的费用及一切责任由投标人自行承担。</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适用法律</w:t>
      </w:r>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numPr>
          <w:ilvl w:val="0"/>
          <w:numId w:val="12"/>
        </w:numPr>
        <w:snapToGrid w:val="0"/>
        <w:spacing w:line="360" w:lineRule="auto"/>
        <w:outlineLvl w:val="2"/>
        <w:rPr>
          <w:rFonts w:ascii="微软雅黑" w:hAnsi="微软雅黑" w:eastAsia="微软雅黑" w:cs="微软雅黑"/>
          <w:b/>
          <w:sz w:val="24"/>
        </w:rPr>
      </w:pPr>
      <w:r>
        <w:rPr>
          <w:rFonts w:hint="eastAsia" w:ascii="宋体" w:hAnsi="宋体" w:cs="宋体"/>
          <w:sz w:val="24"/>
        </w:rPr>
        <w:t>▲</w:t>
      </w:r>
      <w:r>
        <w:rPr>
          <w:rFonts w:hint="eastAsia" w:ascii="微软雅黑" w:hAnsi="微软雅黑" w:eastAsia="微软雅黑" w:cs="微软雅黑"/>
          <w:b/>
          <w:sz w:val="24"/>
        </w:rPr>
        <w:t>特别说明：</w:t>
      </w:r>
    </w:p>
    <w:p>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9.1.本项目不允许转包。</w:t>
      </w:r>
    </w:p>
    <w:p>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9.2.投标人投标所使用的资格、信誉、业绩与企业认证必须为本法人所拥有。投标人投标所使用的采购项目实施人员必须为本法人员工（或必须为本法人或控股公司正式员工）（招标文件另有相关规定除外）。</w:t>
      </w:r>
    </w:p>
    <w:p>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9.3.投标人应仔细阅读招标文件的所有内容，按照招标文件的要求提交投标文件，并对所提供的全部资料的真实性承担法律责任。</w:t>
      </w:r>
    </w:p>
    <w:p>
      <w:pPr>
        <w:spacing w:line="360" w:lineRule="auto"/>
        <w:ind w:firstLine="480" w:firstLineChars="200"/>
      </w:pPr>
      <w:r>
        <w:rPr>
          <w:rFonts w:hint="eastAsia" w:ascii="微软雅黑" w:hAnsi="微软雅黑" w:eastAsia="微软雅黑" w:cs="微软雅黑"/>
          <w:sz w:val="24"/>
        </w:rPr>
        <w:t>9.4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numPr>
          <w:ilvl w:val="0"/>
          <w:numId w:val="11"/>
        </w:numPr>
        <w:spacing w:line="360" w:lineRule="auto"/>
        <w:jc w:val="center"/>
        <w:outlineLvl w:val="1"/>
        <w:rPr>
          <w:rFonts w:ascii="微软雅黑" w:hAnsi="微软雅黑" w:eastAsia="微软雅黑" w:cs="微软雅黑"/>
          <w:b/>
          <w:sz w:val="32"/>
          <w:szCs w:val="32"/>
        </w:rPr>
      </w:pPr>
      <w:bookmarkStart w:id="25" w:name="_Toc13309"/>
      <w:r>
        <w:rPr>
          <w:rFonts w:hint="eastAsia" w:ascii="微软雅黑" w:hAnsi="微软雅黑" w:eastAsia="微软雅黑" w:cs="微软雅黑"/>
          <w:b/>
          <w:sz w:val="32"/>
          <w:szCs w:val="32"/>
        </w:rPr>
        <w:t>招标文件</w:t>
      </w:r>
      <w:bookmarkEnd w:id="25"/>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招标文件构成</w:t>
      </w:r>
    </w:p>
    <w:p>
      <w:pPr>
        <w:tabs>
          <w:tab w:val="left" w:pos="312"/>
        </w:tabs>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10.1招标文件内容如下:</w:t>
      </w:r>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kern w:val="0"/>
          <w:sz w:val="24"/>
        </w:rPr>
        <w:t>招标</w:t>
      </w:r>
      <w:r>
        <w:rPr>
          <w:rFonts w:hint="eastAsia" w:ascii="微软雅黑" w:hAnsi="微软雅黑" w:eastAsia="微软雅黑" w:cs="微软雅黑"/>
          <w:sz w:val="24"/>
        </w:rPr>
        <w:t>公告</w:t>
      </w:r>
    </w:p>
    <w:p>
      <w:pPr>
        <w:numPr>
          <w:ilvl w:val="0"/>
          <w:numId w:val="13"/>
        </w:numPr>
        <w:adjustRightInd w:val="0"/>
        <w:snapToGrid w:val="0"/>
        <w:spacing w:line="360" w:lineRule="auto"/>
        <w:ind w:firstLine="480" w:firstLineChars="200"/>
        <w:rPr>
          <w:rFonts w:ascii="微软雅黑" w:hAnsi="微软雅黑" w:eastAsia="微软雅黑" w:cs="微软雅黑"/>
          <w:sz w:val="24"/>
        </w:rPr>
      </w:pPr>
      <w:bookmarkStart w:id="26" w:name="_Toc24604_WPSOffice_Level2"/>
      <w:bookmarkStart w:id="27" w:name="_Toc4961_WPSOffice_Level2"/>
      <w:bookmarkStart w:id="28" w:name="_Toc25935_WPSOffice_Level2"/>
      <w:bookmarkStart w:id="29" w:name="_Toc188_WPSOffice_Level2"/>
      <w:r>
        <w:rPr>
          <w:rFonts w:hint="eastAsia" w:ascii="微软雅黑" w:hAnsi="微软雅黑" w:eastAsia="微软雅黑" w:cs="微软雅黑"/>
          <w:sz w:val="24"/>
        </w:rPr>
        <w:t>投标人须知</w:t>
      </w:r>
      <w:bookmarkEnd w:id="26"/>
      <w:bookmarkEnd w:id="27"/>
      <w:bookmarkEnd w:id="28"/>
      <w:bookmarkEnd w:id="29"/>
    </w:p>
    <w:p>
      <w:pPr>
        <w:adjustRightInd w:val="0"/>
        <w:snapToGrid w:val="0"/>
        <w:spacing w:line="360" w:lineRule="auto"/>
        <w:ind w:firstLine="480" w:firstLineChars="200"/>
        <w:rPr>
          <w:rFonts w:ascii="微软雅黑" w:hAnsi="微软雅黑" w:eastAsia="微软雅黑" w:cs="微软雅黑"/>
          <w:sz w:val="24"/>
        </w:rPr>
      </w:pPr>
      <w:bookmarkStart w:id="30" w:name="_Toc2443_WPSOffice_Level2"/>
      <w:bookmarkStart w:id="31" w:name="_Toc31424_WPSOffice_Level2"/>
      <w:bookmarkStart w:id="32" w:name="_Toc32235_WPSOffice_Level2"/>
      <w:bookmarkStart w:id="33" w:name="_Toc13276_WPSOffice_Level2"/>
      <w:r>
        <w:rPr>
          <w:rFonts w:hint="eastAsia" w:ascii="微软雅黑" w:hAnsi="微软雅黑" w:eastAsia="微软雅黑" w:cs="微软雅黑"/>
          <w:sz w:val="24"/>
        </w:rPr>
        <w:t xml:space="preserve">第二章 </w:t>
      </w:r>
      <w:bookmarkEnd w:id="30"/>
      <w:bookmarkEnd w:id="31"/>
      <w:bookmarkEnd w:id="32"/>
      <w:bookmarkEnd w:id="33"/>
      <w:r>
        <w:rPr>
          <w:rFonts w:hint="eastAsia" w:ascii="微软雅黑" w:hAnsi="微软雅黑" w:eastAsia="微软雅黑" w:cs="微软雅黑"/>
          <w:sz w:val="24"/>
        </w:rPr>
        <w:t>招标需求</w:t>
      </w:r>
    </w:p>
    <w:p>
      <w:pPr>
        <w:adjustRightInd w:val="0"/>
        <w:snapToGrid w:val="0"/>
        <w:spacing w:line="360" w:lineRule="auto"/>
        <w:ind w:firstLine="480" w:firstLineChars="200"/>
        <w:rPr>
          <w:rFonts w:ascii="微软雅黑" w:hAnsi="微软雅黑" w:eastAsia="微软雅黑" w:cs="微软雅黑"/>
          <w:sz w:val="24"/>
        </w:rPr>
      </w:pPr>
      <w:bookmarkStart w:id="34" w:name="_Toc24836_WPSOffice_Level2"/>
      <w:bookmarkStart w:id="35" w:name="_Toc16269_WPSOffice_Level2"/>
      <w:bookmarkStart w:id="36" w:name="_Toc7005_WPSOffice_Level2"/>
      <w:bookmarkStart w:id="37" w:name="_Toc4416_WPSOffice_Level2"/>
      <w:r>
        <w:rPr>
          <w:rFonts w:hint="eastAsia" w:ascii="微软雅黑" w:hAnsi="微软雅黑" w:eastAsia="微软雅黑" w:cs="微软雅黑"/>
          <w:sz w:val="24"/>
        </w:rPr>
        <w:t>第三章</w:t>
      </w:r>
      <w:bookmarkEnd w:id="34"/>
      <w:bookmarkEnd w:id="35"/>
      <w:bookmarkEnd w:id="36"/>
      <w:bookmarkEnd w:id="37"/>
      <w:r>
        <w:rPr>
          <w:rFonts w:hint="eastAsia" w:ascii="微软雅黑" w:hAnsi="微软雅黑" w:eastAsia="微软雅黑" w:cs="微软雅黑"/>
          <w:sz w:val="24"/>
        </w:rPr>
        <w:t>评标办法及评分标准</w:t>
      </w:r>
    </w:p>
    <w:p>
      <w:pPr>
        <w:adjustRightInd w:val="0"/>
        <w:snapToGrid w:val="0"/>
        <w:spacing w:line="360" w:lineRule="auto"/>
        <w:ind w:firstLine="480" w:firstLineChars="200"/>
        <w:rPr>
          <w:rFonts w:ascii="微软雅黑" w:hAnsi="微软雅黑" w:eastAsia="微软雅黑" w:cs="微软雅黑"/>
          <w:sz w:val="24"/>
        </w:rPr>
      </w:pPr>
      <w:bookmarkStart w:id="38" w:name="_Toc16119_WPSOffice_Level2"/>
      <w:bookmarkStart w:id="39" w:name="_Toc16294_WPSOffice_Level2"/>
      <w:bookmarkStart w:id="40" w:name="_Toc25382_WPSOffice_Level2"/>
      <w:bookmarkStart w:id="41" w:name="_Toc23459_WPSOffice_Level2"/>
      <w:r>
        <w:rPr>
          <w:rFonts w:hint="eastAsia" w:ascii="微软雅黑" w:hAnsi="微软雅黑" w:eastAsia="微软雅黑" w:cs="微软雅黑"/>
          <w:sz w:val="24"/>
        </w:rPr>
        <w:t xml:space="preserve">第四章 </w:t>
      </w:r>
      <w:bookmarkEnd w:id="38"/>
      <w:bookmarkEnd w:id="39"/>
      <w:bookmarkEnd w:id="40"/>
      <w:bookmarkEnd w:id="41"/>
      <w:bookmarkStart w:id="42" w:name="_Toc16368_WPSOffice_Level2"/>
      <w:bookmarkStart w:id="43" w:name="_Toc17794_WPSOffice_Level2"/>
      <w:bookmarkStart w:id="44" w:name="_Toc9629_WPSOffice_Level2"/>
      <w:bookmarkStart w:id="45" w:name="_Toc28106_WPSOffice_Level2"/>
      <w:r>
        <w:rPr>
          <w:rFonts w:hint="eastAsia" w:ascii="微软雅黑" w:hAnsi="微软雅黑" w:eastAsia="微软雅黑" w:cs="微软雅黑"/>
          <w:sz w:val="24"/>
        </w:rPr>
        <w:t>合同主要条款</w:t>
      </w:r>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第五章 </w:t>
      </w:r>
      <w:bookmarkEnd w:id="42"/>
      <w:bookmarkEnd w:id="43"/>
      <w:bookmarkEnd w:id="44"/>
      <w:bookmarkEnd w:id="45"/>
      <w:r>
        <w:rPr>
          <w:rFonts w:hint="eastAsia" w:ascii="微软雅黑" w:hAnsi="微软雅黑" w:eastAsia="微软雅黑" w:cs="微软雅黑"/>
          <w:sz w:val="24"/>
        </w:rPr>
        <w:t>投标文件的格式</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10.2采购代理机构在投标截止时间前，以书面形式发出的对招标文件的澄清或修改内容，均为招标文件的组成部分，对采购人、采购代理机构和投标人起约束作用。</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10.3投标人应认真阅读招标文件所有的事项、格式、条款等。如投标人没有按照招标文件要求提交资料，或者投标文件没有对招标文件做出实质性响应，可能导致其投标被认定为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招标文件的澄清与修改</w:t>
      </w:r>
    </w:p>
    <w:p>
      <w:pPr>
        <w:adjustRightInd w:val="0"/>
        <w:snapToGrid w:val="0"/>
        <w:spacing w:line="360" w:lineRule="auto"/>
        <w:rPr>
          <w:rFonts w:ascii="微软雅黑" w:hAnsi="微软雅黑" w:eastAsia="微软雅黑" w:cs="微软雅黑"/>
          <w:sz w:val="24"/>
        </w:rPr>
      </w:pPr>
      <w:bookmarkStart w:id="46" w:name="_Toc3451"/>
      <w:r>
        <w:rPr>
          <w:rFonts w:hint="eastAsia" w:ascii="微软雅黑" w:hAnsi="微软雅黑" w:eastAsia="微软雅黑" w:cs="微软雅黑"/>
          <w:sz w:val="24"/>
        </w:rPr>
        <w:t>11.1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11.2采购人和采购代理机构可以视采购具体情况，延长投标截止时间和开标时间，并将变更时间通知所有招标文件收受人，并在财政部门指定的政府采购信息发布媒体上发布变更公告。</w:t>
      </w:r>
    </w:p>
    <w:p>
      <w:pPr>
        <w:numPr>
          <w:ilvl w:val="0"/>
          <w:numId w:val="11"/>
        </w:numPr>
        <w:spacing w:line="360" w:lineRule="auto"/>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投标文件的编制要求</w:t>
      </w:r>
      <w:bookmarkEnd w:id="46"/>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投标文件的语言及度量衡单位</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12.1投标文件及投标人与采购人和采购代理机构就投标有关的通知、信函和文件原则上均应使用简体中文。若投标人所提供的资料为外文的，需同时提供中文译文。</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12.2除技术规范中另有规定外，投标文件所使用的度量衡单位，均采用我国法定计量单位。</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投标文件的形式与效力</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13.1供应商应准备电子投标文件，按政采云平台“政府采购项目电子交易管理操作视频-供应商”及本项目招标文件要求提交；</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13.2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通过政府采购云平台成功上传递交的电子加密投标文件已按时解密的，备份投标文件自动失效；电子加密投标文件解密失败的，启用备份投标文件；启用成功的投标文件作为评标依据。</w:t>
      </w:r>
    </w:p>
    <w:p>
      <w:pPr>
        <w:adjustRightInd w:val="0"/>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投标截止时间前，投标供应商仅递交了“备份投标文件”而未将“电子加密投标文件”成功上传至“政府采购云平台”的，投标无效。</w:t>
      </w:r>
    </w:p>
    <w:p>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numPr>
          <w:ilvl w:val="0"/>
          <w:numId w:val="12"/>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电子投标文件的组成</w:t>
      </w:r>
    </w:p>
    <w:p>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应当按照招标文件的要求编制投标文件。电子投标文件应对招标文件提出的要求和条件做出实质性响应。电子投标文件由《资格部分》、《技术、商务资信及其他部分》和《报价部分》三组成（电子投标文件中所盖公章均采用CA签章）。</w:t>
      </w:r>
    </w:p>
    <w:p>
      <w:pPr>
        <w:spacing w:line="440" w:lineRule="exact"/>
        <w:rPr>
          <w:rFonts w:ascii="微软雅黑" w:hAnsi="微软雅黑" w:eastAsia="微软雅黑" w:cs="微软雅黑"/>
          <w:b/>
          <w:bCs/>
          <w:sz w:val="24"/>
        </w:rPr>
      </w:pPr>
      <w:r>
        <w:rPr>
          <w:rFonts w:hint="eastAsia" w:ascii="微软雅黑" w:hAnsi="微软雅黑" w:eastAsia="微软雅黑" w:cs="微软雅黑"/>
          <w:b/>
          <w:sz w:val="24"/>
        </w:rPr>
        <w:t>14.1资格部分</w:t>
      </w:r>
      <w:r>
        <w:rPr>
          <w:rFonts w:hint="eastAsia" w:ascii="微软雅黑" w:hAnsi="微软雅黑" w:eastAsia="微软雅黑" w:cs="微软雅黑"/>
          <w:b/>
          <w:bCs/>
          <w:sz w:val="24"/>
        </w:rPr>
        <w:t>包括下列内容：</w:t>
      </w:r>
    </w:p>
    <w:p>
      <w:pPr>
        <w:snapToGrid w:val="0"/>
        <w:spacing w:line="460" w:lineRule="exact"/>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14.1.1投标声明书(格式见附件，含重大违法记录声明)；</w:t>
      </w:r>
    </w:p>
    <w:p>
      <w:pPr>
        <w:snapToGrid w:val="0"/>
        <w:spacing w:line="460" w:lineRule="exact"/>
        <w:ind w:firstLine="470" w:firstLineChars="196"/>
        <w:rPr>
          <w:rFonts w:ascii="微软雅黑" w:hAnsi="微软雅黑" w:eastAsia="微软雅黑" w:cs="微软雅黑"/>
          <w:sz w:val="24"/>
        </w:rPr>
      </w:pPr>
      <w:r>
        <w:rPr>
          <w:rFonts w:hint="eastAsia" w:ascii="微软雅黑" w:hAnsi="微软雅黑" w:eastAsia="微软雅黑" w:cs="微软雅黑"/>
          <w:sz w:val="24"/>
        </w:rPr>
        <w:t>14.1.2信用承诺书(格式见附件)；</w:t>
      </w:r>
    </w:p>
    <w:p>
      <w:pPr>
        <w:snapToGrid w:val="0"/>
        <w:spacing w:line="460" w:lineRule="exact"/>
        <w:ind w:firstLine="470" w:firstLineChars="196"/>
        <w:rPr>
          <w:rFonts w:ascii="微软雅黑" w:hAnsi="微软雅黑" w:eastAsia="微软雅黑" w:cs="微软雅黑"/>
          <w:sz w:val="24"/>
        </w:rPr>
      </w:pPr>
      <w:r>
        <w:rPr>
          <w:rFonts w:hint="eastAsia" w:ascii="微软雅黑" w:hAnsi="微软雅黑" w:eastAsia="微软雅黑" w:cs="微软雅黑"/>
          <w:sz w:val="24"/>
        </w:rPr>
        <w:t>14.1.3提供自招标公告发布之日起至投标截止日内任意时间的“信用中国”网站（www.creditchina.gov.cn）、中国政府采购网（www.ccgp.gov.cn）投标人信用查询网页截图（以开标当日采购人或由采购代理机构核实的查询结果为准）。</w:t>
      </w:r>
    </w:p>
    <w:p>
      <w:pPr>
        <w:snapToGrid w:val="0"/>
        <w:spacing w:line="460" w:lineRule="exact"/>
        <w:ind w:firstLine="470" w:firstLineChars="196"/>
        <w:rPr>
          <w:rFonts w:ascii="微软雅黑" w:hAnsi="微软雅黑" w:eastAsia="微软雅黑" w:cs="微软雅黑"/>
          <w:sz w:val="24"/>
        </w:rPr>
      </w:pPr>
      <w:r>
        <w:rPr>
          <w:rFonts w:hint="eastAsia" w:ascii="微软雅黑" w:hAnsi="微软雅黑" w:eastAsia="微软雅黑" w:cs="微软雅黑"/>
          <w:sz w:val="24"/>
        </w:rPr>
        <w:t>14.1.4提供法定代表人授权委托书(原件、格式见附件)、授权代理人有效身份证明（复印件）以及授权代理人个人社保缴纳证明（缴纳凭证或人社部门出具的证明）；</w:t>
      </w:r>
    </w:p>
    <w:p>
      <w:pPr>
        <w:snapToGrid w:val="0"/>
        <w:spacing w:line="460" w:lineRule="exact"/>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 xml:space="preserve">14.1.5提供有效的《营业执照》复印件并加盖投标人公章；如为事业单位的，则提供有效的《事业单位法人证书》副本复印件并加盖投标人公章； </w:t>
      </w:r>
    </w:p>
    <w:p>
      <w:pPr>
        <w:snapToGrid w:val="0"/>
        <w:spacing w:line="460" w:lineRule="exact"/>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14.1.6提供投标人最近一个季度内任意一个月有效的依法缴纳税收证明（完税凭证或税务部门出具的证明）；</w:t>
      </w:r>
    </w:p>
    <w:p>
      <w:pPr>
        <w:snapToGrid w:val="0"/>
        <w:spacing w:line="460" w:lineRule="exact"/>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14.1.7提供投标人最近一个季度内任意一个月有效的依法缴纳社会保障资金证明（缴纳凭证或人社部门出具的证明）；</w:t>
      </w:r>
    </w:p>
    <w:p>
      <w:pPr>
        <w:snapToGrid w:val="0"/>
        <w:spacing w:line="460" w:lineRule="exact"/>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14.1.8投标人关联单位的说明;</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14.1.9具有良好的商业信誉和健全的财务会计制度的承诺函（格式见附件）；</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14.1.10具备履行合同所必需的设备和专业技术能力声明函（格式见附件）。</w:t>
      </w:r>
    </w:p>
    <w:p>
      <w:pPr>
        <w:widowControl/>
        <w:spacing w:line="360" w:lineRule="auto"/>
        <w:ind w:right="60" w:firstLine="480" w:firstLineChars="200"/>
        <w:rPr>
          <w:rFonts w:ascii="微软雅黑" w:hAnsi="微软雅黑" w:eastAsia="微软雅黑" w:cs="微软雅黑"/>
          <w:sz w:val="24"/>
        </w:rPr>
      </w:pPr>
      <w:r>
        <w:rPr>
          <w:rFonts w:hint="eastAsia" w:ascii="微软雅黑" w:hAnsi="微软雅黑" w:eastAsia="微软雅黑" w:cs="微软雅黑"/>
          <w:sz w:val="24"/>
        </w:rPr>
        <w:t>14.1.11符合政策要求的</w:t>
      </w:r>
      <w:r>
        <w:rPr>
          <w:rFonts w:hint="eastAsia" w:ascii="微软雅黑" w:hAnsi="微软雅黑" w:eastAsia="微软雅黑" w:cs="微软雅黑"/>
          <w:sz w:val="24"/>
          <w:lang w:eastAsia="zh-CN"/>
        </w:rPr>
        <w:t>证明材料：</w:t>
      </w:r>
      <w:r>
        <w:rPr>
          <w:rFonts w:hint="eastAsia" w:ascii="微软雅黑" w:hAnsi="微软雅黑" w:eastAsia="微软雅黑" w:cs="微软雅黑"/>
          <w:sz w:val="24"/>
        </w:rPr>
        <w:t>如</w:t>
      </w:r>
      <w:r>
        <w:rPr>
          <w:rFonts w:hint="eastAsia" w:ascii="微软雅黑" w:hAnsi="微软雅黑" w:eastAsia="微软雅黑" w:cs="微软雅黑"/>
          <w:sz w:val="24"/>
          <w:lang w:eastAsia="zh-CN"/>
        </w:rPr>
        <w:t>小微</w:t>
      </w:r>
      <w:r>
        <w:rPr>
          <w:rFonts w:hint="eastAsia" w:ascii="微软雅黑" w:hAnsi="微软雅黑" w:eastAsia="微软雅黑" w:cs="微软雅黑"/>
          <w:sz w:val="24"/>
        </w:rPr>
        <w:t>企业投标，</w:t>
      </w:r>
      <w:r>
        <w:rPr>
          <w:rFonts w:hint="eastAsia" w:ascii="微软雅黑" w:hAnsi="微软雅黑" w:eastAsia="微软雅黑" w:cs="微软雅黑"/>
          <w:sz w:val="24"/>
          <w:lang w:eastAsia="zh-CN"/>
        </w:rPr>
        <w:t>提供小微企业的</w:t>
      </w:r>
      <w:r>
        <w:rPr>
          <w:rFonts w:hint="eastAsia" w:ascii="微软雅黑" w:hAnsi="微软雅黑" w:eastAsia="微软雅黑" w:cs="微软雅黑"/>
          <w:sz w:val="24"/>
        </w:rPr>
        <w:t>《中小企业声明函》(监狱企业视同小型、微型企业，提供由省级以上监狱管理局、戒毒管理局(含新疆生产建设兵团)出具的属于监狱企业的证明文件；残疾人福利性单位视同小型、微型企业，提供《残疾人福利性单位声明函》原件）；如大</w:t>
      </w:r>
      <w:r>
        <w:rPr>
          <w:rFonts w:hint="eastAsia" w:ascii="微软雅黑" w:hAnsi="微软雅黑" w:eastAsia="微软雅黑" w:cs="微软雅黑"/>
          <w:sz w:val="24"/>
          <w:lang w:eastAsia="zh-CN"/>
        </w:rPr>
        <w:t>中</w:t>
      </w:r>
      <w:r>
        <w:rPr>
          <w:rFonts w:hint="eastAsia" w:ascii="微软雅黑" w:hAnsi="微软雅黑" w:eastAsia="微软雅黑" w:cs="微软雅黑"/>
          <w:sz w:val="24"/>
        </w:rPr>
        <w:t>型企业投标，提供《分包意向协议》及《中小企业声明函》</w:t>
      </w:r>
      <w:r>
        <w:rPr>
          <w:rFonts w:hint="eastAsia" w:ascii="微软雅黑" w:hAnsi="微软雅黑" w:eastAsia="微软雅黑" w:cs="微软雅黑"/>
          <w:sz w:val="24"/>
          <w:lang w:eastAsia="zh-CN"/>
        </w:rPr>
        <w:t>等证明材料</w:t>
      </w:r>
      <w:r>
        <w:rPr>
          <w:rFonts w:hint="eastAsia" w:ascii="微软雅黑" w:hAnsi="微软雅黑" w:eastAsia="微软雅黑" w:cs="微软雅黑"/>
          <w:sz w:val="24"/>
        </w:rPr>
        <w:t>（协议中合同金额的40%必须分包给小微企业，格式自拟、接受分包合同的</w:t>
      </w:r>
      <w:r>
        <w:rPr>
          <w:rFonts w:hint="eastAsia" w:ascii="微软雅黑" w:hAnsi="微软雅黑" w:eastAsia="微软雅黑" w:cs="微软雅黑"/>
          <w:sz w:val="24"/>
          <w:lang w:eastAsia="zh-CN"/>
        </w:rPr>
        <w:t>小微</w:t>
      </w:r>
      <w:r>
        <w:rPr>
          <w:rFonts w:hint="eastAsia" w:ascii="微软雅黑" w:hAnsi="微软雅黑" w:eastAsia="微软雅黑" w:cs="微软雅黑"/>
          <w:sz w:val="24"/>
        </w:rPr>
        <w:t>企业的《中小企业声明函》）。</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14.1.12投标人需要说明的其他资格文件说明。</w:t>
      </w:r>
    </w:p>
    <w:p>
      <w:pPr>
        <w:spacing w:line="440" w:lineRule="exact"/>
        <w:ind w:firstLine="480" w:firstLineChars="200"/>
        <w:rPr>
          <w:rFonts w:ascii="微软雅黑" w:hAnsi="微软雅黑" w:eastAsia="微软雅黑" w:cs="微软雅黑"/>
          <w:sz w:val="24"/>
          <w:u w:val="single"/>
        </w:rPr>
      </w:pPr>
      <w:r>
        <w:rPr>
          <w:rFonts w:hint="eastAsia" w:ascii="微软雅黑" w:hAnsi="微软雅黑" w:eastAsia="微软雅黑" w:cs="微软雅黑"/>
          <w:b/>
          <w:sz w:val="24"/>
          <w:u w:val="single"/>
        </w:rPr>
        <w:t>请将以上资格部分全部上传政采云平台做资格审查，采购人或采购代理机构会根据上传的资格部分文件材料进行资格审查。</w:t>
      </w:r>
    </w:p>
    <w:p>
      <w:pPr>
        <w:spacing w:line="440" w:lineRule="exact"/>
        <w:rPr>
          <w:rFonts w:ascii="微软雅黑" w:hAnsi="微软雅黑" w:eastAsia="微软雅黑" w:cs="微软雅黑"/>
          <w:b/>
          <w:sz w:val="24"/>
        </w:rPr>
      </w:pPr>
      <w:r>
        <w:rPr>
          <w:rFonts w:hint="eastAsia" w:ascii="微软雅黑" w:hAnsi="微软雅黑" w:eastAsia="微软雅黑" w:cs="微软雅黑"/>
          <w:b/>
          <w:sz w:val="24"/>
        </w:rPr>
        <w:t>14.2技术、商务、资信及其他文件主要包括下列内容：</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14.2.1评分索引表；</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14.2.2投标函（格式见附件）；</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14.2.3 企业概况；</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14.2.4对项目的总体理解；</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14.2.5技术响应表；</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14.2.6商务响应表；</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14.2.7管理作业方案；</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14.2.8安全生产措施方案；</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14.2.9养护移交平稳过渡计划实施方案；</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14.2.10应急响应方案；</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14.2.11拟投入本项目实施的团队人员配置；</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14.2.12拟投入本项目的车辆及设备配备情况；</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14.2.13管理制度措施；</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14.2.14企业业绩；</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14.2.15认证证书；</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14.2.16员工培训；</w:t>
      </w:r>
    </w:p>
    <w:p>
      <w:pPr>
        <w:pStyle w:val="2"/>
        <w:spacing w:line="36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14.2.17服务承诺；</w:t>
      </w:r>
    </w:p>
    <w:p>
      <w:pPr>
        <w:pStyle w:val="13"/>
        <w:adjustRightInd w:val="0"/>
        <w:snapToGrid w:val="0"/>
        <w:spacing w:line="360" w:lineRule="exact"/>
        <w:ind w:firstLine="480"/>
        <w:rPr>
          <w:rFonts w:ascii="微软雅黑" w:hAnsi="微软雅黑" w:eastAsia="微软雅黑" w:cs="微软雅黑"/>
          <w:sz w:val="24"/>
          <w:szCs w:val="24"/>
        </w:rPr>
      </w:pPr>
      <w:r>
        <w:rPr>
          <w:rFonts w:hint="eastAsia" w:ascii="微软雅黑" w:hAnsi="微软雅黑" w:eastAsia="微软雅黑" w:cs="微软雅黑"/>
          <w:bCs/>
          <w:sz w:val="24"/>
          <w:szCs w:val="24"/>
        </w:rPr>
        <w:t>14.2.18</w:t>
      </w:r>
      <w:r>
        <w:rPr>
          <w:rFonts w:hint="eastAsia" w:ascii="微软雅黑" w:hAnsi="微软雅黑" w:eastAsia="微软雅黑" w:cs="微软雅黑"/>
          <w:sz w:val="24"/>
          <w:szCs w:val="24"/>
        </w:rPr>
        <w:t>投标人针对技术、商务、资信及其他文件需要说明的其他文件和说明（格式自拟</w:t>
      </w:r>
      <w:r>
        <w:rPr>
          <w:rFonts w:hint="eastAsia" w:cs="宋体"/>
          <w:sz w:val="24"/>
        </w:rPr>
        <w:t>）</w:t>
      </w:r>
      <w:r>
        <w:rPr>
          <w:rFonts w:hint="eastAsia" w:ascii="微软雅黑" w:hAnsi="微软雅黑" w:eastAsia="微软雅黑" w:cs="微软雅黑"/>
          <w:sz w:val="24"/>
          <w:szCs w:val="24"/>
        </w:rPr>
        <w:t>。</w:t>
      </w:r>
    </w:p>
    <w:p>
      <w:pPr>
        <w:snapToGrid w:val="0"/>
        <w:spacing w:line="440" w:lineRule="exact"/>
        <w:jc w:val="left"/>
        <w:rPr>
          <w:rFonts w:ascii="宋体" w:hAnsi="宋体" w:cs="宋体"/>
          <w:b/>
          <w:sz w:val="24"/>
        </w:rPr>
      </w:pPr>
      <w:r>
        <w:rPr>
          <w:rFonts w:hint="eastAsia" w:ascii="微软雅黑" w:hAnsi="微软雅黑" w:eastAsia="微软雅黑" w:cs="微软雅黑"/>
          <w:b/>
          <w:sz w:val="24"/>
        </w:rPr>
        <w:t>14.3报价文件主要包括下列内容：</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14.3.1投标函（格式见附件）</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sz w:val="24"/>
        </w:rPr>
        <w:t>14.3.2开标一览表（报价表）（格式见附件）;</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14.3.3报价明细表（若有，格式见附件）；</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14.3.4投标人针对报价需要说明的其他文件和说明（格式自拟）。</w:t>
      </w:r>
    </w:p>
    <w:p>
      <w:pPr>
        <w:spacing w:line="440" w:lineRule="exact"/>
        <w:ind w:firstLine="470" w:firstLineChars="196"/>
        <w:rPr>
          <w:rFonts w:ascii="微软雅黑" w:hAnsi="微软雅黑" w:eastAsia="微软雅黑" w:cs="微软雅黑"/>
          <w:b/>
          <w:sz w:val="24"/>
          <w:u w:val="single"/>
        </w:rPr>
      </w:pPr>
      <w:r>
        <w:rPr>
          <w:rFonts w:hint="eastAsia" w:ascii="微软雅黑" w:hAnsi="微软雅黑" w:eastAsia="微软雅黑" w:cs="微软雅黑"/>
          <w:b/>
          <w:sz w:val="24"/>
        </w:rPr>
        <w:t>注：法定代表人授权委托书、投标声明书、投标项目报价明细表必须按招标文件格式要求正确签署并加盖投标人电子签章。</w:t>
      </w:r>
      <w:r>
        <w:rPr>
          <w:rFonts w:hint="eastAsia" w:ascii="微软雅黑" w:hAnsi="微软雅黑" w:eastAsia="微软雅黑" w:cs="微软雅黑"/>
          <w:b/>
          <w:sz w:val="24"/>
          <w:u w:val="single"/>
        </w:rPr>
        <w:t>资格部分、技术、商务、资信及其他文件部分中不得出现项目价格部分内容，否则将作无效标处理。</w:t>
      </w:r>
    </w:p>
    <w:p>
      <w:pPr>
        <w:numPr>
          <w:ilvl w:val="0"/>
          <w:numId w:val="12"/>
        </w:numPr>
        <w:snapToGrid w:val="0"/>
        <w:spacing w:line="440" w:lineRule="exact"/>
        <w:outlineLvl w:val="2"/>
        <w:rPr>
          <w:rFonts w:ascii="微软雅黑" w:hAnsi="微软雅黑" w:eastAsia="微软雅黑" w:cs="微软雅黑"/>
          <w:b/>
          <w:sz w:val="24"/>
        </w:rPr>
      </w:pPr>
      <w:r>
        <w:rPr>
          <w:rFonts w:hint="eastAsia" w:ascii="微软雅黑" w:hAnsi="微软雅黑" w:eastAsia="微软雅黑" w:cs="微软雅黑"/>
          <w:b/>
          <w:sz w:val="24"/>
        </w:rPr>
        <w:t>投标报价</w:t>
      </w:r>
    </w:p>
    <w:p>
      <w:p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15.1所有投标投标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p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15.2投标人应按招标文件要求在相关表格中标明投标服务及伴随货物的单价和总价，并由法定代表人（非法人组织的负责人）或其委托代理人签署。</w:t>
      </w:r>
    </w:p>
    <w:p>
      <w:pPr>
        <w:adjustRightInd w:val="0"/>
        <w:snapToGrid w:val="0"/>
        <w:spacing w:line="440" w:lineRule="exact"/>
        <w:rPr>
          <w:rFonts w:ascii="微软雅黑" w:hAnsi="微软雅黑" w:eastAsia="微软雅黑" w:cs="微软雅黑"/>
          <w:b/>
          <w:bCs/>
          <w:sz w:val="24"/>
        </w:rPr>
      </w:pPr>
      <w:r>
        <w:rPr>
          <w:rFonts w:hint="eastAsia" w:ascii="微软雅黑" w:hAnsi="微软雅黑" w:eastAsia="微软雅黑" w:cs="微软雅黑"/>
          <w:sz w:val="24"/>
        </w:rPr>
        <w:t>15.3投标人所报的各分项投标单价在合同履行过程中是固定不变的，不得以任何理由予以变更。任何包含价格调整要求的投标，其投标将被认定为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rPr>
        <w:t>投标无效。</w:t>
      </w:r>
    </w:p>
    <w:p>
      <w:p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15.4每种服务只能有一个投标报价。采购人不接受具有附加条件的报价。</w:t>
      </w:r>
    </w:p>
    <w:p>
      <w:pPr>
        <w:numPr>
          <w:ilvl w:val="0"/>
          <w:numId w:val="12"/>
        </w:numPr>
        <w:snapToGrid w:val="0"/>
        <w:spacing w:line="440" w:lineRule="exact"/>
        <w:outlineLvl w:val="2"/>
        <w:rPr>
          <w:rFonts w:ascii="微软雅黑" w:hAnsi="微软雅黑" w:eastAsia="微软雅黑" w:cs="微软雅黑"/>
          <w:b/>
          <w:sz w:val="24"/>
        </w:rPr>
      </w:pPr>
      <w:bookmarkStart w:id="47" w:name="_Toc293916369"/>
      <w:bookmarkStart w:id="48" w:name="_Toc177824880"/>
      <w:bookmarkStart w:id="49" w:name="_Toc177870550"/>
      <w:bookmarkStart w:id="50" w:name="_Toc177824947"/>
      <w:bookmarkStart w:id="51" w:name="_Toc293916018"/>
      <w:bookmarkStart w:id="52" w:name="_Toc177825128"/>
      <w:r>
        <w:rPr>
          <w:rFonts w:hint="eastAsia" w:ascii="微软雅黑" w:hAnsi="微软雅黑" w:eastAsia="微软雅黑" w:cs="微软雅黑"/>
          <w:b/>
          <w:sz w:val="24"/>
        </w:rPr>
        <w:t>投标有效期</w:t>
      </w:r>
    </w:p>
    <w:p>
      <w:p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16.1投标有效期见本须知前附表（180日历天）所规定的期限，在此期限内，凡符合本招标文件要求的投标文件均保持有效。</w:t>
      </w:r>
    </w:p>
    <w:p>
      <w:pPr>
        <w:adjustRightInd w:val="0"/>
        <w:snapToGrid w:val="0"/>
        <w:spacing w:line="440" w:lineRule="exact"/>
        <w:rPr>
          <w:rFonts w:ascii="微软雅黑" w:hAnsi="微软雅黑" w:eastAsia="微软雅黑" w:cs="微软雅黑"/>
          <w:sz w:val="24"/>
        </w:rPr>
      </w:pPr>
      <w:r>
        <w:rPr>
          <w:rFonts w:hint="eastAsia" w:ascii="微软雅黑" w:hAnsi="微软雅黑" w:eastAsia="微软雅黑" w:cs="微软雅黑"/>
          <w:sz w:val="24"/>
        </w:rPr>
        <w:t>16.2在特殊情况下，采购人和采购代理机构在原定投标有效期内，可以根据需要以书面形式向投标人提出延长投标有效期的要求，对此要求投标人须以书面形式予以答复。投标人可以拒绝采购人和采购代理机构这种要求。同意延长投标有效期的投标人既不能要求也不允许修改其投标文件。</w:t>
      </w:r>
    </w:p>
    <w:p>
      <w:pPr>
        <w:numPr>
          <w:ilvl w:val="0"/>
          <w:numId w:val="12"/>
        </w:numPr>
        <w:snapToGrid w:val="0"/>
        <w:spacing w:line="440" w:lineRule="exact"/>
        <w:outlineLvl w:val="2"/>
        <w:rPr>
          <w:rFonts w:ascii="微软雅黑" w:hAnsi="微软雅黑" w:eastAsia="微软雅黑" w:cs="微软雅黑"/>
          <w:b/>
          <w:sz w:val="24"/>
        </w:rPr>
      </w:pPr>
      <w:r>
        <w:rPr>
          <w:rFonts w:hint="eastAsia" w:ascii="微软雅黑" w:hAnsi="微软雅黑" w:eastAsia="微软雅黑" w:cs="微软雅黑"/>
          <w:b/>
          <w:sz w:val="24"/>
        </w:rPr>
        <w:t>投标保证金</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本项目不向投标人收取投标保证金。</w:t>
      </w:r>
    </w:p>
    <w:p>
      <w:pPr>
        <w:numPr>
          <w:ilvl w:val="0"/>
          <w:numId w:val="12"/>
        </w:numPr>
        <w:snapToGrid w:val="0"/>
        <w:spacing w:line="440" w:lineRule="exact"/>
        <w:outlineLvl w:val="2"/>
        <w:rPr>
          <w:rFonts w:ascii="微软雅黑" w:hAnsi="微软雅黑" w:eastAsia="微软雅黑" w:cs="微软雅黑"/>
          <w:b/>
          <w:bCs/>
          <w:sz w:val="24"/>
        </w:rPr>
      </w:pPr>
      <w:r>
        <w:rPr>
          <w:rFonts w:hint="eastAsia" w:ascii="微软雅黑" w:hAnsi="微软雅黑" w:eastAsia="微软雅黑" w:cs="微软雅黑"/>
          <w:b/>
          <w:sz w:val="24"/>
        </w:rPr>
        <w:t>投标文件的签署</w:t>
      </w:r>
    </w:p>
    <w:p>
      <w:pPr>
        <w:snapToGrid w:val="0"/>
        <w:spacing w:line="440" w:lineRule="exact"/>
        <w:ind w:firstLine="480" w:firstLineChars="200"/>
        <w:outlineLvl w:val="2"/>
        <w:rPr>
          <w:rFonts w:ascii="微软雅黑" w:hAnsi="微软雅黑" w:eastAsia="微软雅黑" w:cs="微软雅黑"/>
          <w:b/>
          <w:bCs/>
          <w:sz w:val="24"/>
        </w:rPr>
      </w:pPr>
      <w:r>
        <w:rPr>
          <w:rFonts w:hint="eastAsia" w:ascii="微软雅黑" w:hAnsi="微软雅黑" w:eastAsia="微软雅黑" w:cs="微软雅黑"/>
          <w:sz w:val="24"/>
        </w:rPr>
        <w:t>供应商应根据政采云平台“政府采购项目电子交易管理操作视频-供应商”及本招标文件规定的格式和顺序编制电子投标文件并进行关联定位。</w:t>
      </w:r>
    </w:p>
    <w:p>
      <w:pPr>
        <w:spacing w:line="440" w:lineRule="exact"/>
        <w:ind w:firstLine="480" w:firstLineChars="200"/>
        <w:rPr>
          <w:rFonts w:ascii="微软雅黑" w:hAnsi="微软雅黑" w:eastAsia="微软雅黑" w:cs="微软雅黑"/>
          <w:b w:val="0"/>
          <w:bCs w:val="0"/>
          <w:sz w:val="24"/>
        </w:rPr>
      </w:pPr>
      <w:r>
        <w:rPr>
          <w:rFonts w:hint="eastAsia" w:ascii="微软雅黑" w:hAnsi="微软雅黑" w:eastAsia="微软雅黑" w:cs="微软雅黑"/>
          <w:b w:val="0"/>
          <w:bCs w:val="0"/>
          <w:sz w:val="24"/>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484" w:firstLineChars="202"/>
        <w:jc w:val="left"/>
        <w:rPr>
          <w:rFonts w:ascii="微软雅黑" w:hAnsi="微软雅黑" w:eastAsia="微软雅黑" w:cs="微软雅黑"/>
          <w:b w:val="0"/>
          <w:bCs w:val="0"/>
          <w:kern w:val="0"/>
          <w:sz w:val="24"/>
        </w:rPr>
      </w:pPr>
      <w:r>
        <w:rPr>
          <w:rFonts w:hint="eastAsia" w:ascii="微软雅黑" w:hAnsi="微软雅黑" w:eastAsia="微软雅黑" w:cs="微软雅黑"/>
          <w:b w:val="0"/>
          <w:bCs w:val="0"/>
          <w:kern w:val="0"/>
          <w:sz w:val="24"/>
        </w:rPr>
        <w:t>投标文件需按招标文件要求的格式填写并签字盖章。</w:t>
      </w:r>
    </w:p>
    <w:p>
      <w:pPr>
        <w:numPr>
          <w:ilvl w:val="0"/>
          <w:numId w:val="11"/>
        </w:numPr>
        <w:spacing w:line="360" w:lineRule="auto"/>
        <w:jc w:val="center"/>
        <w:outlineLvl w:val="1"/>
        <w:rPr>
          <w:rFonts w:ascii="微软雅黑" w:hAnsi="微软雅黑" w:eastAsia="微软雅黑" w:cs="微软雅黑"/>
          <w:b/>
          <w:sz w:val="32"/>
          <w:szCs w:val="32"/>
        </w:rPr>
      </w:pPr>
      <w:bookmarkStart w:id="53" w:name="_Toc36454317"/>
      <w:bookmarkStart w:id="54" w:name="_Toc36641141"/>
      <w:r>
        <w:rPr>
          <w:rFonts w:hint="eastAsia" w:ascii="微软雅黑" w:hAnsi="微软雅黑" w:eastAsia="微软雅黑" w:cs="微软雅黑"/>
          <w:b/>
          <w:sz w:val="32"/>
          <w:szCs w:val="32"/>
        </w:rPr>
        <w:t>投标文件的提交</w:t>
      </w:r>
      <w:bookmarkEnd w:id="53"/>
      <w:bookmarkEnd w:id="54"/>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投标文件的提交及提交截止时间</w:t>
      </w:r>
    </w:p>
    <w:p>
      <w:pPr>
        <w:ind w:firstLine="480" w:firstLineChars="200"/>
        <w:rPr>
          <w:rFonts w:ascii="微软雅黑" w:hAnsi="微软雅黑" w:eastAsia="微软雅黑" w:cs="微软雅黑"/>
          <w:b/>
          <w:sz w:val="24"/>
        </w:rPr>
      </w:pPr>
      <w:r>
        <w:rPr>
          <w:rFonts w:hint="eastAsia" w:ascii="微软雅黑" w:hAnsi="微软雅黑" w:eastAsia="微软雅黑" w:cs="微软雅黑"/>
          <w:b/>
          <w:sz w:val="24"/>
        </w:rPr>
        <w:t>19.1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19.2采购代理机构可通过修改招标文件酌情延长投标截止时间，在此情况下，投标人的所有权利和义务以及投标人的投标截止时间均应以延长后新的截止时间为准；</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迟交的投标文件</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投标截止时间后传输提交的投标文件，将被政采云平台拒收。</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投标文件的撤回</w:t>
      </w:r>
    </w:p>
    <w:p>
      <w:pPr>
        <w:ind w:firstLine="480" w:firstLineChars="200"/>
        <w:rPr>
          <w:rFonts w:hAnsi="宋体" w:cs="宋体"/>
          <w:b/>
          <w:sz w:val="24"/>
        </w:rPr>
      </w:pPr>
      <w:r>
        <w:rPr>
          <w:rFonts w:hint="eastAsia" w:ascii="微软雅黑" w:hAnsi="微软雅黑" w:eastAsia="微软雅黑" w:cs="微软雅黑"/>
          <w:sz w:val="24"/>
        </w:rPr>
        <w:t>在投标截止时间至规定的投标有效期满之间的这段时间，投标人不得撤回其投标。</w:t>
      </w:r>
      <w:bookmarkEnd w:id="47"/>
      <w:bookmarkEnd w:id="48"/>
      <w:bookmarkEnd w:id="49"/>
      <w:bookmarkEnd w:id="50"/>
      <w:bookmarkEnd w:id="51"/>
      <w:bookmarkEnd w:id="52"/>
    </w:p>
    <w:p>
      <w:pPr>
        <w:numPr>
          <w:ilvl w:val="0"/>
          <w:numId w:val="11"/>
        </w:numPr>
        <w:spacing w:line="360" w:lineRule="auto"/>
        <w:jc w:val="center"/>
        <w:outlineLvl w:val="1"/>
        <w:rPr>
          <w:rFonts w:ascii="微软雅黑" w:hAnsi="微软雅黑" w:eastAsia="微软雅黑" w:cs="微软雅黑"/>
          <w:b/>
          <w:sz w:val="32"/>
          <w:szCs w:val="32"/>
        </w:rPr>
      </w:pPr>
      <w:bookmarkStart w:id="55" w:name="_Toc16193"/>
      <w:r>
        <w:rPr>
          <w:rFonts w:hint="eastAsia" w:ascii="微软雅黑" w:hAnsi="微软雅黑" w:eastAsia="微软雅黑" w:cs="微软雅黑"/>
          <w:b/>
          <w:sz w:val="32"/>
          <w:szCs w:val="32"/>
        </w:rPr>
        <w:t>开标</w:t>
      </w:r>
      <w:bookmarkEnd w:id="55"/>
      <w:r>
        <w:rPr>
          <w:rFonts w:hint="eastAsia" w:ascii="微软雅黑" w:hAnsi="微软雅黑" w:eastAsia="微软雅黑" w:cs="微软雅黑"/>
          <w:b/>
          <w:sz w:val="32"/>
          <w:szCs w:val="32"/>
        </w:rPr>
        <w:t>程序</w:t>
      </w:r>
    </w:p>
    <w:p>
      <w:pPr>
        <w:numPr>
          <w:ilvl w:val="0"/>
          <w:numId w:val="12"/>
        </w:numPr>
        <w:snapToGrid w:val="0"/>
        <w:outlineLvl w:val="2"/>
        <w:rPr>
          <w:rFonts w:ascii="微软雅黑" w:hAnsi="微软雅黑" w:eastAsia="微软雅黑" w:cs="微软雅黑"/>
          <w:b/>
          <w:sz w:val="24"/>
        </w:rPr>
      </w:pPr>
      <w:bookmarkStart w:id="56" w:name="_Toc17761"/>
      <w:r>
        <w:rPr>
          <w:rFonts w:hint="eastAsia" w:ascii="微软雅黑" w:hAnsi="微软雅黑" w:eastAsia="微软雅黑" w:cs="微软雅黑"/>
          <w:b/>
          <w:sz w:val="24"/>
        </w:rPr>
        <w:t>开标程序</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22.1采购代理机构和采购人将于按照招标文件规定的时间和地点举行开标会；</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22.2开标会由采购代理机构和采购人共同主持；</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22.3本项目采用政采云电子招投标开标程序</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投标截止时间后，投标人登录政采云平台，用“项目采购-开标评标”功能对电子投标文件进行在线解密。在线解密电子投标文件时间为</w:t>
      </w:r>
      <w:r>
        <w:rPr>
          <w:rFonts w:hint="eastAsia" w:ascii="微软雅黑" w:hAnsi="微软雅黑" w:eastAsia="微软雅黑" w:cs="微软雅黑"/>
          <w:b/>
          <w:sz w:val="24"/>
        </w:rPr>
        <w:t>开标时间起30分钟内</w:t>
      </w:r>
      <w:r>
        <w:rPr>
          <w:rFonts w:hint="eastAsia" w:ascii="微软雅黑" w:hAnsi="微软雅黑" w:eastAsia="微软雅黑" w:cs="微软雅黑"/>
          <w:sz w:val="24"/>
        </w:rPr>
        <w:t>。</w:t>
      </w:r>
      <w:r>
        <w:rPr>
          <w:rFonts w:hint="eastAsia" w:ascii="微软雅黑" w:hAnsi="微软雅黑" w:eastAsia="微软雅黑" w:cs="微软雅黑"/>
          <w:b/>
          <w:sz w:val="24"/>
          <w:u w:val="single"/>
        </w:rPr>
        <w:t>如投标人在开标开始后30分钟内解密失败，投标无效</w:t>
      </w:r>
      <w:r>
        <w:rPr>
          <w:rFonts w:hint="eastAsia" w:ascii="微软雅黑" w:hAnsi="微软雅黑" w:eastAsia="微软雅黑" w:cs="微软雅黑"/>
          <w:sz w:val="24"/>
          <w:u w:val="single"/>
        </w:rPr>
        <w:t>。</w:t>
      </w:r>
    </w:p>
    <w:p>
      <w:pPr>
        <w:spacing w:line="440" w:lineRule="exact"/>
        <w:ind w:firstLine="480" w:firstLineChars="200"/>
        <w:rPr>
          <w:rFonts w:ascii="微软雅黑" w:hAnsi="微软雅黑" w:eastAsia="微软雅黑" w:cs="微软雅黑"/>
          <w:sz w:val="24"/>
          <w:u w:val="single"/>
        </w:rPr>
      </w:pPr>
      <w:r>
        <w:rPr>
          <w:rFonts w:hint="eastAsia" w:ascii="微软雅黑" w:hAnsi="微软雅黑" w:eastAsia="微软雅黑" w:cs="微软雅黑"/>
          <w:sz w:val="24"/>
          <w:u w:val="single"/>
        </w:rPr>
        <w:t>说明：政采云平台如对电子开评标程序有调整的，按调整后的程序操作。</w:t>
      </w:r>
    </w:p>
    <w:p>
      <w:pPr>
        <w:numPr>
          <w:ilvl w:val="0"/>
          <w:numId w:val="11"/>
        </w:numPr>
        <w:spacing w:line="360" w:lineRule="auto"/>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评标</w:t>
      </w:r>
      <w:bookmarkEnd w:id="56"/>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评标委员会与评标</w:t>
      </w:r>
    </w:p>
    <w:p>
      <w:pPr>
        <w:spacing w:line="440" w:lineRule="exact"/>
        <w:ind w:firstLine="560"/>
        <w:rPr>
          <w:rFonts w:ascii="微软雅黑" w:hAnsi="微软雅黑" w:eastAsia="微软雅黑" w:cs="微软雅黑"/>
          <w:sz w:val="24"/>
        </w:rPr>
      </w:pPr>
      <w:r>
        <w:rPr>
          <w:rFonts w:hint="eastAsia" w:ascii="微软雅黑" w:hAnsi="微软雅黑" w:eastAsia="微软雅黑" w:cs="微软雅黑"/>
          <w:sz w:val="24"/>
        </w:rPr>
        <w:t>评标委员会由采购代理机构依法组建，负责评标活动。评标</w:t>
      </w:r>
      <w:r>
        <w:rPr>
          <w:rFonts w:hint="eastAsia" w:ascii="微软雅黑" w:hAnsi="微软雅黑" w:eastAsia="微软雅黑" w:cs="微软雅黑"/>
          <w:snapToGrid w:val="0"/>
          <w:sz w:val="24"/>
        </w:rPr>
        <w:t>委员会</w:t>
      </w:r>
      <w:r>
        <w:rPr>
          <w:rFonts w:hint="eastAsia" w:ascii="微软雅黑" w:hAnsi="微软雅黑" w:eastAsia="微软雅黑" w:cs="微软雅黑"/>
          <w:sz w:val="24"/>
        </w:rPr>
        <w:t>遵循公正、公平、科学合理，竞争择优的原则。</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评标过程的保密</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24.1开标后，直至授予中标供应商合同为止，凡属于对投标文件的审查、澄清、评价和比较的有关资料、中标候选人的推荐情况及与评标有关的其他任何情况均严格保密。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24.2 在投标文件的评审和比较、中标候选人推荐以及授予合同的过程中，投标人向采购人、采购代理机构和评标委员会施加影响的任何行为，都将会导致其投标被拒绝。</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投标文件的澄清</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投标人通过政采云平台交换的数据电文必须进行电子签章。</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根据本须知第25条规定，凡属于评标委员会在评标中发现的计算错误进行核实的修改不在此列。</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投标文件的评定</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26.1资格性审查</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pPr>
        <w:adjustRightInd w:val="0"/>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26.1.1采购人或采购代理机构将在递交投标文件截止时间前一个工作日至资格性审查结束前的期间内查询投标人的信用记录。投标人存在不良信用记录的，其投标将被认定为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pPr>
        <w:adjustRightInd w:val="0"/>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26.1.2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26.1.3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在本招标文件规定的查询时间之后，网站信息发生的任何变更均不再作为评标依据。</w:t>
      </w:r>
    </w:p>
    <w:p>
      <w:pPr>
        <w:adjustRightInd w:val="0"/>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投标人自行提供的与网站信息不一致的其他证明材料亦不作为资格审查依据。</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26.2符合性审查</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26.3如果投标文件实质上不响应招标文件的各项要求，评标委员会将予以拒绝，并且不允许投标人通过修改或撤销其不符合要求的差异或保留，使之成为具有响应性的投标。</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投标文件报价前后不一致的修正</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投标文件报价出现前后不一致的，除本招标文件另有规定外，按照下列规定修正：</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27.1投标文件中开标一览表（报价表）内容与投标文件中</w:t>
      </w:r>
      <w:r>
        <w:rPr>
          <w:rFonts w:hint="eastAsia" w:ascii="微软雅黑" w:hAnsi="微软雅黑" w:eastAsia="微软雅黑" w:cs="微软雅黑"/>
          <w:bCs/>
          <w:sz w:val="24"/>
        </w:rPr>
        <w:t>投标项目报价</w:t>
      </w:r>
      <w:r>
        <w:rPr>
          <w:rFonts w:hint="eastAsia" w:ascii="微软雅黑" w:hAnsi="微软雅黑" w:eastAsia="微软雅黑" w:cs="微软雅黑"/>
          <w:sz w:val="24"/>
        </w:rPr>
        <w:t>明细表内容不一致的，以开标一览表（报价表）为准；</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27.2投标文件的大写金额和小写金额不一致的，以大写金额为准；</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27.3单价金额小数点或者百分比有明显错位的，以开标一览表的总价为准，并修改单价；</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pacing w:val="-8"/>
          <w:sz w:val="24"/>
        </w:rPr>
        <w:t>27.4</w:t>
      </w:r>
      <w:r>
        <w:rPr>
          <w:rFonts w:hint="eastAsia" w:ascii="微软雅黑" w:hAnsi="微软雅黑" w:eastAsia="微软雅黑" w:cs="微软雅黑"/>
          <w:sz w:val="24"/>
        </w:rPr>
        <w:t>总价金额与按单价汇总金额不一致的，以单价金额计算结果为准。</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27.5同时出现两种以上不一致的，按照前款规定的顺序修正。修正后的报价经投标人确认后产生约束力，投标人不确认的，其投标无效。</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投标文件的评审、比较和否决</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28.1评标委员会将对在实质上响应招标文件要求的投标文件进行评估和比较。</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28.2 在评审过程中,评标委员会可以要求投标人就投标文件中含义不明确的内容进行说明并提供相关材料。</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28.3在评审过程中，如发现与招标文件要求相偏离的，评标委员会应对其偏离情形进行必要的书面核实。</w:t>
      </w:r>
    </w:p>
    <w:p>
      <w:pPr>
        <w:spacing w:line="440" w:lineRule="exact"/>
        <w:ind w:firstLine="500"/>
        <w:rPr>
          <w:rFonts w:ascii="微软雅黑" w:hAnsi="微软雅黑" w:eastAsia="微软雅黑" w:cs="微软雅黑"/>
          <w:sz w:val="24"/>
        </w:rPr>
      </w:pPr>
      <w:r>
        <w:rPr>
          <w:rFonts w:hint="eastAsia" w:ascii="微软雅黑" w:hAnsi="微软雅黑" w:eastAsia="微软雅黑" w:cs="微软雅黑"/>
          <w:sz w:val="24"/>
        </w:rPr>
        <w:t>28.4在评审过程中，如属于实质性偏离或符合无效响应条件的，应当询问相关投标人，并允许其进行陈述申辩，但不允许其对偏离条款进行补充、修正或撤回。</w:t>
      </w:r>
    </w:p>
    <w:p>
      <w:pPr>
        <w:spacing w:line="440" w:lineRule="exact"/>
        <w:ind w:firstLine="500"/>
        <w:rPr>
          <w:rFonts w:ascii="微软雅黑" w:hAnsi="微软雅黑" w:eastAsia="微软雅黑" w:cs="微软雅黑"/>
          <w:sz w:val="24"/>
          <w:u w:val="single"/>
        </w:rPr>
      </w:pPr>
      <w:r>
        <w:rPr>
          <w:rFonts w:hint="eastAsia" w:ascii="微软雅黑" w:hAnsi="微软雅黑" w:eastAsia="微软雅黑" w:cs="微软雅黑"/>
          <w:sz w:val="24"/>
        </w:rPr>
        <w:t>28.5在评审过程中，如发现投标文件同一内容前后描述不一致的，评标委员会有权对其做出不利的判定。</w:t>
      </w:r>
    </w:p>
    <w:p>
      <w:pPr>
        <w:ind w:firstLine="500"/>
        <w:rPr>
          <w:rFonts w:ascii="微软雅黑" w:hAnsi="微软雅黑" w:eastAsia="微软雅黑" w:cs="微软雅黑"/>
          <w:sz w:val="24"/>
        </w:rPr>
      </w:pPr>
      <w:r>
        <w:rPr>
          <w:rFonts w:hint="eastAsia" w:ascii="微软雅黑" w:hAnsi="微软雅黑" w:eastAsia="微软雅黑" w:cs="微软雅黑"/>
          <w:sz w:val="24"/>
        </w:rPr>
        <w:t>28.6 评标委员会依据招标文件规定的评标标准和方法，对投标文件进行评审和比较，向采购代理机构提交书面评标报告，并推荐合格的中标候选人。</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废标</w:t>
      </w:r>
    </w:p>
    <w:p>
      <w:pPr>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在招标采购中，出现下列情形之一的，应予废标（</w:t>
      </w:r>
      <w:r>
        <w:rPr>
          <w:rFonts w:hint="eastAsia" w:ascii="微软雅黑" w:hAnsi="微软雅黑" w:eastAsia="微软雅黑" w:cs="微软雅黑"/>
          <w:b/>
          <w:snapToGrid w:val="0"/>
          <w:sz w:val="24"/>
        </w:rPr>
        <w:t>法律、法规、规章、省级及以上监管部门规定的其他情形除外）</w:t>
      </w:r>
      <w:r>
        <w:rPr>
          <w:rFonts w:hint="eastAsia" w:ascii="微软雅黑" w:hAnsi="微软雅黑" w:eastAsia="微软雅黑" w:cs="微软雅黑"/>
          <w:b/>
          <w:bCs/>
          <w:sz w:val="24"/>
        </w:rPr>
        <w:t>：</w:t>
      </w:r>
    </w:p>
    <w:p>
      <w:pPr>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29.1符合专业条件的供应商或者对招标文件作实质响应的供应商不足三家的；</w:t>
      </w:r>
    </w:p>
    <w:p>
      <w:pPr>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29.2出现影响采购公正的违法、违规行为的；</w:t>
      </w:r>
    </w:p>
    <w:p>
      <w:pPr>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29.3因重大变故，采购任务取消的;</w:t>
      </w:r>
    </w:p>
    <w:p>
      <w:pPr>
        <w:ind w:firstLine="480" w:firstLineChars="200"/>
        <w:rPr>
          <w:rFonts w:ascii="微软雅黑" w:hAnsi="微软雅黑" w:eastAsia="微软雅黑" w:cs="微软雅黑"/>
          <w:b/>
          <w:snapToGrid w:val="0"/>
          <w:sz w:val="24"/>
        </w:rPr>
      </w:pPr>
      <w:r>
        <w:rPr>
          <w:rFonts w:hint="eastAsia" w:ascii="微软雅黑" w:hAnsi="微软雅黑" w:eastAsia="微软雅黑" w:cs="微软雅黑"/>
          <w:bCs/>
          <w:sz w:val="24"/>
        </w:rPr>
        <w:t>29.4投标人的报价均超采购预算的，采购人不能支付的。</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定标</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30.1采购代理机构在评标结束后2个工作日内将评标报告送交采购人确认，采购人应在收到评标报告后五个工作日内依法确定中标供应商，并将确认意见书面形式回复采购代理机构，逾期未复视为同意。</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30.2中标供应商确定后，中标结果在财政部门指定的政府采购信息发布媒体上公告。</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30.3在发布公告的同时，采购人和采购代理机构向中标供应商发出中标通知书，中标通知书对采购人和中标供应商具有同等法律效力。</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30.4中标通知书发出后，采购人改变中标结果，或者中标供应商放弃中标，应当承担相应的法律责任。</w:t>
      </w:r>
    </w:p>
    <w:p>
      <w:pPr>
        <w:snapToGrid w:val="0"/>
        <w:ind w:firstLine="480" w:firstLineChars="200"/>
        <w:outlineLvl w:val="2"/>
        <w:rPr>
          <w:rFonts w:ascii="微软雅黑" w:hAnsi="微软雅黑" w:eastAsia="微软雅黑" w:cs="微软雅黑"/>
          <w:b/>
          <w:sz w:val="24"/>
        </w:rPr>
      </w:pPr>
      <w:r>
        <w:rPr>
          <w:rFonts w:hint="eastAsia" w:ascii="微软雅黑" w:hAnsi="微软雅黑" w:eastAsia="微软雅黑" w:cs="微软雅黑"/>
          <w:b/>
          <w:sz w:val="24"/>
        </w:rPr>
        <w:t>30.5出现下述情况之一的，采购单位可以与排位在中标人之后第一位的中标候选人签订政府采购合同，以此类推。采购单位也可重新组织招标。</w:t>
      </w:r>
    </w:p>
    <w:p>
      <w:pPr>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30.5.1中标人因自身原因放弃中标成交或因不可抗力不能履行合同的；</w:t>
      </w:r>
    </w:p>
    <w:p>
      <w:pPr>
        <w:snapToGrid w:val="0"/>
        <w:ind w:firstLine="480" w:firstLineChars="200"/>
        <w:rPr>
          <w:rFonts w:ascii="微软雅黑" w:hAnsi="微软雅黑" w:eastAsia="微软雅黑" w:cs="微软雅黑"/>
          <w:sz w:val="24"/>
        </w:rPr>
      </w:pPr>
      <w:r>
        <w:rPr>
          <w:rFonts w:hint="eastAsia" w:ascii="微软雅黑" w:hAnsi="微软雅黑" w:eastAsia="微软雅黑" w:cs="微软雅黑"/>
          <w:sz w:val="24"/>
        </w:rPr>
        <w:t>30.5.2经质疑，采购代理机构审查确认因中标人在本次采购活动中存在违法违规行为或其他原因使质疑成立的。</w:t>
      </w:r>
    </w:p>
    <w:p>
      <w:pPr>
        <w:numPr>
          <w:ilvl w:val="0"/>
          <w:numId w:val="12"/>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投标无效的情形</w:t>
      </w:r>
    </w:p>
    <w:p>
      <w:pPr>
        <w:spacing w:line="440" w:lineRule="exact"/>
        <w:ind w:firstLine="480" w:firstLineChars="200"/>
        <w:rPr>
          <w:rFonts w:ascii="微软雅黑" w:hAnsi="微软雅黑" w:eastAsia="微软雅黑" w:cs="微软雅黑"/>
          <w:b/>
          <w:sz w:val="24"/>
        </w:rPr>
      </w:pPr>
      <w:r>
        <w:rPr>
          <w:rFonts w:hint="eastAsia" w:ascii="微软雅黑" w:hAnsi="微软雅黑" w:eastAsia="微软雅黑" w:cs="微软雅黑"/>
          <w:b/>
          <w:sz w:val="24"/>
        </w:rPr>
        <w:t>投标文件有下列情况之一者, 投标文件将被视为无效：</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31.2电子投标文件在规定时间内解密失败的；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31.3未按照招标文件规定的要求签署、盖章的；</w:t>
      </w:r>
    </w:p>
    <w:p>
      <w:pPr>
        <w:spacing w:line="440" w:lineRule="exact"/>
        <w:ind w:firstLine="470" w:firstLineChars="196"/>
        <w:rPr>
          <w:rFonts w:ascii="微软雅黑" w:hAnsi="微软雅黑" w:eastAsia="微软雅黑" w:cs="微软雅黑"/>
          <w:bCs/>
          <w:sz w:val="24"/>
        </w:rPr>
      </w:pPr>
      <w:r>
        <w:rPr>
          <w:rFonts w:hint="eastAsia" w:ascii="微软雅黑" w:hAnsi="微软雅黑" w:eastAsia="微软雅黑" w:cs="微软雅黑"/>
          <w:bCs/>
          <w:sz w:val="24"/>
        </w:rPr>
        <w:t>31.4投标文件中资格部分、商务部分、技术部分中出现价格部分内容的；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31.5投标人在一份投标文件中对同一采购项目有两个或两个以上报价的；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31.6投标报价超过招标文件中规定的预算金额或者最高限价的；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z w:val="24"/>
        </w:rPr>
        <w:t>31.7投标文件</w:t>
      </w:r>
      <w:r>
        <w:rPr>
          <w:rFonts w:hint="eastAsia" w:ascii="微软雅黑" w:hAnsi="微软雅黑" w:eastAsia="微软雅黑" w:cs="微软雅黑"/>
          <w:bCs/>
          <w:snapToGrid w:val="0"/>
          <w:sz w:val="24"/>
        </w:rPr>
        <w:t>载明的招标项目完成期限超过招标文件规定的期限，采购人不能接受的；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31.8</w:t>
      </w:r>
      <w:r>
        <w:rPr>
          <w:rFonts w:hint="eastAsia" w:ascii="微软雅黑" w:hAnsi="微软雅黑" w:eastAsia="微软雅黑" w:cs="微软雅黑"/>
          <w:bCs/>
          <w:sz w:val="24"/>
        </w:rPr>
        <w:t>投标文件</w:t>
      </w:r>
      <w:r>
        <w:rPr>
          <w:rFonts w:hint="eastAsia" w:ascii="微软雅黑" w:hAnsi="微软雅黑" w:eastAsia="微软雅黑" w:cs="微软雅黑"/>
          <w:bCs/>
          <w:snapToGrid w:val="0"/>
          <w:sz w:val="24"/>
        </w:rPr>
        <w:t>载明的投标有效期、质量保证期少于招标文件规定期限的；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31.9投标文件未响应招标文件规定的付款方式的；</w:t>
      </w:r>
    </w:p>
    <w:p>
      <w:pPr>
        <w:spacing w:line="440" w:lineRule="exact"/>
        <w:ind w:firstLine="470" w:firstLineChars="196"/>
        <w:rPr>
          <w:rFonts w:ascii="微软雅黑" w:hAnsi="微软雅黑" w:eastAsia="微软雅黑" w:cs="微软雅黑"/>
          <w:bCs/>
          <w:snapToGrid w:val="0"/>
          <w:sz w:val="24"/>
        </w:rPr>
      </w:pPr>
      <w:r>
        <w:rPr>
          <w:rFonts w:hint="eastAsia" w:ascii="微软雅黑" w:hAnsi="微软雅黑" w:eastAsia="微软雅黑" w:cs="微软雅黑"/>
          <w:bCs/>
          <w:sz w:val="24"/>
        </w:rPr>
        <w:t>31.10投标服务的</w:t>
      </w:r>
      <w:r>
        <w:rPr>
          <w:rFonts w:hint="eastAsia" w:ascii="微软雅黑" w:hAnsi="微软雅黑" w:eastAsia="微软雅黑" w:cs="微软雅黑"/>
          <w:bCs/>
          <w:snapToGrid w:val="0"/>
          <w:sz w:val="24"/>
        </w:rPr>
        <w:t>技术规范、技术标准明显不符合国家强制性要求的；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31.11投标服务载明的验收标准和方法等不符合国家规定及招标文件要求的；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31.12投标文件字迹模糊辨认不清的（评标委员会一致认为难以确认）；</w:t>
      </w:r>
    </w:p>
    <w:p>
      <w:pPr>
        <w:spacing w:line="440" w:lineRule="exact"/>
        <w:ind w:firstLine="480" w:firstLineChars="200"/>
        <w:rPr>
          <w:rFonts w:ascii="微软雅黑" w:hAnsi="微软雅黑" w:eastAsia="微软雅黑" w:cs="微软雅黑"/>
          <w:bCs/>
          <w:kern w:val="0"/>
          <w:sz w:val="24"/>
        </w:rPr>
      </w:pPr>
      <w:r>
        <w:rPr>
          <w:rFonts w:hint="eastAsia" w:ascii="微软雅黑" w:hAnsi="微软雅黑" w:eastAsia="微软雅黑" w:cs="微软雅黑"/>
          <w:bCs/>
          <w:snapToGrid w:val="0"/>
          <w:sz w:val="24"/>
        </w:rPr>
        <w:t>31.13</w:t>
      </w:r>
      <w:r>
        <w:rPr>
          <w:rFonts w:hint="eastAsia" w:ascii="微软雅黑" w:hAnsi="微软雅黑" w:eastAsia="微软雅黑" w:cs="微软雅黑"/>
          <w:bCs/>
          <w:kern w:val="0"/>
          <w:sz w:val="24"/>
        </w:rPr>
        <w:t>提供不真实资料的；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31.14</w:t>
      </w:r>
      <w:r>
        <w:rPr>
          <w:rFonts w:hint="eastAsia" w:ascii="微软雅黑" w:hAnsi="微软雅黑" w:eastAsia="微软雅黑" w:cs="微软雅黑"/>
          <w:bCs/>
          <w:sz w:val="24"/>
        </w:rPr>
        <w:t>投标服务的</w:t>
      </w:r>
      <w:r>
        <w:rPr>
          <w:rFonts w:hint="eastAsia" w:ascii="微软雅黑" w:hAnsi="微软雅黑" w:eastAsia="微软雅黑" w:cs="微软雅黑"/>
          <w:bCs/>
          <w:snapToGrid w:val="0"/>
          <w:sz w:val="24"/>
        </w:rPr>
        <w:t>技术指标、参数等存在实质性偏离</w:t>
      </w:r>
      <w:r>
        <w:rPr>
          <w:rFonts w:hint="eastAsia" w:ascii="微软雅黑" w:hAnsi="微软雅黑" w:eastAsia="微软雅黑" w:cs="微软雅黑"/>
          <w:bCs/>
          <w:sz w:val="24"/>
        </w:rPr>
        <w:t>（评标委员会一致认定）</w:t>
      </w:r>
      <w:r>
        <w:rPr>
          <w:rFonts w:hint="eastAsia" w:ascii="微软雅黑" w:hAnsi="微软雅黑" w:eastAsia="微软雅黑" w:cs="微软雅黑"/>
          <w:bCs/>
          <w:snapToGrid w:val="0"/>
          <w:sz w:val="24"/>
        </w:rPr>
        <w:t>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31.15未满足招标文件中打“</w:t>
      </w:r>
      <w:r>
        <w:rPr>
          <w:rFonts w:hint="eastAsia" w:ascii="宋体" w:hAnsi="宋体" w:cs="微软雅黑"/>
          <w:sz w:val="24"/>
        </w:rPr>
        <w:t>▲</w:t>
      </w:r>
      <w:r>
        <w:rPr>
          <w:rFonts w:hint="eastAsia" w:ascii="微软雅黑" w:hAnsi="微软雅黑" w:eastAsia="微软雅黑" w:cs="微软雅黑"/>
          <w:bCs/>
          <w:snapToGrid w:val="0"/>
          <w:sz w:val="24"/>
        </w:rPr>
        <w:t>”条款的；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31.16</w:t>
      </w:r>
      <w:r>
        <w:rPr>
          <w:rFonts w:hint="eastAsia" w:ascii="微软雅黑" w:hAnsi="微软雅黑" w:eastAsia="微软雅黑" w:cs="微软雅黑"/>
          <w:bCs/>
          <w:snapToGrid w:val="0"/>
          <w:kern w:val="0"/>
          <w:sz w:val="24"/>
        </w:rPr>
        <w:t>不符合法律、法规和招标文件规定的其他实质</w:t>
      </w:r>
      <w:r>
        <w:rPr>
          <w:rFonts w:hint="eastAsia" w:ascii="微软雅黑" w:hAnsi="微软雅黑" w:eastAsia="微软雅黑" w:cs="微软雅黑"/>
          <w:bCs/>
          <w:snapToGrid w:val="0"/>
          <w:sz w:val="24"/>
        </w:rPr>
        <w:t>性要求</w:t>
      </w:r>
      <w:r>
        <w:rPr>
          <w:rFonts w:hint="eastAsia" w:ascii="微软雅黑" w:hAnsi="微软雅黑" w:eastAsia="微软雅黑" w:cs="微软雅黑"/>
          <w:bCs/>
          <w:sz w:val="24"/>
        </w:rPr>
        <w:t>（评标委员会一致认定）</w:t>
      </w:r>
      <w:r>
        <w:rPr>
          <w:rFonts w:hint="eastAsia" w:ascii="微软雅黑" w:hAnsi="微软雅黑" w:eastAsia="微软雅黑" w:cs="微软雅黑"/>
          <w:bCs/>
          <w:snapToGrid w:val="0"/>
          <w:sz w:val="24"/>
        </w:rPr>
        <w:t>的；</w:t>
      </w:r>
    </w:p>
    <w:p>
      <w:pPr>
        <w:spacing w:line="440" w:lineRule="exact"/>
        <w:ind w:firstLine="470" w:firstLineChars="196"/>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31.17二分之一以上的评委认为供应商报价明显高于市场平均价的；</w:t>
      </w:r>
    </w:p>
    <w:p>
      <w:pPr>
        <w:snapToGrid w:val="0"/>
        <w:spacing w:line="46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31.18</w:t>
      </w:r>
      <w:r>
        <w:rPr>
          <w:rFonts w:hint="eastAsia" w:ascii="微软雅黑" w:hAnsi="微软雅黑" w:eastAsia="微软雅黑" w:cs="微软雅黑"/>
          <w:bCs/>
          <w:sz w:val="24"/>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31.19</w:t>
      </w:r>
      <w:r>
        <w:rPr>
          <w:rFonts w:hint="eastAsia" w:ascii="微软雅黑" w:hAnsi="微软雅黑" w:eastAsia="微软雅黑" w:cs="微软雅黑"/>
          <w:bCs/>
          <w:sz w:val="24"/>
        </w:rPr>
        <w:t>投标文件含有采购人不能接受的附加条件的；</w:t>
      </w:r>
    </w:p>
    <w:p>
      <w:pPr>
        <w:snapToGrid w:val="0"/>
        <w:spacing w:line="46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31.20</w:t>
      </w:r>
      <w:r>
        <w:rPr>
          <w:rFonts w:hint="eastAsia" w:ascii="微软雅黑" w:hAnsi="微软雅黑" w:eastAsia="微软雅黑" w:cs="微软雅黑"/>
          <w:bCs/>
          <w:sz w:val="24"/>
        </w:rPr>
        <w:t>投标人被视为串通投标的；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31.21投标产品为进口产品且未经</w:t>
      </w:r>
      <w:r>
        <w:rPr>
          <w:rFonts w:hint="eastAsia" w:ascii="微软雅黑" w:hAnsi="微软雅黑" w:eastAsia="微软雅黑" w:cs="微软雅黑"/>
          <w:bCs/>
          <w:sz w:val="24"/>
        </w:rPr>
        <w:t>批准</w:t>
      </w:r>
      <w:r>
        <w:rPr>
          <w:rFonts w:hint="eastAsia" w:ascii="微软雅黑" w:hAnsi="微软雅黑" w:eastAsia="微软雅黑" w:cs="微软雅黑"/>
          <w:bCs/>
          <w:snapToGrid w:val="0"/>
          <w:sz w:val="24"/>
        </w:rPr>
        <w:t>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31.22评标委员会按照规定对投标文件的计算错误进行修正后的报价，投标人不予确认的；</w:t>
      </w:r>
    </w:p>
    <w:p>
      <w:pPr>
        <w:spacing w:line="440" w:lineRule="exact"/>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31.24法律、法规、规章及省级以上规范性文件等规定的其他情形。</w:t>
      </w:r>
    </w:p>
    <w:p>
      <w:pPr>
        <w:numPr>
          <w:ilvl w:val="0"/>
          <w:numId w:val="11"/>
        </w:numPr>
        <w:spacing w:line="360" w:lineRule="auto"/>
        <w:jc w:val="center"/>
        <w:outlineLvl w:val="1"/>
        <w:rPr>
          <w:rFonts w:ascii="微软雅黑" w:hAnsi="微软雅黑" w:eastAsia="微软雅黑" w:cs="微软雅黑"/>
          <w:b/>
          <w:sz w:val="32"/>
          <w:szCs w:val="32"/>
        </w:rPr>
      </w:pPr>
      <w:bookmarkStart w:id="57" w:name="_Toc36454321"/>
      <w:bookmarkStart w:id="58" w:name="_Toc36641145"/>
      <w:r>
        <w:rPr>
          <w:rFonts w:hint="eastAsia" w:ascii="微软雅黑" w:hAnsi="微软雅黑" w:eastAsia="微软雅黑" w:cs="微软雅黑"/>
          <w:b/>
          <w:sz w:val="32"/>
          <w:szCs w:val="32"/>
        </w:rPr>
        <w:t>合同的授予</w:t>
      </w:r>
      <w:bookmarkEnd w:id="57"/>
      <w:bookmarkEnd w:id="58"/>
    </w:p>
    <w:p>
      <w:p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32.授予合同的依据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32.1采购人和采购代理机构签发的中标通知书；</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32.2招标文件、招标文件的修改及补充文件；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32.3投标文件和询标时投标人做出的澄清、说明、纠正、承诺；</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32.4《中华人民共和国民法典》的规定。</w:t>
      </w:r>
    </w:p>
    <w:p>
      <w:p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33.签署合同的要求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33.1采购人与中标供应商按照中标通知书的规定时间、地点签订书面合同；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33.2签订合同的时间必须在自中标通知书发出之日起三十日内；</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33.3所签订的合同内容不得对招标文件和中标供应商的投标文件作实质性修改；</w:t>
      </w:r>
    </w:p>
    <w:p>
      <w:pPr>
        <w:spacing w:line="400" w:lineRule="exact"/>
        <w:ind w:left="2" w:leftChars="1" w:firstLine="480" w:firstLineChars="200"/>
        <w:jc w:val="left"/>
        <w:rPr>
          <w:rFonts w:ascii="微软雅黑" w:hAnsi="微软雅黑" w:eastAsia="微软雅黑" w:cs="微软雅黑"/>
          <w:spacing w:val="-4"/>
          <w:sz w:val="24"/>
        </w:rPr>
      </w:pPr>
      <w:r>
        <w:rPr>
          <w:rFonts w:hint="eastAsia" w:ascii="微软雅黑" w:hAnsi="微软雅黑" w:eastAsia="微软雅黑" w:cs="微软雅黑"/>
          <w:sz w:val="24"/>
        </w:rPr>
        <w:t>33.4采</w:t>
      </w:r>
      <w:r>
        <w:rPr>
          <w:rFonts w:hint="eastAsia" w:ascii="微软雅黑" w:hAnsi="微软雅黑" w:eastAsia="微软雅黑" w:cs="微软雅黑"/>
          <w:spacing w:val="-4"/>
          <w:sz w:val="24"/>
        </w:rPr>
        <w:t>购人不得向中标供应商提出任何不合理的要求，作为签订合同的条件，不得与中标供应商私下订立背离合同实质性内容的协议；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33.5自采购合同签订之日起七个工作日内，将采购合同副本送采购代理机构一份备案。</w:t>
      </w:r>
    </w:p>
    <w:p>
      <w:p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34.中标通知书</w:t>
      </w:r>
    </w:p>
    <w:p>
      <w:pPr>
        <w:spacing w:line="400" w:lineRule="exact"/>
        <w:ind w:firstLine="480" w:firstLineChars="200"/>
        <w:rPr>
          <w:rFonts w:ascii="微软雅黑" w:hAnsi="微软雅黑" w:eastAsia="微软雅黑" w:cs="微软雅黑"/>
          <w:b/>
          <w:sz w:val="24"/>
        </w:rPr>
      </w:pPr>
      <w:r>
        <w:rPr>
          <w:rFonts w:hint="eastAsia" w:ascii="微软雅黑" w:hAnsi="微软雅黑" w:eastAsia="微软雅黑" w:cs="微软雅黑"/>
          <w:sz w:val="24"/>
        </w:rPr>
        <w:t>34.1确定中标供应商后，采购人和采购代理机构将发出中标通知书，通知中标的投标人其投标被接受。</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34.2中标通知书为双方签订合同的依据；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34.3中标供应商应根据中标通知书中规定的时间内，由法定代表人或其授权代理人与采购人签订合同。</w:t>
      </w:r>
    </w:p>
    <w:p>
      <w:p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35.履约保证金</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中标供应商在领取中标通知书的同时，应按本须知前附表的规定，向采购人提交履约保证金；</w:t>
      </w:r>
    </w:p>
    <w:p>
      <w:p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36.合同签订</w:t>
      </w:r>
    </w:p>
    <w:p>
      <w:pPr>
        <w:spacing w:line="400" w:lineRule="exact"/>
        <w:ind w:firstLine="500"/>
        <w:rPr>
          <w:rFonts w:ascii="微软雅黑" w:hAnsi="微软雅黑" w:eastAsia="微软雅黑" w:cs="微软雅黑"/>
          <w:sz w:val="24"/>
        </w:rPr>
      </w:pPr>
      <w:r>
        <w:rPr>
          <w:rFonts w:hint="eastAsia" w:ascii="微软雅黑" w:hAnsi="微软雅黑" w:eastAsia="微软雅黑" w:cs="微软雅黑"/>
          <w:sz w:val="24"/>
        </w:rPr>
        <w:t>36.1</w:t>
      </w:r>
      <w:r>
        <w:rPr>
          <w:rFonts w:hint="eastAsia" w:ascii="微软雅黑" w:hAnsi="微软雅黑" w:eastAsia="微软雅黑" w:cs="微软雅黑"/>
          <w:snapToGrid w:val="0"/>
          <w:sz w:val="24"/>
        </w:rPr>
        <w:t>采购人与中标供应商将根据《中华人民共和国</w:t>
      </w:r>
      <w:r>
        <w:rPr>
          <w:rFonts w:hint="eastAsia" w:ascii="微软雅黑" w:hAnsi="微软雅黑" w:eastAsia="微软雅黑" w:cs="微软雅黑"/>
          <w:sz w:val="24"/>
        </w:rPr>
        <w:t>民法典</w:t>
      </w:r>
      <w:r>
        <w:rPr>
          <w:rFonts w:hint="eastAsia" w:ascii="微软雅黑" w:hAnsi="微软雅黑" w:eastAsia="微软雅黑" w:cs="微软雅黑"/>
          <w:snapToGrid w:val="0"/>
          <w:sz w:val="24"/>
        </w:rPr>
        <w:t>》的规定，依据招标文件和中标供应商的投标文件签订书面合同。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36.2 采购人如不与中标供应商订立合同，或者采购人、中标供应商订立背离合同实质性内容的协议，由政府有关部门责令改正，同时依法承担相应法律责任；</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36.3中标供应商如不按规定与采购人订立合同，则采购人废除授标，给采购人造成损失的还应当予以赔偿，同时依法承担相应法律责任。</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36.4 中标供应商应当按照合同约定履行义务，完成中标项目各项工作，不得将中标项目违法转让（转包）给他人；</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36.5如果中标供应商未能遵守本须知第34.3条的规定，则可取消其中标资格。</w:t>
      </w:r>
    </w:p>
    <w:p>
      <w:pPr>
        <w:spacing w:line="380" w:lineRule="exact"/>
        <w:rPr>
          <w:rFonts w:ascii="微软雅黑" w:hAnsi="微软雅黑" w:eastAsia="微软雅黑" w:cs="微软雅黑"/>
          <w:b/>
          <w:bCs/>
          <w:sz w:val="24"/>
        </w:rPr>
      </w:pPr>
      <w:r>
        <w:rPr>
          <w:rFonts w:hint="eastAsia" w:ascii="微软雅黑" w:hAnsi="微软雅黑" w:eastAsia="微软雅黑" w:cs="微软雅黑"/>
          <w:b/>
          <w:bCs/>
          <w:sz w:val="24"/>
        </w:rPr>
        <w:t>37.“绿贷通”、“政采贷”</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为有效破解当前中中小企业面临的“融资难、融资贵”困局，充分发挥好政府采购扶持中小企业发展的政策功能，本项目中标供应商可凭中标通知书等材料至“绿贷通平台”网页（</w:t>
      </w:r>
      <w:r>
        <w:rPr>
          <w:rFonts w:hint="eastAsia" w:ascii="微软雅黑" w:hAnsi="微软雅黑" w:eastAsia="微软雅黑" w:cs="微软雅黑"/>
          <w:kern w:val="0"/>
          <w:sz w:val="24"/>
        </w:rPr>
        <w:t>https://lvdt.huzldt.com</w:t>
      </w:r>
      <w:r>
        <w:rPr>
          <w:rFonts w:hint="eastAsia" w:ascii="微软雅黑" w:hAnsi="微软雅黑" w:eastAsia="微软雅黑" w:cs="微软雅黑"/>
          <w:sz w:val="24"/>
        </w:rPr>
        <w:t>）或“政采贷”平台网页（www.zcygov.cn）申请相关融资产品。具体操作方式可在“绿贷通”或“政采贷”平台网站查询，也可向“绿贷通”或“政采贷”平台电话咨询（“绿贷通”联系电话：0572-2392590、“政采贷”联系电话：0572-2151055、18698580797）。</w:t>
      </w:r>
    </w:p>
    <w:p>
      <w:pPr>
        <w:numPr>
          <w:ilvl w:val="0"/>
          <w:numId w:val="11"/>
        </w:numPr>
        <w:spacing w:line="360" w:lineRule="auto"/>
        <w:jc w:val="center"/>
        <w:outlineLvl w:val="1"/>
        <w:rPr>
          <w:rFonts w:ascii="微软雅黑" w:hAnsi="微软雅黑" w:eastAsia="微软雅黑" w:cs="微软雅黑"/>
          <w:b/>
          <w:sz w:val="32"/>
          <w:szCs w:val="32"/>
        </w:rPr>
      </w:pPr>
      <w:bookmarkStart w:id="59" w:name="_Toc36641146"/>
      <w:bookmarkStart w:id="60" w:name="_Toc36454322"/>
      <w:r>
        <w:rPr>
          <w:rFonts w:hint="eastAsia" w:ascii="微软雅黑" w:hAnsi="微软雅黑" w:eastAsia="微软雅黑" w:cs="微软雅黑"/>
          <w:b/>
          <w:sz w:val="32"/>
          <w:szCs w:val="32"/>
        </w:rPr>
        <w:t>质疑</w:t>
      </w:r>
      <w:bookmarkEnd w:id="59"/>
      <w:bookmarkEnd w:id="60"/>
    </w:p>
    <w:p>
      <w:pPr>
        <w:spacing w:line="380" w:lineRule="exact"/>
        <w:rPr>
          <w:rFonts w:ascii="微软雅黑" w:hAnsi="微软雅黑" w:eastAsia="微软雅黑" w:cs="微软雅黑"/>
          <w:b/>
          <w:sz w:val="24"/>
        </w:rPr>
      </w:pPr>
      <w:r>
        <w:rPr>
          <w:rFonts w:hint="eastAsia" w:ascii="微软雅黑" w:hAnsi="微软雅黑" w:eastAsia="微软雅黑" w:cs="微软雅黑"/>
          <w:b/>
          <w:sz w:val="24"/>
        </w:rPr>
        <w:t>38.质疑</w:t>
      </w:r>
    </w:p>
    <w:p>
      <w:pPr>
        <w:spacing w:line="380" w:lineRule="exact"/>
        <w:ind w:firstLine="499"/>
        <w:rPr>
          <w:rFonts w:ascii="微软雅黑" w:hAnsi="微软雅黑" w:eastAsia="微软雅黑" w:cs="微软雅黑"/>
          <w:sz w:val="24"/>
        </w:rPr>
      </w:pPr>
      <w:r>
        <w:rPr>
          <w:rFonts w:hint="eastAsia" w:ascii="微软雅黑" w:hAnsi="微软雅黑" w:eastAsia="微软雅黑" w:cs="微软雅黑"/>
          <w:sz w:val="24"/>
        </w:rPr>
        <w:t>38.1 供应商认为招标文件、采购过程、中标或者成交结果使自己的权益受到损害的，可以在知道或者应知其权益受到损害之日起7个工作日内，以书面形式向采购人或采购代理机构提出质疑。</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38.2对招标文件第二章招标需求的质疑由采购人接收并负责答复，其他质疑由采购代理机构接收并负责答复。</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38.3 供应商须在法定质疑期内一次性提出针对同一采购程序环节的质疑，否则采购人或采购代理机构有权拒绝第一次质疑以外其他所有质疑。</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38.4质疑人可以采取直接递交、传真或邮寄方式提交质疑函。以其他方式提出的质疑，采购人或采购代理机构将不予接受。</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以传真方式送达质疑函的，质疑人应当及时将质疑函原件送达采购人或采购代理机构。</w:t>
      </w:r>
    </w:p>
    <w:p>
      <w:pPr>
        <w:spacing w:line="380" w:lineRule="exact"/>
        <w:ind w:firstLine="500"/>
        <w:rPr>
          <w:rFonts w:ascii="微软雅黑" w:hAnsi="微软雅黑" w:eastAsia="微软雅黑" w:cs="微软雅黑"/>
          <w:sz w:val="24"/>
        </w:rPr>
      </w:pPr>
      <w:r>
        <w:rPr>
          <w:rFonts w:hint="eastAsia" w:ascii="微软雅黑" w:hAnsi="微软雅黑" w:eastAsia="微软雅黑" w:cs="微软雅黑"/>
          <w:sz w:val="24"/>
        </w:rPr>
        <w:t>38.5质疑函须采用财政部发布的政府采购供应商质疑函范本</w:t>
      </w:r>
      <w:r>
        <w:rPr>
          <w:rFonts w:hint="eastAsia" w:ascii="微软雅黑" w:hAnsi="微软雅黑" w:eastAsia="微软雅黑" w:cs="微软雅黑"/>
          <w:snapToGrid w:val="0"/>
          <w:sz w:val="24"/>
        </w:rPr>
        <w:t>（参考样式可从</w:t>
      </w:r>
      <w:r>
        <w:rPr>
          <w:rFonts w:hint="eastAsia" w:ascii="微软雅黑" w:hAnsi="微软雅黑" w:eastAsia="微软雅黑" w:cs="微软雅黑"/>
          <w:kern w:val="0"/>
          <w:sz w:val="24"/>
        </w:rPr>
        <w:t>“湖州市公共资源交易信息网-&gt;资料下载-&gt;采购资料下载”栏目下载）</w:t>
      </w:r>
      <w:r>
        <w:rPr>
          <w:rFonts w:hint="eastAsia" w:ascii="微软雅黑" w:hAnsi="微软雅黑" w:eastAsia="微软雅黑" w:cs="微软雅黑"/>
          <w:sz w:val="24"/>
        </w:rPr>
        <w:t>，否则采购人或采购代理机构有权要求质疑人修改正后重新提出。</w:t>
      </w:r>
    </w:p>
    <w:p>
      <w:pPr>
        <w:kinsoku w:val="0"/>
        <w:overflowPunct w:val="0"/>
        <w:spacing w:before="26" w:after="120"/>
        <w:ind w:right="102"/>
        <w:rPr>
          <w:rFonts w:ascii="微软雅黑" w:hAnsi="微软雅黑" w:eastAsia="微软雅黑" w:cs="微软雅黑"/>
          <w:sz w:val="24"/>
          <w:highlight w:val="yellow"/>
        </w:rPr>
      </w:pPr>
    </w:p>
    <w:p>
      <w:pPr>
        <w:numPr>
          <w:ilvl w:val="0"/>
          <w:numId w:val="11"/>
        </w:numPr>
        <w:spacing w:line="360" w:lineRule="auto"/>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履约验收</w:t>
      </w:r>
    </w:p>
    <w:p>
      <w:pPr>
        <w:adjustRightInd w:val="0"/>
        <w:snapToGrid w:val="0"/>
        <w:spacing w:line="360" w:lineRule="auto"/>
        <w:ind w:firstLine="420"/>
        <w:sectPr>
          <w:footerReference r:id="rId11" w:type="first"/>
          <w:headerReference r:id="rId7" w:type="default"/>
          <w:footerReference r:id="rId9" w:type="default"/>
          <w:headerReference r:id="rId8" w:type="even"/>
          <w:footerReference r:id="rId10" w:type="even"/>
          <w:pgSz w:w="11906" w:h="16838"/>
          <w:pgMar w:top="1440" w:right="1701" w:bottom="1440" w:left="1701" w:header="851" w:footer="992" w:gutter="0"/>
          <w:cols w:space="720" w:num="1"/>
          <w:titlePg/>
          <w:docGrid w:type="linesAndChars" w:linePitch="312" w:charSpace="0"/>
        </w:sectPr>
      </w:pPr>
      <w:r>
        <w:rPr>
          <w:rFonts w:hint="eastAsia" w:ascii="微软雅黑" w:hAnsi="微软雅黑" w:eastAsia="微软雅黑" w:cs="微软雅黑"/>
          <w:sz w:val="24"/>
        </w:rPr>
        <w:t>39.本项目采购人及其委托的采购代理机构将严格按照政府采购相关法律法规）的要求进行验收。</w:t>
      </w:r>
    </w:p>
    <w:p>
      <w:pPr>
        <w:numPr>
          <w:ilvl w:val="0"/>
          <w:numId w:val="10"/>
        </w:numPr>
        <w:spacing w:line="360"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招标需求</w:t>
      </w:r>
    </w:p>
    <w:p>
      <w:pPr>
        <w:spacing w:line="400" w:lineRule="exact"/>
        <w:rPr>
          <w:rFonts w:ascii="微软雅黑" w:hAnsi="微软雅黑" w:eastAsia="微软雅黑" w:cs="微软雅黑"/>
          <w:b/>
          <w:bCs/>
          <w:sz w:val="24"/>
        </w:rPr>
      </w:pPr>
      <w:bookmarkStart w:id="61" w:name="_Toc11931"/>
      <w:r>
        <w:rPr>
          <w:rFonts w:hint="eastAsia" w:ascii="微软雅黑" w:hAnsi="微软雅黑" w:eastAsia="微软雅黑" w:cs="微软雅黑"/>
          <w:b/>
          <w:bCs/>
          <w:sz w:val="24"/>
        </w:rPr>
        <w:t>一、项目概况</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1.1 项目名称：</w:t>
      </w:r>
      <w:r>
        <w:rPr>
          <w:rFonts w:hint="eastAsia" w:ascii="微软雅黑" w:hAnsi="微软雅黑" w:eastAsia="微软雅黑" w:cs="微软雅黑"/>
          <w:sz w:val="24"/>
          <w:lang w:eastAsia="zh-CN"/>
        </w:rPr>
        <w:t>湖州市南浔区住房和城乡建设局年度（2022-2025）绿化养护服务采购</w:t>
      </w:r>
      <w:r>
        <w:rPr>
          <w:rFonts w:hint="eastAsia" w:ascii="微软雅黑" w:hAnsi="微软雅黑" w:eastAsia="微软雅黑" w:cs="微软雅黑"/>
          <w:sz w:val="24"/>
        </w:rPr>
        <w:t>；</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1.2 项目业主：</w:t>
      </w:r>
      <w:r>
        <w:rPr>
          <w:rFonts w:hint="eastAsia" w:ascii="微软雅黑" w:hAnsi="微软雅黑" w:eastAsia="微软雅黑" w:cs="微软雅黑"/>
          <w:sz w:val="24"/>
          <w:lang w:eastAsia="zh-CN"/>
        </w:rPr>
        <w:t xml:space="preserve">南浔区住房和城乡建设局 </w:t>
      </w:r>
      <w:r>
        <w:rPr>
          <w:rFonts w:hint="eastAsia" w:ascii="微软雅黑" w:hAnsi="微软雅黑" w:eastAsia="微软雅黑" w:cs="微软雅黑"/>
          <w:sz w:val="24"/>
        </w:rPr>
        <w:t>；</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1.3 实施范围：南浔中心城区向阳西路、南浔大道、联谊西路、新安路等城市公共绿地；</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1.4 项目规模及内容：</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1.4.1预算金额：630万元【210万元/年】</w:t>
      </w:r>
    </w:p>
    <w:p>
      <w:pPr>
        <w:spacing w:line="400" w:lineRule="exact"/>
      </w:pPr>
      <w:r>
        <w:rPr>
          <w:rFonts w:hint="eastAsia" w:ascii="微软雅黑" w:hAnsi="微软雅黑" w:eastAsia="微软雅黑" w:cs="微软雅黑"/>
          <w:sz w:val="24"/>
        </w:rPr>
        <w:t>1.4.2最高限价：630万元【210万元/年】</w:t>
      </w:r>
    </w:p>
    <w:p>
      <w:pPr>
        <w:spacing w:line="400" w:lineRule="exact"/>
        <w:rPr>
          <w:rFonts w:ascii="微软雅黑" w:hAnsi="微软雅黑" w:eastAsia="微软雅黑" w:cs="微软雅黑"/>
          <w:sz w:val="24"/>
        </w:rPr>
      </w:pPr>
      <w:r>
        <w:rPr>
          <w:rFonts w:hint="eastAsia" w:ascii="微软雅黑" w:hAnsi="微软雅黑" w:eastAsia="微软雅黑" w:cs="微软雅黑"/>
          <w:b/>
          <w:bCs/>
          <w:sz w:val="24"/>
        </w:rPr>
        <w:t>1.5服务内容：</w:t>
      </w:r>
      <w:r>
        <w:rPr>
          <w:rFonts w:hint="eastAsia" w:ascii="微软雅黑" w:hAnsi="微软雅黑" w:eastAsia="微软雅黑" w:cs="微软雅黑"/>
          <w:sz w:val="24"/>
        </w:rPr>
        <w:t>南浔中心城区向阳西路、南浔大道、联谊西路、新安路等城市公共绿地，主要内容为公共绿地日常养护管理与保洁、草花种植与养护、应急整治任务等，绿化总面积</w:t>
      </w:r>
      <w:r>
        <w:rPr>
          <w:rFonts w:hint="eastAsia" w:ascii="微软雅黑" w:hAnsi="微软雅黑" w:eastAsia="微软雅黑" w:cs="微软雅黑"/>
          <w:sz w:val="24"/>
          <w:lang w:val="en-US" w:eastAsia="zh-CN"/>
        </w:rPr>
        <w:t>183873</w:t>
      </w:r>
      <w:r>
        <w:rPr>
          <w:rFonts w:hint="eastAsia" w:ascii="微软雅黑" w:hAnsi="微软雅黑" w:eastAsia="微软雅黑" w:cs="微软雅黑"/>
          <w:sz w:val="24"/>
        </w:rPr>
        <w:t>平方米，行道树总计1113株，四季草花种植养护总面积</w:t>
      </w:r>
      <w:r>
        <w:rPr>
          <w:rFonts w:hint="eastAsia" w:ascii="微软雅黑" w:hAnsi="微软雅黑" w:eastAsia="微软雅黑" w:cs="微软雅黑"/>
          <w:sz w:val="24"/>
          <w:lang w:val="en-US" w:eastAsia="zh-CN"/>
        </w:rPr>
        <w:t>2013</w:t>
      </w:r>
      <w:r>
        <w:rPr>
          <w:rFonts w:hint="eastAsia" w:ascii="微软雅黑" w:hAnsi="微软雅黑" w:eastAsia="微软雅黑" w:cs="微软雅黑"/>
          <w:sz w:val="24"/>
        </w:rPr>
        <w:t>平方米。</w:t>
      </w:r>
    </w:p>
    <w:p>
      <w:pPr>
        <w:spacing w:line="400" w:lineRule="exact"/>
        <w:rPr>
          <w:rFonts w:ascii="微软雅黑" w:hAnsi="微软雅黑" w:eastAsia="微软雅黑" w:cs="微软雅黑"/>
          <w:sz w:val="24"/>
        </w:rPr>
      </w:pPr>
      <w:r>
        <w:rPr>
          <w:rFonts w:hint="eastAsia" w:ascii="微软雅黑" w:hAnsi="微软雅黑" w:eastAsia="微软雅黑" w:cs="微软雅黑"/>
          <w:b/>
          <w:bCs/>
          <w:sz w:val="24"/>
        </w:rPr>
        <w:t>1.6项目服务期：</w:t>
      </w:r>
      <w:r>
        <w:rPr>
          <w:rFonts w:hint="eastAsia" w:ascii="微软雅黑" w:hAnsi="微软雅黑" w:eastAsia="微软雅黑" w:cs="微软雅黑"/>
          <w:sz w:val="24"/>
        </w:rPr>
        <w:t>项目服务期限为3年，服务期限从合同签订生效之日起开始计算。相关要求及考核未达到采购人要求，采购人将有权终止与中标人本项目合同并没收中标人履约保证金。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b w:val="0"/>
          <w:bCs/>
          <w:color w:val="C00000"/>
          <w:sz w:val="24"/>
        </w:rPr>
      </w:pPr>
      <w:r>
        <w:rPr>
          <w:rFonts w:hint="eastAsia" w:ascii="微软雅黑" w:hAnsi="微软雅黑" w:eastAsia="微软雅黑" w:cs="微软雅黑"/>
          <w:b/>
          <w:bCs/>
          <w:sz w:val="24"/>
        </w:rPr>
        <w:t>1.7 特别说明：</w:t>
      </w:r>
      <w:r>
        <w:rPr>
          <w:rFonts w:hint="eastAsia" w:ascii="微软雅黑" w:hAnsi="微软雅黑" w:eastAsia="微软雅黑" w:cs="微软雅黑"/>
          <w:sz w:val="24"/>
        </w:rPr>
        <w:t>本项目属于预留份额专门面向中小企业采购的采购项目。【预留份额通过以下措施实施：预留采购项目预算总额的40%专门面向小微企业采购。大中型企业向小微企业合理分包，分包意向协议中须明确采购项目总额的40%以上专门面向小微企业采购。接受分包合同的小微企业与分包企业之间不得存在直接控股、管理关系。若供应商提供所有标的均由小微企业制造、承建或承接，则视同符合本条资格条件，无需再进行分包。】</w:t>
      </w:r>
    </w:p>
    <w:p>
      <w:pPr>
        <w:pStyle w:val="2"/>
        <w:ind w:firstLine="480" w:firstLineChars="200"/>
        <w:rPr>
          <w:rFonts w:eastAsia="微软雅黑"/>
          <w:b/>
          <w:bCs/>
        </w:rPr>
      </w:pPr>
      <w:r>
        <w:rPr>
          <w:rFonts w:hint="eastAsia" w:ascii="微软雅黑" w:hAnsi="微软雅黑" w:eastAsia="微软雅黑" w:cs="微软雅黑"/>
          <w:b/>
          <w:bCs/>
          <w:sz w:val="24"/>
        </w:rPr>
        <w:t>本项目所属行业按《关于印发中小企业划型标准规定的通知》[工信部联企业[2011]300号]执行。</w:t>
      </w:r>
      <w:r>
        <w:rPr>
          <w:rFonts w:hint="eastAsia" w:ascii="微软雅黑" w:hAnsi="微软雅黑" w:eastAsia="微软雅黑" w:cs="微软雅黑"/>
          <w:b/>
          <w:bCs/>
          <w:sz w:val="24"/>
          <w:lang w:eastAsia="zh-CN"/>
        </w:rPr>
        <w:t>本项目</w:t>
      </w:r>
      <w:r>
        <w:rPr>
          <w:rFonts w:hint="eastAsia" w:ascii="微软雅黑" w:hAnsi="微软雅黑" w:eastAsia="微软雅黑" w:cs="微软雅黑"/>
          <w:b/>
          <w:bCs/>
          <w:sz w:val="24"/>
        </w:rPr>
        <w:t>采购标的对应的中小企业划分标准所属行业为建筑业。</w:t>
      </w:r>
    </w:p>
    <w:p>
      <w:pPr>
        <w:numPr>
          <w:ilvl w:val="0"/>
          <w:numId w:val="14"/>
        </w:numPr>
        <w:spacing w:line="400" w:lineRule="exact"/>
        <w:jc w:val="left"/>
        <w:outlineLvl w:val="0"/>
        <w:rPr>
          <w:rFonts w:ascii="微软雅黑" w:hAnsi="微软雅黑" w:eastAsia="微软雅黑" w:cs="微软雅黑"/>
          <w:b/>
          <w:bCs/>
          <w:kern w:val="0"/>
          <w:sz w:val="24"/>
        </w:rPr>
      </w:pPr>
      <w:r>
        <w:rPr>
          <w:rFonts w:hint="eastAsia" w:ascii="微软雅黑" w:hAnsi="微软雅黑" w:eastAsia="微软雅黑" w:cs="微软雅黑"/>
          <w:b/>
          <w:bCs/>
          <w:kern w:val="0"/>
          <w:sz w:val="24"/>
        </w:rPr>
        <w:t>委托管理服务事项</w:t>
      </w:r>
    </w:p>
    <w:p>
      <w:pPr>
        <w:numPr>
          <w:ilvl w:val="0"/>
          <w:numId w:val="15"/>
        </w:num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绿化养护服务内容及服务量</w:t>
      </w:r>
    </w:p>
    <w:p>
      <w:pPr>
        <w:keepNext w:val="0"/>
        <w:keepLines w:val="0"/>
        <w:widowControl/>
        <w:suppressLineNumbers w:val="0"/>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绿化总面积约</w:t>
      </w:r>
      <w:r>
        <w:rPr>
          <w:rFonts w:hint="eastAsia" w:ascii="微软雅黑" w:hAnsi="微软雅黑" w:eastAsia="微软雅黑" w:cs="微软雅黑"/>
          <w:sz w:val="24"/>
          <w:lang w:val="en-US" w:eastAsia="zh-CN"/>
        </w:rPr>
        <w:t>183873</w:t>
      </w:r>
      <w:r>
        <w:rPr>
          <w:rFonts w:hint="eastAsia" w:ascii="微软雅黑" w:hAnsi="微软雅黑" w:eastAsia="微软雅黑" w:cs="微软雅黑"/>
          <w:sz w:val="24"/>
        </w:rPr>
        <w:t>平方米，主要内容为公共绿地日常养护管理与保洁，投标报价按服务内容及服务量基数为准。实际结算中，具体以采购人实际移交为准。</w:t>
      </w:r>
      <w:r>
        <w:rPr>
          <w:rFonts w:hint="eastAsia" w:ascii="微软雅黑" w:hAnsi="微软雅黑" w:eastAsia="微软雅黑" w:cs="微软雅黑"/>
          <w:sz w:val="24"/>
          <w:lang w:val="en-US" w:eastAsia="zh-CN"/>
        </w:rPr>
        <w:t>上述工作按照相关标准及采购人要求执行。</w:t>
      </w:r>
    </w:p>
    <w:p>
      <w:pPr>
        <w:numPr>
          <w:ilvl w:val="0"/>
          <w:numId w:val="15"/>
        </w:num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草花种植及养护服务内容及服务量</w:t>
      </w:r>
    </w:p>
    <w:p>
      <w:pPr>
        <w:spacing w:after="120"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四季草花种植养护总面积</w:t>
      </w:r>
      <w:r>
        <w:rPr>
          <w:rFonts w:hint="eastAsia" w:ascii="微软雅黑" w:hAnsi="微软雅黑" w:eastAsia="微软雅黑" w:cs="微软雅黑"/>
          <w:sz w:val="24"/>
          <w:lang w:eastAsia="zh-CN"/>
        </w:rPr>
        <w:t>约</w:t>
      </w:r>
      <w:r>
        <w:rPr>
          <w:rFonts w:hint="eastAsia" w:ascii="微软雅黑" w:hAnsi="微软雅黑" w:eastAsia="微软雅黑" w:cs="微软雅黑"/>
          <w:sz w:val="24"/>
          <w:lang w:val="en-US" w:eastAsia="zh-CN"/>
        </w:rPr>
        <w:t>2013</w:t>
      </w:r>
      <w:r>
        <w:rPr>
          <w:rFonts w:hint="eastAsia" w:ascii="微软雅黑" w:hAnsi="微软雅黑" w:eastAsia="微软雅黑" w:cs="微软雅黑"/>
          <w:sz w:val="24"/>
        </w:rPr>
        <w:t>平方米，主要内容为草花种植、更换、清理、养护，花镜摆放等，具体栽植养护地点由采购单位指定。花卉布置及养护明细详见草花种植养护服务明细表。面积为暂估数，最终按实结算。</w:t>
      </w:r>
    </w:p>
    <w:p>
      <w:pPr>
        <w:numPr>
          <w:ilvl w:val="0"/>
          <w:numId w:val="15"/>
        </w:num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应急整治任务服务内容</w:t>
      </w:r>
    </w:p>
    <w:p>
      <w:pPr>
        <w:pStyle w:val="2"/>
        <w:ind w:firstLine="240"/>
        <w:rPr>
          <w:rFonts w:hint="eastAsia" w:ascii="微软雅黑" w:hAnsi="微软雅黑" w:eastAsia="微软雅黑" w:cs="微软雅黑"/>
          <w:sz w:val="24"/>
          <w:szCs w:val="24"/>
        </w:rPr>
      </w:pPr>
      <w:r>
        <w:rPr>
          <w:rFonts w:hint="eastAsia" w:ascii="微软雅黑" w:hAnsi="微软雅黑" w:eastAsia="微软雅黑" w:cs="微软雅黑"/>
          <w:sz w:val="24"/>
          <w:szCs w:val="24"/>
        </w:rPr>
        <w:t>绿化养护面积调整、局部绿地补植提升、临时的花卉布置等提升、启动重大抗灾应急预案时所发生的额外追加费用等。该项内容不纳入报价竞争范围，按实结算。</w:t>
      </w:r>
    </w:p>
    <w:p>
      <w:pPr>
        <w:numPr>
          <w:ilvl w:val="0"/>
          <w:numId w:val="15"/>
        </w:numPr>
        <w:spacing w:line="400" w:lineRule="exact"/>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日常养护工程量及报价清单组成详见下表：</w:t>
      </w:r>
    </w:p>
    <w:tbl>
      <w:tblPr>
        <w:tblStyle w:val="19"/>
        <w:tblW w:w="9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4"/>
        <w:gridCol w:w="3910"/>
        <w:gridCol w:w="1848"/>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服务内容</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单价最高限价</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面积/数量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绿地养护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Ⅰ级绿化养护质量标准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6.2元/㎡/年</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116064平方米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Ⅱ</w:t>
            </w:r>
            <w:r>
              <w:rPr>
                <w:rStyle w:val="31"/>
                <w:rFonts w:hint="eastAsia" w:ascii="微软雅黑" w:hAnsi="微软雅黑" w:eastAsia="微软雅黑" w:cs="微软雅黑"/>
                <w:lang w:val="en-US" w:eastAsia="zh-CN" w:bidi="ar"/>
              </w:rPr>
              <w:t>级绿化养护质量标准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5元/㎡/年</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67809平方米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行道树（</w:t>
            </w:r>
            <w:r>
              <w:rPr>
                <w:rFonts w:hint="eastAsia" w:ascii="微软雅黑" w:hAnsi="微软雅黑" w:eastAsia="微软雅黑" w:cs="微软雅黑"/>
                <w:sz w:val="24"/>
                <w:szCs w:val="24"/>
              </w:rPr>
              <w:t>不纳入报价竞争范围，按实结算</w:t>
            </w:r>
            <w:r>
              <w:rPr>
                <w:rFonts w:hint="eastAsia" w:ascii="微软雅黑" w:hAnsi="微软雅黑" w:eastAsia="微软雅黑" w:cs="微软雅黑"/>
                <w:b/>
                <w:bCs/>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60元/棵/年</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1113棵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b/>
                <w:bCs/>
                <w:sz w:val="24"/>
              </w:rPr>
              <w:t>草花种植及养护服务</w:t>
            </w:r>
          </w:p>
        </w:tc>
        <w:tc>
          <w:tcPr>
            <w:tcW w:w="3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774578元/年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注：本项目养护面积按实结算。中标供应商如对绿地面积、行道树数量等有异议的，可以在中标后 1 个月内向采购人提出复核，以采购人最终认定数据为准。上述工作按照相关标准及采购人要求执行。</w:t>
            </w:r>
          </w:p>
        </w:tc>
      </w:tr>
    </w:tbl>
    <w:p>
      <w:pPr>
        <w:pStyle w:val="4"/>
        <w:ind w:left="0" w:leftChars="0" w:firstLine="0" w:firstLineChars="0"/>
      </w:pPr>
    </w:p>
    <w:p>
      <w:pPr>
        <w:numPr>
          <w:ilvl w:val="0"/>
          <w:numId w:val="15"/>
        </w:num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人员配置</w:t>
      </w:r>
    </w:p>
    <w:p>
      <w:pPr>
        <w:pStyle w:val="2"/>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以下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 </w:t>
      </w:r>
    </w:p>
    <w:tbl>
      <w:tblPr>
        <w:tblStyle w:val="19"/>
        <w:tblW w:w="961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71"/>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6" w:type="dxa"/>
            <w:vAlign w:val="center"/>
          </w:tcPr>
          <w:p>
            <w:pPr>
              <w:widowControl/>
              <w:spacing w:line="40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序号</w:t>
            </w:r>
          </w:p>
        </w:tc>
        <w:tc>
          <w:tcPr>
            <w:tcW w:w="2171" w:type="dxa"/>
            <w:vAlign w:val="center"/>
          </w:tcPr>
          <w:p>
            <w:pPr>
              <w:widowControl/>
              <w:spacing w:line="40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工种</w:t>
            </w:r>
          </w:p>
        </w:tc>
        <w:tc>
          <w:tcPr>
            <w:tcW w:w="6705" w:type="dxa"/>
            <w:vAlign w:val="center"/>
          </w:tcPr>
          <w:p>
            <w:pPr>
              <w:widowControl/>
              <w:spacing w:line="40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36" w:type="dxa"/>
            <w:vAlign w:val="center"/>
          </w:tcPr>
          <w:p>
            <w:pPr>
              <w:widowControl/>
              <w:spacing w:line="40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2171" w:type="dxa"/>
            <w:vAlign w:val="center"/>
          </w:tcPr>
          <w:p>
            <w:pPr>
              <w:widowControl/>
              <w:spacing w:line="40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项目负责人</w:t>
            </w:r>
          </w:p>
        </w:tc>
        <w:tc>
          <w:tcPr>
            <w:tcW w:w="6705" w:type="dxa"/>
            <w:vAlign w:val="center"/>
          </w:tcPr>
          <w:p>
            <w:pPr>
              <w:widowControl/>
              <w:spacing w:line="40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不得少于1人。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widowControl/>
              <w:spacing w:line="40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w:t>
            </w:r>
          </w:p>
        </w:tc>
        <w:tc>
          <w:tcPr>
            <w:tcW w:w="2171" w:type="dxa"/>
            <w:vAlign w:val="center"/>
          </w:tcPr>
          <w:p>
            <w:pPr>
              <w:widowControl/>
              <w:spacing w:line="40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项目技术负责人</w:t>
            </w:r>
          </w:p>
        </w:tc>
        <w:tc>
          <w:tcPr>
            <w:tcW w:w="6705" w:type="dxa"/>
            <w:vAlign w:val="center"/>
          </w:tcPr>
          <w:p>
            <w:pPr>
              <w:autoSpaceDE w:val="0"/>
              <w:autoSpaceDN w:val="0"/>
              <w:spacing w:line="400" w:lineRule="exact"/>
              <w:rPr>
                <w:rFonts w:ascii="微软雅黑" w:hAnsi="微软雅黑" w:eastAsia="微软雅黑" w:cs="微软雅黑"/>
                <w:kern w:val="0"/>
                <w:sz w:val="24"/>
              </w:rPr>
            </w:pPr>
            <w:r>
              <w:rPr>
                <w:rFonts w:hint="eastAsia" w:ascii="微软雅黑" w:hAnsi="微软雅黑" w:eastAsia="微软雅黑" w:cs="微软雅黑"/>
                <w:kern w:val="0"/>
                <w:sz w:val="24"/>
              </w:rPr>
              <w:t>不得少于2人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6" w:type="dxa"/>
            <w:vAlign w:val="center"/>
          </w:tcPr>
          <w:p>
            <w:pPr>
              <w:widowControl/>
              <w:spacing w:line="40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3</w:t>
            </w:r>
          </w:p>
        </w:tc>
        <w:tc>
          <w:tcPr>
            <w:tcW w:w="2171" w:type="dxa"/>
            <w:vAlign w:val="center"/>
          </w:tcPr>
          <w:p>
            <w:pPr>
              <w:widowControl/>
              <w:spacing w:line="40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作业人员</w:t>
            </w:r>
          </w:p>
        </w:tc>
        <w:tc>
          <w:tcPr>
            <w:tcW w:w="6705" w:type="dxa"/>
            <w:vAlign w:val="center"/>
          </w:tcPr>
          <w:p>
            <w:pPr>
              <w:pStyle w:val="10"/>
              <w:spacing w:line="360" w:lineRule="auto"/>
              <w:ind w:firstLine="0"/>
              <w:rPr>
                <w:rFonts w:ascii="微软雅黑" w:hAnsi="微软雅黑" w:eastAsia="微软雅黑" w:cs="微软雅黑"/>
                <w:sz w:val="24"/>
              </w:rPr>
            </w:pPr>
            <w:r>
              <w:rPr>
                <w:rFonts w:hint="eastAsia" w:ascii="微软雅黑" w:hAnsi="微软雅黑" w:eastAsia="微软雅黑" w:cs="微软雅黑"/>
                <w:sz w:val="24"/>
                <w:szCs w:val="24"/>
              </w:rPr>
              <w:t>每12000平方米现场养护工不少于1人，每30000平方米现场日常保洁人数不少于1人，依此作为全年养护用工标准</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中标单位</w:t>
            </w:r>
            <w:r>
              <w:rPr>
                <w:rFonts w:hint="eastAsia" w:ascii="微软雅黑" w:hAnsi="微软雅黑" w:eastAsia="微软雅黑" w:cs="微软雅黑"/>
                <w:color w:val="auto"/>
                <w:sz w:val="24"/>
                <w:szCs w:val="24"/>
              </w:rPr>
              <w:t>必须根据养护季节及实际需要合理安排、调配养护用</w:t>
            </w:r>
            <w:r>
              <w:rPr>
                <w:rFonts w:hint="eastAsia" w:ascii="微软雅黑" w:hAnsi="微软雅黑" w:eastAsia="微软雅黑" w:cs="微软雅黑"/>
                <w:sz w:val="24"/>
                <w:szCs w:val="24"/>
              </w:rPr>
              <w:t>工，在绿化生长旺季必须增加养护人员，确保修剪、除草、浇水等工作有序、到位。</w:t>
            </w:r>
          </w:p>
        </w:tc>
      </w:tr>
    </w:tbl>
    <w:p>
      <w:pPr>
        <w:spacing w:line="400" w:lineRule="exact"/>
        <w:ind w:left="560"/>
        <w:rPr>
          <w:rFonts w:ascii="微软雅黑" w:hAnsi="微软雅黑" w:eastAsia="微软雅黑" w:cs="微软雅黑"/>
          <w:sz w:val="24"/>
        </w:rPr>
      </w:pPr>
      <w:r>
        <w:rPr>
          <w:rFonts w:hint="eastAsia" w:ascii="微软雅黑" w:hAnsi="微软雅黑" w:eastAsia="微软雅黑" w:cs="微软雅黑"/>
          <w:sz w:val="24"/>
        </w:rPr>
        <w:t>注：中标单位应严格执行各项国家有关规定，有关技术人员必须持证上岗，专人专职负责安全。工作人员统一着装，佩戴工作证，标志明显，管理方式应文明、礼貌（相关工作服及设施设配要符合行业规定）。</w:t>
      </w:r>
    </w:p>
    <w:p>
      <w:pPr>
        <w:numPr>
          <w:ilvl w:val="0"/>
          <w:numId w:val="15"/>
        </w:numPr>
        <w:spacing w:line="400" w:lineRule="exact"/>
        <w:rPr>
          <w:rFonts w:ascii="微软雅黑" w:hAnsi="微软雅黑" w:eastAsia="微软雅黑" w:cs="微软雅黑"/>
          <w:b/>
          <w:bCs/>
          <w:sz w:val="24"/>
        </w:rPr>
      </w:pPr>
      <w:r>
        <w:rPr>
          <w:rFonts w:hint="eastAsia" w:ascii="微软雅黑" w:hAnsi="微软雅黑" w:eastAsia="微软雅黑" w:cs="微软雅黑"/>
          <w:b/>
          <w:bCs/>
          <w:sz w:val="24"/>
        </w:rPr>
        <w:t>车辆、设备配置</w:t>
      </w:r>
    </w:p>
    <w:tbl>
      <w:tblPr>
        <w:tblStyle w:val="19"/>
        <w:tblW w:w="96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00"/>
        <w:gridCol w:w="2083"/>
        <w:gridCol w:w="338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675" w:type="dxa"/>
            <w:noWrap/>
            <w:vAlign w:val="center"/>
          </w:tcPr>
          <w:p>
            <w:pPr>
              <w:spacing w:line="400" w:lineRule="exact"/>
              <w:ind w:left="-540" w:leftChars="-193"/>
              <w:jc w:val="right"/>
              <w:rPr>
                <w:rFonts w:ascii="微软雅黑" w:hAnsi="微软雅黑" w:eastAsia="微软雅黑" w:cs="微软雅黑"/>
                <w:bCs/>
                <w:sz w:val="24"/>
              </w:rPr>
            </w:pPr>
            <w:r>
              <w:rPr>
                <w:rFonts w:hint="eastAsia" w:ascii="微软雅黑" w:hAnsi="微软雅黑" w:eastAsia="微软雅黑" w:cs="微软雅黑"/>
                <w:bCs/>
                <w:sz w:val="24"/>
              </w:rPr>
              <w:t>序号</w:t>
            </w:r>
          </w:p>
        </w:tc>
        <w:tc>
          <w:tcPr>
            <w:tcW w:w="2300"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名称</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数量</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规格要求</w:t>
            </w:r>
          </w:p>
        </w:tc>
        <w:tc>
          <w:tcPr>
            <w:tcW w:w="1170"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noWrap/>
            <w:vAlign w:val="center"/>
          </w:tcPr>
          <w:p>
            <w:pPr>
              <w:spacing w:line="400" w:lineRule="exact"/>
              <w:ind w:left="-540" w:leftChars="-193"/>
              <w:jc w:val="center"/>
              <w:rPr>
                <w:rFonts w:ascii="微软雅黑" w:hAnsi="微软雅黑" w:eastAsia="微软雅黑" w:cs="微软雅黑"/>
                <w:bCs/>
                <w:sz w:val="24"/>
              </w:rPr>
            </w:pPr>
            <w:r>
              <w:rPr>
                <w:rFonts w:hint="eastAsia" w:ascii="微软雅黑" w:hAnsi="微软雅黑" w:eastAsia="微软雅黑" w:cs="微软雅黑"/>
                <w:bCs/>
                <w:sz w:val="24"/>
              </w:rPr>
              <w:t xml:space="preserve">  1</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洒水车</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1辆</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核定载质量≥</w:t>
            </w:r>
            <w:r>
              <w:rPr>
                <w:rFonts w:hint="eastAsia" w:ascii="微软雅黑" w:hAnsi="微软雅黑" w:eastAsia="微软雅黑" w:cs="微软雅黑"/>
                <w:bCs/>
                <w:sz w:val="24"/>
                <w:lang w:val="en-US" w:eastAsia="zh-CN"/>
              </w:rPr>
              <w:t>8</w:t>
            </w:r>
            <w:r>
              <w:rPr>
                <w:rFonts w:hint="eastAsia" w:ascii="微软雅黑" w:hAnsi="微软雅黑" w:eastAsia="微软雅黑" w:cs="微软雅黑"/>
                <w:bCs/>
                <w:sz w:val="24"/>
              </w:rPr>
              <w:t>吨</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675" w:type="dxa"/>
            <w:noWrap/>
            <w:vAlign w:val="center"/>
          </w:tcPr>
          <w:p>
            <w:pPr>
              <w:tabs>
                <w:tab w:val="center" w:pos="377"/>
              </w:tabs>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2</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登高车</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1辆</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最大作业高度≥8米</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3</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运输车</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1辆</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核定载质量≥</w:t>
            </w:r>
            <w:r>
              <w:rPr>
                <w:rFonts w:hint="eastAsia" w:ascii="微软雅黑" w:hAnsi="微软雅黑" w:eastAsia="微软雅黑" w:cs="微软雅黑"/>
                <w:bCs/>
                <w:sz w:val="24"/>
                <w:lang w:val="en-US" w:eastAsia="zh-CN"/>
              </w:rPr>
              <w:t>400</w:t>
            </w:r>
            <w:r>
              <w:rPr>
                <w:rFonts w:hint="eastAsia" w:ascii="微软雅黑" w:hAnsi="微软雅黑" w:eastAsia="微软雅黑" w:cs="微软雅黑"/>
                <w:bCs/>
                <w:sz w:val="24"/>
              </w:rPr>
              <w:t>KG</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4</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水泵</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4台</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5</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绿篱机</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3台</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6</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草坪机</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3台</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7</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割灌机</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2台</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8</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打药机</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2台</w:t>
            </w:r>
          </w:p>
        </w:tc>
        <w:tc>
          <w:tcPr>
            <w:tcW w:w="3387"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w:t>
            </w:r>
          </w:p>
        </w:tc>
        <w:tc>
          <w:tcPr>
            <w:tcW w:w="1170" w:type="dxa"/>
            <w:noWrap/>
            <w:vAlign w:val="center"/>
          </w:tcPr>
          <w:p>
            <w:pPr>
              <w:spacing w:line="400" w:lineRule="exact"/>
              <w:jc w:val="center"/>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675"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9</w:t>
            </w:r>
          </w:p>
        </w:tc>
        <w:tc>
          <w:tcPr>
            <w:tcW w:w="2300" w:type="dxa"/>
            <w:noWrap/>
          </w:tcPr>
          <w:p>
            <w:pPr>
              <w:widowControl/>
              <w:autoSpaceDE w:val="0"/>
              <w:autoSpaceDN w:val="0"/>
              <w:adjustRightInd w:val="0"/>
              <w:spacing w:line="440" w:lineRule="exact"/>
              <w:jc w:val="center"/>
              <w:textAlignment w:val="bottom"/>
              <w:rPr>
                <w:rFonts w:ascii="微软雅黑" w:hAnsi="微软雅黑" w:eastAsia="微软雅黑" w:cs="微软雅黑"/>
                <w:bCs/>
                <w:sz w:val="24"/>
              </w:rPr>
            </w:pPr>
            <w:r>
              <w:rPr>
                <w:rFonts w:hint="eastAsia" w:ascii="微软雅黑" w:hAnsi="微软雅黑" w:eastAsia="微软雅黑" w:cs="微软雅黑"/>
                <w:bCs/>
                <w:sz w:val="24"/>
              </w:rPr>
              <w:t>巡查车（5座）</w:t>
            </w:r>
          </w:p>
        </w:tc>
        <w:tc>
          <w:tcPr>
            <w:tcW w:w="2083" w:type="dxa"/>
            <w:noWrap/>
            <w:vAlign w:val="center"/>
          </w:tcPr>
          <w:p>
            <w:pPr>
              <w:spacing w:line="400" w:lineRule="exact"/>
              <w:jc w:val="center"/>
              <w:rPr>
                <w:rFonts w:ascii="微软雅黑" w:hAnsi="微软雅黑" w:eastAsia="微软雅黑" w:cs="微软雅黑"/>
                <w:bCs/>
                <w:sz w:val="24"/>
              </w:rPr>
            </w:pPr>
            <w:r>
              <w:rPr>
                <w:rFonts w:hint="eastAsia" w:ascii="微软雅黑" w:hAnsi="微软雅黑" w:eastAsia="微软雅黑" w:cs="微软雅黑"/>
                <w:bCs/>
                <w:sz w:val="24"/>
              </w:rPr>
              <w:t>1辆</w:t>
            </w:r>
          </w:p>
        </w:tc>
        <w:tc>
          <w:tcPr>
            <w:tcW w:w="3387" w:type="dxa"/>
            <w:noWrap/>
            <w:vAlign w:val="center"/>
          </w:tcPr>
          <w:p>
            <w:pPr>
              <w:spacing w:line="400" w:lineRule="exact"/>
              <w:rPr>
                <w:rFonts w:ascii="微软雅黑" w:hAnsi="微软雅黑" w:eastAsia="微软雅黑" w:cs="微软雅黑"/>
                <w:bCs/>
                <w:sz w:val="24"/>
              </w:rPr>
            </w:pPr>
            <w:r>
              <w:rPr>
                <w:rFonts w:hint="eastAsia" w:ascii="微软雅黑" w:hAnsi="微软雅黑" w:eastAsia="微软雅黑" w:cs="微软雅黑"/>
                <w:bCs/>
                <w:sz w:val="24"/>
              </w:rPr>
              <w:t>机动车辆排放达到国五标准。</w:t>
            </w:r>
          </w:p>
        </w:tc>
        <w:tc>
          <w:tcPr>
            <w:tcW w:w="1170" w:type="dxa"/>
            <w:noWrap/>
            <w:vAlign w:val="center"/>
          </w:tcPr>
          <w:p>
            <w:pPr>
              <w:spacing w:line="400" w:lineRule="exact"/>
              <w:jc w:val="center"/>
              <w:rPr>
                <w:rFonts w:ascii="微软雅黑" w:hAnsi="微软雅黑" w:eastAsia="微软雅黑" w:cs="微软雅黑"/>
                <w:bCs/>
                <w:sz w:val="24"/>
              </w:rPr>
            </w:pPr>
          </w:p>
        </w:tc>
      </w:tr>
    </w:tbl>
    <w:p>
      <w:pPr>
        <w:spacing w:line="400" w:lineRule="exact"/>
        <w:rPr>
          <w:rFonts w:ascii="微软雅黑" w:hAnsi="微软雅黑" w:eastAsia="微软雅黑" w:cs="微软雅黑"/>
          <w:spacing w:val="-3"/>
          <w:kern w:val="0"/>
          <w:sz w:val="24"/>
          <w:lang w:val="zh-CN" w:eastAsia="zh-TW" w:bidi="zh-CN"/>
        </w:rPr>
      </w:pPr>
      <w:r>
        <w:rPr>
          <w:rFonts w:hint="eastAsia" w:ascii="微软雅黑" w:hAnsi="微软雅黑" w:eastAsia="微软雅黑" w:cs="微软雅黑"/>
          <w:kern w:val="0"/>
          <w:sz w:val="24"/>
        </w:rPr>
        <w:t>注：1、</w:t>
      </w:r>
      <w:r>
        <w:rPr>
          <w:rFonts w:hint="eastAsia" w:ascii="微软雅黑" w:hAnsi="微软雅黑" w:eastAsia="微软雅黑" w:cs="微软雅黑"/>
          <w:sz w:val="24"/>
        </w:rPr>
        <w:t>本项目作业除表中所必须的机械外，人工及工具材料（锄头、铁耙、修枝剪、油锯、支撑桩、吸叶机、铅丝、皮管、警示桩等）中标单位必须满足日常需要。</w:t>
      </w:r>
    </w:p>
    <w:p>
      <w:pPr>
        <w:numPr>
          <w:ilvl w:val="0"/>
          <w:numId w:val="16"/>
        </w:numPr>
        <w:kinsoku w:val="0"/>
        <w:overflowPunct w:val="0"/>
        <w:spacing w:before="84" w:line="307" w:lineRule="auto"/>
        <w:ind w:right="146" w:firstLine="468" w:firstLineChars="200"/>
      </w:pPr>
      <w:r>
        <w:rPr>
          <w:rFonts w:hint="eastAsia" w:ascii="微软雅黑" w:hAnsi="微软雅黑" w:eastAsia="微软雅黑" w:cs="微软雅黑"/>
          <w:spacing w:val="-3"/>
          <w:kern w:val="0"/>
          <w:sz w:val="24"/>
          <w:lang w:bidi="zh-CN"/>
        </w:rPr>
        <w:t>中标后投标人实际投入本项目使用车辆若涉及更换的，须经采购人书面同意，实际使用车辆必须不低于投标时响应车辆的条件与配置。</w:t>
      </w:r>
    </w:p>
    <w:p>
      <w:pPr>
        <w:numPr>
          <w:ilvl w:val="0"/>
          <w:numId w:val="14"/>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b/>
          <w:bCs/>
          <w:sz w:val="24"/>
        </w:rPr>
        <w:t>工作任务及要求</w:t>
      </w:r>
    </w:p>
    <w:p>
      <w:pPr>
        <w:numPr>
          <w:ilvl w:val="0"/>
          <w:numId w:val="17"/>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b/>
          <w:bCs/>
          <w:sz w:val="24"/>
        </w:rPr>
        <w:t>主要工作任务</w:t>
      </w:r>
    </w:p>
    <w:p>
      <w:pPr>
        <w:snapToGrid w:val="0"/>
        <w:ind w:left="280"/>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1、绿化养护工作内容</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绿化养护管理：中耕施肥、整地除草、修剪剥芽、树桩维护、防病除害、倒地扶正、清除枯枝、环境清理、浇水排水、分株移植、看护巡查、刷白、支撑加固、绿化垃圾处理（对修剪下来的树枝、树叶、草沫等绿化垃圾做到日产日清;保持绿地整洁，无砖石、瓦块、塑料袋等垃圾和杂物）。</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绿地保洁及绿化垃圾处置管理：实行日常动态保洁，绿化生产垃圾、白色垃圾及其他污物等日产日清，所有道路及两侧绿化带内枯叶每年至少清理两次，作业时间以业主指令为准。</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设施养护管理：园路、景观小品等所有园林设施及附属物的卫生保洁、常规维护、零星维修、看护防盗。</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应急管理：遇一般突发性、不可抗力事件（如台风、雪、旱、涝等）</w:t>
      </w:r>
      <w:r>
        <w:rPr>
          <w:rFonts w:hint="eastAsia" w:ascii="微软雅黑" w:hAnsi="微软雅黑" w:eastAsia="微软雅黑" w:cs="微软雅黑"/>
          <w:kern w:val="0"/>
          <w:sz w:val="24"/>
        </w:rPr>
        <w:t>应急处置，积极有效的处理，</w:t>
      </w:r>
      <w:r>
        <w:rPr>
          <w:rFonts w:hint="eastAsia" w:ascii="微软雅黑" w:hAnsi="微软雅黑" w:eastAsia="微软雅黑" w:cs="微软雅黑"/>
          <w:sz w:val="24"/>
        </w:rPr>
        <w:t>要及时处置并安排好值班巡查，做好应急处置方案，配备齐全应急救急人员和相应装备，所需费用自行考虑进投标报价中。</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热线处理：同时安排专职人员负责对接、处理养护管理范围内阳光热线、数字城管、媒体、群众来电来信来访等所反映的问题。各公园须设立便民服务热线，公布于出入口位置。</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其它：养护范围内对外衔接、行政审批过程跟踪等工作。</w:t>
      </w:r>
    </w:p>
    <w:p>
      <w:pPr>
        <w:numPr>
          <w:ilvl w:val="0"/>
          <w:numId w:val="18"/>
        </w:numPr>
        <w:spacing w:line="400" w:lineRule="exact"/>
        <w:rPr>
          <w:rFonts w:ascii="微软雅黑" w:hAnsi="微软雅黑" w:eastAsia="微软雅黑" w:cs="微软雅黑"/>
          <w:sz w:val="24"/>
        </w:rPr>
      </w:pPr>
      <w:r>
        <w:rPr>
          <w:rFonts w:hint="eastAsia" w:ascii="微软雅黑" w:hAnsi="微软雅黑" w:eastAsia="微软雅黑" w:cs="微软雅黑"/>
          <w:sz w:val="24"/>
        </w:rPr>
        <w:t>养护单位提供园林绿化垃圾无害化处置方案，鼓励管养单位自行资源化处理或委托有垃圾处理资质的相关单位进行处置，并定期对垃圾处置情况及处置费用进行统计和上报，费用自行考虑在报价中，不再额外增加费用。</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注：设施包括园林小品（园灯、果皮箱、园桌椅、栏杆、井盖）、园路及铺装场地等。 设施维护包括设施的日常维修保养（含保洁），即为保持设施的完整和正常运行所进行的预防性保养和轻微损坏部分的修补，包括为保证设施的正常运转及维护设施的原有功能而进行的清洁、紧固、调整、润滑及检修等。</w:t>
      </w:r>
    </w:p>
    <w:p>
      <w:pPr>
        <w:snapToGrid w:val="0"/>
        <w:ind w:left="280"/>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2、草花种植及养护工作内容：</w:t>
      </w:r>
    </w:p>
    <w:p>
      <w:pPr>
        <w:pStyle w:val="4"/>
        <w:numPr>
          <w:ilvl w:val="0"/>
          <w:numId w:val="19"/>
        </w:numPr>
        <w:ind w:leftChars="0"/>
        <w:rPr>
          <w:rFonts w:ascii="微软雅黑" w:hAnsi="微软雅黑" w:eastAsia="微软雅黑" w:cs="微软雅黑"/>
          <w:sz w:val="24"/>
          <w:szCs w:val="24"/>
        </w:rPr>
      </w:pPr>
      <w:r>
        <w:rPr>
          <w:rFonts w:hint="eastAsia" w:ascii="微软雅黑" w:hAnsi="微软雅黑" w:eastAsia="微软雅黑" w:cs="微软雅黑"/>
          <w:sz w:val="24"/>
          <w:szCs w:val="24"/>
        </w:rPr>
        <w:t>场地清理与平整、种植土回填、苗木采购、种植等绿化施工内容。</w:t>
      </w:r>
    </w:p>
    <w:p>
      <w:pPr>
        <w:pStyle w:val="4"/>
        <w:numPr>
          <w:ilvl w:val="0"/>
          <w:numId w:val="19"/>
        </w:numPr>
        <w:ind w:leftChars="0"/>
        <w:rPr>
          <w:rFonts w:ascii="微软雅黑" w:hAnsi="微软雅黑" w:eastAsia="微软雅黑" w:cs="微软雅黑"/>
          <w:sz w:val="24"/>
          <w:szCs w:val="24"/>
        </w:rPr>
      </w:pPr>
      <w:r>
        <w:rPr>
          <w:rFonts w:hint="eastAsia" w:ascii="微软雅黑" w:hAnsi="微软雅黑" w:eastAsia="微软雅黑" w:cs="微软雅黑"/>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pPr>
        <w:pStyle w:val="4"/>
        <w:numPr>
          <w:ilvl w:val="0"/>
          <w:numId w:val="19"/>
        </w:numPr>
        <w:ind w:leftChars="0"/>
        <w:rPr>
          <w:rFonts w:ascii="微软雅黑" w:hAnsi="微软雅黑" w:eastAsia="微软雅黑" w:cs="微软雅黑"/>
          <w:sz w:val="24"/>
          <w:szCs w:val="24"/>
        </w:rPr>
      </w:pPr>
      <w:r>
        <w:rPr>
          <w:rFonts w:hint="eastAsia" w:ascii="微软雅黑" w:hAnsi="微软雅黑" w:eastAsia="微软雅黑" w:cs="微软雅黑"/>
          <w:sz w:val="24"/>
          <w:szCs w:val="24"/>
        </w:rPr>
        <w:t>适时适种，草花一年四季，中标人所用时花的规格、品种必须符合采购单位的要求，详见草花种植养护服务明细表，质量必须符合国家现行规范和标准中规定的时花质量，且经采购单位验收同意后方可使用。</w:t>
      </w:r>
    </w:p>
    <w:p>
      <w:pPr>
        <w:jc w:val="center"/>
        <w:rPr>
          <w:lang w:val="zh-CN"/>
        </w:rPr>
      </w:pPr>
      <w:r>
        <w:rPr>
          <w:rFonts w:hint="eastAsia" w:hAnsi="宋体" w:cs="仿宋"/>
          <w:b/>
          <w:bCs/>
          <w:spacing w:val="11"/>
          <w:kern w:val="0"/>
          <w:sz w:val="24"/>
        </w:rPr>
        <w:t xml:space="preserve">  </w:t>
      </w:r>
      <w:r>
        <w:rPr>
          <w:rFonts w:hint="eastAsia" w:hAnsi="宋体" w:cs="仿宋"/>
          <w:b/>
          <w:bCs/>
          <w:spacing w:val="11"/>
          <w:kern w:val="0"/>
          <w:sz w:val="24"/>
          <w:lang w:val="zh-CN"/>
        </w:rPr>
        <w:t>草花种植养护服务</w:t>
      </w:r>
      <w:r>
        <w:rPr>
          <w:rFonts w:hint="eastAsia" w:ascii="宋体" w:hAnsi="宋体" w:cs="宋体"/>
          <w:b/>
          <w:bCs/>
          <w:sz w:val="24"/>
          <w:lang w:val="zh-CN"/>
        </w:rPr>
        <w:t>明细表</w:t>
      </w:r>
    </w:p>
    <w:tbl>
      <w:tblPr>
        <w:tblStyle w:val="19"/>
        <w:tblW w:w="9696" w:type="dxa"/>
        <w:tblInd w:w="93" w:type="dxa"/>
        <w:tblLayout w:type="fixed"/>
        <w:tblCellMar>
          <w:top w:w="0" w:type="dxa"/>
          <w:left w:w="108" w:type="dxa"/>
          <w:bottom w:w="0" w:type="dxa"/>
          <w:right w:w="108" w:type="dxa"/>
        </w:tblCellMar>
      </w:tblPr>
      <w:tblGrid>
        <w:gridCol w:w="1832"/>
        <w:gridCol w:w="2403"/>
        <w:gridCol w:w="897"/>
        <w:gridCol w:w="1137"/>
        <w:gridCol w:w="943"/>
        <w:gridCol w:w="883"/>
        <w:gridCol w:w="961"/>
        <w:gridCol w:w="640"/>
      </w:tblGrid>
      <w:tr>
        <w:tblPrEx>
          <w:tblCellMar>
            <w:top w:w="0" w:type="dxa"/>
            <w:left w:w="108" w:type="dxa"/>
            <w:bottom w:w="0" w:type="dxa"/>
            <w:right w:w="108" w:type="dxa"/>
          </w:tblCellMar>
        </w:tblPrEx>
        <w:trPr>
          <w:trHeight w:val="93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项目名称</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项目特征（规格型号）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面积</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（m²）</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密度</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（株/m²）</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数量（株）</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单价（元）</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总价（元）</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976"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第一次：4-7月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草花品种：百日草、孔雀草、夏堇、一串红、矮牵牛、洋凤仙、金鱼草、太阳花等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bidi="ar"/>
              </w:rPr>
              <w:t xml:space="preserve">                                                                                                                                                                                                                                                                                                           </w:t>
            </w: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240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897"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1137"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94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88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961"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18" w:hRule="atLeast"/>
        </w:trPr>
        <w:tc>
          <w:tcPr>
            <w:tcW w:w="18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第二次：7-9月</w:t>
            </w:r>
          </w:p>
        </w:tc>
        <w:tc>
          <w:tcPr>
            <w:tcW w:w="24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草花品种：太阳花、孔雀草、夏堇、美女樱、百日草、硫华菊、长春花、彩叶草等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auto"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240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9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113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4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8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61"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640"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57"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第三次：9-11月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草花品种：一串红、百日草、孔雀草、石竹、矮牵牛、长春花、彩叶草、石竹等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240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9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113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4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8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61"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640"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57"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第四次：11-3月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草花品种：三色堇、角堇、石竹、报春花、雏菊、金盏菊、羽衣甘蓝、欧石竹等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bl>
    <w:p/>
    <w:p>
      <w:pPr>
        <w:numPr>
          <w:ilvl w:val="0"/>
          <w:numId w:val="16"/>
        </w:numPr>
        <w:snapToGrid w:val="0"/>
        <w:ind w:firstLine="480" w:firstLineChars="200"/>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应急整治任务</w:t>
      </w:r>
    </w:p>
    <w:p>
      <w:pPr>
        <w:numPr>
          <w:ilvl w:val="0"/>
          <w:numId w:val="20"/>
        </w:numPr>
        <w:snapToGrid w:val="0"/>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绿化养护面积调整、局部绿地补植提升、临时的花卉布置等提升、启动重大抗灾应急预案时、各类检查评比活动及采购人安排的突击任务；</w:t>
      </w:r>
    </w:p>
    <w:p>
      <w:pPr>
        <w:numPr>
          <w:ilvl w:val="0"/>
          <w:numId w:val="20"/>
        </w:numPr>
        <w:snapToGrid w:val="0"/>
      </w:pPr>
      <w:r>
        <w:rPr>
          <w:rFonts w:hint="eastAsia" w:ascii="微软雅黑" w:hAnsi="微软雅黑" w:eastAsia="微软雅黑" w:cs="微软雅黑"/>
          <w:b/>
          <w:sz w:val="24"/>
          <w:shd w:val="clear" w:color="auto" w:fill="FFFFFF"/>
        </w:rPr>
        <w:t>采购人安排的其他与绿化养护、补植（含草花）作业相关的服务。</w:t>
      </w:r>
    </w:p>
    <w:p>
      <w:pPr>
        <w:numPr>
          <w:ilvl w:val="0"/>
          <w:numId w:val="17"/>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b/>
          <w:bCs/>
          <w:sz w:val="24"/>
        </w:rPr>
        <w:t>工作要求</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要求养护质量达到国家现行有关的规范标准相对应的绿化养护质量标准及要求。</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中标人必须严格按合同条款、绿地养护标准，精心组织养护，确保养护质量。</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中标人必须在合同签订后在一星期内对所承包绿地范围内绿化苗木及设施列出清单，上交给发包方，缺损苗木由发包方组织补植，后续因养护管理不到位造成死亡、缺损苗木由中标人负责补植，因此发生的费用由中标人承担。</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中标单位安排好日常应急人员、应急车辆的值班值守，随时对110联动、交通事故、灾难天气等应急处置，并负责对交通事故赔付处理、绿化修复工作，未及时发现绿化被损坏的由中标单位自行负责修复，未及时修复发生意外伤害事故的，由中标单位全权负责。</w:t>
      </w:r>
    </w:p>
    <w:p>
      <w:pPr>
        <w:numPr>
          <w:ilvl w:val="0"/>
          <w:numId w:val="21"/>
        </w:numPr>
        <w:spacing w:line="400" w:lineRule="exact"/>
        <w:rPr>
          <w:rFonts w:ascii="微软雅黑" w:hAnsi="微软雅黑" w:eastAsia="微软雅黑" w:cs="微软雅黑"/>
          <w:color w:val="auto"/>
          <w:sz w:val="24"/>
        </w:rPr>
      </w:pPr>
      <w:r>
        <w:rPr>
          <w:rFonts w:hint="eastAsia" w:ascii="微软雅黑" w:hAnsi="微软雅黑" w:eastAsia="微软雅黑" w:cs="微软雅黑"/>
          <w:color w:val="auto"/>
          <w:sz w:val="24"/>
        </w:rPr>
        <w:t>中标单位每天安排巡查，</w:t>
      </w:r>
      <w:r>
        <w:rPr>
          <w:rFonts w:hint="eastAsia" w:ascii="微软雅黑" w:hAnsi="微软雅黑" w:eastAsia="微软雅黑" w:cs="微软雅黑"/>
          <w:color w:val="auto"/>
          <w:sz w:val="24"/>
          <w:lang w:eastAsia="zh-CN"/>
        </w:rPr>
        <w:t>保证</w:t>
      </w:r>
      <w:r>
        <w:rPr>
          <w:rFonts w:hint="eastAsia" w:ascii="微软雅黑" w:hAnsi="微软雅黑" w:eastAsia="微软雅黑" w:cs="微软雅黑"/>
          <w:color w:val="auto"/>
          <w:sz w:val="24"/>
          <w:lang w:val="en-US" w:eastAsia="zh-CN"/>
        </w:rPr>
        <w:t>24小时内至少对所有区域巡查一次，</w:t>
      </w:r>
      <w:r>
        <w:rPr>
          <w:rFonts w:hint="eastAsia" w:ascii="微软雅黑" w:hAnsi="微软雅黑" w:eastAsia="微软雅黑" w:cs="微软雅黑"/>
          <w:color w:val="auto"/>
          <w:sz w:val="24"/>
        </w:rPr>
        <w:t>并有记录</w:t>
      </w:r>
      <w:r>
        <w:rPr>
          <w:rFonts w:hint="eastAsia" w:ascii="微软雅黑" w:hAnsi="微软雅黑" w:eastAsia="微软雅黑" w:cs="微软雅黑"/>
          <w:color w:val="auto"/>
          <w:sz w:val="24"/>
          <w:lang w:eastAsia="zh-CN"/>
        </w:rPr>
        <w:t>。及时发现管养范围内的开挖行为并核查上报（包括施工单位，开挖原因，工期，是否办理开挖证）</w:t>
      </w:r>
      <w:r>
        <w:rPr>
          <w:rFonts w:hint="eastAsia" w:ascii="微软雅黑" w:hAnsi="微软雅黑" w:eastAsia="微软雅黑" w:cs="微软雅黑"/>
          <w:color w:val="auto"/>
          <w:sz w:val="24"/>
        </w:rPr>
        <w:t xml:space="preserve">，未及时发现绿化被损坏的由中标单位自行负责修复，未及时修复发生意外伤害事故的，由中标单位全权负责。 </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浇水车配备：（夏季浇水要求：配备上路补水作业）</w:t>
      </w:r>
    </w:p>
    <w:p>
      <w:pPr>
        <w:numPr>
          <w:ilvl w:val="0"/>
          <w:numId w:val="21"/>
        </w:numPr>
        <w:spacing w:line="400" w:lineRule="exact"/>
        <w:rPr>
          <w:rFonts w:ascii="微软雅黑" w:hAnsi="微软雅黑" w:eastAsia="微软雅黑" w:cs="微软雅黑"/>
          <w:sz w:val="24"/>
        </w:rPr>
      </w:pPr>
      <w:r>
        <w:rPr>
          <w:rFonts w:hint="eastAsia" w:ascii="微软雅黑" w:hAnsi="微软雅黑" w:eastAsia="微软雅黑" w:cs="微软雅黑"/>
          <w:sz w:val="24"/>
        </w:rPr>
        <w:t>清运货车配置：对生产垃圾随产随清。</w:t>
      </w:r>
    </w:p>
    <w:p>
      <w:pPr>
        <w:numPr>
          <w:ilvl w:val="0"/>
          <w:numId w:val="21"/>
        </w:numPr>
        <w:spacing w:line="400" w:lineRule="exact"/>
        <w:ind w:firstLine="403"/>
        <w:rPr>
          <w:rFonts w:ascii="微软雅黑" w:hAnsi="微软雅黑" w:eastAsia="微软雅黑" w:cs="微软雅黑"/>
          <w:sz w:val="24"/>
        </w:rPr>
      </w:pPr>
      <w:r>
        <w:rPr>
          <w:rFonts w:hint="eastAsia" w:ascii="微软雅黑" w:hAnsi="微软雅黑" w:eastAsia="微软雅黑" w:cs="微软雅黑"/>
          <w:sz w:val="24"/>
        </w:rPr>
        <w:t>施肥要求、次数：按规定不少于3次/年，具体时间：4月、10月、12月。施肥量按标准另定。</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本项目要求中标人提供全年用花计划和图案布置方案，布置方案实施前必须经采购单位的认可。在实施期间，采购单位如要调整花卉布置方案，中标人须无条件服从采购单位的临时变更要求。</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中标人所用草花的规格、品种必须符合采购单位的要求，质量必须符合国家现行规范和标准中规定的草花质量，且经采购单位验收同意后方可使用。</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草花必须造型整齐、美观，叶色青绿、花色艳丽，植株健康、无病虫害，生长态势良好。到场开花率达到30%及以上，到场后必须经采购单位验收认可后方可种植。</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种植密度：详见明细表（可根据植株大小适当调整）。</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种植要求：</w:t>
      </w:r>
      <w:r>
        <w:rPr>
          <w:rFonts w:hint="eastAsia" w:ascii="微软雅黑" w:hAnsi="微软雅黑" w:eastAsia="微软雅黑" w:cs="微软雅黑"/>
          <w:bCs/>
          <w:color w:val="auto"/>
          <w:spacing w:val="11"/>
          <w:sz w:val="24"/>
          <w:szCs w:val="24"/>
          <w:lang w:eastAsia="zh-CN"/>
        </w:rPr>
        <w:t>每次种植前必须对种植土进行翻耕，清运（控制土量不增），并施底肥。</w:t>
      </w:r>
      <w:r>
        <w:rPr>
          <w:rFonts w:hint="eastAsia" w:ascii="微软雅黑" w:hAnsi="微软雅黑" w:eastAsia="微软雅黑" w:cs="微软雅黑"/>
          <w:bCs/>
          <w:color w:val="auto"/>
          <w:spacing w:val="11"/>
          <w:sz w:val="24"/>
          <w:szCs w:val="24"/>
        </w:rPr>
        <w:t>种植后效果达到黄土不露天，无缺株倒伏，无枯枝无残花败叶，无杂草，保活率达到100%。草花种植</w:t>
      </w:r>
      <w:r>
        <w:rPr>
          <w:rFonts w:hint="eastAsia" w:ascii="微软雅黑" w:hAnsi="微软雅黑" w:eastAsia="微软雅黑" w:cs="微软雅黑"/>
          <w:bCs/>
          <w:spacing w:val="11"/>
          <w:sz w:val="24"/>
          <w:szCs w:val="24"/>
        </w:rPr>
        <w:t>一年内更换四次，如超过四次结算不增加费用，不足四次则扣减。每个季节必须保证多个草花品种（详见明细表），每个草花品种至少需占20%，如有更换其它品种情况的，需经采购单位同意。换季更换须在一周内完成。</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草花更换同一种植区块不能连续两期采用相同的品种。每次更换草花前，须向采购单位提交具体草花种植方案（包括草花数量、比例、花坛布置形式等，同时提前向甲方提供样品），经采购单位同意后方可种植。采购单位有权指定每季规定品种草花种植比例，中标人应在采购单位规定的时间内合理安排草花种植事项，清理好场地，保持道路整洁，完工后报采购单位验收，以确保工程质量。</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完成草花更换，经过10天的养护后，应及时向采购单位提出验收，验收由采购单位组织。如验收不合格，中标人除整改达到合格外，另需支付不合格部分工程款10%的违约金；如两次验收为不合格或单次验收不合格且补种后重新验收仍不合格，采购单位有权单方面解除合同，且中标人仍应承担相应责任。</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种植养护期内，须及时更换死亡及生长不良的草花，并接受采购单位的养护考核。</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由中标人负责草花的日常养护，包括浇水、施肥、拔草、病虫害防治等一系列工作，由于养护不当造成的死亡、缺棵，由中标人及时负责补种。</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在养护期内发生病虫害应即刻向甲方报告，同时应在2天内治理完毕，或按采购单位要求及时进行更换。</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每天必须清除草花内杂草、杂物、垃圾、石块等，特别是植物根部白色垃圾，确保常年清洁，平时没有积尘。在重大活动中出现责任事故，采购单位有权进行处罚，直至终止合同。</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因人为或其它因素造成草花损坏，中标人必须在2小时内完成现场清理并在2天内补种完毕，否则扣除相应草花中标单价2倍的费用。</w:t>
      </w:r>
    </w:p>
    <w:p>
      <w:pPr>
        <w:pStyle w:val="10"/>
        <w:widowControl w:val="0"/>
        <w:numPr>
          <w:ilvl w:val="0"/>
          <w:numId w:val="21"/>
        </w:numPr>
        <w:spacing w:line="400" w:lineRule="exact"/>
        <w:ind w:firstLine="403"/>
        <w:jc w:val="left"/>
        <w:rPr>
          <w:rFonts w:ascii="微软雅黑" w:hAnsi="微软雅黑" w:eastAsia="微软雅黑" w:cs="微软雅黑"/>
          <w:bCs/>
          <w:spacing w:val="11"/>
          <w:sz w:val="24"/>
          <w:szCs w:val="24"/>
        </w:rPr>
      </w:pPr>
      <w:r>
        <w:rPr>
          <w:rFonts w:hint="eastAsia" w:ascii="微软雅黑" w:hAnsi="微软雅黑" w:eastAsia="微软雅黑" w:cs="微软雅黑"/>
          <w:bCs/>
          <w:spacing w:val="11"/>
          <w:sz w:val="24"/>
          <w:szCs w:val="24"/>
        </w:rPr>
        <w:t>完成草花更换后中标人须将撤下的草花、包装袋等垃圾及时清理外运，施工现场产生的泥浆及时清洗干净；日常养护期间，浇水、施肥、拔草、病虫害防治等一系列养护工作完成后，须及时清理现场，做到随时保洁。</w:t>
      </w:r>
    </w:p>
    <w:p>
      <w:pPr>
        <w:pStyle w:val="10"/>
        <w:widowControl w:val="0"/>
        <w:numPr>
          <w:ilvl w:val="0"/>
          <w:numId w:val="21"/>
        </w:numPr>
        <w:spacing w:line="400" w:lineRule="exact"/>
        <w:ind w:firstLine="403"/>
        <w:jc w:val="left"/>
        <w:rPr>
          <w:rFonts w:ascii="微软雅黑" w:hAnsi="微软雅黑" w:eastAsia="微软雅黑" w:cs="微软雅黑"/>
          <w:sz w:val="24"/>
          <w:szCs w:val="24"/>
        </w:rPr>
      </w:pPr>
      <w:r>
        <w:rPr>
          <w:rFonts w:hint="eastAsia" w:ascii="微软雅黑" w:hAnsi="微软雅黑" w:eastAsia="微软雅黑" w:cs="微软雅黑"/>
          <w:bCs/>
          <w:spacing w:val="11"/>
          <w:sz w:val="24"/>
          <w:szCs w:val="24"/>
        </w:rPr>
        <w:t>养护期间，由第三方造成（以行政主管部门出具相关书面证明为准）的损失按中标价补偿，费用按年进行结算。</w:t>
      </w:r>
    </w:p>
    <w:p>
      <w:pPr>
        <w:numPr>
          <w:ilvl w:val="0"/>
          <w:numId w:val="21"/>
        </w:numPr>
        <w:spacing w:line="400" w:lineRule="exact"/>
        <w:rPr>
          <w:rFonts w:ascii="微软雅黑" w:hAnsi="微软雅黑" w:eastAsia="微软雅黑" w:cs="微软雅黑"/>
          <w:b w:val="0"/>
          <w:bCs w:val="0"/>
          <w:sz w:val="24"/>
        </w:rPr>
      </w:pPr>
      <w:r>
        <w:rPr>
          <w:rFonts w:hint="eastAsia" w:ascii="微软雅黑" w:hAnsi="微软雅黑" w:eastAsia="微软雅黑" w:cs="微软雅黑"/>
          <w:b w:val="0"/>
          <w:bCs w:val="0"/>
          <w:sz w:val="24"/>
        </w:rPr>
        <w:t>办公场所：中标单位应在服务范围内设立固定的办公及机械设备等养护用品存放场所，合同签订时需向采购人出示固定场所的证明材料（房屋所有权证或租赁协议）。</w:t>
      </w:r>
    </w:p>
    <w:p>
      <w:pPr>
        <w:numPr>
          <w:ilvl w:val="0"/>
          <w:numId w:val="21"/>
        </w:numPr>
        <w:spacing w:line="400" w:lineRule="exact"/>
        <w:rPr>
          <w:rFonts w:ascii="微软雅黑" w:hAnsi="微软雅黑" w:eastAsia="微软雅黑" w:cs="微软雅黑"/>
          <w:b w:val="0"/>
          <w:bCs w:val="0"/>
          <w:sz w:val="24"/>
        </w:rPr>
      </w:pPr>
      <w:r>
        <w:rPr>
          <w:rFonts w:hint="eastAsia" w:ascii="微软雅黑" w:hAnsi="微软雅黑" w:eastAsia="微软雅黑" w:cs="微软雅黑"/>
          <w:b w:val="0"/>
          <w:bCs w:val="0"/>
          <w:sz w:val="24"/>
        </w:rPr>
        <w:t>上述任务需严格按照《南浔公用事业管理中心绿化养护考核实施细则》执行。如采购人为提高作业质量对考核办法进行补充更改，由此引起的与原考核办法、标准等内容不一致的条文以最后发文日期规定为准。</w:t>
      </w:r>
    </w:p>
    <w:p>
      <w:pPr>
        <w:numPr>
          <w:ilvl w:val="0"/>
          <w:numId w:val="14"/>
        </w:numPr>
        <w:spacing w:line="400" w:lineRule="exact"/>
        <w:jc w:val="left"/>
        <w:outlineLvl w:val="0"/>
        <w:rPr>
          <w:rFonts w:ascii="微软雅黑" w:hAnsi="微软雅黑" w:eastAsia="微软雅黑" w:cs="微软雅黑"/>
          <w:b w:val="0"/>
          <w:bCs w:val="0"/>
          <w:sz w:val="24"/>
        </w:rPr>
      </w:pPr>
      <w:r>
        <w:rPr>
          <w:rFonts w:hint="eastAsia" w:ascii="微软雅黑" w:hAnsi="微软雅黑" w:eastAsia="微软雅黑" w:cs="微软雅黑"/>
          <w:b w:val="0"/>
          <w:bCs w:val="0"/>
          <w:sz w:val="24"/>
        </w:rPr>
        <w:t>报价说明</w:t>
      </w:r>
    </w:p>
    <w:p>
      <w:pPr>
        <w:pStyle w:val="10"/>
        <w:numPr>
          <w:ilvl w:val="0"/>
          <w:numId w:val="22"/>
        </w:numPr>
        <w:spacing w:line="240" w:lineRule="auto"/>
        <w:ind w:firstLine="403"/>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报价设单价最高限价</w:t>
      </w:r>
      <w:r>
        <w:rPr>
          <w:rFonts w:hint="eastAsia" w:ascii="微软雅黑" w:hAnsi="微软雅黑" w:eastAsia="微软雅黑" w:cs="微软雅黑"/>
          <w:b/>
          <w:bCs/>
          <w:sz w:val="24"/>
          <w:szCs w:val="24"/>
          <w:highlight w:val="none"/>
          <w:lang w:eastAsia="zh-CN"/>
        </w:rPr>
        <w:t>，本项目报价评审分两部分组成：绿化养护费用（包含Ⅰ级绿化养护、Ⅱ级绿化养护）和草花种植及养护服务费用。养护费用详见招标需求中报价清单组成，应急整治费用为</w:t>
      </w:r>
      <w:r>
        <w:rPr>
          <w:rFonts w:hint="eastAsia" w:ascii="微软雅黑" w:hAnsi="微软雅黑" w:eastAsia="微软雅黑" w:cs="微软雅黑"/>
          <w:b/>
          <w:bCs/>
          <w:sz w:val="24"/>
          <w:szCs w:val="24"/>
          <w:highlight w:val="none"/>
          <w:lang w:val="en-US" w:eastAsia="zh-CN"/>
        </w:rPr>
        <w:t>20万元/年，行道树60元/棵，为不可竞争费用，按实结算。</w:t>
      </w:r>
      <w:r>
        <w:rPr>
          <w:rFonts w:hint="eastAsia" w:ascii="微软雅黑" w:hAnsi="微软雅黑" w:eastAsia="微软雅黑" w:cs="微软雅黑"/>
          <w:b/>
          <w:bCs/>
          <w:sz w:val="24"/>
          <w:szCs w:val="24"/>
          <w:highlight w:val="none"/>
          <w:lang w:eastAsia="zh-CN"/>
        </w:rPr>
        <w:t>投标供应商投标报价不得高于设定的单价最高限价，否则作无效标处理。</w:t>
      </w:r>
    </w:p>
    <w:p>
      <w:pPr>
        <w:pStyle w:val="10"/>
        <w:numPr>
          <w:ilvl w:val="0"/>
          <w:numId w:val="22"/>
        </w:numPr>
        <w:spacing w:line="240" w:lineRule="auto"/>
        <w:ind w:firstLine="403"/>
        <w:rPr>
          <w:rFonts w:ascii="微软雅黑" w:hAnsi="微软雅黑" w:eastAsia="微软雅黑" w:cs="微软雅黑"/>
          <w:sz w:val="24"/>
          <w:szCs w:val="24"/>
        </w:rPr>
      </w:pPr>
      <w:r>
        <w:rPr>
          <w:rFonts w:hint="eastAsia" w:ascii="微软雅黑" w:hAnsi="微软雅黑" w:eastAsia="微软雅黑" w:cs="微软雅黑"/>
          <w:sz w:val="24"/>
          <w:szCs w:val="24"/>
        </w:rPr>
        <w:t>承包方式：包工包料、包机械，合同服务期内由于政府建设（规划）需要对用花地点进行改建等原因导致种植养护面积出现调整的,无论数量增加或减少，综合单价始终保持不变，中标单位不能以此为由要求采购人进行索赔。</w:t>
      </w:r>
    </w:p>
    <w:p>
      <w:pPr>
        <w:pStyle w:val="10"/>
        <w:numPr>
          <w:ilvl w:val="0"/>
          <w:numId w:val="22"/>
        </w:numPr>
        <w:spacing w:line="240" w:lineRule="auto"/>
        <w:ind w:firstLine="403"/>
        <w:rPr>
          <w:rFonts w:ascii="微软雅黑" w:hAnsi="微软雅黑" w:eastAsia="微软雅黑" w:cs="微软雅黑"/>
          <w:sz w:val="24"/>
          <w:szCs w:val="24"/>
        </w:rPr>
      </w:pPr>
      <w:r>
        <w:rPr>
          <w:rFonts w:hint="eastAsia" w:ascii="微软雅黑" w:hAnsi="微软雅黑" w:eastAsia="微软雅黑" w:cs="微软雅黑"/>
          <w:sz w:val="24"/>
          <w:szCs w:val="24"/>
        </w:rPr>
        <w:t>中标单价报价包括场地清理平整、草花、种植、养护、装卸、运输、看护、每期内枯死和损坏株的更换、杂物清运、保洁、人工费及风险、规费税金等一切费用。</w:t>
      </w:r>
    </w:p>
    <w:p>
      <w:pPr>
        <w:pStyle w:val="10"/>
        <w:numPr>
          <w:ilvl w:val="0"/>
          <w:numId w:val="22"/>
        </w:numPr>
        <w:spacing w:line="240" w:lineRule="auto"/>
        <w:ind w:firstLine="403"/>
        <w:rPr>
          <w:rFonts w:ascii="微软雅黑" w:hAnsi="微软雅黑" w:eastAsia="微软雅黑" w:cs="微软雅黑"/>
          <w:sz w:val="24"/>
          <w:szCs w:val="24"/>
        </w:rPr>
      </w:pPr>
      <w:r>
        <w:rPr>
          <w:rFonts w:hint="eastAsia" w:ascii="微软雅黑" w:hAnsi="微软雅黑" w:eastAsia="微软雅黑" w:cs="微软雅黑"/>
          <w:sz w:val="24"/>
          <w:szCs w:val="24"/>
        </w:rPr>
        <w:t>本次招标绿化养护为固定单价招标，实际养护面积可能因新建绿地移交接管、范围调整等因素发生变化。招标工程量是预计数量，仅作为投标的共同基础，不能作为最终结算与支付的依据。结算与支付应以招标人认可的，按投标人投标报价中的单价和招标文件规定的计算方式进行结算与支付。</w:t>
      </w:r>
    </w:p>
    <w:p>
      <w:pPr>
        <w:pStyle w:val="10"/>
        <w:numPr>
          <w:ilvl w:val="0"/>
          <w:numId w:val="22"/>
        </w:numPr>
        <w:spacing w:line="240" w:lineRule="auto"/>
        <w:ind w:firstLine="403"/>
        <w:rPr>
          <w:rFonts w:ascii="微软雅黑" w:hAnsi="微软雅黑" w:eastAsia="微软雅黑" w:cs="微软雅黑"/>
          <w:sz w:val="24"/>
          <w:szCs w:val="24"/>
        </w:rPr>
      </w:pPr>
      <w:r>
        <w:rPr>
          <w:rFonts w:hint="eastAsia" w:ascii="微软雅黑" w:hAnsi="微软雅黑" w:eastAsia="微软雅黑" w:cs="微软雅黑"/>
          <w:sz w:val="24"/>
          <w:szCs w:val="24"/>
        </w:rPr>
        <w:t>区域内公共设施所产生的水、电费用包含在本次招标限价内，投标人结合实际自行考虑报价。</w:t>
      </w:r>
    </w:p>
    <w:p>
      <w:pPr>
        <w:numPr>
          <w:ilvl w:val="0"/>
          <w:numId w:val="22"/>
        </w:numPr>
        <w:ind w:firstLine="403"/>
      </w:pPr>
      <w:r>
        <w:rPr>
          <w:rFonts w:hint="eastAsia" w:ascii="微软雅黑" w:hAnsi="微软雅黑" w:eastAsia="微软雅黑" w:cs="微软雅黑"/>
          <w:sz w:val="24"/>
        </w:rPr>
        <w:t>应急整治费用按实结算。</w:t>
      </w:r>
    </w:p>
    <w:p>
      <w:pPr>
        <w:numPr>
          <w:ilvl w:val="0"/>
          <w:numId w:val="14"/>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b/>
          <w:bCs/>
          <w:sz w:val="24"/>
        </w:rPr>
        <w:t>检查考核管理办法：</w:t>
      </w:r>
    </w:p>
    <w:p>
      <w:pPr>
        <w:numPr>
          <w:ilvl w:val="0"/>
          <w:numId w:val="23"/>
        </w:numPr>
        <w:spacing w:line="400" w:lineRule="exact"/>
        <w:outlineLvl w:val="1"/>
        <w:rPr>
          <w:rFonts w:ascii="微软雅黑" w:hAnsi="微软雅黑" w:eastAsia="微软雅黑" w:cs="微软雅黑"/>
          <w:sz w:val="24"/>
        </w:rPr>
      </w:pPr>
      <w:r>
        <w:rPr>
          <w:rFonts w:hint="eastAsia" w:ascii="微软雅黑" w:hAnsi="微软雅黑" w:eastAsia="微软雅黑" w:cs="微软雅黑"/>
          <w:sz w:val="24"/>
        </w:rPr>
        <w:t>每季的服务费金额与考核结果挂钩，季度考核得分为本季度三个月的平均分；服务质量考核标准见《绿地养护质量考核扣分细则》（见附件）</w:t>
      </w:r>
    </w:p>
    <w:p>
      <w:pPr>
        <w:numPr>
          <w:ilvl w:val="1"/>
          <w:numId w:val="24"/>
        </w:numPr>
        <w:spacing w:line="400" w:lineRule="exact"/>
        <w:rPr>
          <w:rFonts w:ascii="微软雅黑" w:hAnsi="微软雅黑" w:eastAsia="微软雅黑" w:cs="微软雅黑"/>
          <w:sz w:val="24"/>
        </w:rPr>
      </w:pPr>
      <w:r>
        <w:rPr>
          <w:rFonts w:hint="eastAsia" w:ascii="微软雅黑" w:hAnsi="微软雅黑" w:eastAsia="微软雅黑" w:cs="微软雅黑"/>
          <w:sz w:val="24"/>
        </w:rPr>
        <w:t>季度得分在90分以上为优秀，不扣罚当季养护费；</w:t>
      </w:r>
    </w:p>
    <w:p>
      <w:pPr>
        <w:numPr>
          <w:ilvl w:val="1"/>
          <w:numId w:val="24"/>
        </w:numPr>
        <w:spacing w:line="400" w:lineRule="exact"/>
        <w:rPr>
          <w:rFonts w:ascii="微软雅黑" w:hAnsi="微软雅黑" w:eastAsia="微软雅黑" w:cs="微软雅黑"/>
          <w:sz w:val="24"/>
        </w:rPr>
      </w:pPr>
      <w:r>
        <w:rPr>
          <w:rFonts w:hint="eastAsia" w:ascii="微软雅黑" w:hAnsi="微软雅黑" w:eastAsia="微软雅黑" w:cs="微软雅黑"/>
          <w:sz w:val="24"/>
        </w:rPr>
        <w:t>季度得分在80分以上的，按1500元/分扣罚养护费；</w:t>
      </w:r>
    </w:p>
    <w:p>
      <w:pPr>
        <w:numPr>
          <w:ilvl w:val="1"/>
          <w:numId w:val="24"/>
        </w:numPr>
        <w:spacing w:line="400" w:lineRule="exact"/>
        <w:rPr>
          <w:rFonts w:ascii="微软雅黑" w:hAnsi="微软雅黑" w:eastAsia="微软雅黑" w:cs="微软雅黑"/>
        </w:rPr>
      </w:pPr>
      <w:r>
        <w:rPr>
          <w:rFonts w:hint="eastAsia" w:ascii="微软雅黑" w:hAnsi="微软雅黑" w:eastAsia="微软雅黑" w:cs="微软雅黑"/>
          <w:sz w:val="24"/>
        </w:rPr>
        <w:t>季度得分在70分--80分的，按2500元/分扣罚养护费；</w:t>
      </w:r>
    </w:p>
    <w:p>
      <w:pPr>
        <w:numPr>
          <w:ilvl w:val="1"/>
          <w:numId w:val="24"/>
        </w:numPr>
        <w:spacing w:line="400" w:lineRule="exact"/>
        <w:rPr>
          <w:rFonts w:ascii="微软雅黑" w:hAnsi="微软雅黑" w:eastAsia="微软雅黑" w:cs="微软雅黑"/>
          <w:sz w:val="24"/>
        </w:rPr>
      </w:pPr>
      <w:r>
        <w:rPr>
          <w:rFonts w:hint="eastAsia" w:ascii="微软雅黑" w:hAnsi="微软雅黑" w:eastAsia="微软雅黑" w:cs="微软雅黑"/>
          <w:sz w:val="24"/>
        </w:rPr>
        <w:t>季度得分在70分以下的，扣罚为当季养护费用的1/3；</w:t>
      </w:r>
    </w:p>
    <w:p>
      <w:pPr>
        <w:numPr>
          <w:ilvl w:val="1"/>
          <w:numId w:val="24"/>
        </w:numPr>
        <w:spacing w:line="400" w:lineRule="exact"/>
        <w:rPr>
          <w:rFonts w:ascii="微软雅黑" w:hAnsi="微软雅黑" w:eastAsia="微软雅黑" w:cs="微软雅黑"/>
          <w:sz w:val="24"/>
        </w:rPr>
      </w:pPr>
      <w:r>
        <w:rPr>
          <w:rFonts w:hint="eastAsia" w:ascii="微软雅黑" w:hAnsi="微软雅黑" w:eastAsia="微软雅黑" w:cs="微软雅黑"/>
          <w:sz w:val="24"/>
        </w:rPr>
        <w:t>合同期限内两个季度得分70分以下或累计三个季度得分在80分以下的养护单位，采购方有权解除承包合同并上报行业主管部门；</w:t>
      </w:r>
    </w:p>
    <w:p>
      <w:pPr>
        <w:numPr>
          <w:ilvl w:val="1"/>
          <w:numId w:val="24"/>
        </w:numPr>
        <w:spacing w:line="400" w:lineRule="exact"/>
        <w:rPr>
          <w:rFonts w:ascii="微软雅黑" w:hAnsi="微软雅黑" w:eastAsia="微软雅黑" w:cs="微软雅黑"/>
          <w:sz w:val="24"/>
        </w:rPr>
      </w:pPr>
      <w:r>
        <w:rPr>
          <w:rFonts w:hint="eastAsia" w:ascii="微软雅黑" w:hAnsi="微软雅黑" w:eastAsia="微软雅黑" w:cs="微软雅黑"/>
          <w:sz w:val="24"/>
        </w:rPr>
        <w:t>遇重大检查测评事项（如文明城市复测等），涉及所辖管养区域内扣分的，每扣一项当月考核扣5分，扣分项三项以上扣当月考核分30分（如当月考核已结束，扣分在下月考核中扣除）；</w:t>
      </w:r>
    </w:p>
    <w:p>
      <w:pPr>
        <w:pStyle w:val="30"/>
        <w:numPr>
          <w:ilvl w:val="1"/>
          <w:numId w:val="24"/>
        </w:numPr>
        <w:ind w:firstLineChars="0"/>
        <w:rPr>
          <w:rFonts w:ascii="微软雅黑" w:hAnsi="微软雅黑" w:eastAsia="微软雅黑" w:cs="微软雅黑"/>
          <w:color w:val="auto"/>
          <w:sz w:val="24"/>
        </w:rPr>
      </w:pPr>
      <w:r>
        <w:rPr>
          <w:rFonts w:hint="eastAsia" w:ascii="微软雅黑" w:hAnsi="微软雅黑" w:eastAsia="微软雅黑" w:cs="微软雅黑"/>
          <w:color w:val="auto"/>
          <w:sz w:val="24"/>
        </w:rPr>
        <w:t>日常巡查发现问题，以口头书面或告知单通知中标单位限期整改，若在规定时间内整改到位，不予扣罚，若养护单位在规定时间内未完成整改，每一次扣1000元，当月相同问题出现3次以上（包含3次），每次扣罚2000元。</w:t>
      </w:r>
    </w:p>
    <w:p>
      <w:pPr>
        <w:pStyle w:val="30"/>
        <w:numPr>
          <w:ilvl w:val="1"/>
          <w:numId w:val="24"/>
        </w:numPr>
        <w:ind w:firstLineChars="0"/>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养护单位</w:t>
      </w:r>
      <w:r>
        <w:rPr>
          <w:rFonts w:hint="eastAsia" w:ascii="微软雅黑" w:hAnsi="微软雅黑" w:eastAsia="微软雅黑" w:cs="微软雅黑"/>
          <w:color w:val="auto"/>
          <w:sz w:val="24"/>
          <w:lang w:val="en-US" w:eastAsia="zh-CN"/>
        </w:rPr>
        <w:t>24小时内至少对所有区域巡查一次，发现问题及时处置或上报。较大问题（如开挖、大面积病虫害、乔木死亡等）超过24小时未发现上报的，</w:t>
      </w:r>
      <w:r>
        <w:rPr>
          <w:rFonts w:hint="eastAsia" w:ascii="微软雅黑" w:hAnsi="微软雅黑" w:eastAsia="微软雅黑" w:cs="微软雅黑"/>
          <w:color w:val="auto"/>
          <w:sz w:val="24"/>
          <w:lang w:eastAsia="zh-CN"/>
        </w:rPr>
        <w:t>按</w:t>
      </w:r>
      <w:r>
        <w:rPr>
          <w:rFonts w:hint="eastAsia" w:ascii="微软雅黑" w:hAnsi="微软雅黑" w:eastAsia="微软雅黑" w:cs="微软雅黑"/>
          <w:color w:val="auto"/>
          <w:sz w:val="24"/>
        </w:rPr>
        <w:t>500元/次处理</w:t>
      </w:r>
      <w:r>
        <w:rPr>
          <w:rFonts w:hint="eastAsia" w:ascii="微软雅黑" w:hAnsi="微软雅黑" w:eastAsia="微软雅黑" w:cs="微软雅黑"/>
          <w:color w:val="auto"/>
          <w:sz w:val="24"/>
          <w:lang w:eastAsia="zh-CN"/>
        </w:rPr>
        <w:t>。</w:t>
      </w:r>
    </w:p>
    <w:p>
      <w:pPr>
        <w:numPr>
          <w:ilvl w:val="1"/>
          <w:numId w:val="24"/>
        </w:numPr>
        <w:spacing w:line="400" w:lineRule="exact"/>
        <w:rPr>
          <w:rFonts w:ascii="微软雅黑" w:hAnsi="微软雅黑" w:eastAsia="微软雅黑" w:cs="微软雅黑"/>
          <w:color w:val="auto"/>
          <w:sz w:val="24"/>
        </w:rPr>
      </w:pPr>
      <w:r>
        <w:rPr>
          <w:rFonts w:hint="eastAsia" w:ascii="微软雅黑" w:hAnsi="微软雅黑" w:eastAsia="微软雅黑" w:cs="微软雅黑"/>
          <w:color w:val="auto"/>
          <w:sz w:val="24"/>
        </w:rPr>
        <w:t>养护作业人员配备未按合同标准执行，每发现一次按扣除500元/次处理。</w:t>
      </w:r>
    </w:p>
    <w:p>
      <w:pPr>
        <w:pStyle w:val="2"/>
        <w:numPr>
          <w:ilvl w:val="1"/>
          <w:numId w:val="24"/>
        </w:numPr>
        <w:ind w:firstLineChars="0"/>
        <w:rPr>
          <w:rFonts w:hint="eastAsia"/>
          <w:color w:val="auto"/>
        </w:rPr>
      </w:pPr>
      <w:r>
        <w:rPr>
          <w:rFonts w:hint="eastAsia" w:ascii="微软雅黑" w:hAnsi="微软雅黑" w:eastAsia="微软雅黑" w:cs="微软雅黑"/>
          <w:color w:val="auto"/>
          <w:sz w:val="24"/>
          <w:szCs w:val="24"/>
        </w:rPr>
        <w:t>绿化垃圾未按照绿化垃圾无害化处置方案进行处置的，待清理完后，按1</w:t>
      </w:r>
      <w:r>
        <w:rPr>
          <w:rFonts w:ascii="微软雅黑" w:hAnsi="微软雅黑" w:eastAsia="微软雅黑" w:cs="微软雅黑"/>
          <w:color w:val="auto"/>
          <w:sz w:val="24"/>
          <w:szCs w:val="24"/>
        </w:rPr>
        <w:t>000</w:t>
      </w:r>
      <w:r>
        <w:rPr>
          <w:rFonts w:hint="eastAsia" w:ascii="微软雅黑" w:hAnsi="微软雅黑" w:eastAsia="微软雅黑" w:cs="微软雅黑"/>
          <w:color w:val="auto"/>
          <w:sz w:val="24"/>
          <w:szCs w:val="24"/>
        </w:rPr>
        <w:t>元/次处理。</w:t>
      </w:r>
    </w:p>
    <w:p>
      <w:pPr>
        <w:numPr>
          <w:ilvl w:val="0"/>
          <w:numId w:val="23"/>
        </w:numPr>
        <w:spacing w:line="400" w:lineRule="exact"/>
        <w:outlineLvl w:val="1"/>
        <w:rPr>
          <w:rFonts w:ascii="微软雅黑" w:hAnsi="微软雅黑" w:eastAsia="微软雅黑" w:cs="微软雅黑"/>
          <w:sz w:val="24"/>
        </w:rPr>
      </w:pPr>
      <w:r>
        <w:rPr>
          <w:rFonts w:hint="eastAsia" w:ascii="微软雅黑" w:hAnsi="微软雅黑" w:eastAsia="微软雅黑" w:cs="微软雅黑"/>
          <w:sz w:val="24"/>
        </w:rPr>
        <w:t>其他处罚措施：</w:t>
      </w:r>
    </w:p>
    <w:p>
      <w:pPr>
        <w:numPr>
          <w:ilvl w:val="1"/>
          <w:numId w:val="23"/>
        </w:numPr>
        <w:spacing w:line="400" w:lineRule="exact"/>
        <w:rPr>
          <w:rFonts w:ascii="微软雅黑" w:hAnsi="微软雅黑" w:eastAsia="微软雅黑" w:cs="微软雅黑"/>
          <w:sz w:val="24"/>
        </w:rPr>
      </w:pPr>
      <w:r>
        <w:rPr>
          <w:rFonts w:hint="eastAsia" w:ascii="微软雅黑" w:hAnsi="微软雅黑" w:eastAsia="微软雅黑" w:cs="微软雅黑"/>
          <w:sz w:val="24"/>
        </w:rPr>
        <w:t>被上级管理部门查实问题的，每次扣1000—2000元人民币，情节严重的采购人有权取消合同。</w:t>
      </w:r>
    </w:p>
    <w:p>
      <w:pPr>
        <w:numPr>
          <w:ilvl w:val="1"/>
          <w:numId w:val="23"/>
        </w:numPr>
        <w:spacing w:line="400" w:lineRule="exact"/>
        <w:rPr>
          <w:rFonts w:ascii="微软雅黑" w:hAnsi="微软雅黑" w:eastAsia="微软雅黑" w:cs="微软雅黑"/>
          <w:sz w:val="24"/>
        </w:rPr>
      </w:pPr>
      <w:r>
        <w:rPr>
          <w:rFonts w:hint="eastAsia" w:ascii="微软雅黑" w:hAnsi="微软雅黑" w:eastAsia="微软雅黑" w:cs="微软雅黑"/>
          <w:sz w:val="24"/>
        </w:rPr>
        <w:t>被群众举报经核实情况属实的，每次扣1000—2000元人民币，情节严重的采购人有权取消合同。</w:t>
      </w:r>
    </w:p>
    <w:p>
      <w:pPr>
        <w:numPr>
          <w:ilvl w:val="1"/>
          <w:numId w:val="23"/>
        </w:numPr>
        <w:spacing w:line="400" w:lineRule="exact"/>
        <w:rPr>
          <w:rFonts w:ascii="微软雅黑" w:hAnsi="微软雅黑" w:eastAsia="微软雅黑" w:cs="微软雅黑"/>
          <w:sz w:val="24"/>
        </w:rPr>
      </w:pPr>
      <w:r>
        <w:rPr>
          <w:rFonts w:hint="eastAsia" w:ascii="微软雅黑" w:hAnsi="微软雅黑" w:eastAsia="微软雅黑" w:cs="微软雅黑"/>
          <w:sz w:val="24"/>
        </w:rPr>
        <w:t>被媒体曝光造成不良影响的，每次扣2000—5000元人民币，情节严重的采购人有权取消合同。</w:t>
      </w:r>
    </w:p>
    <w:p>
      <w:pPr>
        <w:numPr>
          <w:ilvl w:val="1"/>
          <w:numId w:val="23"/>
        </w:numPr>
        <w:spacing w:line="400" w:lineRule="exact"/>
        <w:rPr>
          <w:rFonts w:ascii="微软雅黑" w:hAnsi="微软雅黑" w:eastAsia="微软雅黑" w:cs="微软雅黑"/>
          <w:sz w:val="24"/>
        </w:rPr>
      </w:pPr>
      <w:r>
        <w:rPr>
          <w:rFonts w:hint="eastAsia" w:ascii="微软雅黑" w:hAnsi="微软雅黑" w:eastAsia="微软雅黑" w:cs="微软雅黑"/>
          <w:sz w:val="24"/>
        </w:rPr>
        <w:t>因中标人原因造成重大负面影响的，扣除30000-50000元人民币，且采购人有权取消合同。</w:t>
      </w:r>
    </w:p>
    <w:p>
      <w:pPr>
        <w:numPr>
          <w:ilvl w:val="0"/>
          <w:numId w:val="14"/>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b/>
          <w:bCs/>
          <w:sz w:val="24"/>
        </w:rPr>
        <w:t>其他要求</w:t>
      </w:r>
    </w:p>
    <w:p>
      <w:pPr>
        <w:numPr>
          <w:ilvl w:val="0"/>
          <w:numId w:val="25"/>
        </w:numPr>
        <w:kinsoku w:val="0"/>
        <w:overflowPunct w:val="0"/>
        <w:spacing w:before="34" w:after="120"/>
        <w:ind w:right="128"/>
        <w:rPr>
          <w:rFonts w:ascii="微软雅黑" w:hAnsi="微软雅黑" w:eastAsia="微软雅黑" w:cs="微软雅黑"/>
          <w:sz w:val="24"/>
        </w:rPr>
      </w:pPr>
      <w:r>
        <w:rPr>
          <w:rFonts w:hint="eastAsia" w:ascii="微软雅黑" w:hAnsi="微软雅黑" w:eastAsia="微软雅黑" w:cs="微软雅黑"/>
          <w:sz w:val="24"/>
        </w:rPr>
        <w:t>中标人在入场进行服务时必须确保人员、设备等按要求同时进场。</w:t>
      </w:r>
    </w:p>
    <w:p>
      <w:pPr>
        <w:numPr>
          <w:ilvl w:val="0"/>
          <w:numId w:val="25"/>
        </w:numPr>
        <w:jc w:val="left"/>
        <w:rPr>
          <w:rFonts w:ascii="微软雅黑" w:hAnsi="微软雅黑" w:eastAsia="微软雅黑" w:cs="微软雅黑"/>
          <w:sz w:val="24"/>
        </w:rPr>
      </w:pPr>
      <w:r>
        <w:rPr>
          <w:rFonts w:hint="eastAsia" w:ascii="微软雅黑" w:hAnsi="微软雅黑" w:eastAsia="微软雅黑" w:cs="微软雅黑"/>
          <w:sz w:val="24"/>
        </w:rPr>
        <w:t>中标人对服务于本项目工作人员的工资发放标准不得低于湖州市最低工资标准。</w:t>
      </w:r>
    </w:p>
    <w:p>
      <w:pPr>
        <w:numPr>
          <w:ilvl w:val="0"/>
          <w:numId w:val="25"/>
        </w:numPr>
        <w:kinsoku w:val="0"/>
        <w:overflowPunct w:val="0"/>
        <w:spacing w:before="34" w:after="120"/>
        <w:ind w:right="102"/>
        <w:rPr>
          <w:rFonts w:ascii="微软雅黑" w:hAnsi="微软雅黑" w:eastAsia="微软雅黑" w:cs="微软雅黑"/>
          <w:sz w:val="24"/>
        </w:rPr>
      </w:pPr>
      <w:r>
        <w:rPr>
          <w:rFonts w:hint="eastAsia" w:ascii="微软雅黑" w:hAnsi="微软雅黑" w:eastAsia="微软雅黑" w:cs="微软雅黑"/>
          <w:sz w:val="24"/>
        </w:rPr>
        <w:t>中标人必须为以上工作人员购买意外保险、工伤保险和社会保险等，法定年龄外的必须购买意外保险或工伤险，国家相关政策调整的应按调整后的政策严格执行，并报采购人备案。</w:t>
      </w:r>
    </w:p>
    <w:p>
      <w:pPr>
        <w:numPr>
          <w:ilvl w:val="0"/>
          <w:numId w:val="25"/>
        </w:numPr>
        <w:kinsoku w:val="0"/>
        <w:overflowPunct w:val="0"/>
        <w:spacing w:before="34" w:after="120"/>
        <w:ind w:right="102"/>
        <w:rPr>
          <w:rFonts w:ascii="微软雅黑" w:hAnsi="微软雅黑" w:eastAsia="微软雅黑" w:cs="微软雅黑"/>
          <w:sz w:val="24"/>
        </w:rPr>
      </w:pPr>
      <w:r>
        <w:rPr>
          <w:rFonts w:hint="eastAsia" w:ascii="微软雅黑" w:hAnsi="微软雅黑" w:eastAsia="微软雅黑" w:cs="微软雅黑"/>
          <w:sz w:val="24"/>
        </w:rPr>
        <w:t>中标人作业人员在作业时应严格遵守劳动纪律，遵守安全操作规程，确</w:t>
      </w:r>
      <w:r>
        <w:rPr>
          <w:rFonts w:hint="eastAsia" w:ascii="微软雅黑" w:hAnsi="微软雅黑" w:eastAsia="微软雅黑" w:cs="微软雅黑"/>
          <w:spacing w:val="-2"/>
          <w:sz w:val="24"/>
        </w:rPr>
        <w:t>保安全。发生各种意外事故均由中标人自己依照法律法规妥善处理，采购人</w:t>
      </w:r>
      <w:r>
        <w:rPr>
          <w:rFonts w:hint="eastAsia" w:ascii="微软雅黑" w:hAnsi="微软雅黑" w:eastAsia="微软雅黑" w:cs="微软雅黑"/>
          <w:sz w:val="24"/>
        </w:rPr>
        <w:t>不承担任何法律责任。</w:t>
      </w:r>
    </w:p>
    <w:p>
      <w:pPr>
        <w:numPr>
          <w:ilvl w:val="0"/>
          <w:numId w:val="25"/>
        </w:numPr>
        <w:autoSpaceDE w:val="0"/>
        <w:autoSpaceDN w:val="0"/>
        <w:adjustRightInd w:val="0"/>
        <w:jc w:val="left"/>
        <w:rPr>
          <w:rFonts w:ascii="微软雅黑" w:hAnsi="微软雅黑" w:eastAsia="微软雅黑" w:cs="微软雅黑"/>
          <w:b/>
          <w:bCs/>
          <w:kern w:val="0"/>
          <w:sz w:val="24"/>
          <w:szCs w:val="21"/>
          <w:lang w:val="zh-CN"/>
        </w:rPr>
      </w:pPr>
      <w:r>
        <w:rPr>
          <w:rFonts w:hint="eastAsia" w:ascii="微软雅黑" w:hAnsi="微软雅黑" w:eastAsia="微软雅黑" w:cs="微软雅黑"/>
          <w:b/>
          <w:bCs/>
          <w:kern w:val="0"/>
          <w:sz w:val="24"/>
          <w:szCs w:val="21"/>
          <w:lang w:val="zh-CN"/>
        </w:rPr>
        <w:t>工程安全事项及违约责任</w:t>
      </w:r>
    </w:p>
    <w:p>
      <w:pPr>
        <w:pStyle w:val="10"/>
        <w:numPr>
          <w:ilvl w:val="1"/>
          <w:numId w:val="26"/>
        </w:numPr>
        <w:spacing w:line="240" w:lineRule="auto"/>
        <w:rPr>
          <w:rFonts w:ascii="微软雅黑" w:hAnsi="微软雅黑" w:eastAsia="微软雅黑" w:cs="微软雅黑"/>
          <w:sz w:val="24"/>
        </w:rPr>
      </w:pPr>
      <w:r>
        <w:rPr>
          <w:rFonts w:hint="eastAsia" w:ascii="微软雅黑" w:hAnsi="微软雅黑" w:eastAsia="微软雅黑" w:cs="微软雅黑"/>
          <w:sz w:val="24"/>
        </w:rPr>
        <w:t>中标人应严格执行各项国家有关规定，有关技术人员必须持证上岗，专人专职负责安全。</w:t>
      </w:r>
    </w:p>
    <w:p>
      <w:pPr>
        <w:pStyle w:val="10"/>
        <w:numPr>
          <w:ilvl w:val="1"/>
          <w:numId w:val="26"/>
        </w:numPr>
        <w:spacing w:line="240" w:lineRule="auto"/>
        <w:rPr>
          <w:rFonts w:ascii="微软雅黑" w:hAnsi="微软雅黑" w:eastAsia="微软雅黑" w:cs="微软雅黑"/>
          <w:sz w:val="24"/>
        </w:rPr>
      </w:pPr>
      <w:r>
        <w:rPr>
          <w:rFonts w:hint="eastAsia" w:ascii="微软雅黑" w:hAnsi="微软雅黑" w:eastAsia="微软雅黑" w:cs="微软雅黑"/>
          <w:sz w:val="24"/>
        </w:rPr>
        <w:t>中标人应严格按国家有关规定，为本项目所有养护人员办理相关保险事宜（如工伤保险等）。</w:t>
      </w:r>
    </w:p>
    <w:p>
      <w:pPr>
        <w:pStyle w:val="10"/>
        <w:numPr>
          <w:ilvl w:val="1"/>
          <w:numId w:val="26"/>
        </w:numPr>
        <w:spacing w:line="240" w:lineRule="auto"/>
        <w:rPr>
          <w:rFonts w:ascii="微软雅黑" w:hAnsi="微软雅黑" w:eastAsia="微软雅黑" w:cs="微软雅黑"/>
          <w:sz w:val="24"/>
        </w:rPr>
      </w:pPr>
      <w:r>
        <w:rPr>
          <w:rFonts w:hint="eastAsia" w:ascii="微软雅黑" w:hAnsi="微软雅黑" w:eastAsia="微软雅黑" w:cs="微软雅黑"/>
          <w:sz w:val="24"/>
        </w:rPr>
        <w:t>中标人应实施严格的各类安全防护措施，切实做好施工、养护期间的安民告示，设置必要的警戒标志，线杆保护措施，制定保障人员出行安全畅通的保证措施，做好照明、看守和警卫工作，有毒气体防护措施和电源电线安全保护措施，并对工程现场的安全负责，接受发包人和监理单位的现场代表对安全措施的监督。中标人在施工、养护期间，若发生与本养护管理工程相关的安全事故和治安纠纷事件，一切法律和经济责任均由中标单位承担，发包人概不负责。</w:t>
      </w:r>
      <w:r>
        <w:rPr>
          <w:rFonts w:hint="eastAsia" w:ascii="微软雅黑" w:hAnsi="微软雅黑" w:eastAsia="微软雅黑" w:cs="微软雅黑"/>
          <w:snapToGrid w:val="0"/>
          <w:sz w:val="24"/>
        </w:rPr>
        <w:t>由于中标人安全措施不力、养护工作不到位、违反安全操作规程而导致责任事故或伤害，所发生的费用均由中标人自负，发包人保留追究责任的权利。</w:t>
      </w:r>
    </w:p>
    <w:p>
      <w:pPr>
        <w:pStyle w:val="10"/>
        <w:numPr>
          <w:ilvl w:val="1"/>
          <w:numId w:val="26"/>
        </w:numPr>
        <w:spacing w:line="240" w:lineRule="auto"/>
        <w:rPr>
          <w:rFonts w:ascii="微软雅黑" w:hAnsi="微软雅黑" w:eastAsia="微软雅黑" w:cs="微软雅黑"/>
          <w:sz w:val="24"/>
        </w:rPr>
      </w:pPr>
      <w:r>
        <w:rPr>
          <w:rFonts w:hint="eastAsia" w:ascii="微软雅黑" w:hAnsi="微软雅黑" w:eastAsia="微软雅黑" w:cs="微软雅黑"/>
          <w:sz w:val="24"/>
        </w:rPr>
        <w:t>中标人应做好抗灾减灾应急预案，密切注意气象预报，及时采取防范措施，防止暴风雨（台风）、洪水、雷电、冰冻、旱、雪等造成工程损害，中标人不得以除地震等不可抗力以外的自然灾害为由提出索赔要求。</w:t>
      </w:r>
    </w:p>
    <w:p>
      <w:pPr>
        <w:pStyle w:val="10"/>
        <w:numPr>
          <w:ilvl w:val="1"/>
          <w:numId w:val="26"/>
        </w:numPr>
      </w:pPr>
      <w:r>
        <w:rPr>
          <w:rFonts w:hint="eastAsia" w:ascii="微软雅黑" w:hAnsi="微软雅黑" w:eastAsia="微软雅黑" w:cs="微软雅黑"/>
          <w:sz w:val="24"/>
        </w:rPr>
        <w:t>中标人必须按投标时提供的人员配置，合理安排劳动力，未详之处按劳动法相关规定处理。</w:t>
      </w:r>
    </w:p>
    <w:p>
      <w:pPr>
        <w:numPr>
          <w:ilvl w:val="0"/>
          <w:numId w:val="14"/>
        </w:numPr>
        <w:spacing w:line="400" w:lineRule="exact"/>
        <w:jc w:val="left"/>
        <w:outlineLvl w:val="0"/>
        <w:rPr>
          <w:rFonts w:ascii="微软雅黑" w:hAnsi="微软雅黑" w:eastAsia="微软雅黑" w:cs="微软雅黑"/>
          <w:b/>
          <w:bCs/>
          <w:sz w:val="24"/>
        </w:rPr>
      </w:pPr>
      <w:r>
        <w:rPr>
          <w:rFonts w:hint="eastAsia" w:ascii="微软雅黑" w:hAnsi="微软雅黑" w:eastAsia="微软雅黑" w:cs="微软雅黑"/>
          <w:sz w:val="24"/>
        </w:rPr>
        <w:t>▲</w:t>
      </w:r>
      <w:r>
        <w:rPr>
          <w:rFonts w:hint="eastAsia" w:ascii="微软雅黑" w:hAnsi="微软雅黑" w:eastAsia="微软雅黑" w:cs="微软雅黑"/>
          <w:b/>
          <w:bCs/>
          <w:sz w:val="24"/>
        </w:rPr>
        <w:t>商务条款</w:t>
      </w:r>
    </w:p>
    <w:tbl>
      <w:tblPr>
        <w:tblStyle w:val="19"/>
        <w:tblW w:w="982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84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服务期</w:t>
            </w:r>
          </w:p>
        </w:tc>
        <w:tc>
          <w:tcPr>
            <w:tcW w:w="840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承包方式</w:t>
            </w:r>
          </w:p>
        </w:tc>
        <w:tc>
          <w:tcPr>
            <w:tcW w:w="8406" w:type="dxa"/>
            <w:tcBorders>
              <w:top w:val="single" w:color="auto" w:sz="4" w:space="0"/>
              <w:left w:val="single" w:color="auto" w:sz="4" w:space="0"/>
              <w:bottom w:val="single" w:color="auto" w:sz="4" w:space="0"/>
              <w:right w:val="single" w:color="auto" w:sz="4" w:space="0"/>
            </w:tcBorders>
          </w:tcPr>
          <w:p>
            <w:pPr>
              <w:spacing w:line="400" w:lineRule="exact"/>
              <w:jc w:val="left"/>
              <w:outlineLvl w:val="0"/>
              <w:rPr>
                <w:rFonts w:ascii="微软雅黑" w:hAnsi="微软雅黑" w:eastAsia="微软雅黑" w:cs="微软雅黑"/>
                <w:sz w:val="24"/>
              </w:rPr>
            </w:pPr>
            <w:r>
              <w:rPr>
                <w:rFonts w:hint="eastAsia" w:ascii="微软雅黑" w:hAnsi="微软雅黑" w:eastAsia="微软雅黑" w:cs="微软雅黑"/>
                <w:sz w:val="24"/>
              </w:rPr>
              <w:t>包工包料、包机械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服务地点</w:t>
            </w:r>
          </w:p>
        </w:tc>
        <w:tc>
          <w:tcPr>
            <w:tcW w:w="8406" w:type="dxa"/>
            <w:tcBorders>
              <w:top w:val="single" w:color="auto" w:sz="4" w:space="0"/>
              <w:left w:val="single" w:color="auto" w:sz="4" w:space="0"/>
              <w:bottom w:val="single" w:color="auto" w:sz="4" w:space="0"/>
              <w:right w:val="single" w:color="auto" w:sz="4" w:space="0"/>
            </w:tcBorders>
          </w:tcPr>
          <w:p>
            <w:pPr>
              <w:spacing w:line="360" w:lineRule="auto"/>
              <w:rPr>
                <w:rFonts w:ascii="微软雅黑" w:hAnsi="微软雅黑" w:eastAsia="微软雅黑" w:cs="微软雅黑"/>
                <w:sz w:val="24"/>
              </w:rPr>
            </w:pPr>
            <w:r>
              <w:rPr>
                <w:rFonts w:hint="eastAsia" w:ascii="微软雅黑" w:hAnsi="微软雅黑" w:eastAsia="微软雅黑" w:cs="微软雅黑"/>
                <w:sz w:val="24"/>
              </w:rPr>
              <w:t xml:space="preserve">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履约保证金</w:t>
            </w:r>
          </w:p>
        </w:tc>
        <w:tc>
          <w:tcPr>
            <w:tcW w:w="84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微软雅黑" w:hAnsi="微软雅黑" w:eastAsia="微软雅黑" w:cs="微软雅黑"/>
                <w:bCs/>
                <w:sz w:val="24"/>
              </w:rPr>
            </w:pPr>
            <w:r>
              <w:rPr>
                <w:rFonts w:hint="eastAsia" w:ascii="微软雅黑" w:hAnsi="微软雅黑" w:eastAsia="微软雅黑" w:cs="微软雅黑"/>
                <w:sz w:val="24"/>
              </w:rPr>
              <w:t>本项目的履约保证金</w:t>
            </w:r>
            <w:r>
              <w:rPr>
                <w:rFonts w:hint="eastAsia" w:ascii="微软雅黑" w:hAnsi="微软雅黑" w:eastAsia="微软雅黑" w:cs="微软雅黑"/>
                <w:bCs/>
                <w:sz w:val="24"/>
              </w:rPr>
              <w:t>按年合同金额的</w:t>
            </w:r>
            <w:r>
              <w:rPr>
                <w:rFonts w:hint="eastAsia" w:ascii="微软雅黑" w:hAnsi="微软雅黑" w:eastAsia="微软雅黑" w:cs="微软雅黑"/>
                <w:bCs/>
                <w:sz w:val="24"/>
                <w:lang w:eastAsia="zh-CN"/>
              </w:rPr>
              <w:t>1%</w:t>
            </w:r>
            <w:r>
              <w:rPr>
                <w:rFonts w:hint="eastAsia" w:ascii="微软雅黑" w:hAnsi="微软雅黑" w:eastAsia="微软雅黑" w:cs="微软雅黑"/>
                <w:bCs/>
                <w:sz w:val="24"/>
              </w:rPr>
              <w:t>计收</w:t>
            </w:r>
            <w:r>
              <w:rPr>
                <w:rFonts w:hint="eastAsia" w:ascii="微软雅黑" w:hAnsi="微软雅黑" w:eastAsia="微软雅黑" w:cs="微软雅黑"/>
                <w:sz w:val="24"/>
              </w:rPr>
              <w:t>；履约保证金形式为：以银行、保险公司出具保函形式； 网银电汇。</w:t>
            </w:r>
            <w:r>
              <w:rPr>
                <w:rFonts w:hint="eastAsia" w:ascii="微软雅黑" w:hAnsi="微软雅黑" w:eastAsia="微软雅黑" w:cs="微软雅黑"/>
                <w:bCs/>
                <w:sz w:val="24"/>
              </w:rPr>
              <w:t>合同履行完毕后30日内退还。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付款条件</w:t>
            </w:r>
          </w:p>
        </w:tc>
        <w:tc>
          <w:tcPr>
            <w:tcW w:w="840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（1）合同生效以及具备实施条件后7个工作日内支付年合同价款（扣除当年应急整治费用）的40%作为预付款；（2）服务费用分两部分支付：</w:t>
            </w:r>
            <w:r>
              <w:rPr>
                <w:rFonts w:ascii="Calibri" w:hAnsi="Calibri" w:eastAsia="微软雅黑" w:cs="Calibri"/>
                <w:sz w:val="24"/>
              </w:rPr>
              <w:t>①</w:t>
            </w:r>
            <w:r>
              <w:rPr>
                <w:rFonts w:hint="eastAsia" w:ascii="微软雅黑" w:hAnsi="微软雅黑" w:eastAsia="微软雅黑" w:cs="微软雅黑"/>
                <w:sz w:val="24"/>
              </w:rPr>
              <w:t>绿化养护费用及草花种植养护费用：招标人根据考核情况按季度支付【预付款在季度服务费用中逐步扣除，扣除比例为每季度扣除预付款金额的25%】，扣除考核处罚金等相关费用，待核实批准后结清；</w:t>
            </w:r>
            <w:r>
              <w:rPr>
                <w:rFonts w:ascii="Calibri" w:hAnsi="Calibri" w:eastAsia="微软雅黑" w:cs="Calibri"/>
                <w:sz w:val="24"/>
              </w:rPr>
              <w:t>②</w:t>
            </w:r>
            <w:r>
              <w:rPr>
                <w:rFonts w:hint="eastAsia" w:ascii="微软雅黑" w:hAnsi="微软雅黑" w:eastAsia="微软雅黑" w:cs="微软雅黑"/>
                <w:sz w:val="24"/>
              </w:rPr>
              <w:t>应急整治费用按实结算，在最后一个季度待核实批准后一次性结清。（3）采购人在向供应商支付预付款之前，有权要求供应商向采购人提供与预付款金额相对应的担保措施，担保措施可以是银行、保险公司等金融机构出具的预付教保函或其他担保措施。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r>
    </w:tbl>
    <w:p>
      <w:pPr>
        <w:pStyle w:val="5"/>
        <w:tabs>
          <w:tab w:val="left" w:pos="360"/>
          <w:tab w:val="clear" w:pos="432"/>
        </w:tabs>
        <w:ind w:left="0" w:firstLine="0"/>
        <w:jc w:val="both"/>
        <w:rPr>
          <w:rFonts w:hAnsi="宋体"/>
          <w:bCs/>
          <w:color w:val="FF0000"/>
          <w:sz w:val="24"/>
        </w:rPr>
      </w:pPr>
    </w:p>
    <w:p>
      <w:pPr>
        <w:spacing w:line="400" w:lineRule="exact"/>
        <w:rPr>
          <w:rFonts w:ascii="微软雅黑" w:hAnsi="微软雅黑" w:eastAsia="微软雅黑" w:cs="微软雅黑"/>
          <w:b/>
          <w:sz w:val="44"/>
          <w:szCs w:val="44"/>
        </w:rPr>
        <w:sectPr>
          <w:headerReference r:id="rId12" w:type="default"/>
          <w:footerReference r:id="rId13" w:type="default"/>
          <w:pgSz w:w="11906" w:h="16838"/>
          <w:pgMar w:top="1531" w:right="779" w:bottom="1134" w:left="1134" w:header="851" w:footer="427" w:gutter="0"/>
          <w:cols w:space="720" w:num="1"/>
          <w:docGrid w:linePitch="312" w:charSpace="0"/>
        </w:sectPr>
      </w:pPr>
      <w:r>
        <w:rPr>
          <w:rFonts w:hint="eastAsia" w:ascii="微软雅黑" w:hAnsi="微软雅黑" w:eastAsia="微软雅黑" w:cs="微软雅黑"/>
          <w:sz w:val="24"/>
          <w:u w:val="single"/>
        </w:rPr>
        <w:t>本招标文件中带 “</w:t>
      </w:r>
      <w:r>
        <w:rPr>
          <w:rFonts w:hint="eastAsia" w:ascii="微软雅黑" w:hAnsi="微软雅黑" w:eastAsia="微软雅黑" w:cs="微软雅黑"/>
          <w:kern w:val="0"/>
          <w:sz w:val="24"/>
          <w:u w:val="single"/>
        </w:rPr>
        <w:t>▲</w:t>
      </w:r>
      <w:r>
        <w:rPr>
          <w:rFonts w:hint="eastAsia" w:ascii="微软雅黑" w:hAnsi="微软雅黑" w:eastAsia="微软雅黑" w:cs="微软雅黑"/>
          <w:sz w:val="24"/>
          <w:u w:val="single"/>
        </w:rPr>
        <w:t>”的有关技术和商务条款为实质性条款，投标人必须在投标文件中作出实质性响应，否则投标无效。</w:t>
      </w:r>
    </w:p>
    <w:p>
      <w:pPr>
        <w:spacing w:line="500" w:lineRule="exact"/>
        <w:jc w:val="both"/>
        <w:rPr>
          <w:rFonts w:hint="eastAsia" w:ascii="宋体" w:hAnsi="宋体" w:cs="宋体"/>
          <w:bCs/>
          <w:sz w:val="24"/>
        </w:rPr>
      </w:pPr>
    </w:p>
    <w:p>
      <w:pPr>
        <w:spacing w:line="500" w:lineRule="exact"/>
        <w:jc w:val="center"/>
        <w:rPr>
          <w:rFonts w:ascii="仿宋_GB2312" w:eastAsia="仿宋_GB2312"/>
          <w:b/>
          <w:szCs w:val="28"/>
        </w:rPr>
      </w:pPr>
      <w:r>
        <w:rPr>
          <w:rFonts w:hint="eastAsia" w:ascii="宋体" w:hAnsi="宋体" w:cs="宋体"/>
          <w:bCs/>
          <w:sz w:val="24"/>
        </w:rPr>
        <w:t>附件一：</w:t>
      </w:r>
      <w:r>
        <w:rPr>
          <w:rFonts w:hint="eastAsia" w:ascii="仿宋_GB2312" w:eastAsia="仿宋_GB2312"/>
          <w:b/>
          <w:szCs w:val="28"/>
        </w:rPr>
        <w:t>绿地养护考核评分细则（月考/季考）</w:t>
      </w:r>
    </w:p>
    <w:p>
      <w:pPr>
        <w:spacing w:line="500" w:lineRule="exact"/>
        <w:rPr>
          <w:rFonts w:ascii="仿宋_GB2312" w:eastAsia="仿宋_GB2312"/>
          <w:b/>
          <w:szCs w:val="28"/>
        </w:rPr>
      </w:pPr>
      <w:r>
        <w:rPr>
          <w:rFonts w:hint="eastAsia" w:ascii="仿宋_GB2312" w:eastAsia="仿宋_GB2312"/>
          <w:sz w:val="24"/>
        </w:rPr>
        <w:t xml:space="preserve">养护单位：                                         </w:t>
      </w:r>
    </w:p>
    <w:tbl>
      <w:tblPr>
        <w:tblStyle w:val="19"/>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224"/>
        <w:gridCol w:w="3285"/>
        <w:gridCol w:w="66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30" w:type="dxa"/>
            <w:vAlign w:val="center"/>
          </w:tcPr>
          <w:p>
            <w:pPr>
              <w:spacing w:line="500" w:lineRule="exact"/>
              <w:jc w:val="center"/>
              <w:rPr>
                <w:rFonts w:ascii="仿宋_GB2312" w:eastAsia="仿宋_GB2312"/>
                <w:b/>
                <w:sz w:val="24"/>
              </w:rPr>
            </w:pPr>
            <w:r>
              <w:rPr>
                <w:rFonts w:hint="eastAsia" w:ascii="仿宋_GB2312" w:eastAsia="仿宋_GB2312"/>
                <w:b/>
                <w:sz w:val="24"/>
              </w:rPr>
              <w:t>项目</w:t>
            </w:r>
          </w:p>
        </w:tc>
        <w:tc>
          <w:tcPr>
            <w:tcW w:w="3224" w:type="dxa"/>
            <w:vAlign w:val="center"/>
          </w:tcPr>
          <w:p>
            <w:pPr>
              <w:spacing w:line="500" w:lineRule="exact"/>
              <w:jc w:val="center"/>
              <w:rPr>
                <w:rFonts w:ascii="仿宋_GB2312" w:eastAsia="仿宋_GB2312"/>
                <w:b/>
                <w:sz w:val="24"/>
              </w:rPr>
            </w:pPr>
            <w:r>
              <w:rPr>
                <w:rFonts w:hint="eastAsia" w:ascii="仿宋_GB2312" w:eastAsia="仿宋_GB2312"/>
                <w:b/>
                <w:sz w:val="24"/>
              </w:rPr>
              <w:t>分项标准</w:t>
            </w:r>
          </w:p>
        </w:tc>
        <w:tc>
          <w:tcPr>
            <w:tcW w:w="3285" w:type="dxa"/>
            <w:vAlign w:val="center"/>
          </w:tcPr>
          <w:p>
            <w:pPr>
              <w:spacing w:line="500" w:lineRule="exact"/>
              <w:jc w:val="center"/>
              <w:rPr>
                <w:rFonts w:ascii="仿宋_GB2312" w:eastAsia="仿宋_GB2312"/>
                <w:b/>
                <w:sz w:val="24"/>
              </w:rPr>
            </w:pPr>
            <w:r>
              <w:rPr>
                <w:rFonts w:hint="eastAsia" w:ascii="仿宋_GB2312" w:eastAsia="仿宋_GB2312"/>
                <w:b/>
                <w:sz w:val="24"/>
              </w:rPr>
              <w:t>评分细则</w:t>
            </w:r>
          </w:p>
        </w:tc>
        <w:tc>
          <w:tcPr>
            <w:tcW w:w="660" w:type="dxa"/>
            <w:vAlign w:val="center"/>
          </w:tcPr>
          <w:p>
            <w:pPr>
              <w:spacing w:line="500" w:lineRule="exact"/>
              <w:jc w:val="center"/>
              <w:rPr>
                <w:rFonts w:ascii="仿宋_GB2312" w:eastAsia="仿宋_GB2312"/>
                <w:b/>
                <w:sz w:val="24"/>
              </w:rPr>
            </w:pPr>
            <w:r>
              <w:rPr>
                <w:rFonts w:hint="eastAsia" w:ascii="仿宋_GB2312" w:eastAsia="仿宋_GB2312"/>
                <w:b/>
                <w:sz w:val="24"/>
              </w:rPr>
              <w:t>得分</w:t>
            </w:r>
          </w:p>
        </w:tc>
        <w:tc>
          <w:tcPr>
            <w:tcW w:w="1018" w:type="dxa"/>
            <w:vAlign w:val="center"/>
          </w:tcPr>
          <w:p>
            <w:pPr>
              <w:spacing w:line="500" w:lineRule="exact"/>
              <w:jc w:val="center"/>
              <w:rPr>
                <w:rFonts w:ascii="仿宋_GB2312" w:eastAsia="仿宋_GB2312"/>
                <w:b/>
                <w:sz w:val="24"/>
              </w:rPr>
            </w:pPr>
            <w:r>
              <w:rPr>
                <w:rFonts w:hint="eastAsia" w:ascii="仿宋_GB2312" w:eastAsia="仿宋_GB2312"/>
                <w:b/>
                <w:sz w:val="24"/>
              </w:rPr>
              <w:t>扣分内容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143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绿化养护</w:t>
            </w:r>
          </w:p>
          <w:p>
            <w:pPr>
              <w:spacing w:line="500" w:lineRule="exact"/>
              <w:jc w:val="center"/>
              <w:rPr>
                <w:rFonts w:ascii="仿宋_GB2312" w:eastAsia="仿宋_GB2312"/>
                <w:sz w:val="24"/>
              </w:rPr>
            </w:pPr>
            <w:r>
              <w:rPr>
                <w:rFonts w:hint="eastAsia" w:ascii="仿宋_GB2312" w:eastAsia="仿宋_GB2312"/>
                <w:sz w:val="24"/>
              </w:rPr>
              <w:t>（25分）</w:t>
            </w:r>
          </w:p>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乔木树冠完整，树干挺直，无死株、缺株及倒伏现象，景观效果良好；修剪及时，无枯枝、死枝、下垂枝；叶片不黄、焦、卷；及时抹芽；树池覆盖完好，黄土不裸露（10分）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发现死株，扣2分/株，乔木有倾斜或倒伏现象，扣1分/株；不及时修剪、摸芽，扣2分，不按要求乱修剪，扣3分</w:t>
            </w:r>
            <w:r>
              <w:rPr>
                <w:rFonts w:hint="eastAsia" w:ascii="微软雅黑" w:hAnsi="微软雅黑" w:eastAsia="微软雅黑" w:cs="微软雅黑"/>
                <w:kern w:val="0"/>
                <w:szCs w:val="21"/>
              </w:rPr>
              <w:t>；</w:t>
            </w:r>
            <w:r>
              <w:rPr>
                <w:rFonts w:hint="eastAsia" w:ascii="仿宋_GB2312" w:eastAsia="仿宋_GB2312"/>
                <w:sz w:val="24"/>
              </w:rPr>
              <w:t>有明显枯死、下垂枝、焦卷叶，扣1分/株；树池黄土裸露，扣0.5分/处。</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灌木无缺株、死株；色块完整，修剪及时，无杂草；植物高度不得影响交通视线（6分）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发现缺、死株，扣1分/处；绿篱未及时修剪，有窜枝，扣1分/处；分数扣完为止。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草坪覆盖率95%以上，无明显杂草，修剪及时，草高不超过8厘米（4分）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草坪内有杂草，扣1分/处；草坪覆盖率不符合要求，1分/处；草坪高度不符合要求，1分/处；</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绿地内无枯枝、残叶；修剪后的垃圾及时清理（重点区域随产随清，其它区域日产日清）（5分）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发现枯叶、残叶，扣1分/处；修剪后垃圾未及时清理，扣1分/处；分数扣完为止。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3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环境卫生（10分）</w:t>
            </w: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园内、园路全日保洁；果壳日产日清（</w:t>
            </w:r>
            <w:r>
              <w:rPr>
                <w:rFonts w:ascii="仿宋_GB2312" w:eastAsia="仿宋_GB2312"/>
                <w:sz w:val="24"/>
              </w:rPr>
              <w:t>5</w:t>
            </w:r>
            <w:r>
              <w:rPr>
                <w:rFonts w:hint="eastAsia" w:ascii="仿宋_GB2312" w:eastAsia="仿宋_GB2312"/>
                <w:sz w:val="24"/>
              </w:rPr>
              <w:t>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有一项内容不符合要求，扣1分，扣完为止。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绿地内及附属设施整洁，无垃圾；无堆物、堆料现象；叶面无积尘（</w:t>
            </w:r>
            <w:r>
              <w:rPr>
                <w:rFonts w:ascii="仿宋_GB2312" w:eastAsia="仿宋_GB2312"/>
                <w:sz w:val="24"/>
              </w:rPr>
              <w:t>5</w:t>
            </w:r>
            <w:r>
              <w:rPr>
                <w:rFonts w:hint="eastAsia" w:ascii="仿宋_GB2312" w:eastAsia="仿宋_GB2312"/>
                <w:sz w:val="24"/>
              </w:rPr>
              <w:t>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有一项内容不符合要求，扣1分，扣完为止。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43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设施</w:t>
            </w:r>
          </w:p>
          <w:p>
            <w:pPr>
              <w:spacing w:line="500" w:lineRule="exact"/>
              <w:jc w:val="center"/>
              <w:rPr>
                <w:rFonts w:ascii="仿宋_GB2312" w:eastAsia="仿宋_GB2312"/>
                <w:sz w:val="24"/>
              </w:rPr>
            </w:pPr>
            <w:r>
              <w:rPr>
                <w:rFonts w:hint="eastAsia" w:ascii="仿宋_GB2312" w:eastAsia="仿宋_GB2312"/>
                <w:sz w:val="24"/>
              </w:rPr>
              <w:t>维护</w:t>
            </w:r>
          </w:p>
          <w:p>
            <w:pPr>
              <w:spacing w:line="50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15</w:t>
            </w:r>
            <w:r>
              <w:rPr>
                <w:rFonts w:hint="eastAsia" w:ascii="仿宋_GB2312" w:eastAsia="仿宋_GB2312"/>
                <w:sz w:val="24"/>
              </w:rPr>
              <w:t>分）</w:t>
            </w:r>
          </w:p>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公园、绿地内、果壳箱、座凳护栏等设施完好，分布合理，保持整洁（5分）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发现破损、脏污，扣1分/处，扣完为止。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园路铺装平整，无大面积破损，无积水，无淤泥（5分）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铺装破损，扣1分/m2；发现积水、淤泥，扣1分/处；分数扣完为止。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廊、亭等小品保持安全，维护良好（5分）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不符要求，扣1分/处；发现安全隐患未及时处理和汇报，本项不得分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430" w:type="dxa"/>
            <w:vAlign w:val="center"/>
          </w:tcPr>
          <w:p>
            <w:pPr>
              <w:spacing w:line="500" w:lineRule="exact"/>
              <w:rPr>
                <w:rFonts w:ascii="仿宋_GB2312" w:eastAsia="仿宋_GB2312"/>
                <w:sz w:val="24"/>
              </w:rPr>
            </w:pPr>
          </w:p>
          <w:p>
            <w:pPr>
              <w:spacing w:line="500" w:lineRule="exact"/>
              <w:jc w:val="center"/>
              <w:rPr>
                <w:rFonts w:ascii="仿宋_GB2312" w:eastAsia="仿宋_GB2312"/>
                <w:sz w:val="24"/>
              </w:rPr>
            </w:pPr>
            <w:r>
              <w:rPr>
                <w:rFonts w:hint="eastAsia" w:ascii="仿宋_GB2312" w:eastAsia="仿宋_GB2312"/>
                <w:sz w:val="24"/>
              </w:rPr>
              <w:t>土肥</w:t>
            </w:r>
          </w:p>
          <w:p>
            <w:pPr>
              <w:spacing w:line="500" w:lineRule="exact"/>
              <w:jc w:val="center"/>
              <w:rPr>
                <w:rFonts w:ascii="仿宋_GB2312" w:eastAsia="仿宋_GB2312"/>
                <w:sz w:val="24"/>
              </w:rPr>
            </w:pPr>
            <w:r>
              <w:rPr>
                <w:rFonts w:hint="eastAsia" w:ascii="仿宋_GB2312" w:eastAsia="仿宋_GB2312"/>
                <w:sz w:val="24"/>
              </w:rPr>
              <w:t>标准</w:t>
            </w:r>
          </w:p>
          <w:p>
            <w:pPr>
              <w:spacing w:line="500" w:lineRule="exact"/>
              <w:jc w:val="center"/>
              <w:rPr>
                <w:rFonts w:ascii="仿宋_GB2312" w:eastAsia="仿宋_GB2312"/>
                <w:sz w:val="24"/>
              </w:rPr>
            </w:pPr>
            <w:r>
              <w:rPr>
                <w:rFonts w:hint="eastAsia" w:ascii="仿宋_GB2312" w:eastAsia="仿宋_GB2312"/>
                <w:sz w:val="24"/>
              </w:rPr>
              <w:t>（5）</w:t>
            </w:r>
          </w:p>
          <w:p>
            <w:pPr>
              <w:spacing w:line="500" w:lineRule="exact"/>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土壤疏松，根据植物生态习性及时施肥；要求一年施肥两次（5分）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不按规定及时施肥，扣1分/处；不及时覆盖，发现一处扣1分；偷工减料，肥料挪作他用，发现一次扣2分。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43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病虫害防治（10分）</w:t>
            </w: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预防为主，发现虫害主动汇报，积极防治，对症用药，用量正确，无药害产生</w:t>
            </w:r>
          </w:p>
          <w:p>
            <w:pPr>
              <w:spacing w:line="500" w:lineRule="exact"/>
              <w:jc w:val="center"/>
              <w:rPr>
                <w:rFonts w:ascii="仿宋_GB2312" w:eastAsia="仿宋_GB2312"/>
                <w:sz w:val="24"/>
              </w:rPr>
            </w:pPr>
            <w:r>
              <w:rPr>
                <w:rFonts w:hint="eastAsia" w:ascii="仿宋_GB2312" w:eastAsia="仿宋_GB2312"/>
                <w:sz w:val="24"/>
              </w:rPr>
              <w:t>（5分）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发现虫害不汇报，扣2分/处，发现病虫害防治不及时有明显危害症状扣2分/次；用药、用量不正确，扣1分/次</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冬季树木涂白、修剪，及时清理消灭越冬虫蛹、虫茧（5分）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未实施，有一项扣1分，扣完为止。</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30" w:type="dxa"/>
            <w:vAlign w:val="center"/>
          </w:tcPr>
          <w:p>
            <w:pPr>
              <w:spacing w:line="500" w:lineRule="exact"/>
              <w:jc w:val="center"/>
              <w:rPr>
                <w:rFonts w:ascii="仿宋_GB2312" w:eastAsia="仿宋_GB2312"/>
                <w:sz w:val="24"/>
              </w:rPr>
            </w:pPr>
            <w:r>
              <w:rPr>
                <w:rFonts w:hint="eastAsia" w:ascii="仿宋_GB2312" w:eastAsia="仿宋_GB2312"/>
                <w:sz w:val="24"/>
              </w:rPr>
              <w:t>浇水</w:t>
            </w:r>
          </w:p>
          <w:p>
            <w:pPr>
              <w:spacing w:line="50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分）</w:t>
            </w: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根据实际特别是夏季，对苗木、灌木、草坪进行适期适量浇水，及时抗旱，确保正常生长。</w:t>
            </w:r>
          </w:p>
          <w:p>
            <w:pPr>
              <w:spacing w:line="50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未及时浇灌，致使绿地植物生长不良，乔木扣0.2分/株，灌木、草坪扣0.2分/M2，苗木死亡，扣分加倍</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restart"/>
            <w:vAlign w:val="center"/>
          </w:tcPr>
          <w:p>
            <w:pPr>
              <w:spacing w:line="500" w:lineRule="exact"/>
              <w:jc w:val="center"/>
              <w:rPr>
                <w:rFonts w:ascii="仿宋_GB2312" w:eastAsia="仿宋_GB2312"/>
                <w:sz w:val="24"/>
              </w:rPr>
            </w:pPr>
          </w:p>
          <w:p>
            <w:pPr>
              <w:spacing w:line="500" w:lineRule="exact"/>
              <w:jc w:val="center"/>
              <w:rPr>
                <w:rFonts w:ascii="仿宋_GB2312" w:eastAsia="仿宋_GB2312"/>
                <w:sz w:val="24"/>
              </w:rPr>
            </w:pPr>
            <w:r>
              <w:rPr>
                <w:rFonts w:hint="eastAsia" w:ascii="仿宋_GB2312" w:eastAsia="仿宋_GB2312"/>
                <w:sz w:val="24"/>
              </w:rPr>
              <w:t>管理、</w:t>
            </w:r>
          </w:p>
          <w:p>
            <w:pPr>
              <w:spacing w:line="500" w:lineRule="exact"/>
              <w:jc w:val="center"/>
              <w:rPr>
                <w:rFonts w:ascii="仿宋_GB2312" w:eastAsia="仿宋_GB2312"/>
                <w:sz w:val="24"/>
              </w:rPr>
            </w:pPr>
            <w:r>
              <w:rPr>
                <w:rFonts w:hint="eastAsia" w:ascii="仿宋_GB2312" w:eastAsia="仿宋_GB2312"/>
                <w:sz w:val="24"/>
              </w:rPr>
              <w:t>安全</w:t>
            </w:r>
          </w:p>
          <w:p>
            <w:pPr>
              <w:spacing w:line="500" w:lineRule="exact"/>
              <w:jc w:val="center"/>
              <w:rPr>
                <w:rFonts w:ascii="仿宋_GB2312" w:eastAsia="仿宋_GB2312"/>
                <w:sz w:val="24"/>
              </w:rPr>
            </w:pPr>
            <w:r>
              <w:rPr>
                <w:rFonts w:hint="eastAsia" w:ascii="仿宋_GB2312" w:eastAsia="仿宋_GB2312"/>
                <w:sz w:val="24"/>
              </w:rPr>
              <w:t>（20分）</w:t>
            </w:r>
          </w:p>
          <w:p>
            <w:pPr>
              <w:spacing w:line="500" w:lineRule="exact"/>
              <w:jc w:val="center"/>
              <w:rPr>
                <w:rFonts w:ascii="仿宋_GB2312" w:eastAsia="仿宋_GB2312"/>
                <w:sz w:val="24"/>
              </w:rPr>
            </w:pPr>
          </w:p>
          <w:p>
            <w:pPr>
              <w:spacing w:line="500" w:lineRule="exact"/>
              <w:jc w:val="center"/>
              <w:rPr>
                <w:rFonts w:ascii="仿宋_GB2312" w:eastAsia="仿宋_GB2312"/>
                <w:sz w:val="24"/>
              </w:rPr>
            </w:pPr>
          </w:p>
          <w:p>
            <w:pPr>
              <w:spacing w:line="500" w:lineRule="exact"/>
              <w:jc w:val="center"/>
              <w:rPr>
                <w:rFonts w:ascii="仿宋_GB2312" w:eastAsia="仿宋_GB2312"/>
                <w:sz w:val="24"/>
              </w:rPr>
            </w:pPr>
          </w:p>
          <w:p>
            <w:pPr>
              <w:spacing w:line="500" w:lineRule="exact"/>
              <w:jc w:val="center"/>
              <w:rPr>
                <w:rFonts w:ascii="仿宋_GB2312" w:eastAsia="仿宋_GB2312"/>
                <w:sz w:val="24"/>
              </w:rPr>
            </w:pPr>
          </w:p>
          <w:p>
            <w:pPr>
              <w:spacing w:line="500" w:lineRule="exact"/>
              <w:jc w:val="center"/>
              <w:rPr>
                <w:rFonts w:ascii="仿宋_GB2312" w:eastAsia="仿宋_GB2312"/>
                <w:sz w:val="24"/>
              </w:rPr>
            </w:pPr>
          </w:p>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台帐包括绿地基础资料、安全和工作日志、月度考核表、整改通知的处理情况。（4分）</w:t>
            </w:r>
          </w:p>
        </w:tc>
        <w:tc>
          <w:tcPr>
            <w:tcW w:w="3285" w:type="dxa"/>
            <w:vAlign w:val="center"/>
          </w:tcPr>
          <w:p>
            <w:pPr>
              <w:widowControl/>
              <w:spacing w:line="320" w:lineRule="exact"/>
              <w:jc w:val="left"/>
              <w:rPr>
                <w:rFonts w:ascii="微软雅黑" w:hAnsi="微软雅黑" w:eastAsia="微软雅黑" w:cs="微软雅黑"/>
                <w:kern w:val="0"/>
                <w:szCs w:val="21"/>
              </w:rPr>
            </w:pPr>
            <w:r>
              <w:rPr>
                <w:rFonts w:hint="eastAsia" w:ascii="仿宋_GB2312" w:eastAsia="仿宋_GB2312"/>
                <w:sz w:val="24"/>
              </w:rPr>
              <w:t>工作计划上报不及时，每次扣1分，不上报，每次扣2分；管理内容及工作完成情况、养护工作日记、养护巡查记录，未上报或详细性明显欠缺的，每处扣1分。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hint="eastAsia" w:ascii="仿宋_GB2312" w:eastAsia="仿宋_GB2312"/>
                <w:sz w:val="24"/>
                <w:lang w:eastAsia="zh-CN"/>
              </w:rPr>
            </w:pPr>
            <w:r>
              <w:rPr>
                <w:rFonts w:hint="eastAsia" w:ascii="仿宋_GB2312" w:eastAsia="仿宋_GB2312"/>
                <w:sz w:val="24"/>
                <w:lang w:eastAsia="zh-CN"/>
              </w:rPr>
              <w:t>日常巡查</w:t>
            </w:r>
            <w:r>
              <w:rPr>
                <w:rFonts w:hint="eastAsia" w:ascii="仿宋_GB2312" w:eastAsia="仿宋_GB2312"/>
                <w:sz w:val="24"/>
              </w:rPr>
              <w:t>（</w:t>
            </w:r>
            <w:r>
              <w:rPr>
                <w:rFonts w:hint="eastAsia" w:ascii="仿宋_GB2312" w:eastAsia="仿宋_GB2312"/>
                <w:sz w:val="24"/>
                <w:lang w:val="en-US" w:eastAsia="zh-CN"/>
              </w:rPr>
              <w:t>4</w:t>
            </w:r>
            <w:r>
              <w:rPr>
                <w:rFonts w:hint="eastAsia" w:ascii="仿宋_GB2312" w:eastAsia="仿宋_GB2312"/>
                <w:sz w:val="24"/>
              </w:rPr>
              <w:t>分）</w:t>
            </w:r>
          </w:p>
        </w:tc>
        <w:tc>
          <w:tcPr>
            <w:tcW w:w="3285" w:type="dxa"/>
            <w:vAlign w:val="center"/>
          </w:tcPr>
          <w:p>
            <w:pPr>
              <w:widowControl/>
              <w:spacing w:line="320" w:lineRule="exact"/>
              <w:jc w:val="left"/>
              <w:rPr>
                <w:rFonts w:hint="eastAsia" w:ascii="仿宋_GB2312" w:eastAsia="仿宋_GB2312"/>
                <w:sz w:val="24"/>
                <w:lang w:eastAsia="zh-CN"/>
              </w:rPr>
            </w:pPr>
            <w:r>
              <w:rPr>
                <w:rFonts w:hint="eastAsia" w:ascii="仿宋_GB2312" w:eastAsia="仿宋_GB2312"/>
                <w:sz w:val="24"/>
              </w:rPr>
              <w:t>每天安排巡查，并有记录，负责对开挖等损坏绿化的修复工作，未及时发现绿化被损坏的</w:t>
            </w:r>
            <w:r>
              <w:rPr>
                <w:rFonts w:hint="eastAsia" w:ascii="仿宋_GB2312" w:eastAsia="仿宋_GB2312"/>
                <w:sz w:val="24"/>
                <w:lang w:eastAsia="zh-CN"/>
              </w:rPr>
              <w:t>，</w:t>
            </w:r>
            <w:r>
              <w:rPr>
                <w:rFonts w:hint="eastAsia" w:ascii="仿宋_GB2312" w:eastAsia="仿宋_GB2312"/>
                <w:sz w:val="24"/>
              </w:rPr>
              <w:t>每处扣1分。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widowControl/>
              <w:spacing w:line="320" w:lineRule="exact"/>
              <w:jc w:val="left"/>
              <w:rPr>
                <w:rFonts w:ascii="仿宋_GB2312" w:eastAsia="仿宋_GB2312"/>
                <w:sz w:val="24"/>
              </w:rPr>
            </w:pPr>
            <w:r>
              <w:rPr>
                <w:rFonts w:hint="eastAsia" w:ascii="仿宋_GB2312" w:eastAsia="仿宋_GB2312"/>
                <w:sz w:val="24"/>
              </w:rPr>
              <w:t>养护人员、设备到位；着装统一仪容整洁，严格按安全生产操作规程组织作业，养护管理规范。（</w:t>
            </w:r>
            <w:r>
              <w:rPr>
                <w:rFonts w:hint="eastAsia" w:ascii="仿宋_GB2312" w:eastAsia="仿宋_GB2312"/>
                <w:sz w:val="24"/>
                <w:lang w:val="en-US" w:eastAsia="zh-CN"/>
              </w:rPr>
              <w:t>3</w:t>
            </w:r>
            <w:r>
              <w:rPr>
                <w:rFonts w:hint="eastAsia" w:ascii="仿宋_GB2312" w:eastAsia="仿宋_GB2312"/>
                <w:sz w:val="24"/>
              </w:rPr>
              <w:t>分）</w:t>
            </w:r>
          </w:p>
        </w:tc>
        <w:tc>
          <w:tcPr>
            <w:tcW w:w="3285" w:type="dxa"/>
            <w:vAlign w:val="center"/>
          </w:tcPr>
          <w:p>
            <w:pPr>
              <w:widowControl/>
              <w:spacing w:line="320" w:lineRule="exact"/>
              <w:jc w:val="left"/>
              <w:rPr>
                <w:rFonts w:ascii="仿宋_GB2312" w:eastAsia="仿宋_GB2312"/>
                <w:sz w:val="24"/>
              </w:rPr>
            </w:pPr>
            <w:r>
              <w:rPr>
                <w:rFonts w:hint="eastAsia" w:ascii="仿宋_GB2312" w:eastAsia="仿宋_GB2312"/>
                <w:sz w:val="24"/>
              </w:rPr>
              <w:t>按照规定养护人员数量不符合要求，扣全部分值；项目负责人不在现场，扣2分；工作人员服装不统一，不按要求安全作业，每次扣</w:t>
            </w:r>
            <w:r>
              <w:rPr>
                <w:rFonts w:hint="eastAsia" w:ascii="仿宋_GB2312" w:eastAsia="仿宋_GB2312"/>
                <w:sz w:val="24"/>
                <w:lang w:val="en-US" w:eastAsia="zh-CN"/>
              </w:rPr>
              <w:t>0.5</w:t>
            </w:r>
            <w:r>
              <w:rPr>
                <w:rFonts w:hint="eastAsia" w:ascii="仿宋_GB2312" w:eastAsia="仿宋_GB2312"/>
                <w:sz w:val="24"/>
              </w:rPr>
              <w:t>分；日常养护中设备不全的扣</w:t>
            </w:r>
            <w:r>
              <w:rPr>
                <w:rFonts w:hint="eastAsia" w:ascii="仿宋_GB2312" w:eastAsia="仿宋_GB2312"/>
                <w:sz w:val="24"/>
                <w:lang w:val="en-US" w:eastAsia="zh-CN"/>
              </w:rPr>
              <w:t>0.5</w:t>
            </w:r>
            <w:r>
              <w:rPr>
                <w:rFonts w:hint="eastAsia" w:ascii="仿宋_GB2312" w:eastAsia="仿宋_GB2312"/>
                <w:sz w:val="24"/>
              </w:rPr>
              <w:t>分；道路施工时，标识标牌不齐全的扣</w:t>
            </w:r>
            <w:r>
              <w:rPr>
                <w:rFonts w:hint="eastAsia" w:ascii="仿宋_GB2312" w:eastAsia="仿宋_GB2312"/>
                <w:sz w:val="24"/>
                <w:lang w:val="en-US" w:eastAsia="zh-CN"/>
              </w:rPr>
              <w:t>1</w:t>
            </w:r>
            <w:r>
              <w:rPr>
                <w:rFonts w:hint="eastAsia" w:ascii="仿宋_GB2312" w:eastAsia="仿宋_GB2312"/>
                <w:sz w:val="24"/>
              </w:rPr>
              <w:t>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widowControl/>
              <w:spacing w:line="320" w:lineRule="exact"/>
              <w:jc w:val="left"/>
              <w:rPr>
                <w:rFonts w:ascii="仿宋_GB2312" w:eastAsia="仿宋_GB2312"/>
                <w:sz w:val="24"/>
              </w:rPr>
            </w:pPr>
            <w:r>
              <w:rPr>
                <w:rFonts w:hint="eastAsia" w:ascii="仿宋_GB2312" w:eastAsia="仿宋_GB2312"/>
                <w:sz w:val="24"/>
              </w:rPr>
              <w:t>按管理单位要求，准时参加养护例会及培训等活动。（</w:t>
            </w:r>
            <w:r>
              <w:rPr>
                <w:rFonts w:hint="eastAsia" w:ascii="仿宋_GB2312" w:eastAsia="仿宋_GB2312"/>
                <w:sz w:val="24"/>
                <w:lang w:val="en-US" w:eastAsia="zh-CN"/>
              </w:rPr>
              <w:t>1</w:t>
            </w:r>
            <w:r>
              <w:rPr>
                <w:rFonts w:hint="eastAsia" w:ascii="仿宋_GB2312" w:eastAsia="仿宋_GB2312"/>
                <w:sz w:val="24"/>
              </w:rPr>
              <w:t>分）</w:t>
            </w:r>
          </w:p>
        </w:tc>
        <w:tc>
          <w:tcPr>
            <w:tcW w:w="3285" w:type="dxa"/>
            <w:vAlign w:val="center"/>
          </w:tcPr>
          <w:p>
            <w:pPr>
              <w:widowControl/>
              <w:spacing w:line="320" w:lineRule="exact"/>
              <w:jc w:val="left"/>
              <w:rPr>
                <w:rFonts w:ascii="仿宋_GB2312" w:eastAsia="仿宋_GB2312"/>
                <w:sz w:val="24"/>
              </w:rPr>
            </w:pPr>
            <w:r>
              <w:rPr>
                <w:rFonts w:hint="eastAsia" w:ascii="仿宋_GB2312" w:eastAsia="仿宋_GB2312"/>
                <w:sz w:val="24"/>
              </w:rPr>
              <w:t>迟到一次扣</w:t>
            </w:r>
            <w:r>
              <w:rPr>
                <w:rFonts w:hint="eastAsia" w:ascii="仿宋_GB2312" w:eastAsia="仿宋_GB2312"/>
                <w:sz w:val="24"/>
                <w:lang w:val="en-US" w:eastAsia="zh-CN"/>
              </w:rPr>
              <w:t>0.5</w:t>
            </w:r>
            <w:r>
              <w:rPr>
                <w:rFonts w:hint="eastAsia" w:ascii="仿宋_GB2312" w:eastAsia="仿宋_GB2312"/>
                <w:sz w:val="24"/>
              </w:rPr>
              <w:t>分；无故缺席一次扣</w:t>
            </w:r>
            <w:r>
              <w:rPr>
                <w:rFonts w:hint="eastAsia" w:ascii="仿宋_GB2312" w:eastAsia="仿宋_GB2312"/>
                <w:sz w:val="24"/>
                <w:lang w:val="en-US" w:eastAsia="zh-CN"/>
              </w:rPr>
              <w:t>1</w:t>
            </w:r>
            <w:r>
              <w:rPr>
                <w:rFonts w:hint="eastAsia" w:ascii="仿宋_GB2312" w:eastAsia="仿宋_GB2312"/>
                <w:sz w:val="24"/>
              </w:rPr>
              <w:t>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left"/>
              <w:rPr>
                <w:rFonts w:ascii="仿宋_GB2312" w:eastAsia="仿宋_GB2312"/>
                <w:sz w:val="24"/>
              </w:rPr>
            </w:pPr>
            <w:r>
              <w:rPr>
                <w:rFonts w:hint="eastAsia" w:ascii="仿宋_GB2312" w:eastAsia="仿宋_GB2312"/>
                <w:sz w:val="24"/>
              </w:rPr>
              <w:t>有防台、抗旱、抗雪应对预案，遇灾害性天气及时采取修枝、加固、浇水、打雪等措施（</w:t>
            </w:r>
            <w:r>
              <w:rPr>
                <w:rFonts w:hint="eastAsia" w:ascii="仿宋_GB2312" w:eastAsia="仿宋_GB2312"/>
                <w:sz w:val="24"/>
                <w:lang w:val="en-US" w:eastAsia="zh-CN"/>
              </w:rPr>
              <w:t>4</w:t>
            </w:r>
            <w:r>
              <w:rPr>
                <w:rFonts w:hint="eastAsia" w:ascii="仿宋_GB2312" w:eastAsia="仿宋_GB2312"/>
                <w:sz w:val="24"/>
              </w:rPr>
              <w:t>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遇灾害性天气，未采取措施扣1分/处；因此造成事故，本项不得分</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30" w:type="dxa"/>
            <w:vMerge w:val="continue"/>
            <w:vAlign w:val="center"/>
          </w:tcPr>
          <w:p>
            <w:pPr>
              <w:spacing w:line="500" w:lineRule="exact"/>
              <w:jc w:val="center"/>
              <w:rPr>
                <w:rFonts w:ascii="仿宋_GB2312" w:eastAsia="仿宋_GB2312"/>
                <w:sz w:val="24"/>
              </w:rPr>
            </w:pPr>
          </w:p>
        </w:tc>
        <w:tc>
          <w:tcPr>
            <w:tcW w:w="3224" w:type="dxa"/>
            <w:vAlign w:val="center"/>
          </w:tcPr>
          <w:p>
            <w:pPr>
              <w:spacing w:line="500" w:lineRule="exact"/>
              <w:jc w:val="center"/>
              <w:rPr>
                <w:rFonts w:ascii="仿宋_GB2312" w:eastAsia="仿宋_GB2312"/>
                <w:sz w:val="24"/>
              </w:rPr>
            </w:pPr>
            <w:r>
              <w:rPr>
                <w:rFonts w:hint="eastAsia" w:ascii="仿宋_GB2312" w:eastAsia="仿宋_GB2312"/>
                <w:sz w:val="24"/>
              </w:rPr>
              <w:t>保护所承担养护区域的绿地，发现破坏绿地情况，及时制止并上报（4分）</w:t>
            </w:r>
          </w:p>
        </w:tc>
        <w:tc>
          <w:tcPr>
            <w:tcW w:w="3285" w:type="dxa"/>
            <w:vAlign w:val="center"/>
          </w:tcPr>
          <w:p>
            <w:pPr>
              <w:spacing w:line="500" w:lineRule="exact"/>
              <w:jc w:val="center"/>
              <w:rPr>
                <w:rFonts w:ascii="仿宋_GB2312" w:eastAsia="仿宋_GB2312"/>
                <w:sz w:val="24"/>
              </w:rPr>
            </w:pPr>
            <w:r>
              <w:rPr>
                <w:rFonts w:hint="eastAsia" w:ascii="仿宋_GB2312" w:eastAsia="仿宋_GB2312"/>
                <w:sz w:val="24"/>
              </w:rPr>
              <w:t>发现毁绿未及时制止及上报，不得分；绿地有种蔬菜或堆放杂物未及时制止扣1分/处。</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30" w:type="dxa"/>
            <w:vAlign w:val="center"/>
          </w:tcPr>
          <w:p>
            <w:pPr>
              <w:spacing w:line="500" w:lineRule="exact"/>
              <w:jc w:val="center"/>
              <w:rPr>
                <w:rFonts w:ascii="仿宋_GB2312" w:eastAsia="仿宋_GB2312"/>
                <w:sz w:val="24"/>
              </w:rPr>
            </w:pPr>
            <w:r>
              <w:rPr>
                <w:rFonts w:hint="eastAsia" w:ascii="仿宋_GB2312" w:eastAsia="仿宋_GB2312"/>
                <w:sz w:val="24"/>
              </w:rPr>
              <w:t>其它（5分）</w:t>
            </w:r>
          </w:p>
        </w:tc>
        <w:tc>
          <w:tcPr>
            <w:tcW w:w="3224" w:type="dxa"/>
            <w:vAlign w:val="center"/>
          </w:tcPr>
          <w:p>
            <w:pPr>
              <w:widowControl/>
              <w:spacing w:line="320" w:lineRule="exact"/>
              <w:jc w:val="both"/>
              <w:rPr>
                <w:rFonts w:hint="default" w:ascii="仿宋_GB2312" w:eastAsia="仿宋_GB2312"/>
                <w:sz w:val="24"/>
                <w:lang w:val="en-US" w:eastAsia="zh-CN"/>
              </w:rPr>
            </w:pPr>
            <w:r>
              <w:rPr>
                <w:rFonts w:hint="eastAsia" w:ascii="仿宋_GB2312" w:eastAsia="仿宋_GB2312"/>
                <w:sz w:val="24"/>
              </w:rPr>
              <w:t>每月定期报送业主单位4篇动态信息稿件</w:t>
            </w:r>
            <w:r>
              <w:rPr>
                <w:rFonts w:hint="eastAsia" w:ascii="仿宋_GB2312" w:eastAsia="仿宋_GB2312"/>
                <w:sz w:val="24"/>
                <w:lang w:eastAsia="zh-CN"/>
              </w:rPr>
              <w:t>。</w:t>
            </w:r>
            <w:r>
              <w:rPr>
                <w:rFonts w:hint="eastAsia" w:ascii="仿宋_GB2312" w:eastAsia="仿宋_GB2312"/>
                <w:sz w:val="24"/>
                <w:lang w:val="en-US" w:eastAsia="zh-CN"/>
              </w:rPr>
              <w:t>（2分）</w:t>
            </w:r>
          </w:p>
        </w:tc>
        <w:tc>
          <w:tcPr>
            <w:tcW w:w="3285" w:type="dxa"/>
            <w:vAlign w:val="center"/>
          </w:tcPr>
          <w:p>
            <w:pPr>
              <w:widowControl/>
              <w:spacing w:line="320" w:lineRule="exact"/>
              <w:jc w:val="center"/>
              <w:rPr>
                <w:rFonts w:hint="eastAsia" w:ascii="仿宋_GB2312" w:eastAsia="仿宋_GB2312"/>
                <w:sz w:val="24"/>
                <w:lang w:eastAsia="zh-CN"/>
              </w:rPr>
            </w:pPr>
            <w:r>
              <w:rPr>
                <w:rFonts w:hint="eastAsia" w:ascii="仿宋_GB2312" w:eastAsia="仿宋_GB2312"/>
                <w:sz w:val="24"/>
              </w:rPr>
              <w:t>动态信息稿件</w:t>
            </w:r>
            <w:r>
              <w:rPr>
                <w:rFonts w:hint="eastAsia" w:ascii="仿宋_GB2312" w:eastAsia="仿宋_GB2312"/>
                <w:sz w:val="24"/>
                <w:lang w:eastAsia="zh-CN"/>
              </w:rPr>
              <w:t>需结合时效性，及时上报，未上报</w:t>
            </w:r>
            <w:r>
              <w:rPr>
                <w:rFonts w:hint="eastAsia" w:ascii="仿宋_GB2312" w:eastAsia="仿宋_GB2312"/>
                <w:sz w:val="24"/>
              </w:rPr>
              <w:t>扣1分/</w:t>
            </w:r>
            <w:r>
              <w:rPr>
                <w:rFonts w:hint="eastAsia" w:ascii="仿宋_GB2312" w:eastAsia="仿宋_GB2312"/>
                <w:sz w:val="24"/>
                <w:lang w:eastAsia="zh-CN"/>
              </w:rPr>
              <w:t>月。</w:t>
            </w:r>
          </w:p>
        </w:tc>
        <w:tc>
          <w:tcPr>
            <w:tcW w:w="660" w:type="dxa"/>
            <w:vAlign w:val="center"/>
          </w:tcPr>
          <w:p>
            <w:pPr>
              <w:widowControl/>
              <w:spacing w:line="320" w:lineRule="exact"/>
              <w:jc w:val="center"/>
              <w:rPr>
                <w:rFonts w:ascii="微软雅黑" w:hAnsi="微软雅黑" w:eastAsia="微软雅黑" w:cs="微软雅黑"/>
                <w:kern w:val="0"/>
                <w:szCs w:val="21"/>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30" w:type="dxa"/>
            <w:vAlign w:val="center"/>
          </w:tcPr>
          <w:p>
            <w:pPr>
              <w:spacing w:line="500" w:lineRule="exact"/>
              <w:jc w:val="center"/>
              <w:rPr>
                <w:rFonts w:hint="eastAsia" w:ascii="仿宋_GB2312" w:eastAsia="仿宋_GB2312"/>
                <w:sz w:val="24"/>
              </w:rPr>
            </w:pPr>
          </w:p>
        </w:tc>
        <w:tc>
          <w:tcPr>
            <w:tcW w:w="3224" w:type="dxa"/>
            <w:vAlign w:val="center"/>
          </w:tcPr>
          <w:p>
            <w:pPr>
              <w:widowControl/>
              <w:spacing w:line="320" w:lineRule="exact"/>
              <w:jc w:val="center"/>
              <w:rPr>
                <w:rFonts w:hint="eastAsia" w:ascii="仿宋_GB2312" w:eastAsia="仿宋_GB2312"/>
                <w:sz w:val="24"/>
              </w:rPr>
            </w:pPr>
            <w:r>
              <w:rPr>
                <w:rFonts w:hint="eastAsia" w:ascii="仿宋_GB2312" w:eastAsia="仿宋_GB2312"/>
                <w:sz w:val="24"/>
              </w:rPr>
              <w:t>其它不符合湖州市城区园林绿化养护管理质量标准的；按时保质保量完成甲方交代的指定工作任务。（</w:t>
            </w:r>
            <w:r>
              <w:rPr>
                <w:rFonts w:hint="eastAsia" w:ascii="仿宋_GB2312" w:eastAsia="仿宋_GB2312"/>
                <w:sz w:val="24"/>
                <w:lang w:val="en-US" w:eastAsia="zh-CN"/>
              </w:rPr>
              <w:t>3</w:t>
            </w:r>
            <w:r>
              <w:rPr>
                <w:rFonts w:hint="eastAsia" w:ascii="仿宋_GB2312" w:eastAsia="仿宋_GB2312"/>
                <w:sz w:val="24"/>
              </w:rPr>
              <w:t>分）</w:t>
            </w:r>
          </w:p>
        </w:tc>
        <w:tc>
          <w:tcPr>
            <w:tcW w:w="3285" w:type="dxa"/>
            <w:vAlign w:val="center"/>
          </w:tcPr>
          <w:p>
            <w:pPr>
              <w:widowControl/>
              <w:spacing w:line="320" w:lineRule="exact"/>
              <w:jc w:val="center"/>
              <w:rPr>
                <w:rFonts w:hint="eastAsia" w:ascii="仿宋_GB2312" w:eastAsia="仿宋_GB2312"/>
                <w:sz w:val="24"/>
              </w:rPr>
            </w:pPr>
          </w:p>
        </w:tc>
        <w:tc>
          <w:tcPr>
            <w:tcW w:w="660" w:type="dxa"/>
            <w:vAlign w:val="center"/>
          </w:tcPr>
          <w:p>
            <w:pPr>
              <w:widowControl/>
              <w:spacing w:line="320" w:lineRule="exact"/>
              <w:jc w:val="center"/>
              <w:rPr>
                <w:rFonts w:ascii="微软雅黑" w:hAnsi="微软雅黑" w:eastAsia="微软雅黑" w:cs="微软雅黑"/>
                <w:kern w:val="0"/>
                <w:szCs w:val="21"/>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39" w:type="dxa"/>
            <w:gridSpan w:val="3"/>
            <w:vAlign w:val="center"/>
          </w:tcPr>
          <w:p>
            <w:pPr>
              <w:spacing w:line="500" w:lineRule="exact"/>
              <w:jc w:val="center"/>
              <w:rPr>
                <w:rFonts w:ascii="仿宋_GB2312" w:eastAsia="仿宋_GB2312"/>
                <w:sz w:val="24"/>
              </w:rPr>
            </w:pPr>
            <w:r>
              <w:rPr>
                <w:rFonts w:hint="eastAsia" w:ascii="仿宋_GB2312" w:eastAsia="仿宋_GB2312"/>
                <w:sz w:val="24"/>
              </w:rPr>
              <w:t>合计</w:t>
            </w:r>
          </w:p>
        </w:tc>
        <w:tc>
          <w:tcPr>
            <w:tcW w:w="660" w:type="dxa"/>
            <w:vAlign w:val="center"/>
          </w:tcPr>
          <w:p>
            <w:pPr>
              <w:spacing w:line="500" w:lineRule="exact"/>
              <w:jc w:val="center"/>
              <w:rPr>
                <w:rFonts w:ascii="仿宋_GB2312" w:eastAsia="仿宋_GB2312"/>
                <w:sz w:val="24"/>
              </w:rPr>
            </w:pPr>
          </w:p>
        </w:tc>
        <w:tc>
          <w:tcPr>
            <w:tcW w:w="1018" w:type="dxa"/>
            <w:vAlign w:val="center"/>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617" w:type="dxa"/>
            <w:gridSpan w:val="5"/>
            <w:vAlign w:val="center"/>
          </w:tcPr>
          <w:p>
            <w:pPr>
              <w:spacing w:line="500" w:lineRule="exact"/>
              <w:jc w:val="left"/>
              <w:rPr>
                <w:rFonts w:ascii="仿宋_GB2312" w:eastAsia="仿宋_GB2312"/>
                <w:sz w:val="24"/>
              </w:rPr>
            </w:pPr>
            <w:r>
              <w:rPr>
                <w:rFonts w:hint="eastAsia" w:ascii="仿宋_GB2312" w:eastAsia="仿宋_GB2312"/>
                <w:sz w:val="24"/>
              </w:rPr>
              <w:t>备注：</w:t>
            </w:r>
          </w:p>
        </w:tc>
      </w:tr>
    </w:tbl>
    <w:p>
      <w:pPr>
        <w:spacing w:line="500" w:lineRule="exact"/>
        <w:rPr>
          <w:rFonts w:ascii="仿宋_GB2312" w:eastAsia="仿宋_GB2312"/>
          <w:b/>
          <w:bCs/>
          <w:sz w:val="24"/>
        </w:rPr>
      </w:pPr>
      <w:r>
        <w:rPr>
          <w:rFonts w:hint="eastAsia" w:ascii="仿宋_GB2312" w:eastAsia="仿宋_GB2312"/>
          <w:b/>
          <w:bCs/>
          <w:sz w:val="24"/>
        </w:rPr>
        <w:t>考核人：           监理人：           项目经理：          考核时间：</w:t>
      </w:r>
    </w:p>
    <w:p>
      <w:pPr>
        <w:spacing w:line="500" w:lineRule="exact"/>
        <w:jc w:val="center"/>
        <w:rPr>
          <w:rFonts w:ascii="仿宋_GB2312" w:hAnsi="Calibri" w:eastAsia="仿宋_GB2312"/>
          <w:b/>
          <w:szCs w:val="28"/>
        </w:rPr>
      </w:pPr>
      <w:r>
        <w:rPr>
          <w:szCs w:val="28"/>
        </w:rPr>
        <w:br w:type="page"/>
      </w:r>
      <w:r>
        <w:rPr>
          <w:rFonts w:hint="eastAsia" w:ascii="仿宋_GB2312" w:hAnsi="Calibri" w:eastAsia="仿宋_GB2312"/>
          <w:b/>
          <w:szCs w:val="28"/>
        </w:rPr>
        <w:t>绿地养护管理季度考核情况汇总</w:t>
      </w:r>
    </w:p>
    <w:p>
      <w:pPr>
        <w:spacing w:line="500" w:lineRule="exact"/>
        <w:jc w:val="center"/>
        <w:rPr>
          <w:rFonts w:ascii="仿宋_GB2312" w:hAnsi="Calibri" w:eastAsia="仿宋_GB2312"/>
          <w:b/>
          <w:szCs w:val="28"/>
        </w:rPr>
      </w:pPr>
      <w:r>
        <w:rPr>
          <w:rFonts w:hint="eastAsia" w:ascii="仿宋_GB2312" w:hAnsi="Calibri" w:eastAsia="仿宋_GB2312"/>
          <w:b/>
          <w:szCs w:val="28"/>
        </w:rPr>
        <w:t>（第</w:t>
      </w:r>
      <w:r>
        <w:rPr>
          <w:rFonts w:ascii="仿宋_GB2312" w:hAnsi="Calibri" w:eastAsia="仿宋_GB2312"/>
          <w:b/>
          <w:szCs w:val="28"/>
        </w:rPr>
        <w:t>___</w:t>
      </w:r>
      <w:r>
        <w:rPr>
          <w:rFonts w:hint="eastAsia" w:ascii="仿宋_GB2312" w:hAnsi="Calibri" w:eastAsia="仿宋_GB2312"/>
          <w:b/>
          <w:szCs w:val="28"/>
        </w:rPr>
        <w:t>季）</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序号</w:t>
            </w:r>
          </w:p>
        </w:tc>
        <w:tc>
          <w:tcPr>
            <w:tcW w:w="2072"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类别</w:t>
            </w:r>
          </w:p>
        </w:tc>
        <w:tc>
          <w:tcPr>
            <w:tcW w:w="2464"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考核时间</w:t>
            </w:r>
          </w:p>
        </w:tc>
        <w:tc>
          <w:tcPr>
            <w:tcW w:w="1984"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实得分</w:t>
            </w:r>
          </w:p>
        </w:tc>
        <w:tc>
          <w:tcPr>
            <w:tcW w:w="1276" w:type="dxa"/>
            <w:vAlign w:val="center"/>
          </w:tcPr>
          <w:p>
            <w:pPr>
              <w:spacing w:line="500" w:lineRule="exact"/>
              <w:jc w:val="center"/>
              <w:rPr>
                <w:rFonts w:ascii="仿宋_GB2312" w:hAnsi="Calibri" w:eastAsia="仿宋_GB2312"/>
                <w:b/>
                <w:bCs/>
                <w:sz w:val="24"/>
                <w:szCs w:val="22"/>
              </w:rPr>
            </w:pPr>
            <w:r>
              <w:rPr>
                <w:rFonts w:hint="eastAsia" w:ascii="仿宋_GB2312" w:hAnsi="Calibri" w:eastAsia="仿宋_GB2312"/>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一</w:t>
            </w:r>
          </w:p>
        </w:tc>
        <w:tc>
          <w:tcPr>
            <w:tcW w:w="2072" w:type="dxa"/>
            <w:vMerge w:val="restart"/>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月考核</w:t>
            </w: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vAlign w:val="center"/>
          </w:tcPr>
          <w:p>
            <w:pPr>
              <w:spacing w:line="500" w:lineRule="exact"/>
              <w:jc w:val="center"/>
              <w:rPr>
                <w:rFonts w:ascii="仿宋_GB2312" w:hAnsi="Calibri" w:eastAsia="仿宋_GB2312"/>
                <w:b/>
                <w:sz w:val="24"/>
              </w:rPr>
            </w:pPr>
          </w:p>
        </w:tc>
        <w:tc>
          <w:tcPr>
            <w:tcW w:w="2072" w:type="dxa"/>
            <w:vMerge w:val="continue"/>
            <w:vAlign w:val="center"/>
          </w:tcPr>
          <w:p>
            <w:pPr>
              <w:spacing w:line="500" w:lineRule="exact"/>
              <w:jc w:val="center"/>
              <w:rPr>
                <w:rFonts w:ascii="仿宋_GB2312" w:hAnsi="Calibri" w:eastAsia="仿宋_GB2312"/>
                <w:sz w:val="24"/>
              </w:rPr>
            </w:pP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vAlign w:val="center"/>
          </w:tcPr>
          <w:p>
            <w:pPr>
              <w:spacing w:line="500" w:lineRule="exact"/>
              <w:jc w:val="center"/>
              <w:rPr>
                <w:rFonts w:ascii="仿宋_GB2312" w:hAnsi="Calibri" w:eastAsia="仿宋_GB2312"/>
                <w:b/>
                <w:sz w:val="24"/>
              </w:rPr>
            </w:pPr>
          </w:p>
        </w:tc>
        <w:tc>
          <w:tcPr>
            <w:tcW w:w="2072" w:type="dxa"/>
            <w:vMerge w:val="continue"/>
            <w:vAlign w:val="center"/>
          </w:tcPr>
          <w:p>
            <w:pPr>
              <w:spacing w:line="500" w:lineRule="exact"/>
              <w:jc w:val="center"/>
              <w:rPr>
                <w:rFonts w:ascii="仿宋_GB2312" w:hAnsi="Calibri" w:eastAsia="仿宋_GB2312"/>
                <w:sz w:val="24"/>
              </w:rPr>
            </w:pPr>
          </w:p>
        </w:tc>
        <w:tc>
          <w:tcPr>
            <w:tcW w:w="2464" w:type="dxa"/>
            <w:vAlign w:val="center"/>
          </w:tcPr>
          <w:p>
            <w:pPr>
              <w:spacing w:line="500" w:lineRule="exact"/>
              <w:jc w:val="center"/>
              <w:rPr>
                <w:rFonts w:ascii="仿宋_GB2312" w:hAnsi="Calibri" w:eastAsia="仿宋_GB2312"/>
                <w:sz w:val="24"/>
              </w:rPr>
            </w:pPr>
          </w:p>
        </w:tc>
        <w:tc>
          <w:tcPr>
            <w:tcW w:w="1984" w:type="dxa"/>
            <w:vAlign w:val="center"/>
          </w:tcPr>
          <w:p>
            <w:pPr>
              <w:spacing w:line="500" w:lineRule="exact"/>
              <w:jc w:val="center"/>
              <w:rPr>
                <w:rFonts w:ascii="仿宋_GB2312" w:hAnsi="Calibri" w:eastAsia="仿宋_GB2312"/>
                <w:sz w:val="24"/>
              </w:rPr>
            </w:pPr>
          </w:p>
        </w:tc>
        <w:tc>
          <w:tcPr>
            <w:tcW w:w="1276" w:type="dxa"/>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二</w:t>
            </w:r>
          </w:p>
        </w:tc>
        <w:tc>
          <w:tcPr>
            <w:tcW w:w="2072" w:type="dxa"/>
            <w:vAlign w:val="center"/>
          </w:tcPr>
          <w:p>
            <w:pPr>
              <w:spacing w:line="500" w:lineRule="exact"/>
              <w:jc w:val="center"/>
              <w:rPr>
                <w:rFonts w:ascii="仿宋_GB2312" w:hAnsi="Calibri" w:eastAsia="仿宋_GB2312"/>
                <w:sz w:val="24"/>
              </w:rPr>
            </w:pPr>
            <w:r>
              <w:rPr>
                <w:rFonts w:hint="eastAsia" w:ascii="仿宋_GB2312" w:hAnsi="Calibri" w:eastAsia="仿宋_GB2312"/>
                <w:b/>
                <w:sz w:val="24"/>
              </w:rPr>
              <w:t>季度平均考核分</w:t>
            </w:r>
          </w:p>
        </w:tc>
        <w:tc>
          <w:tcPr>
            <w:tcW w:w="5724" w:type="dxa"/>
            <w:gridSpan w:val="3"/>
            <w:vAlign w:val="center"/>
          </w:tcPr>
          <w:p>
            <w:pPr>
              <w:spacing w:line="500" w:lineRule="exact"/>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三</w:t>
            </w:r>
          </w:p>
        </w:tc>
        <w:tc>
          <w:tcPr>
            <w:tcW w:w="2072" w:type="dxa"/>
            <w:vAlign w:val="center"/>
          </w:tcPr>
          <w:p>
            <w:pPr>
              <w:spacing w:line="500" w:lineRule="exact"/>
              <w:jc w:val="center"/>
              <w:rPr>
                <w:rFonts w:ascii="仿宋_GB2312" w:hAnsi="Calibri" w:eastAsia="仿宋_GB2312"/>
                <w:b/>
                <w:sz w:val="24"/>
              </w:rPr>
            </w:pPr>
            <w:r>
              <w:rPr>
                <w:rFonts w:hint="eastAsia" w:ascii="仿宋_GB2312" w:hAnsi="Calibri" w:eastAsia="仿宋_GB2312"/>
                <w:b/>
                <w:sz w:val="24"/>
              </w:rPr>
              <w:t>直接扣款项</w:t>
            </w:r>
          </w:p>
        </w:tc>
        <w:tc>
          <w:tcPr>
            <w:tcW w:w="5724" w:type="dxa"/>
            <w:gridSpan w:val="3"/>
            <w:vAlign w:val="center"/>
          </w:tcPr>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p>
            <w:pPr>
              <w:spacing w:line="500" w:lineRule="exact"/>
              <w:jc w:val="center"/>
              <w:rPr>
                <w:rFonts w:ascii="仿宋_GB2312" w:hAnsi="Calibri" w:eastAsia="仿宋_GB2312"/>
                <w:sz w:val="24"/>
              </w:rPr>
            </w:pPr>
          </w:p>
        </w:tc>
      </w:tr>
    </w:tbl>
    <w:p/>
    <w:p>
      <w:pPr>
        <w:pStyle w:val="2"/>
        <w:ind w:firstLine="0" w:firstLineChars="0"/>
        <w:rPr>
          <w:rFonts w:ascii="宋体" w:hAnsi="宋体" w:cs="宋体"/>
          <w:sz w:val="24"/>
          <w:szCs w:val="24"/>
        </w:rPr>
      </w:pPr>
    </w:p>
    <w:p>
      <w:pPr>
        <w:kinsoku w:val="0"/>
        <w:overflowPunct w:val="0"/>
        <w:spacing w:before="34" w:after="120" w:line="400" w:lineRule="exact"/>
        <w:ind w:left="560" w:right="134"/>
        <w:rPr>
          <w:rFonts w:ascii="微软雅黑" w:hAnsi="微软雅黑" w:eastAsia="微软雅黑" w:cs="微软雅黑"/>
          <w:bCs/>
          <w:sz w:val="24"/>
        </w:rPr>
      </w:pPr>
    </w:p>
    <w:p>
      <w:pPr>
        <w:pStyle w:val="4"/>
        <w:ind w:left="0" w:leftChars="0"/>
      </w:pPr>
    </w:p>
    <w:p>
      <w:pPr>
        <w:numPr>
          <w:ilvl w:val="0"/>
          <w:numId w:val="10"/>
        </w:numPr>
        <w:spacing w:line="360" w:lineRule="auto"/>
        <w:jc w:val="center"/>
        <w:outlineLvl w:val="0"/>
        <w:rPr>
          <w:rFonts w:ascii="微软雅黑" w:hAnsi="微软雅黑" w:eastAsia="微软雅黑" w:cs="微软雅黑"/>
          <w:b/>
          <w:sz w:val="32"/>
          <w:szCs w:val="32"/>
        </w:rPr>
        <w:sectPr>
          <w:headerReference r:id="rId14" w:type="default"/>
          <w:footerReference r:id="rId15" w:type="default"/>
          <w:pgSz w:w="11906" w:h="16838"/>
          <w:pgMar w:top="1531" w:right="779" w:bottom="1134" w:left="1134" w:header="851" w:footer="427" w:gutter="0"/>
          <w:cols w:space="720" w:num="1"/>
          <w:docGrid w:linePitch="312" w:charSpace="0"/>
        </w:sectPr>
      </w:pPr>
    </w:p>
    <w:p>
      <w:pPr>
        <w:numPr>
          <w:ilvl w:val="0"/>
          <w:numId w:val="10"/>
        </w:numPr>
        <w:spacing w:line="360"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评标办法及评分标准</w:t>
      </w:r>
    </w:p>
    <w:p>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为公正、公平、科学地选择中标人，根据《中华人民共和国政府采购法》、《政府采购货物和服务招投标管理办法》等有关法律法规的规定，并结合本项目的实际，制定本办法。</w:t>
      </w:r>
    </w:p>
    <w:p>
      <w:pPr>
        <w:spacing w:line="360" w:lineRule="auto"/>
        <w:ind w:firstLine="480" w:firstLineChars="200"/>
        <w:rPr>
          <w:rFonts w:ascii="微软雅黑" w:hAnsi="微软雅黑" w:eastAsia="微软雅黑" w:cs="微软雅黑"/>
          <w:bCs/>
          <w:sz w:val="24"/>
          <w:szCs w:val="48"/>
        </w:rPr>
      </w:pPr>
      <w:r>
        <w:rPr>
          <w:rFonts w:hint="eastAsia" w:ascii="微软雅黑" w:hAnsi="微软雅黑" w:eastAsia="微软雅黑" w:cs="微软雅黑"/>
          <w:sz w:val="24"/>
        </w:rPr>
        <w:t>本办法适用于</w:t>
      </w:r>
      <w:r>
        <w:rPr>
          <w:rFonts w:hint="eastAsia" w:ascii="微软雅黑" w:hAnsi="微软雅黑" w:eastAsia="微软雅黑" w:cs="微软雅黑"/>
          <w:sz w:val="24"/>
          <w:lang w:eastAsia="zh-CN"/>
        </w:rPr>
        <w:t>南浔区住房和城乡建设局</w:t>
      </w:r>
      <w:r>
        <w:rPr>
          <w:rFonts w:hint="eastAsia" w:ascii="微软雅黑" w:hAnsi="微软雅黑" w:eastAsia="微软雅黑" w:cs="微软雅黑"/>
          <w:sz w:val="24"/>
        </w:rPr>
        <w:t>的</w:t>
      </w:r>
      <w:r>
        <w:rPr>
          <w:rFonts w:hint="eastAsia" w:ascii="微软雅黑" w:hAnsi="微软雅黑" w:eastAsia="微软雅黑" w:cs="微软雅黑"/>
          <w:sz w:val="24"/>
          <w:u w:val="single"/>
          <w:lang w:eastAsia="zh-CN"/>
        </w:rPr>
        <w:t>湖州市南浔区住房和城乡建设局年度（2022-2025）绿化养护服务采购</w:t>
      </w:r>
      <w:r>
        <w:rPr>
          <w:rFonts w:hint="eastAsia" w:ascii="微软雅黑" w:hAnsi="微软雅黑" w:eastAsia="微软雅黑" w:cs="微软雅黑"/>
          <w:bCs/>
          <w:sz w:val="24"/>
          <w:szCs w:val="48"/>
        </w:rPr>
        <w:t>的评标。</w:t>
      </w:r>
    </w:p>
    <w:p>
      <w:pPr>
        <w:spacing w:line="360" w:lineRule="auto"/>
        <w:ind w:firstLine="560" w:firstLineChars="200"/>
        <w:outlineLvl w:val="1"/>
        <w:rPr>
          <w:rFonts w:ascii="微软雅黑" w:hAnsi="微软雅黑" w:eastAsia="微软雅黑" w:cs="微软雅黑"/>
          <w:b/>
          <w:szCs w:val="28"/>
        </w:rPr>
      </w:pPr>
      <w:bookmarkStart w:id="62" w:name="_Toc23132"/>
      <w:r>
        <w:rPr>
          <w:rFonts w:hint="eastAsia" w:ascii="微软雅黑" w:hAnsi="微软雅黑" w:eastAsia="微软雅黑" w:cs="微软雅黑"/>
          <w:b/>
          <w:szCs w:val="28"/>
        </w:rPr>
        <w:t>一、总则</w:t>
      </w:r>
      <w:bookmarkEnd w:id="62"/>
    </w:p>
    <w:p>
      <w:pPr>
        <w:snapToGrid w:val="0"/>
        <w:spacing w:line="360" w:lineRule="auto"/>
        <w:ind w:firstLine="480" w:firstLineChars="200"/>
        <w:textAlignment w:val="baseline"/>
        <w:rPr>
          <w:rFonts w:ascii="微软雅黑" w:hAnsi="微软雅黑" w:eastAsia="微软雅黑" w:cs="微软雅黑"/>
          <w:sz w:val="24"/>
        </w:rPr>
      </w:pPr>
      <w:bookmarkStart w:id="63" w:name="_Toc25886"/>
      <w:r>
        <w:rPr>
          <w:rFonts w:hint="eastAsia" w:ascii="微软雅黑" w:hAnsi="微软雅黑" w:eastAsia="微软雅黑" w:cs="微软雅黑"/>
          <w:sz w:val="24"/>
        </w:rPr>
        <w:t>本次评标采用综合评分法，总分为100分，其中价格分20分；技术、商务、资信及其他80分。合格投标人的评标得分为各项目汇总得分。评标结果按评审后得分由高到低顺序排列。得分相同的，按投标报价由低到高顺序排列。得分且投标报价相同的由采购人随机选取。评分过程中采用四舍五入法，并保留小数2位。</w:t>
      </w:r>
    </w:p>
    <w:p>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投标人评标综合得分=价格分+(技术、商务资信及其他分)</w:t>
      </w:r>
    </w:p>
    <w:p>
      <w:pPr>
        <w:spacing w:line="360" w:lineRule="auto"/>
        <w:ind w:firstLine="560" w:firstLineChars="200"/>
        <w:outlineLvl w:val="1"/>
        <w:rPr>
          <w:rFonts w:ascii="微软雅黑" w:hAnsi="微软雅黑" w:eastAsia="微软雅黑" w:cs="微软雅黑"/>
          <w:b/>
          <w:szCs w:val="28"/>
        </w:rPr>
      </w:pPr>
      <w:r>
        <w:rPr>
          <w:rFonts w:hint="eastAsia" w:ascii="微软雅黑" w:hAnsi="微软雅黑" w:eastAsia="微软雅黑" w:cs="微软雅黑"/>
          <w:b/>
          <w:szCs w:val="28"/>
        </w:rPr>
        <w:t>二、评标内容及标准</w:t>
      </w:r>
      <w:bookmarkEnd w:id="63"/>
    </w:p>
    <w:p>
      <w:pPr>
        <w:pStyle w:val="10"/>
        <w:spacing w:line="360" w:lineRule="auto"/>
        <w:ind w:firstLine="480" w:firstLineChars="200"/>
        <w:outlineLvl w:val="2"/>
        <w:rPr>
          <w:rFonts w:ascii="微软雅黑" w:hAnsi="微软雅黑" w:eastAsia="微软雅黑" w:cs="微软雅黑"/>
          <w:b/>
          <w:bCs/>
          <w:sz w:val="24"/>
        </w:rPr>
      </w:pPr>
      <w:r>
        <w:rPr>
          <w:rFonts w:hint="eastAsia" w:ascii="微软雅黑" w:hAnsi="微软雅黑" w:eastAsia="微软雅黑" w:cs="微软雅黑"/>
          <w:b/>
          <w:sz w:val="24"/>
        </w:rPr>
        <w:t>（一）</w:t>
      </w:r>
      <w:r>
        <w:rPr>
          <w:rFonts w:hint="eastAsia" w:ascii="微软雅黑" w:hAnsi="微软雅黑" w:eastAsia="微软雅黑" w:cs="微软雅黑"/>
          <w:b/>
          <w:bCs/>
          <w:sz w:val="24"/>
        </w:rPr>
        <w:t>价格分：20分（其中绿化养护价格分10分，草花种植及养护价格分10分）</w:t>
      </w:r>
    </w:p>
    <w:p>
      <w:pPr>
        <w:pStyle w:val="10"/>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价格部分评审：</w:t>
      </w:r>
    </w:p>
    <w:p>
      <w:pPr>
        <w:numPr>
          <w:ilvl w:val="1"/>
          <w:numId w:val="27"/>
        </w:numPr>
        <w:snapToGrid w:val="0"/>
        <w:spacing w:line="400" w:lineRule="exact"/>
        <w:ind w:firstLine="536" w:firstLineChars="200"/>
        <w:jc w:val="left"/>
        <w:textAlignment w:val="baseline"/>
        <w:rPr>
          <w:rFonts w:hint="eastAsia" w:ascii="微软雅黑" w:hAnsi="微软雅黑" w:eastAsia="微软雅黑" w:cs="微软雅黑"/>
          <w:spacing w:val="14"/>
          <w:sz w:val="24"/>
        </w:rPr>
      </w:pPr>
      <w:r>
        <w:rPr>
          <w:rFonts w:hint="eastAsia" w:ascii="微软雅黑" w:hAnsi="微软雅黑" w:eastAsia="微软雅黑" w:cs="微软雅黑"/>
          <w:spacing w:val="14"/>
          <w:sz w:val="24"/>
        </w:rPr>
        <w:t>以有效投标价格最低的投标报价为评标基准价，其价格分为20分。其他投标人的报价分按照下列公式计算：</w:t>
      </w:r>
    </w:p>
    <w:p>
      <w:pPr>
        <w:pStyle w:val="2"/>
        <w:numPr>
          <w:ilvl w:val="0"/>
          <w:numId w:val="0"/>
        </w:numPr>
        <w:ind w:leftChars="0" w:firstLine="480" w:firstLineChars="200"/>
        <w:rPr>
          <w:rFonts w:hint="eastAsia" w:eastAsia="微软雅黑"/>
          <w:lang w:val="en-US" w:eastAsia="zh-CN"/>
        </w:rPr>
      </w:pPr>
      <w:r>
        <w:rPr>
          <w:rFonts w:hint="eastAsia" w:ascii="微软雅黑" w:hAnsi="微软雅黑" w:eastAsia="微软雅黑" w:cs="微软雅黑"/>
          <w:bCs/>
          <w:sz w:val="24"/>
          <w:szCs w:val="24"/>
          <w:lang w:val="en-US" w:eastAsia="zh-CN"/>
        </w:rPr>
        <w:t xml:space="preserve">1.1.1 </w:t>
      </w:r>
      <w:r>
        <w:rPr>
          <w:rFonts w:hint="eastAsia" w:ascii="微软雅黑" w:hAnsi="微软雅黑" w:eastAsia="微软雅黑" w:cs="微软雅黑"/>
          <w:bCs/>
          <w:sz w:val="24"/>
          <w:szCs w:val="24"/>
        </w:rPr>
        <w:t>绿化养护</w:t>
      </w:r>
      <w:r>
        <w:rPr>
          <w:rFonts w:hint="eastAsia" w:ascii="微软雅黑" w:hAnsi="微软雅黑" w:eastAsia="微软雅黑" w:cs="微软雅黑"/>
          <w:bCs/>
          <w:spacing w:val="14"/>
          <w:sz w:val="24"/>
        </w:rPr>
        <w:t>报价得分</w:t>
      </w:r>
      <w:r>
        <w:rPr>
          <w:rFonts w:hint="eastAsia" w:ascii="微软雅黑" w:hAnsi="微软雅黑" w:eastAsia="微软雅黑" w:cs="微软雅黑"/>
          <w:bCs/>
          <w:spacing w:val="14"/>
          <w:sz w:val="24"/>
          <w:lang w:val="en-US" w:eastAsia="zh-CN"/>
        </w:rPr>
        <w:t>=</w:t>
      </w:r>
      <w:r>
        <w:rPr>
          <w:rFonts w:hint="eastAsia" w:ascii="微软雅黑" w:hAnsi="微软雅黑" w:eastAsia="微软雅黑" w:cs="微软雅黑"/>
          <w:bCs/>
          <w:sz w:val="24"/>
          <w:szCs w:val="24"/>
        </w:rPr>
        <w:t>Ⅰ级绿化养护</w:t>
      </w:r>
      <w:r>
        <w:rPr>
          <w:rFonts w:hint="eastAsia" w:ascii="微软雅黑" w:hAnsi="微软雅黑" w:eastAsia="微软雅黑" w:cs="微软雅黑"/>
          <w:bCs/>
          <w:spacing w:val="14"/>
          <w:sz w:val="24"/>
        </w:rPr>
        <w:t>报价得分</w:t>
      </w:r>
      <w:r>
        <w:rPr>
          <w:rFonts w:hint="eastAsia" w:ascii="微软雅黑" w:hAnsi="微软雅黑" w:eastAsia="微软雅黑" w:cs="微软雅黑"/>
          <w:bCs/>
          <w:spacing w:val="14"/>
          <w:sz w:val="24"/>
          <w:lang w:val="en-US" w:eastAsia="zh-CN"/>
        </w:rPr>
        <w:t>+</w:t>
      </w:r>
      <w:r>
        <w:rPr>
          <w:rFonts w:hint="eastAsia" w:ascii="微软雅黑" w:hAnsi="微软雅黑" w:eastAsia="微软雅黑" w:cs="微软雅黑"/>
          <w:bCs/>
          <w:kern w:val="0"/>
          <w:sz w:val="24"/>
          <w:szCs w:val="24"/>
          <w:lang w:val="en-US" w:eastAsia="zh-CN" w:bidi="ar-SA"/>
        </w:rPr>
        <w:t>Ⅱ级绿化养护报价得</w:t>
      </w:r>
      <w:r>
        <w:rPr>
          <w:rFonts w:hint="eastAsia" w:ascii="微软雅黑" w:hAnsi="微软雅黑" w:eastAsia="微软雅黑" w:cs="微软雅黑"/>
          <w:bCs/>
          <w:spacing w:val="14"/>
          <w:sz w:val="24"/>
        </w:rPr>
        <w:t>分</w:t>
      </w:r>
    </w:p>
    <w:p>
      <w:pPr>
        <w:pStyle w:val="10"/>
        <w:spacing w:line="360" w:lineRule="auto"/>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Ⅰ级绿化养护</w:t>
      </w:r>
      <w:r>
        <w:rPr>
          <w:rFonts w:hint="eastAsia" w:ascii="微软雅黑" w:hAnsi="微软雅黑" w:eastAsia="微软雅黑" w:cs="微软雅黑"/>
          <w:bCs/>
          <w:spacing w:val="14"/>
          <w:sz w:val="24"/>
        </w:rPr>
        <w:t>报价得分</w:t>
      </w:r>
      <w:r>
        <w:rPr>
          <w:rFonts w:hint="eastAsia" w:ascii="微软雅黑" w:hAnsi="微软雅黑" w:eastAsia="微软雅黑" w:cs="微软雅黑"/>
          <w:bCs/>
          <w:sz w:val="24"/>
          <w:szCs w:val="24"/>
        </w:rPr>
        <w:t>=（评标基准价/投标报价）×</w:t>
      </w:r>
      <w:r>
        <w:rPr>
          <w:rFonts w:hint="eastAsia" w:ascii="微软雅黑" w:hAnsi="微软雅黑" w:eastAsia="微软雅黑" w:cs="微软雅黑"/>
          <w:bCs/>
          <w:sz w:val="24"/>
          <w:szCs w:val="24"/>
          <w:lang w:val="en-US" w:eastAsia="zh-CN"/>
        </w:rPr>
        <w:t>7</w:t>
      </w:r>
      <w:r>
        <w:rPr>
          <w:rFonts w:hint="eastAsia" w:ascii="微软雅黑" w:hAnsi="微软雅黑" w:eastAsia="微软雅黑" w:cs="微软雅黑"/>
          <w:bCs/>
          <w:sz w:val="24"/>
          <w:szCs w:val="24"/>
        </w:rPr>
        <w:t xml:space="preserve">%×100 </w:t>
      </w:r>
    </w:p>
    <w:p>
      <w:pPr>
        <w:pStyle w:val="11"/>
        <w:ind w:left="0" w:leftChars="0" w:firstLine="480" w:firstLineChars="200"/>
      </w:pPr>
      <w:r>
        <w:rPr>
          <w:rFonts w:hint="eastAsia" w:ascii="微软雅黑" w:hAnsi="微软雅黑" w:eastAsia="微软雅黑" w:cs="微软雅黑"/>
          <w:bCs/>
          <w:kern w:val="0"/>
          <w:sz w:val="24"/>
          <w:szCs w:val="24"/>
          <w:lang w:val="en-US" w:eastAsia="zh-CN" w:bidi="ar-SA"/>
        </w:rPr>
        <w:t>Ⅱ级绿化养护报价得</w:t>
      </w:r>
      <w:r>
        <w:rPr>
          <w:rFonts w:hint="eastAsia" w:ascii="微软雅黑" w:hAnsi="微软雅黑" w:eastAsia="微软雅黑" w:cs="微软雅黑"/>
          <w:bCs/>
          <w:spacing w:val="14"/>
          <w:sz w:val="24"/>
        </w:rPr>
        <w:t>分</w:t>
      </w:r>
      <w:r>
        <w:rPr>
          <w:rFonts w:hint="eastAsia" w:ascii="微软雅黑" w:hAnsi="微软雅黑" w:eastAsia="微软雅黑" w:cs="微软雅黑"/>
          <w:bCs/>
          <w:sz w:val="24"/>
          <w:szCs w:val="24"/>
        </w:rPr>
        <w:t>=（评标基准价/投标报价）×</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%×100</w:t>
      </w:r>
    </w:p>
    <w:p>
      <w:pPr>
        <w:pStyle w:val="10"/>
        <w:spacing w:line="360" w:lineRule="auto"/>
        <w:ind w:left="0" w:leftChars="0"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lang w:val="en-US" w:eastAsia="zh-CN"/>
        </w:rPr>
        <w:t>1.1.2</w:t>
      </w:r>
      <w:r>
        <w:rPr>
          <w:rFonts w:hint="eastAsia" w:ascii="微软雅黑" w:hAnsi="微软雅黑" w:eastAsia="微软雅黑" w:cs="微软雅黑"/>
          <w:bCs/>
          <w:sz w:val="24"/>
        </w:rPr>
        <w:t>草花种植及养护</w:t>
      </w:r>
      <w:r>
        <w:rPr>
          <w:rFonts w:hint="eastAsia" w:ascii="微软雅黑" w:hAnsi="微软雅黑" w:eastAsia="微软雅黑" w:cs="微软雅黑"/>
          <w:bCs/>
          <w:spacing w:val="14"/>
          <w:sz w:val="24"/>
        </w:rPr>
        <w:t>报价</w:t>
      </w:r>
      <w:r>
        <w:rPr>
          <w:rFonts w:hint="eastAsia" w:ascii="微软雅黑" w:hAnsi="微软雅黑" w:eastAsia="微软雅黑" w:cs="微软雅黑"/>
          <w:bCs/>
          <w:sz w:val="24"/>
          <w:szCs w:val="24"/>
        </w:rPr>
        <w:t>得分=（评标基准价/投标报价）×10%×100</w:t>
      </w:r>
    </w:p>
    <w:p>
      <w:pPr>
        <w:spacing w:line="360" w:lineRule="auto"/>
        <w:ind w:firstLine="480" w:firstLineChars="200"/>
        <w:rPr>
          <w:rFonts w:ascii="微软雅黑" w:hAnsi="微软雅黑" w:eastAsia="微软雅黑" w:cs="微软雅黑"/>
          <w:b/>
          <w:bCs/>
          <w:spacing w:val="14"/>
          <w:sz w:val="24"/>
        </w:rPr>
      </w:pPr>
      <w:r>
        <w:rPr>
          <w:rFonts w:hint="eastAsia" w:ascii="微软雅黑" w:hAnsi="微软雅黑" w:eastAsia="微软雅黑" w:cs="微软雅黑"/>
          <w:sz w:val="24"/>
          <w:lang w:val="en-US" w:eastAsia="zh-CN"/>
        </w:rPr>
        <w:t>1.1.3</w:t>
      </w:r>
      <w:r>
        <w:rPr>
          <w:rFonts w:hint="eastAsia" w:ascii="微软雅黑" w:hAnsi="微软雅黑" w:eastAsia="微软雅黑" w:cs="微软雅黑"/>
          <w:sz w:val="24"/>
        </w:rPr>
        <w:t>投标报价得分=绿化养护报价得分+</w:t>
      </w:r>
      <w:r>
        <w:rPr>
          <w:rFonts w:hint="eastAsia" w:ascii="微软雅黑" w:hAnsi="微软雅黑" w:eastAsia="微软雅黑" w:cs="微软雅黑"/>
          <w:bCs/>
          <w:kern w:val="0"/>
          <w:sz w:val="24"/>
          <w:szCs w:val="20"/>
        </w:rPr>
        <w:t>草花种植及养护</w:t>
      </w:r>
      <w:r>
        <w:rPr>
          <w:rFonts w:hint="eastAsia" w:ascii="微软雅黑" w:hAnsi="微软雅黑" w:eastAsia="微软雅黑" w:cs="微软雅黑"/>
          <w:sz w:val="24"/>
        </w:rPr>
        <w:t>报价得分</w:t>
      </w:r>
    </w:p>
    <w:p>
      <w:pPr>
        <w:snapToGrid w:val="0"/>
        <w:spacing w:line="40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napToGrid w:val="0"/>
        <w:spacing w:line="40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二分之一以上的评委认为供应商报价明显高于市场平均价的将作为无效投标处理；</w:t>
      </w:r>
    </w:p>
    <w:p>
      <w:pPr>
        <w:snapToGrid w:val="0"/>
        <w:spacing w:line="40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1.3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0"/>
        <w:numPr>
          <w:ilvl w:val="0"/>
          <w:numId w:val="28"/>
        </w:numPr>
        <w:spacing w:line="360" w:lineRule="auto"/>
        <w:ind w:firstLine="480" w:firstLineChars="200"/>
        <w:outlineLvl w:val="2"/>
        <w:rPr>
          <w:rFonts w:ascii="微软雅黑" w:hAnsi="微软雅黑" w:eastAsia="微软雅黑" w:cs="微软雅黑"/>
          <w:b/>
          <w:bCs/>
          <w:sz w:val="24"/>
        </w:rPr>
      </w:pPr>
      <w:r>
        <w:rPr>
          <w:rFonts w:hint="eastAsia" w:ascii="微软雅黑" w:hAnsi="微软雅黑" w:eastAsia="微软雅黑" w:cs="微软雅黑"/>
          <w:b/>
          <w:bCs/>
          <w:sz w:val="24"/>
        </w:rPr>
        <w:t>技术、商务、资信及其他分（80分）</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技术、商务、资信及其他分按照全体评标委员会成员的独立评分结果的算术平均分计算，结果保留2位小数，第3位四舍五入。计算公式为：</w:t>
      </w:r>
    </w:p>
    <w:p>
      <w:pPr>
        <w:pStyle w:val="2"/>
        <w:ind w:firstLine="240"/>
        <w:rPr>
          <w:rFonts w:ascii="微软雅黑" w:hAnsi="微软雅黑" w:eastAsia="微软雅黑" w:cs="微软雅黑"/>
          <w:sz w:val="24"/>
        </w:rPr>
      </w:pPr>
      <w:r>
        <w:rPr>
          <w:rFonts w:hint="eastAsia" w:ascii="微软雅黑" w:hAnsi="微软雅黑" w:eastAsia="微软雅黑" w:cs="微软雅黑"/>
          <w:sz w:val="24"/>
          <w:szCs w:val="24"/>
        </w:rPr>
        <w:t>技术商务资信分=（评标委员会所有成员评分合计数）/（评标委员会组成人员数）</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81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评分因素</w:t>
            </w:r>
          </w:p>
        </w:tc>
        <w:tc>
          <w:tcPr>
            <w:tcW w:w="81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分数</w:t>
            </w:r>
          </w:p>
        </w:tc>
        <w:tc>
          <w:tcPr>
            <w:tcW w:w="7440"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3"/>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技术分（</w:t>
            </w:r>
            <w:r>
              <w:rPr>
                <w:rFonts w:hint="eastAsia" w:ascii="微软雅黑" w:hAnsi="微软雅黑" w:eastAsia="微软雅黑" w:cs="微软雅黑"/>
                <w:b/>
                <w:sz w:val="24"/>
                <w:szCs w:val="21"/>
              </w:rPr>
              <w:t>71</w:t>
            </w:r>
            <w:r>
              <w:rPr>
                <w:rFonts w:hint="eastAsia" w:ascii="微软雅黑" w:hAnsi="微软雅黑" w:eastAsia="微软雅黑" w:cs="微软雅黑"/>
                <w:b/>
                <w:sz w:val="24"/>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管理作业方案</w:t>
            </w:r>
          </w:p>
        </w:tc>
        <w:tc>
          <w:tcPr>
            <w:tcW w:w="812" w:type="dxa"/>
            <w:vAlign w:val="center"/>
          </w:tcPr>
          <w:p>
            <w:pPr>
              <w:spacing w:line="360" w:lineRule="auto"/>
              <w:jc w:val="center"/>
              <w:rPr>
                <w:rFonts w:ascii="微软雅黑" w:hAnsi="微软雅黑" w:eastAsia="微软雅黑" w:cs="微软雅黑"/>
                <w:sz w:val="24"/>
                <w:szCs w:val="21"/>
                <w:lang w:val="zh-CN"/>
              </w:rPr>
            </w:pPr>
            <w:r>
              <w:rPr>
                <w:rFonts w:hint="eastAsia" w:ascii="微软雅黑" w:hAnsi="微软雅黑" w:eastAsia="微软雅黑" w:cs="微软雅黑"/>
                <w:sz w:val="24"/>
                <w:szCs w:val="21"/>
              </w:rPr>
              <w:t>2</w:t>
            </w:r>
            <w:r>
              <w:rPr>
                <w:rFonts w:hint="eastAsia" w:ascii="微软雅黑" w:hAnsi="微软雅黑" w:eastAsia="微软雅黑" w:cs="微软雅黑"/>
                <w:sz w:val="24"/>
                <w:szCs w:val="21"/>
                <w:lang w:val="en-US" w:eastAsia="zh-CN"/>
              </w:rPr>
              <w:t>6</w:t>
            </w:r>
            <w:r>
              <w:rPr>
                <w:rFonts w:hint="eastAsia" w:ascii="微软雅黑" w:hAnsi="微软雅黑" w:eastAsia="微软雅黑" w:cs="微软雅黑"/>
                <w:sz w:val="24"/>
                <w:szCs w:val="21"/>
                <w:lang w:val="zh-CN"/>
              </w:rPr>
              <w:t>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1</w:t>
            </w:r>
            <w:r>
              <w:rPr>
                <w:rFonts w:ascii="微软雅黑" w:hAnsi="微软雅黑" w:eastAsia="微软雅黑" w:cs="微软雅黑"/>
                <w:sz w:val="24"/>
              </w:rPr>
              <w:t>.</w:t>
            </w:r>
            <w:r>
              <w:rPr>
                <w:rFonts w:hint="eastAsia" w:ascii="微软雅黑" w:hAnsi="微软雅黑" w:eastAsia="微软雅黑" w:cs="微软雅黑"/>
                <w:sz w:val="24"/>
              </w:rPr>
              <w:t>绿化养护方案（</w:t>
            </w:r>
            <w:r>
              <w:rPr>
                <w:rFonts w:hint="eastAsia" w:ascii="微软雅黑" w:hAnsi="微软雅黑" w:eastAsia="微软雅黑" w:cs="微软雅黑"/>
                <w:b/>
                <w:bCs/>
                <w:sz w:val="24"/>
              </w:rPr>
              <w:t>0-</w:t>
            </w:r>
            <w:r>
              <w:rPr>
                <w:rFonts w:ascii="微软雅黑" w:hAnsi="微软雅黑" w:eastAsia="微软雅黑" w:cs="微软雅黑"/>
                <w:b/>
                <w:bCs/>
                <w:sz w:val="24"/>
              </w:rPr>
              <w:t>1</w:t>
            </w:r>
            <w:r>
              <w:rPr>
                <w:rFonts w:hint="eastAsia" w:ascii="微软雅黑" w:hAnsi="微软雅黑" w:eastAsia="微软雅黑" w:cs="微软雅黑"/>
                <w:b/>
                <w:bCs/>
                <w:sz w:val="24"/>
                <w:lang w:val="en-US" w:eastAsia="zh-CN"/>
              </w:rPr>
              <w:t>3</w:t>
            </w:r>
            <w:r>
              <w:rPr>
                <w:rFonts w:hint="eastAsia" w:ascii="微软雅黑" w:hAnsi="微软雅黑" w:eastAsia="微软雅黑" w:cs="微软雅黑"/>
                <w:b/>
                <w:bCs/>
                <w:sz w:val="24"/>
              </w:rPr>
              <w:t>分</w:t>
            </w:r>
            <w:r>
              <w:rPr>
                <w:rFonts w:hint="eastAsia" w:ascii="微软雅黑" w:hAnsi="微软雅黑" w:eastAsia="微软雅黑" w:cs="微软雅黑"/>
                <w:sz w:val="24"/>
              </w:rPr>
              <w:t>）：充分结合本项目长效养护绿地特性，制订全年养护计划，提出养护技术方案、养护控制要点、养护质量保证措施、长效养护管理组织。</w:t>
            </w:r>
          </w:p>
          <w:p>
            <w:pPr>
              <w:rPr>
                <w:rFonts w:ascii="微软雅黑" w:hAnsi="微软雅黑" w:eastAsia="微软雅黑" w:cs="微软雅黑"/>
                <w:sz w:val="24"/>
              </w:rPr>
            </w:pPr>
            <w:r>
              <w:rPr>
                <w:rFonts w:hint="eastAsia" w:ascii="微软雅黑" w:hAnsi="微软雅黑" w:eastAsia="微软雅黑" w:cs="微软雅黑"/>
                <w:sz w:val="24"/>
              </w:rPr>
              <w:t>2</w:t>
            </w:r>
            <w:r>
              <w:rPr>
                <w:rFonts w:ascii="微软雅黑" w:hAnsi="微软雅黑" w:eastAsia="微软雅黑" w:cs="微软雅黑"/>
                <w:sz w:val="24"/>
              </w:rPr>
              <w:t>.</w:t>
            </w:r>
            <w:r>
              <w:rPr>
                <w:rFonts w:hint="eastAsia" w:ascii="微软雅黑" w:hAnsi="微软雅黑" w:eastAsia="微软雅黑" w:cs="微软雅黑"/>
                <w:sz w:val="24"/>
              </w:rPr>
              <w:t>草花养护方案（</w:t>
            </w:r>
            <w:r>
              <w:rPr>
                <w:rFonts w:hint="eastAsia" w:ascii="微软雅黑" w:hAnsi="微软雅黑" w:eastAsia="微软雅黑" w:cs="微软雅黑"/>
                <w:b/>
                <w:bCs/>
                <w:sz w:val="24"/>
              </w:rPr>
              <w:t>0-</w:t>
            </w:r>
            <w:r>
              <w:rPr>
                <w:rFonts w:ascii="微软雅黑" w:hAnsi="微软雅黑" w:eastAsia="微软雅黑" w:cs="微软雅黑"/>
                <w:b/>
                <w:bCs/>
                <w:sz w:val="24"/>
              </w:rPr>
              <w:t>1</w:t>
            </w:r>
            <w:r>
              <w:rPr>
                <w:rFonts w:hint="eastAsia" w:ascii="微软雅黑" w:hAnsi="微软雅黑" w:eastAsia="微软雅黑" w:cs="微软雅黑"/>
                <w:b/>
                <w:bCs/>
                <w:sz w:val="24"/>
                <w:lang w:val="en-US" w:eastAsia="zh-CN"/>
              </w:rPr>
              <w:t>3</w:t>
            </w:r>
            <w:r>
              <w:rPr>
                <w:rFonts w:hint="eastAsia" w:ascii="微软雅黑" w:hAnsi="微软雅黑" w:eastAsia="微软雅黑" w:cs="微软雅黑"/>
                <w:b/>
                <w:bCs/>
                <w:sz w:val="24"/>
              </w:rPr>
              <w:t>分</w:t>
            </w:r>
            <w:r>
              <w:rPr>
                <w:rFonts w:hint="eastAsia" w:ascii="微软雅黑" w:hAnsi="微软雅黑" w:eastAsia="微软雅黑" w:cs="微软雅黑"/>
                <w:sz w:val="24"/>
              </w:rPr>
              <w:t>）：充分结合本项目中草花养护特点，制订全年养护计划，提出种植技术方案、种植控制要点、种植质量保证措施，编制迎节日及重大活动前草花种植预案等。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创新方案</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6分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园林绿化垃圾无害化处置方案：要求投标单位提供自行资源化处理方案，制订适合养护现场的园林绿化废弃物处置方案，并定期对垃圾处置情况及处置费用进行统计和上报。根据方案是否科学合理、具有针对性和可操作性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安全生产措施方案</w:t>
            </w:r>
          </w:p>
          <w:p>
            <w:pPr>
              <w:spacing w:line="360" w:lineRule="auto"/>
              <w:jc w:val="center"/>
              <w:rPr>
                <w:rFonts w:ascii="微软雅黑" w:hAnsi="微软雅黑" w:eastAsia="微软雅黑" w:cs="微软雅黑"/>
                <w:b/>
                <w:sz w:val="24"/>
                <w:szCs w:val="21"/>
                <w:lang w:val="zh-CN"/>
              </w:rPr>
            </w:pP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7分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1.日常作业安全措施方案（</w:t>
            </w:r>
            <w:r>
              <w:rPr>
                <w:rFonts w:hint="eastAsia" w:ascii="微软雅黑" w:hAnsi="微软雅黑" w:eastAsia="微软雅黑" w:cs="微软雅黑"/>
                <w:b/>
                <w:bCs/>
                <w:sz w:val="24"/>
              </w:rPr>
              <w:t>0-</w:t>
            </w:r>
            <w:r>
              <w:rPr>
                <w:rFonts w:ascii="微软雅黑" w:hAnsi="微软雅黑" w:eastAsia="微软雅黑" w:cs="微软雅黑"/>
                <w:b/>
                <w:bCs/>
                <w:sz w:val="24"/>
              </w:rPr>
              <w:t>4</w:t>
            </w:r>
            <w:r>
              <w:rPr>
                <w:rFonts w:hint="eastAsia" w:ascii="微软雅黑" w:hAnsi="微软雅黑" w:eastAsia="微软雅黑" w:cs="微软雅黑"/>
                <w:b/>
                <w:bCs/>
                <w:sz w:val="24"/>
              </w:rPr>
              <w:t>分</w:t>
            </w:r>
            <w:r>
              <w:rPr>
                <w:rFonts w:hint="eastAsia" w:ascii="微软雅黑" w:hAnsi="微软雅黑" w:eastAsia="微软雅黑" w:cs="微软雅黑"/>
                <w:sz w:val="24"/>
              </w:rPr>
              <w:t>）：按公路养护安全作业规范要求，设置现场养护作业标志，落实养护作业人员安全教育培训。</w:t>
            </w:r>
          </w:p>
          <w:p>
            <w:pPr>
              <w:rPr>
                <w:rFonts w:ascii="微软雅黑" w:hAnsi="微软雅黑" w:eastAsia="微软雅黑" w:cs="微软雅黑"/>
                <w:sz w:val="24"/>
              </w:rPr>
            </w:pPr>
            <w:r>
              <w:rPr>
                <w:rFonts w:hint="eastAsia" w:ascii="微软雅黑" w:hAnsi="微软雅黑" w:eastAsia="微软雅黑" w:cs="微软雅黑"/>
                <w:sz w:val="24"/>
              </w:rPr>
              <w:t>2.集中作业安全措施方案（</w:t>
            </w:r>
            <w:r>
              <w:rPr>
                <w:rFonts w:hint="eastAsia" w:ascii="微软雅黑" w:hAnsi="微软雅黑" w:eastAsia="微软雅黑" w:cs="微软雅黑"/>
                <w:b/>
                <w:bCs/>
                <w:sz w:val="24"/>
              </w:rPr>
              <w:t>0-3分</w:t>
            </w:r>
            <w:r>
              <w:rPr>
                <w:rFonts w:hint="eastAsia" w:ascii="微软雅黑" w:hAnsi="微软雅黑" w:eastAsia="微软雅黑" w:cs="微软雅黑"/>
                <w:sz w:val="24"/>
              </w:rPr>
              <w:t>）：按路政等相关部门要求，编制并报备集中养护作业计划。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widowControl/>
              <w:jc w:val="center"/>
              <w:rPr>
                <w:rFonts w:ascii="微软雅黑" w:hAnsi="微软雅黑" w:eastAsia="微软雅黑" w:cs="微软雅黑"/>
                <w:b/>
                <w:bCs/>
                <w:sz w:val="24"/>
                <w:szCs w:val="21"/>
                <w:lang w:val="zh-CN"/>
              </w:rPr>
            </w:pPr>
            <w:r>
              <w:rPr>
                <w:rFonts w:hint="eastAsia" w:ascii="微软雅黑" w:hAnsi="微软雅黑" w:eastAsia="微软雅黑" w:cs="微软雅黑"/>
                <w:b/>
                <w:bCs/>
                <w:sz w:val="24"/>
                <w:lang w:val="zh-CN"/>
              </w:rPr>
              <w:t>养护移交平稳过渡计划实施方案</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3分</w:t>
            </w:r>
          </w:p>
        </w:tc>
        <w:tc>
          <w:tcPr>
            <w:tcW w:w="7440" w:type="dxa"/>
            <w:vAlign w:val="center"/>
          </w:tcPr>
          <w:p>
            <w:pPr>
              <w:ind w:firstLine="480" w:firstLineChars="200"/>
              <w:rPr>
                <w:rFonts w:ascii="微软雅黑" w:hAnsi="微软雅黑" w:eastAsia="微软雅黑" w:cs="微软雅黑"/>
                <w:sz w:val="24"/>
              </w:rPr>
            </w:pPr>
            <w:r>
              <w:rPr>
                <w:rFonts w:hint="eastAsia" w:ascii="微软雅黑" w:hAnsi="微软雅黑" w:eastAsia="微软雅黑" w:cs="微软雅黑"/>
                <w:color w:val="000000"/>
                <w:kern w:val="0"/>
                <w:sz w:val="24"/>
              </w:rPr>
              <w:t>有详细的企业进出场交接计划措施、企业平稳过渡实施方案等相关措施且可行的，得3分；有简要的</w:t>
            </w:r>
            <w:r>
              <w:rPr>
                <w:rFonts w:hint="eastAsia" w:ascii="微软雅黑" w:hAnsi="微软雅黑" w:eastAsia="微软雅黑" w:cs="微软雅黑"/>
                <w:sz w:val="24"/>
                <w:lang w:val="zh-CN"/>
              </w:rPr>
              <w:t>养护移交平稳过渡计划</w:t>
            </w:r>
            <w:r>
              <w:rPr>
                <w:rFonts w:hint="eastAsia" w:ascii="微软雅黑" w:hAnsi="微软雅黑" w:eastAsia="微软雅黑" w:cs="微软雅黑"/>
                <w:color w:val="000000"/>
                <w:kern w:val="0"/>
                <w:sz w:val="24"/>
              </w:rPr>
              <w:t>且可行的，得1-2分；无计划或计划不可行的不得分。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pStyle w:val="12"/>
              <w:ind w:left="140" w:leftChars="50"/>
              <w:jc w:val="center"/>
              <w:rPr>
                <w:rFonts w:ascii="微软雅黑" w:hAnsi="微软雅黑" w:eastAsia="微软雅黑" w:cs="微软雅黑"/>
                <w:b/>
                <w:bCs/>
                <w:sz w:val="24"/>
                <w:szCs w:val="24"/>
                <w:lang w:val="zh-CN"/>
              </w:rPr>
            </w:pPr>
            <w:r>
              <w:rPr>
                <w:rFonts w:hint="eastAsia" w:ascii="微软雅黑" w:hAnsi="微软雅黑" w:eastAsia="微软雅黑" w:cs="微软雅黑"/>
                <w:b/>
                <w:bCs/>
                <w:sz w:val="24"/>
                <w:szCs w:val="24"/>
                <w:lang w:val="zh-CN"/>
              </w:rPr>
              <w:t>应急响</w:t>
            </w:r>
          </w:p>
          <w:p>
            <w:pPr>
              <w:pStyle w:val="12"/>
              <w:ind w:left="140" w:leftChars="50"/>
              <w:jc w:val="center"/>
              <w:rPr>
                <w:rFonts w:ascii="微软雅黑" w:hAnsi="微软雅黑" w:eastAsia="微软雅黑" w:cs="微软雅黑"/>
                <w:b/>
                <w:bCs/>
                <w:sz w:val="24"/>
                <w:szCs w:val="24"/>
                <w:lang w:val="zh-CN"/>
              </w:rPr>
            </w:pPr>
            <w:r>
              <w:rPr>
                <w:rFonts w:hint="eastAsia" w:ascii="微软雅黑" w:hAnsi="微软雅黑" w:eastAsia="微软雅黑" w:cs="微软雅黑"/>
                <w:b/>
                <w:bCs/>
                <w:sz w:val="24"/>
                <w:szCs w:val="24"/>
                <w:lang w:val="zh-CN"/>
              </w:rPr>
              <w:t>应方案</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4分</w:t>
            </w:r>
          </w:p>
        </w:tc>
        <w:tc>
          <w:tcPr>
            <w:tcW w:w="7440" w:type="dxa"/>
            <w:vAlign w:val="center"/>
          </w:tcPr>
          <w:p>
            <w:pPr>
              <w:ind w:firstLine="480" w:firstLineChars="200"/>
              <w:rPr>
                <w:rFonts w:ascii="微软雅黑" w:hAnsi="微软雅黑" w:eastAsia="微软雅黑" w:cs="微软雅黑"/>
                <w:sz w:val="24"/>
              </w:rPr>
            </w:pPr>
            <w:r>
              <w:rPr>
                <w:rFonts w:hint="eastAsia" w:ascii="微软雅黑" w:hAnsi="微软雅黑" w:eastAsia="微软雅黑" w:cs="微软雅黑"/>
                <w:kern w:val="0"/>
                <w:sz w:val="24"/>
              </w:rPr>
              <w:t>根据中标区块应急保障措施（防汛防台、突发事件应急处理及重大活动保障的人员配置、机械配置、应急处置方案，落实专职人员等内容），根据方案是否覆盖全面、是否科学合理、具有针对性和可操作性酌情打分，本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1602" w:type="dxa"/>
            <w:vAlign w:val="center"/>
          </w:tcPr>
          <w:p>
            <w:pPr>
              <w:widowControl/>
              <w:jc w:val="center"/>
              <w:rPr>
                <w:rFonts w:ascii="微软雅黑" w:hAnsi="微软雅黑" w:eastAsia="微软雅黑" w:cs="微软雅黑"/>
                <w:b/>
                <w:bCs/>
                <w:sz w:val="24"/>
                <w:lang w:val="zh-CN"/>
              </w:rPr>
            </w:pPr>
            <w:r>
              <w:rPr>
                <w:rFonts w:hint="eastAsia" w:ascii="微软雅黑" w:hAnsi="微软雅黑" w:eastAsia="微软雅黑" w:cs="微软雅黑"/>
                <w:b/>
                <w:bCs/>
                <w:sz w:val="24"/>
              </w:rPr>
              <w:t>拟投入本项目实施的团队人员配置</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6分</w:t>
            </w:r>
          </w:p>
        </w:tc>
        <w:tc>
          <w:tcPr>
            <w:tcW w:w="7440" w:type="dxa"/>
            <w:vAlign w:val="center"/>
          </w:tcPr>
          <w:p>
            <w:pPr>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项目负责人具有园林绿化类中级工程师职称得1分；高级及以上工程师职称得2分；</w:t>
            </w:r>
          </w:p>
          <w:p>
            <w:pPr>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拟投入本项目的项目组成员中具有以下（绿化、花卉、植保、育苗）专业高级技工的，每提供1名得0.5分，本项最高得2分。</w:t>
            </w:r>
          </w:p>
          <w:p>
            <w:pPr>
              <w:rPr>
                <w:rFonts w:ascii="微软雅黑" w:hAnsi="微软雅黑" w:eastAsia="微软雅黑" w:cs="微软雅黑"/>
                <w:kern w:val="0"/>
                <w:sz w:val="24"/>
              </w:rPr>
            </w:pPr>
            <w:r>
              <w:rPr>
                <w:rFonts w:hint="eastAsia" w:ascii="微软雅黑" w:hAnsi="微软雅黑" w:eastAsia="微软雅黑" w:cs="微软雅黑"/>
                <w:kern w:val="0"/>
                <w:sz w:val="24"/>
              </w:rPr>
              <w:t>3、养护作业人员安排是否达到采购人要求、是否合理（0-2分）：需提供具体作业人员安排表或承诺函（承诺中标后按招标文件要求配备作业人员）</w:t>
            </w:r>
          </w:p>
          <w:p>
            <w:pPr>
              <w:rPr>
                <w:rFonts w:eastAsia="微软雅黑"/>
              </w:rPr>
            </w:pPr>
            <w:r>
              <w:rPr>
                <w:rFonts w:hint="eastAsia" w:ascii="微软雅黑" w:hAnsi="微软雅黑" w:eastAsia="微软雅黑" w:cs="微软雅黑"/>
                <w:kern w:val="0"/>
                <w:sz w:val="24"/>
              </w:rPr>
              <w:t>注：提供人员证书清晰扫描件或复印件。拟派项目组人员必须是本单位的在职正式员工，均须提供近3个月中任意一个月的社保缴费证明，提供汇总表的，为方便查找，请打“√”标明。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widowControl/>
              <w:spacing w:line="440" w:lineRule="exact"/>
              <w:jc w:val="center"/>
              <w:rPr>
                <w:rFonts w:ascii="微软雅黑" w:hAnsi="微软雅黑" w:eastAsia="微软雅黑" w:cs="微软雅黑"/>
                <w:b/>
                <w:bCs/>
                <w:sz w:val="24"/>
                <w:lang w:val="zh-CN"/>
              </w:rPr>
            </w:pPr>
            <w:r>
              <w:rPr>
                <w:rFonts w:hint="eastAsia" w:ascii="微软雅黑" w:hAnsi="微软雅黑" w:eastAsia="微软雅黑" w:cs="微软雅黑"/>
                <w:b/>
                <w:bCs/>
                <w:sz w:val="24"/>
              </w:rPr>
              <w:t>拟投入本项目的车辆及设备配备情况</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1</w:t>
            </w:r>
            <w:r>
              <w:rPr>
                <w:rFonts w:hint="eastAsia" w:ascii="微软雅黑" w:hAnsi="微软雅黑" w:eastAsia="微软雅黑" w:cs="微软雅黑"/>
                <w:sz w:val="24"/>
                <w:szCs w:val="21"/>
                <w:lang w:val="en-US" w:eastAsia="zh-CN"/>
              </w:rPr>
              <w:t>1</w:t>
            </w:r>
            <w:r>
              <w:rPr>
                <w:rFonts w:hint="eastAsia" w:ascii="微软雅黑" w:hAnsi="微软雅黑" w:eastAsia="微软雅黑" w:cs="微软雅黑"/>
                <w:sz w:val="24"/>
                <w:szCs w:val="21"/>
              </w:rPr>
              <w:t>分</w:t>
            </w:r>
          </w:p>
        </w:tc>
        <w:tc>
          <w:tcPr>
            <w:tcW w:w="7440" w:type="dxa"/>
            <w:vAlign w:val="center"/>
          </w:tcPr>
          <w:p>
            <w:pPr>
              <w:numPr>
                <w:ilvl w:val="0"/>
                <w:numId w:val="29"/>
              </w:numPr>
              <w:spacing w:line="400" w:lineRule="exact"/>
              <w:rPr>
                <w:rFonts w:ascii="微软雅黑" w:hAnsi="微软雅黑" w:eastAsia="微软雅黑" w:cs="微软雅黑"/>
                <w:sz w:val="24"/>
              </w:rPr>
            </w:pPr>
            <w:r>
              <w:rPr>
                <w:rFonts w:hint="eastAsia" w:ascii="微软雅黑" w:hAnsi="微软雅黑" w:eastAsia="微软雅黑" w:cs="微软雅黑"/>
                <w:sz w:val="24"/>
              </w:rPr>
              <w:t>配备洒水车（核定载质量8吨及以上）的，每辆得1分，最多得2分；在以上得分基础上，车辆持有形式为企业自有的，每辆加1分；</w:t>
            </w:r>
            <w:r>
              <w:rPr>
                <w:rFonts w:hint="eastAsia" w:ascii="微软雅黑" w:hAnsi="微软雅黑" w:eastAsia="微软雅黑" w:cs="微软雅黑"/>
                <w:b/>
                <w:bCs/>
                <w:sz w:val="24"/>
              </w:rPr>
              <w:t>本项最高得4分。</w:t>
            </w:r>
          </w:p>
          <w:p>
            <w:pPr>
              <w:keepNext w:val="0"/>
              <w:keepLines w:val="0"/>
              <w:pageBreakBefore w:val="0"/>
              <w:widowControl w:val="0"/>
              <w:numPr>
                <w:ilvl w:val="0"/>
                <w:numId w:val="29"/>
              </w:numPr>
              <w:wordWrap/>
              <w:topLinePunct w:val="0"/>
              <w:autoSpaceDE/>
              <w:autoSpaceDN/>
              <w:bidi w:val="0"/>
              <w:adjustRightInd/>
              <w:snapToGrid/>
              <w:spacing w:line="240" w:lineRule="auto"/>
              <w:textAlignment w:val="auto"/>
              <w:rPr>
                <w:rFonts w:ascii="微软雅黑" w:hAnsi="微软雅黑" w:eastAsia="微软雅黑" w:cs="微软雅黑"/>
                <w:sz w:val="24"/>
              </w:rPr>
            </w:pPr>
            <w:r>
              <w:rPr>
                <w:rFonts w:hint="eastAsia" w:ascii="微软雅黑" w:hAnsi="微软雅黑" w:eastAsia="微软雅黑" w:cs="微软雅黑"/>
                <w:sz w:val="24"/>
              </w:rPr>
              <w:t>配备登高车（最大工作高度≥8米）的，每辆得</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分，最多得</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分</w:t>
            </w:r>
            <w:r>
              <w:rPr>
                <w:rFonts w:hint="eastAsia" w:ascii="微软雅黑" w:hAnsi="微软雅黑" w:eastAsia="微软雅黑" w:cs="微软雅黑"/>
                <w:sz w:val="24"/>
                <w:lang w:eastAsia="zh-CN"/>
              </w:rPr>
              <w:t>；</w:t>
            </w:r>
            <w:r>
              <w:rPr>
                <w:rFonts w:hint="eastAsia" w:ascii="微软雅黑" w:hAnsi="微软雅黑" w:eastAsia="微软雅黑" w:cs="微软雅黑"/>
                <w:spacing w:val="-3"/>
                <w:kern w:val="0"/>
                <w:sz w:val="24"/>
                <w:highlight w:val="none"/>
                <w:lang w:val="zh-CN" w:bidi="zh-CN"/>
              </w:rPr>
              <w:t>在以上得分基础上，车辆持有形式为企业自有的，</w:t>
            </w:r>
            <w:r>
              <w:rPr>
                <w:rFonts w:hint="eastAsia" w:ascii="微软雅黑" w:hAnsi="微软雅黑" w:eastAsia="微软雅黑" w:cs="微软雅黑"/>
                <w:sz w:val="24"/>
              </w:rPr>
              <w:t>每辆</w:t>
            </w:r>
            <w:r>
              <w:rPr>
                <w:rFonts w:hint="eastAsia" w:ascii="微软雅黑" w:hAnsi="微软雅黑" w:eastAsia="微软雅黑" w:cs="微软雅黑"/>
                <w:spacing w:val="-3"/>
                <w:kern w:val="0"/>
                <w:sz w:val="24"/>
                <w:highlight w:val="none"/>
                <w:lang w:val="zh-CN" w:bidi="zh-CN"/>
              </w:rPr>
              <w:t>加</w:t>
            </w:r>
            <w:r>
              <w:rPr>
                <w:rFonts w:hint="eastAsia" w:ascii="微软雅黑" w:hAnsi="微软雅黑" w:eastAsia="微软雅黑" w:cs="微软雅黑"/>
                <w:spacing w:val="-3"/>
                <w:kern w:val="0"/>
                <w:sz w:val="24"/>
                <w:highlight w:val="none"/>
                <w:lang w:val="en-US" w:bidi="zh-CN"/>
              </w:rPr>
              <w:t>1分</w:t>
            </w:r>
            <w:r>
              <w:rPr>
                <w:rFonts w:hint="eastAsia" w:ascii="微软雅黑" w:hAnsi="微软雅黑" w:eastAsia="微软雅黑" w:cs="微软雅黑"/>
                <w:sz w:val="24"/>
              </w:rPr>
              <w:t>；</w:t>
            </w:r>
            <w:r>
              <w:rPr>
                <w:rFonts w:hint="eastAsia" w:ascii="微软雅黑" w:hAnsi="微软雅黑" w:eastAsia="微软雅黑" w:cs="微软雅黑"/>
                <w:b/>
                <w:bCs/>
                <w:sz w:val="24"/>
                <w:lang w:eastAsia="zh-CN"/>
              </w:rPr>
              <w:t>本项最高得</w:t>
            </w:r>
            <w:r>
              <w:rPr>
                <w:rFonts w:hint="eastAsia" w:ascii="微软雅黑" w:hAnsi="微软雅黑" w:eastAsia="微软雅黑" w:cs="微软雅黑"/>
                <w:b/>
                <w:bCs/>
                <w:sz w:val="24"/>
                <w:lang w:val="en-US" w:eastAsia="zh-CN"/>
              </w:rPr>
              <w:t>2分。</w:t>
            </w:r>
          </w:p>
          <w:p>
            <w:pPr>
              <w:keepNext w:val="0"/>
              <w:keepLines w:val="0"/>
              <w:pageBreakBefore w:val="0"/>
              <w:widowControl w:val="0"/>
              <w:numPr>
                <w:ilvl w:val="0"/>
                <w:numId w:val="29"/>
              </w:numPr>
              <w:wordWrap/>
              <w:topLinePunct w:val="0"/>
              <w:autoSpaceDE/>
              <w:autoSpaceDN/>
              <w:bidi w:val="0"/>
              <w:adjustRightInd/>
              <w:snapToGrid/>
              <w:spacing w:line="240" w:lineRule="auto"/>
              <w:textAlignment w:val="auto"/>
              <w:rPr>
                <w:rFonts w:ascii="微软雅黑" w:hAnsi="微软雅黑" w:eastAsia="微软雅黑" w:cs="微软雅黑"/>
                <w:sz w:val="24"/>
              </w:rPr>
            </w:pPr>
            <w:r>
              <w:rPr>
                <w:rFonts w:hint="eastAsia" w:ascii="微软雅黑" w:hAnsi="微软雅黑" w:eastAsia="微软雅黑" w:cs="微软雅黑"/>
                <w:sz w:val="24"/>
              </w:rPr>
              <w:t>多用途货车（使用性质为工程救险类，核定载质量≥</w:t>
            </w:r>
            <w:r>
              <w:rPr>
                <w:rFonts w:hint="eastAsia" w:ascii="微软雅黑" w:hAnsi="微软雅黑" w:eastAsia="微软雅黑" w:cs="微软雅黑"/>
                <w:sz w:val="24"/>
                <w:lang w:val="en-US" w:eastAsia="zh-CN"/>
              </w:rPr>
              <w:t>400</w:t>
            </w:r>
            <w:r>
              <w:rPr>
                <w:rFonts w:hint="eastAsia" w:ascii="微软雅黑" w:hAnsi="微软雅黑" w:eastAsia="微软雅黑" w:cs="微软雅黑"/>
                <w:sz w:val="24"/>
              </w:rPr>
              <w:t>KG）每辆得</w:t>
            </w:r>
            <w:r>
              <w:rPr>
                <w:rFonts w:hint="eastAsia" w:ascii="微软雅黑" w:hAnsi="微软雅黑" w:eastAsia="微软雅黑" w:cs="微软雅黑"/>
                <w:sz w:val="24"/>
                <w:lang w:val="en-US" w:eastAsia="zh-CN"/>
              </w:rPr>
              <w:t>0.5</w:t>
            </w:r>
            <w:r>
              <w:rPr>
                <w:rFonts w:hint="eastAsia" w:ascii="微软雅黑" w:hAnsi="微软雅黑" w:eastAsia="微软雅黑" w:cs="微软雅黑"/>
                <w:sz w:val="24"/>
              </w:rPr>
              <w:t>分，最多得</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分；</w:t>
            </w:r>
            <w:r>
              <w:rPr>
                <w:rFonts w:hint="eastAsia" w:ascii="微软雅黑" w:hAnsi="微软雅黑" w:eastAsia="微软雅黑" w:cs="微软雅黑"/>
                <w:spacing w:val="-3"/>
                <w:kern w:val="0"/>
                <w:sz w:val="24"/>
                <w:highlight w:val="none"/>
                <w:lang w:val="zh-CN" w:bidi="zh-CN"/>
              </w:rPr>
              <w:t>在以上得分基础上，车辆持有形式为企业自有的，</w:t>
            </w:r>
            <w:r>
              <w:rPr>
                <w:rFonts w:hint="eastAsia" w:ascii="微软雅黑" w:hAnsi="微软雅黑" w:eastAsia="微软雅黑" w:cs="微软雅黑"/>
                <w:sz w:val="24"/>
              </w:rPr>
              <w:t>每辆</w:t>
            </w:r>
            <w:r>
              <w:rPr>
                <w:rFonts w:hint="eastAsia" w:ascii="微软雅黑" w:hAnsi="微软雅黑" w:eastAsia="微软雅黑" w:cs="微软雅黑"/>
                <w:spacing w:val="-3"/>
                <w:kern w:val="0"/>
                <w:sz w:val="24"/>
                <w:highlight w:val="none"/>
                <w:lang w:val="zh-CN" w:bidi="zh-CN"/>
              </w:rPr>
              <w:t>加</w:t>
            </w:r>
            <w:r>
              <w:rPr>
                <w:rFonts w:hint="eastAsia" w:ascii="微软雅黑" w:hAnsi="微软雅黑" w:eastAsia="微软雅黑" w:cs="微软雅黑"/>
                <w:spacing w:val="-3"/>
                <w:kern w:val="0"/>
                <w:sz w:val="24"/>
                <w:highlight w:val="none"/>
                <w:lang w:val="en-US" w:bidi="zh-CN"/>
              </w:rPr>
              <w:t>0.5分</w:t>
            </w:r>
            <w:r>
              <w:rPr>
                <w:rFonts w:hint="eastAsia" w:ascii="微软雅黑" w:hAnsi="微软雅黑" w:eastAsia="微软雅黑" w:cs="微软雅黑"/>
                <w:sz w:val="24"/>
              </w:rPr>
              <w:t>；</w:t>
            </w:r>
            <w:r>
              <w:rPr>
                <w:rFonts w:hint="eastAsia" w:ascii="微软雅黑" w:hAnsi="微软雅黑" w:eastAsia="微软雅黑" w:cs="微软雅黑"/>
                <w:b/>
                <w:bCs/>
                <w:sz w:val="24"/>
                <w:lang w:eastAsia="zh-CN"/>
              </w:rPr>
              <w:t>本项最高得</w:t>
            </w:r>
            <w:r>
              <w:rPr>
                <w:rFonts w:hint="eastAsia" w:ascii="微软雅黑" w:hAnsi="微软雅黑" w:eastAsia="微软雅黑" w:cs="微软雅黑"/>
                <w:b/>
                <w:bCs/>
                <w:sz w:val="24"/>
                <w:lang w:val="en-US" w:eastAsia="zh-CN"/>
              </w:rPr>
              <w:t>2分。</w:t>
            </w:r>
          </w:p>
          <w:p>
            <w:pPr>
              <w:numPr>
                <w:ilvl w:val="0"/>
                <w:numId w:val="29"/>
              </w:numPr>
              <w:spacing w:line="400" w:lineRule="exact"/>
              <w:rPr>
                <w:rFonts w:ascii="微软雅黑" w:hAnsi="微软雅黑" w:eastAsia="微软雅黑" w:cs="微软雅黑"/>
                <w:sz w:val="24"/>
              </w:rPr>
            </w:pPr>
            <w:r>
              <w:rPr>
                <w:rFonts w:hint="eastAsia" w:ascii="微软雅黑" w:hAnsi="微软雅黑" w:eastAsia="微软雅黑" w:cs="微软雅黑"/>
                <w:sz w:val="24"/>
              </w:rPr>
              <w:t>水泵4台；草坪机3台；割灌机2台；打药机2台。绿篱机3台，以上设备全部满足得基本分3分，1项不满足扣1分，扣完为止。</w:t>
            </w:r>
          </w:p>
          <w:p>
            <w:pPr>
              <w:rPr>
                <w:rFonts w:ascii="微软雅黑" w:hAnsi="微软雅黑" w:eastAsia="微软雅黑" w:cs="微软雅黑"/>
                <w:sz w:val="24"/>
              </w:rPr>
            </w:pPr>
            <w:r>
              <w:rPr>
                <w:rFonts w:hint="eastAsia" w:ascii="微软雅黑" w:hAnsi="微软雅黑" w:eastAsia="微软雅黑" w:cs="微软雅黑"/>
                <w:sz w:val="24"/>
              </w:rPr>
              <w:t>注：1.自有车辆设备须提供设备照片、购车发票及车辆行驶证。2.企业租赁车辆的须提供设备照片、租赁协议及车辆行驶证复印件。3.设备需提供购置发票等相关证明材料。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管理制度措施</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8分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1、质量管理体系：质量管理工作的规范性、可溯性及完整性，针对本项目制订具体质量管理考核细则是否完善来打分。（0-2 分）</w:t>
            </w:r>
          </w:p>
          <w:p>
            <w:pPr>
              <w:rPr>
                <w:rFonts w:ascii="微软雅黑" w:hAnsi="微软雅黑" w:eastAsia="微软雅黑" w:cs="微软雅黑"/>
                <w:sz w:val="24"/>
              </w:rPr>
            </w:pPr>
            <w:r>
              <w:rPr>
                <w:rFonts w:hint="eastAsia" w:ascii="微软雅黑" w:hAnsi="微软雅黑" w:eastAsia="微软雅黑" w:cs="微软雅黑"/>
                <w:sz w:val="24"/>
              </w:rPr>
              <w:t>2、组织管理体系：根据组织管理体系是否完善，进行评分（0-1分）</w:t>
            </w:r>
          </w:p>
          <w:p>
            <w:pPr>
              <w:rPr>
                <w:rFonts w:ascii="微软雅黑" w:hAnsi="微软雅黑" w:eastAsia="微软雅黑" w:cs="微软雅黑"/>
                <w:sz w:val="24"/>
              </w:rPr>
            </w:pPr>
            <w:r>
              <w:rPr>
                <w:rFonts w:hint="eastAsia" w:ascii="微软雅黑" w:hAnsi="微软雅黑" w:eastAsia="微软雅黑" w:cs="微软雅黑"/>
                <w:sz w:val="24"/>
              </w:rPr>
              <w:t>3、财务管理：根据财务管理制度是否完善，进行评分（0-1分）</w:t>
            </w:r>
          </w:p>
          <w:p>
            <w:pPr>
              <w:rPr>
                <w:rFonts w:ascii="微软雅黑" w:hAnsi="微软雅黑" w:eastAsia="微软雅黑" w:cs="微软雅黑"/>
                <w:sz w:val="24"/>
              </w:rPr>
            </w:pPr>
            <w:r>
              <w:rPr>
                <w:rFonts w:hint="eastAsia" w:ascii="微软雅黑" w:hAnsi="微软雅黑" w:eastAsia="微软雅黑" w:cs="微软雅黑"/>
                <w:sz w:val="24"/>
              </w:rPr>
              <w:t>4、安全生产管理：具有安全生产管理制度、安全管理台帐、安全生产培训记录等。（0-2分）</w:t>
            </w:r>
          </w:p>
          <w:p>
            <w:pPr>
              <w:rPr>
                <w:rFonts w:ascii="微软雅黑" w:hAnsi="微软雅黑" w:eastAsia="微软雅黑" w:cs="微软雅黑"/>
                <w:sz w:val="24"/>
              </w:rPr>
            </w:pPr>
            <w:r>
              <w:rPr>
                <w:rFonts w:hint="eastAsia" w:ascii="微软雅黑" w:hAnsi="微软雅黑" w:eastAsia="微软雅黑" w:cs="微软雅黑"/>
                <w:sz w:val="24"/>
              </w:rPr>
              <w:t>5、职工保障：具有职工薪资、福利、假期管理体系等职工保障制度是否完善且符合法律法规规定进行评分。（0-2分）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54" w:type="dxa"/>
            <w:gridSpan w:val="3"/>
            <w:vAlign w:val="center"/>
          </w:tcPr>
          <w:p>
            <w:pPr>
              <w:kinsoku w:val="0"/>
              <w:overflowPunct w:val="0"/>
              <w:spacing w:before="84" w:line="307" w:lineRule="auto"/>
              <w:ind w:right="146"/>
              <w:jc w:val="center"/>
              <w:rPr>
                <w:rFonts w:ascii="微软雅黑" w:hAnsi="微软雅黑" w:eastAsia="微软雅黑" w:cs="微软雅黑"/>
                <w:sz w:val="24"/>
                <w:szCs w:val="21"/>
                <w:lang w:bidi="zh-CN"/>
              </w:rPr>
            </w:pPr>
            <w:r>
              <w:rPr>
                <w:rFonts w:hint="eastAsia" w:ascii="微软雅黑" w:hAnsi="微软雅黑" w:eastAsia="微软雅黑" w:cs="微软雅黑"/>
                <w:b/>
                <w:sz w:val="24"/>
                <w:szCs w:val="21"/>
                <w:lang w:val="zh-CN" w:bidi="zh-CN"/>
              </w:rPr>
              <w:t>商务、</w:t>
            </w:r>
            <w:r>
              <w:rPr>
                <w:rFonts w:hint="eastAsia" w:ascii="微软雅黑" w:hAnsi="微软雅黑" w:eastAsia="微软雅黑" w:cs="微软雅黑"/>
                <w:b/>
                <w:sz w:val="24"/>
                <w:lang w:val="zh-CN" w:bidi="zh-CN"/>
              </w:rPr>
              <w:t>资信及其他分（</w:t>
            </w:r>
            <w:r>
              <w:rPr>
                <w:rFonts w:hint="eastAsia" w:ascii="微软雅黑" w:hAnsi="微软雅黑" w:eastAsia="微软雅黑" w:cs="微软雅黑"/>
                <w:b/>
                <w:sz w:val="24"/>
                <w:lang w:bidi="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602" w:type="dxa"/>
            <w:vAlign w:val="center"/>
          </w:tcPr>
          <w:p>
            <w:pPr>
              <w:spacing w:line="360" w:lineRule="auto"/>
              <w:jc w:val="center"/>
              <w:rPr>
                <w:rFonts w:ascii="微软雅黑" w:hAnsi="微软雅黑" w:eastAsia="微软雅黑" w:cs="微软雅黑"/>
                <w:b/>
                <w:sz w:val="24"/>
                <w:szCs w:val="21"/>
              </w:rPr>
            </w:pPr>
            <w:r>
              <w:rPr>
                <w:rFonts w:hint="eastAsia" w:ascii="微软雅黑" w:hAnsi="微软雅黑" w:eastAsia="微软雅黑" w:cs="微软雅黑"/>
                <w:b/>
                <w:sz w:val="24"/>
                <w:szCs w:val="21"/>
              </w:rPr>
              <w:t>企业业绩</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2分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1、供应商自2019年1月1日以来（以合同签订时间为准）承担过花卉栽植（含补植）项目业绩的，每提供一个得1分，最多得1分。</w:t>
            </w:r>
          </w:p>
          <w:p>
            <w:pPr>
              <w:rPr>
                <w:rFonts w:ascii="微软雅黑" w:hAnsi="微软雅黑" w:eastAsia="微软雅黑" w:cs="微软雅黑"/>
                <w:sz w:val="24"/>
              </w:rPr>
            </w:pPr>
            <w:r>
              <w:rPr>
                <w:rFonts w:hint="eastAsia" w:ascii="微软雅黑" w:hAnsi="微软雅黑" w:eastAsia="微软雅黑" w:cs="微软雅黑"/>
                <w:sz w:val="24"/>
              </w:rPr>
              <w:t>2、供应商自2019年1月1日以来（以合同签订时间为准）承担过绿化养护项目业绩的，每提供一个得1分，最多得1分。</w:t>
            </w:r>
          </w:p>
          <w:p>
            <w:pPr>
              <w:rPr>
                <w:rFonts w:ascii="微软雅黑" w:hAnsi="微软雅黑" w:eastAsia="微软雅黑" w:cs="微软雅黑"/>
                <w:sz w:val="24"/>
              </w:rPr>
            </w:pPr>
            <w:r>
              <w:rPr>
                <w:rFonts w:hint="eastAsia" w:ascii="微软雅黑" w:hAnsi="微软雅黑" w:eastAsia="微软雅黑" w:cs="微软雅黑"/>
                <w:sz w:val="24"/>
              </w:rPr>
              <w:t>注：必须同时提供合同及中标通知书（要求提供清晰扫描件或复印件并加盖公章）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2" w:type="dxa"/>
            <w:vAlign w:val="center"/>
          </w:tcPr>
          <w:p>
            <w:pPr>
              <w:spacing w:line="360" w:lineRule="auto"/>
              <w:jc w:val="center"/>
              <w:rPr>
                <w:rFonts w:ascii="微软雅黑" w:hAnsi="微软雅黑" w:eastAsia="微软雅黑" w:cs="微软雅黑"/>
                <w:b/>
                <w:sz w:val="24"/>
                <w:szCs w:val="21"/>
              </w:rPr>
            </w:pPr>
            <w:r>
              <w:rPr>
                <w:rFonts w:hint="eastAsia" w:ascii="微软雅黑" w:hAnsi="微软雅黑" w:eastAsia="微软雅黑" w:cs="微软雅黑"/>
                <w:b/>
                <w:sz w:val="24"/>
                <w:szCs w:val="21"/>
              </w:rPr>
              <w:t>企业实力</w:t>
            </w:r>
          </w:p>
        </w:tc>
        <w:tc>
          <w:tcPr>
            <w:tcW w:w="812" w:type="dxa"/>
            <w:vAlign w:val="center"/>
          </w:tcPr>
          <w:p>
            <w:pPr>
              <w:spacing w:line="360"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3分</w:t>
            </w:r>
          </w:p>
        </w:tc>
        <w:tc>
          <w:tcPr>
            <w:tcW w:w="7440" w:type="dxa"/>
            <w:vAlign w:val="center"/>
          </w:tcPr>
          <w:p>
            <w:pPr>
              <w:rPr>
                <w:rFonts w:ascii="微软雅黑" w:hAnsi="微软雅黑" w:eastAsia="微软雅黑" w:cs="微软雅黑"/>
                <w:sz w:val="24"/>
              </w:rPr>
            </w:pPr>
            <w:r>
              <w:rPr>
                <w:rFonts w:hint="eastAsia" w:ascii="微软雅黑" w:hAnsi="微软雅黑" w:eastAsia="微软雅黑" w:cs="微软雅黑"/>
                <w:sz w:val="24"/>
              </w:rPr>
              <w:t>具有质量管理体系认证证书、环境管理体系认证证书、职业健康安全管理体系证书的，每个得1分，最多得3分。</w:t>
            </w:r>
          </w:p>
          <w:p>
            <w:pPr>
              <w:rPr>
                <w:rFonts w:ascii="微软雅黑" w:hAnsi="微软雅黑" w:eastAsia="微软雅黑" w:cs="微软雅黑"/>
                <w:sz w:val="24"/>
              </w:rPr>
            </w:pPr>
            <w:r>
              <w:rPr>
                <w:rFonts w:hint="eastAsia" w:ascii="微软雅黑" w:hAnsi="微软雅黑" w:eastAsia="微软雅黑" w:cs="微软雅黑"/>
                <w:sz w:val="24"/>
              </w:rPr>
              <w:t>注：相关证书状态为有效，提供全国认证认可信息公共服务平台网站截图及证书清晰扫描件或复印件，</w:t>
            </w:r>
            <w:r>
              <w:rPr>
                <w:rFonts w:hint="eastAsia" w:ascii="微软雅黑" w:hAnsi="微软雅黑" w:eastAsia="微软雅黑" w:cs="微软雅黑"/>
                <w:sz w:val="24"/>
                <w:lang w:eastAsia="zh-CN"/>
              </w:rPr>
              <w:t>两者缺一不可，</w:t>
            </w:r>
            <w:r>
              <w:rPr>
                <w:rFonts w:hint="eastAsia" w:ascii="微软雅黑" w:hAnsi="微软雅黑" w:eastAsia="微软雅黑" w:cs="微软雅黑"/>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602" w:type="dxa"/>
            <w:vAlign w:val="center"/>
          </w:tcPr>
          <w:p>
            <w:pPr>
              <w:spacing w:line="276" w:lineRule="auto"/>
              <w:jc w:val="center"/>
              <w:rPr>
                <w:rFonts w:ascii="微软雅黑" w:hAnsi="微软雅黑" w:eastAsia="微软雅黑" w:cs="微软雅黑"/>
                <w:b/>
                <w:sz w:val="24"/>
                <w:szCs w:val="21"/>
              </w:rPr>
            </w:pPr>
            <w:r>
              <w:rPr>
                <w:rFonts w:hint="eastAsia" w:ascii="微软雅黑" w:hAnsi="微软雅黑" w:eastAsia="微软雅黑" w:cs="微软雅黑"/>
                <w:b/>
                <w:sz w:val="24"/>
                <w:szCs w:val="21"/>
                <w:lang w:val="zh-CN"/>
              </w:rPr>
              <w:t>服务承诺</w:t>
            </w:r>
          </w:p>
        </w:tc>
        <w:tc>
          <w:tcPr>
            <w:tcW w:w="812" w:type="dxa"/>
            <w:vAlign w:val="center"/>
          </w:tcPr>
          <w:p>
            <w:pPr>
              <w:spacing w:line="276" w:lineRule="auto"/>
              <w:jc w:val="center"/>
              <w:rPr>
                <w:rFonts w:ascii="微软雅黑" w:hAnsi="微软雅黑" w:eastAsia="微软雅黑" w:cs="微软雅黑"/>
                <w:sz w:val="24"/>
                <w:szCs w:val="21"/>
              </w:rPr>
            </w:pPr>
            <w:r>
              <w:rPr>
                <w:rFonts w:hint="eastAsia" w:ascii="微软雅黑" w:hAnsi="微软雅黑" w:eastAsia="微软雅黑" w:cs="微软雅黑"/>
                <w:sz w:val="24"/>
                <w:szCs w:val="21"/>
              </w:rPr>
              <w:t>4分</w:t>
            </w:r>
          </w:p>
        </w:tc>
        <w:tc>
          <w:tcPr>
            <w:tcW w:w="7440" w:type="dxa"/>
            <w:vAlign w:val="center"/>
          </w:tcPr>
          <w:p>
            <w:pPr>
              <w:kinsoku w:val="0"/>
              <w:overflowPunct w:val="0"/>
              <w:spacing w:before="2"/>
              <w:rPr>
                <w:rFonts w:ascii="微软雅黑" w:hAnsi="微软雅黑" w:eastAsia="微软雅黑" w:cs="微软雅黑"/>
                <w:sz w:val="24"/>
                <w:szCs w:val="21"/>
                <w:lang w:val="zh-CN" w:bidi="zh-CN"/>
              </w:rPr>
            </w:pPr>
            <w:bookmarkStart w:id="77" w:name="_GoBack"/>
            <w:r>
              <w:rPr>
                <w:rFonts w:hint="eastAsia" w:ascii="微软雅黑" w:hAnsi="微软雅黑" w:eastAsia="微软雅黑" w:cs="微软雅黑"/>
                <w:sz w:val="24"/>
                <w:szCs w:val="21"/>
                <w:lang w:val="zh-CN" w:bidi="zh-CN"/>
              </w:rPr>
              <w:t>1、办公场所（0-2分）：在投标的服务区范围内设置办公室，提供房屋租赁合同或房屋自有证明，或承诺中标后设立的，均得 2分。不提供不得分。</w:t>
            </w:r>
          </w:p>
          <w:p>
            <w:pPr>
              <w:kinsoku w:val="0"/>
              <w:overflowPunct w:val="0"/>
              <w:spacing w:before="2"/>
              <w:rPr>
                <w:rFonts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2、响应时间（0-2分）：在采购人有需求时接到通知（电话、电传等）后 </w:t>
            </w:r>
            <w:r>
              <w:rPr>
                <w:rFonts w:hint="eastAsia" w:ascii="微软雅黑" w:hAnsi="微软雅黑" w:eastAsia="微软雅黑" w:cs="微软雅黑"/>
                <w:sz w:val="24"/>
                <w:szCs w:val="21"/>
                <w:lang w:bidi="zh-CN"/>
              </w:rPr>
              <w:t>1</w:t>
            </w:r>
            <w:r>
              <w:rPr>
                <w:rFonts w:hint="eastAsia" w:ascii="微软雅黑" w:hAnsi="微软雅黑" w:eastAsia="微软雅黑" w:cs="微软雅黑"/>
                <w:sz w:val="24"/>
                <w:szCs w:val="21"/>
                <w:lang w:val="zh-CN" w:bidi="zh-CN"/>
              </w:rPr>
              <w:t xml:space="preserve">小时内到现场响应得 </w:t>
            </w:r>
            <w:r>
              <w:rPr>
                <w:rFonts w:hint="eastAsia" w:ascii="微软雅黑" w:hAnsi="微软雅黑" w:eastAsia="微软雅黑" w:cs="微软雅黑"/>
                <w:sz w:val="24"/>
                <w:szCs w:val="21"/>
                <w:lang w:bidi="zh-CN"/>
              </w:rPr>
              <w:t>2</w:t>
            </w:r>
            <w:r>
              <w:rPr>
                <w:rFonts w:hint="eastAsia" w:ascii="微软雅黑" w:hAnsi="微软雅黑" w:eastAsia="微软雅黑" w:cs="微软雅黑"/>
                <w:sz w:val="24"/>
                <w:szCs w:val="21"/>
                <w:lang w:val="zh-CN" w:bidi="zh-CN"/>
              </w:rPr>
              <w:t>分，不响应不得分。</w:t>
            </w:r>
          </w:p>
          <w:p>
            <w:pPr>
              <w:pStyle w:val="2"/>
              <w:ind w:firstLine="0" w:firstLineChars="0"/>
            </w:pPr>
            <w:r>
              <w:rPr>
                <w:rFonts w:hint="eastAsia" w:ascii="微软雅黑" w:hAnsi="微软雅黑" w:eastAsia="微软雅黑" w:cs="微软雅黑"/>
                <w:sz w:val="24"/>
                <w:szCs w:val="21"/>
                <w:lang w:val="zh-CN" w:bidi="zh-CN"/>
              </w:rPr>
              <w:t>以上承诺未提供的部分不得分。</w:t>
            </w:r>
            <w:bookmarkEnd w:id="77"/>
          </w:p>
        </w:tc>
      </w:tr>
    </w:tbl>
    <w:p>
      <w:r>
        <w:rPr>
          <w:rFonts w:hint="eastAsia"/>
        </w:rPr>
        <w:br w:type="page"/>
      </w:r>
    </w:p>
    <w:p>
      <w:pPr>
        <w:numPr>
          <w:ilvl w:val="0"/>
          <w:numId w:val="10"/>
        </w:numPr>
        <w:spacing w:line="360"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合同主要条款</w:t>
      </w:r>
    </w:p>
    <w:p>
      <w:pPr>
        <w:spacing w:line="480" w:lineRule="exact"/>
        <w:jc w:val="center"/>
        <w:rPr>
          <w:rFonts w:ascii="宋体" w:hAnsi="宋体" w:cs="宋体"/>
          <w:b/>
          <w:sz w:val="30"/>
          <w:szCs w:val="30"/>
        </w:rPr>
      </w:pPr>
      <w:r>
        <w:rPr>
          <w:rFonts w:hint="eastAsia" w:ascii="宋体" w:hAnsi="宋体" w:cs="宋体"/>
          <w:b/>
          <w:sz w:val="30"/>
          <w:szCs w:val="30"/>
        </w:rPr>
        <w:t>浙江省政府采购合同范本</w:t>
      </w:r>
    </w:p>
    <w:p>
      <w:pPr>
        <w:spacing w:line="480" w:lineRule="exact"/>
        <w:jc w:val="center"/>
        <w:rPr>
          <w:rFonts w:ascii="微软雅黑" w:hAnsi="微软雅黑" w:eastAsia="微软雅黑" w:cs="微软雅黑"/>
          <w:sz w:val="22"/>
          <w:szCs w:val="21"/>
        </w:rPr>
      </w:pPr>
      <w:r>
        <w:rPr>
          <w:rFonts w:hint="eastAsia" w:ascii="宋体" w:hAnsi="宋体" w:cs="宋体"/>
          <w:b/>
          <w:sz w:val="24"/>
        </w:rPr>
        <w:t>（仅供参考、以最终合同为准）</w:t>
      </w:r>
    </w:p>
    <w:p>
      <w:pPr>
        <w:pStyle w:val="18"/>
        <w:wordWrap w:val="0"/>
        <w:spacing w:before="0" w:beforeAutospacing="0" w:after="0" w:afterAutospacing="0" w:line="600" w:lineRule="exact"/>
        <w:jc w:val="right"/>
        <w:rPr>
          <w:rFonts w:ascii="仿宋" w:hAnsi="仿宋" w:eastAsia="仿宋" w:cs="仿宋"/>
          <w:b/>
        </w:rPr>
      </w:pPr>
      <w:r>
        <w:rPr>
          <w:rStyle w:val="22"/>
          <w:rFonts w:hint="eastAsia" w:ascii="仿宋" w:hAnsi="仿宋" w:eastAsia="仿宋" w:cs="仿宋"/>
          <w:b w:val="0"/>
          <w:bCs w:val="0"/>
          <w:sz w:val="28"/>
          <w:szCs w:val="28"/>
        </w:rPr>
        <w:t>合同编号：</w:t>
      </w:r>
    </w:p>
    <w:p>
      <w:pPr>
        <w:pStyle w:val="12"/>
        <w:spacing w:line="6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湖州市南浔区住房和城乡建设局年度（2022-2025）绿化养护服务采购</w:t>
      </w:r>
    </w:p>
    <w:p>
      <w:pPr>
        <w:pStyle w:val="12"/>
        <w:spacing w:line="600" w:lineRule="exact"/>
        <w:jc w:val="center"/>
        <w:rPr>
          <w:rFonts w:ascii="仿宋" w:hAnsi="仿宋" w:eastAsia="仿宋" w:cs="仿宋"/>
          <w:sz w:val="28"/>
          <w:szCs w:val="28"/>
        </w:rPr>
      </w:pPr>
      <w:r>
        <w:rPr>
          <w:rFonts w:hint="eastAsia" w:ascii="仿宋" w:hAnsi="仿宋" w:eastAsia="仿宋" w:cs="仿宋"/>
          <w:b/>
          <w:sz w:val="28"/>
          <w:szCs w:val="28"/>
        </w:rPr>
        <w:t>委托合同</w:t>
      </w:r>
    </w:p>
    <w:p>
      <w:pPr>
        <w:spacing w:line="360" w:lineRule="auto"/>
        <w:ind w:firstLine="3014" w:firstLineChars="1500"/>
        <w:rPr>
          <w:rFonts w:ascii="仿宋" w:hAnsi="仿宋" w:eastAsia="仿宋" w:cs="仿宋"/>
          <w:b/>
          <w:bCs/>
          <w:spacing w:val="-20"/>
          <w:sz w:val="24"/>
        </w:rPr>
      </w:pPr>
      <w:r>
        <w:rPr>
          <w:rFonts w:hint="eastAsia" w:ascii="仿宋" w:hAnsi="仿宋" w:eastAsia="仿宋" w:cs="仿宋"/>
          <w:b/>
          <w:bCs/>
          <w:spacing w:val="-20"/>
          <w:sz w:val="24"/>
        </w:rPr>
        <w:t>财政审批编号:                          号</w:t>
      </w:r>
    </w:p>
    <w:p>
      <w:pPr>
        <w:spacing w:line="360" w:lineRule="auto"/>
        <w:jc w:val="center"/>
        <w:rPr>
          <w:rFonts w:ascii="仿宋" w:hAnsi="仿宋" w:eastAsia="仿宋" w:cs="仿宋"/>
          <w:sz w:val="24"/>
        </w:rPr>
      </w:pPr>
      <w:r>
        <w:rPr>
          <w:rFonts w:hint="eastAsia" w:ascii="仿宋" w:hAnsi="仿宋" w:eastAsia="仿宋" w:cs="仿宋"/>
          <w:b/>
          <w:bCs/>
          <w:spacing w:val="-20"/>
          <w:sz w:val="24"/>
        </w:rPr>
        <w:t xml:space="preserve">招标文件编号: </w:t>
      </w:r>
      <w:r>
        <w:rPr>
          <w:rFonts w:hint="eastAsia" w:ascii="仿宋" w:hAnsi="仿宋" w:eastAsia="仿宋" w:cs="仿宋"/>
          <w:b/>
          <w:bCs/>
          <w:spacing w:val="-20"/>
          <w:sz w:val="24"/>
          <w:lang w:eastAsia="zh-CN"/>
        </w:rPr>
        <w:t>浙华采字【2022】hzf-7046号</w:t>
      </w:r>
      <w:r>
        <w:rPr>
          <w:rFonts w:hint="eastAsia" w:ascii="仿宋" w:hAnsi="仿宋" w:eastAsia="仿宋" w:cs="仿宋"/>
          <w:b/>
          <w:bCs/>
          <w:spacing w:val="-20"/>
          <w:sz w:val="24"/>
        </w:rPr>
        <w:t xml:space="preserve"> </w:t>
      </w:r>
    </w:p>
    <w:p>
      <w:pPr>
        <w:pStyle w:val="12"/>
        <w:spacing w:line="480" w:lineRule="exact"/>
        <w:rPr>
          <w:rFonts w:ascii="仿宋" w:hAnsi="仿宋" w:eastAsia="仿宋" w:cs="仿宋"/>
          <w:sz w:val="28"/>
          <w:szCs w:val="28"/>
        </w:rPr>
      </w:pPr>
      <w:r>
        <w:rPr>
          <w:rFonts w:hint="eastAsia" w:ascii="仿宋" w:hAnsi="仿宋" w:eastAsia="仿宋" w:cs="仿宋"/>
          <w:b/>
          <w:bCs/>
          <w:sz w:val="28"/>
          <w:szCs w:val="28"/>
        </w:rPr>
        <w:t>采 购 人：</w:t>
      </w:r>
      <w:r>
        <w:rPr>
          <w:rFonts w:hint="eastAsia" w:ascii="仿宋" w:hAnsi="仿宋" w:eastAsia="仿宋" w:cs="仿宋"/>
          <w:sz w:val="28"/>
          <w:szCs w:val="28"/>
          <w:u w:val="single"/>
          <w:lang w:eastAsia="zh-CN"/>
        </w:rPr>
        <w:t xml:space="preserve">南浔区住房和城乡建设局 </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pPr>
        <w:pStyle w:val="12"/>
        <w:spacing w:line="480" w:lineRule="exact"/>
        <w:rPr>
          <w:rFonts w:ascii="仿宋" w:hAnsi="仿宋" w:eastAsia="仿宋" w:cs="仿宋"/>
          <w:sz w:val="28"/>
          <w:szCs w:val="28"/>
        </w:rPr>
      </w:pPr>
      <w:r>
        <w:rPr>
          <w:rFonts w:hint="eastAsia" w:ascii="仿宋" w:hAnsi="仿宋" w:eastAsia="仿宋" w:cs="仿宋"/>
          <w:b/>
          <w:bCs/>
          <w:sz w:val="28"/>
          <w:szCs w:val="28"/>
        </w:rPr>
        <w:t>中标供应商：</w:t>
      </w:r>
      <w:r>
        <w:rPr>
          <w:rFonts w:hint="eastAsia" w:ascii="仿宋" w:hAnsi="仿宋" w:eastAsia="仿宋" w:cs="仿宋"/>
          <w:b/>
          <w:bCs/>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以下简称“乙方”）</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甲乙双方根据</w:t>
      </w:r>
      <w:r>
        <w:rPr>
          <w:rFonts w:hint="eastAsia" w:ascii="仿宋" w:hAnsi="仿宋" w:eastAsia="仿宋" w:cs="仿宋"/>
          <w:b/>
          <w:sz w:val="28"/>
          <w:szCs w:val="28"/>
          <w:u w:val="single"/>
        </w:rPr>
        <w:t>浙江华夏工程管理有限公司</w:t>
      </w:r>
      <w:r>
        <w:rPr>
          <w:rFonts w:hint="eastAsia" w:ascii="仿宋" w:hAnsi="仿宋" w:eastAsia="仿宋" w:cs="仿宋"/>
          <w:sz w:val="28"/>
          <w:szCs w:val="28"/>
        </w:rPr>
        <w:t>关于</w:t>
      </w:r>
      <w:r>
        <w:rPr>
          <w:rFonts w:hint="eastAsia" w:ascii="仿宋" w:hAnsi="仿宋" w:eastAsia="仿宋" w:cs="仿宋"/>
          <w:b/>
          <w:sz w:val="28"/>
          <w:szCs w:val="28"/>
          <w:u w:val="single"/>
          <w:lang w:eastAsia="zh-CN"/>
        </w:rPr>
        <w:t>湖州市南浔区住房和城乡建设局年度（2022-2025）绿化养护服务采购</w:t>
      </w:r>
      <w:r>
        <w:rPr>
          <w:rFonts w:hint="eastAsia" w:ascii="仿宋" w:hAnsi="仿宋" w:eastAsia="仿宋" w:cs="仿宋"/>
          <w:sz w:val="28"/>
          <w:szCs w:val="28"/>
        </w:rPr>
        <w:t>公开招标的结果，签署本合同。</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项目名称： </w:t>
      </w:r>
    </w:p>
    <w:p>
      <w:pPr>
        <w:spacing w:line="440" w:lineRule="exact"/>
        <w:ind w:firstLine="560" w:firstLineChars="200"/>
        <w:rPr>
          <w:rFonts w:ascii="仿宋" w:hAnsi="仿宋" w:eastAsia="仿宋"/>
          <w:szCs w:val="28"/>
        </w:rPr>
      </w:pPr>
      <w:r>
        <w:rPr>
          <w:rFonts w:hint="eastAsia" w:ascii="仿宋" w:hAnsi="仿宋" w:eastAsia="仿宋"/>
          <w:szCs w:val="28"/>
        </w:rPr>
        <w:t>甲方：</w:t>
      </w:r>
    </w:p>
    <w:p>
      <w:pPr>
        <w:spacing w:line="440" w:lineRule="exact"/>
        <w:ind w:firstLine="560" w:firstLineChars="200"/>
        <w:rPr>
          <w:rFonts w:ascii="仿宋" w:hAnsi="仿宋" w:eastAsia="仿宋"/>
          <w:szCs w:val="28"/>
        </w:rPr>
      </w:pPr>
      <w:r>
        <w:rPr>
          <w:rFonts w:hint="eastAsia" w:ascii="仿宋" w:hAnsi="仿宋" w:eastAsia="仿宋"/>
          <w:szCs w:val="28"/>
        </w:rPr>
        <w:t>乙方：</w:t>
      </w:r>
    </w:p>
    <w:p>
      <w:pPr>
        <w:spacing w:line="440" w:lineRule="exact"/>
        <w:ind w:firstLine="560" w:firstLineChars="200"/>
        <w:rPr>
          <w:rFonts w:ascii="仿宋" w:hAnsi="仿宋" w:eastAsia="仿宋"/>
          <w:szCs w:val="28"/>
        </w:rPr>
      </w:pPr>
      <w:r>
        <w:rPr>
          <w:rFonts w:hint="eastAsia" w:ascii="仿宋" w:hAnsi="仿宋" w:eastAsia="仿宋"/>
          <w:szCs w:val="28"/>
        </w:rPr>
        <w:t>甲乙双方根据浙江华夏工程管理有限公司关于           招标的结果，签署本合同。</w:t>
      </w:r>
    </w:p>
    <w:p>
      <w:pPr>
        <w:spacing w:line="360" w:lineRule="auto"/>
        <w:rPr>
          <w:rFonts w:ascii="仿宋" w:hAnsi="仿宋" w:eastAsia="仿宋"/>
          <w:b/>
          <w:bCs/>
          <w:szCs w:val="28"/>
        </w:rPr>
      </w:pPr>
      <w:r>
        <w:rPr>
          <w:rFonts w:hint="eastAsia" w:ascii="仿宋" w:hAnsi="仿宋" w:eastAsia="仿宋"/>
          <w:b/>
          <w:bCs/>
          <w:szCs w:val="28"/>
        </w:rPr>
        <w:t>1.定义</w:t>
      </w:r>
    </w:p>
    <w:p>
      <w:pPr>
        <w:spacing w:line="360" w:lineRule="auto"/>
        <w:ind w:firstLine="560" w:firstLineChars="200"/>
        <w:rPr>
          <w:rFonts w:ascii="仿宋" w:hAnsi="仿宋" w:eastAsia="仿宋"/>
          <w:szCs w:val="28"/>
        </w:rPr>
      </w:pPr>
      <w:r>
        <w:rPr>
          <w:rFonts w:hint="eastAsia" w:ascii="仿宋" w:hAnsi="仿宋" w:eastAsia="仿宋"/>
          <w:szCs w:val="28"/>
        </w:rPr>
        <w:t>本合同中的下列术语应解释为：</w:t>
      </w:r>
    </w:p>
    <w:p>
      <w:pPr>
        <w:spacing w:line="440" w:lineRule="exact"/>
        <w:ind w:firstLine="560" w:firstLineChars="200"/>
        <w:rPr>
          <w:rFonts w:ascii="仿宋" w:hAnsi="仿宋" w:eastAsia="仿宋"/>
          <w:szCs w:val="28"/>
        </w:rPr>
      </w:pPr>
      <w:r>
        <w:rPr>
          <w:rFonts w:hint="eastAsia" w:ascii="仿宋" w:hAnsi="仿宋" w:eastAsia="仿宋"/>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Cs w:val="28"/>
        </w:rPr>
      </w:pPr>
      <w:r>
        <w:rPr>
          <w:rFonts w:hint="eastAsia" w:ascii="仿宋" w:hAnsi="仿宋" w:eastAsia="仿宋"/>
          <w:szCs w:val="28"/>
        </w:rPr>
        <w:t>1.2“合同价”系指根据合同规定，采购人在供应商完全履行合同义务后应付给的价格；</w:t>
      </w:r>
    </w:p>
    <w:p>
      <w:pPr>
        <w:spacing w:line="440" w:lineRule="exact"/>
        <w:ind w:firstLine="560" w:firstLineChars="200"/>
        <w:rPr>
          <w:rFonts w:ascii="仿宋" w:hAnsi="仿宋" w:eastAsia="仿宋"/>
          <w:szCs w:val="28"/>
        </w:rPr>
      </w:pPr>
      <w:r>
        <w:rPr>
          <w:rFonts w:hint="eastAsia" w:ascii="仿宋" w:hAnsi="仿宋" w:eastAsia="仿宋"/>
          <w:szCs w:val="28"/>
        </w:rPr>
        <w:t>1.3“货物”系指供应商根据合同规定向采购人提供的一切货物、质量保证书和其他技术资料及技术参数；</w:t>
      </w:r>
    </w:p>
    <w:p>
      <w:pPr>
        <w:spacing w:line="440" w:lineRule="exact"/>
        <w:ind w:firstLine="560" w:firstLineChars="200"/>
        <w:rPr>
          <w:rFonts w:ascii="仿宋" w:hAnsi="仿宋" w:eastAsia="仿宋"/>
          <w:szCs w:val="28"/>
        </w:rPr>
      </w:pPr>
      <w:r>
        <w:rPr>
          <w:rFonts w:hint="eastAsia" w:ascii="仿宋" w:hAnsi="仿宋" w:eastAsia="仿宋"/>
          <w:szCs w:val="28"/>
        </w:rPr>
        <w:t>1.4“服务”系指根据合同规定供应商承担与供货有关的辅助服务，如运输、装卸、安装、保险以及其他的服务，例如安装、调试提供技术援助、培训和其他类似的义务；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Cs w:val="28"/>
        </w:rPr>
      </w:pPr>
      <w:r>
        <w:rPr>
          <w:rFonts w:hint="eastAsia" w:ascii="仿宋" w:hAnsi="仿宋" w:eastAsia="仿宋"/>
          <w:szCs w:val="28"/>
        </w:rPr>
        <w:t>1.5“采购人”系指</w:t>
      </w:r>
      <w:r>
        <w:rPr>
          <w:rFonts w:hint="eastAsia" w:ascii="仿宋" w:hAnsi="仿宋" w:eastAsia="仿宋"/>
          <w:bCs/>
          <w:szCs w:val="28"/>
        </w:rPr>
        <w:t>具体使用货物和接受服务的使用单位；</w:t>
      </w:r>
    </w:p>
    <w:p>
      <w:pPr>
        <w:spacing w:line="440" w:lineRule="exact"/>
        <w:ind w:firstLine="560" w:firstLineChars="200"/>
        <w:rPr>
          <w:rFonts w:ascii="仿宋" w:hAnsi="仿宋" w:eastAsia="仿宋"/>
          <w:szCs w:val="28"/>
        </w:rPr>
      </w:pPr>
      <w:r>
        <w:rPr>
          <w:rFonts w:hint="eastAsia" w:ascii="仿宋" w:hAnsi="仿宋" w:eastAsia="仿宋"/>
          <w:szCs w:val="28"/>
        </w:rPr>
        <w:t>1.6“供应商”系指根据合同规定提供采购项目货物和服务的具有法人资格的公司、企业或实体；</w:t>
      </w:r>
    </w:p>
    <w:p>
      <w:pPr>
        <w:spacing w:line="440" w:lineRule="exact"/>
        <w:ind w:firstLine="560" w:firstLineChars="200"/>
        <w:rPr>
          <w:rFonts w:ascii="仿宋" w:hAnsi="仿宋" w:eastAsia="仿宋"/>
          <w:szCs w:val="28"/>
        </w:rPr>
      </w:pPr>
      <w:r>
        <w:rPr>
          <w:rFonts w:hint="eastAsia" w:ascii="仿宋" w:hAnsi="仿宋" w:eastAsia="仿宋"/>
          <w:szCs w:val="28"/>
        </w:rPr>
        <w:t>1.7“财政审批编号”系指市财政局审批编号。</w:t>
      </w:r>
    </w:p>
    <w:p>
      <w:pPr>
        <w:spacing w:line="440" w:lineRule="exact"/>
        <w:rPr>
          <w:rFonts w:ascii="仿宋" w:hAnsi="仿宋" w:eastAsia="仿宋"/>
          <w:b/>
          <w:bCs/>
          <w:szCs w:val="28"/>
        </w:rPr>
      </w:pPr>
      <w:r>
        <w:rPr>
          <w:rFonts w:hint="eastAsia" w:ascii="仿宋" w:hAnsi="仿宋" w:eastAsia="仿宋"/>
          <w:b/>
          <w:bCs/>
          <w:szCs w:val="28"/>
        </w:rPr>
        <w:t>2.合同项目与内容</w:t>
      </w:r>
    </w:p>
    <w:p>
      <w:pPr>
        <w:spacing w:line="480" w:lineRule="exact"/>
        <w:ind w:left="420"/>
        <w:rPr>
          <w:rFonts w:ascii="仿宋" w:hAnsi="仿宋" w:eastAsia="仿宋" w:cs="仿宋"/>
          <w:bCs/>
          <w:szCs w:val="28"/>
        </w:rPr>
      </w:pPr>
      <w:r>
        <w:rPr>
          <w:rFonts w:hint="eastAsia" w:ascii="仿宋" w:hAnsi="仿宋" w:eastAsia="仿宋" w:cs="仿宋"/>
          <w:bCs/>
          <w:szCs w:val="28"/>
        </w:rPr>
        <w:t>2.1 合同总价：人民币</w:t>
      </w:r>
      <w:r>
        <w:rPr>
          <w:rFonts w:hint="eastAsia" w:ascii="仿宋" w:hAnsi="仿宋" w:eastAsia="仿宋" w:cs="仿宋"/>
          <w:bCs/>
          <w:szCs w:val="28"/>
          <w:u w:val="single"/>
        </w:rPr>
        <w:t xml:space="preserve">                    元（           /年 </w:t>
      </w:r>
      <w:r>
        <w:rPr>
          <w:rFonts w:hint="eastAsia" w:ascii="仿宋" w:hAnsi="仿宋" w:eastAsia="仿宋" w:cs="仿宋"/>
          <w:bCs/>
          <w:szCs w:val="28"/>
        </w:rPr>
        <w:t>）。</w:t>
      </w:r>
    </w:p>
    <w:p>
      <w:pPr>
        <w:spacing w:line="480" w:lineRule="exact"/>
        <w:ind w:left="420"/>
        <w:rPr>
          <w:rFonts w:hint="eastAsia" w:ascii="仿宋" w:hAnsi="仿宋" w:eastAsia="仿宋" w:cs="仿宋"/>
          <w:szCs w:val="28"/>
          <w:u w:val="single"/>
        </w:rPr>
      </w:pPr>
      <w:r>
        <w:rPr>
          <w:rFonts w:hint="eastAsia" w:ascii="仿宋" w:hAnsi="仿宋" w:eastAsia="仿宋" w:cs="仿宋"/>
          <w:bCs/>
          <w:szCs w:val="28"/>
        </w:rPr>
        <w:t>2.2 合同单价：</w:t>
      </w:r>
      <w:r>
        <w:rPr>
          <w:rFonts w:hint="eastAsia" w:ascii="仿宋" w:hAnsi="仿宋" w:eastAsia="仿宋" w:cs="仿宋"/>
          <w:szCs w:val="28"/>
        </w:rPr>
        <w:t>绿化养护单价：</w:t>
      </w:r>
      <w:r>
        <w:rPr>
          <w:rFonts w:hint="eastAsia" w:ascii="仿宋" w:hAnsi="仿宋" w:eastAsia="仿宋" w:cs="仿宋"/>
          <w:szCs w:val="28"/>
          <w:u w:val="single"/>
        </w:rPr>
        <w:t xml:space="preserve"> Ⅰ级绿化养护      元/㎡</w:t>
      </w:r>
      <w:r>
        <w:rPr>
          <w:rFonts w:hint="eastAsia" w:ascii="仿宋" w:hAnsi="仿宋" w:eastAsia="仿宋" w:cs="仿宋"/>
          <w:szCs w:val="28"/>
          <w:u w:val="single"/>
          <w:lang w:val="en-US" w:eastAsia="zh-CN"/>
        </w:rPr>
        <w:t>/</w:t>
      </w:r>
      <w:r>
        <w:rPr>
          <w:rFonts w:hint="eastAsia" w:ascii="仿宋" w:hAnsi="仿宋" w:eastAsia="仿宋" w:cs="仿宋"/>
          <w:szCs w:val="28"/>
          <w:u w:val="single"/>
        </w:rPr>
        <w:t>年；</w:t>
      </w:r>
    </w:p>
    <w:p>
      <w:pPr>
        <w:spacing w:line="480" w:lineRule="exact"/>
        <w:ind w:left="420" w:firstLine="4200" w:firstLineChars="1500"/>
        <w:rPr>
          <w:rFonts w:hint="eastAsia" w:ascii="仿宋" w:hAnsi="仿宋" w:eastAsia="仿宋" w:cs="仿宋"/>
          <w:szCs w:val="28"/>
          <w:u w:val="single"/>
        </w:rPr>
      </w:pPr>
      <w:r>
        <w:rPr>
          <w:rFonts w:hint="eastAsia" w:ascii="仿宋" w:hAnsi="仿宋" w:eastAsia="仿宋" w:cs="仿宋"/>
          <w:szCs w:val="28"/>
          <w:u w:val="single"/>
        </w:rPr>
        <w:t>Ⅱ级绿化养护      元/㎡</w:t>
      </w:r>
      <w:r>
        <w:rPr>
          <w:rFonts w:hint="eastAsia" w:ascii="仿宋" w:hAnsi="仿宋" w:eastAsia="仿宋" w:cs="仿宋"/>
          <w:szCs w:val="28"/>
          <w:u w:val="single"/>
          <w:lang w:val="en-US" w:eastAsia="zh-CN"/>
        </w:rPr>
        <w:t>/</w:t>
      </w:r>
      <w:r>
        <w:rPr>
          <w:rFonts w:hint="eastAsia" w:ascii="仿宋" w:hAnsi="仿宋" w:eastAsia="仿宋" w:cs="仿宋"/>
          <w:szCs w:val="28"/>
          <w:u w:val="single"/>
        </w:rPr>
        <w:t>年</w:t>
      </w:r>
    </w:p>
    <w:p>
      <w:pPr>
        <w:spacing w:line="480" w:lineRule="exact"/>
        <w:ind w:left="420"/>
        <w:rPr>
          <w:rFonts w:ascii="仿宋" w:hAnsi="仿宋" w:eastAsia="仿宋" w:cs="仿宋"/>
          <w:szCs w:val="28"/>
          <w:u w:val="single"/>
        </w:rPr>
      </w:pPr>
      <w:r>
        <w:rPr>
          <w:rFonts w:hint="eastAsia" w:ascii="仿宋" w:hAnsi="仿宋" w:eastAsia="仿宋" w:cs="仿宋"/>
          <w:szCs w:val="28"/>
          <w:u w:val="single"/>
        </w:rPr>
        <w:t>草花种植养护费用：</w:t>
      </w:r>
      <w:r>
        <w:rPr>
          <w:rFonts w:hint="eastAsia" w:ascii="仿宋" w:hAnsi="仿宋" w:eastAsia="仿宋" w:cs="仿宋"/>
          <w:bCs/>
          <w:szCs w:val="28"/>
          <w:u w:val="single"/>
        </w:rPr>
        <w:t xml:space="preserve">  元（           /年 </w:t>
      </w:r>
      <w:r>
        <w:rPr>
          <w:rFonts w:hint="eastAsia" w:ascii="仿宋" w:hAnsi="仿宋" w:eastAsia="仿宋" w:cs="仿宋"/>
          <w:bCs/>
          <w:szCs w:val="28"/>
        </w:rPr>
        <w:t>）</w:t>
      </w:r>
      <w:r>
        <w:rPr>
          <w:rFonts w:hint="eastAsia" w:ascii="仿宋" w:hAnsi="仿宋" w:eastAsia="仿宋" w:cs="仿宋"/>
          <w:bCs/>
          <w:szCs w:val="28"/>
          <w:lang w:eastAsia="zh-CN"/>
        </w:rPr>
        <w:t>；应急整治费用</w:t>
      </w:r>
      <w:r>
        <w:rPr>
          <w:rFonts w:hint="eastAsia" w:ascii="仿宋" w:hAnsi="仿宋" w:eastAsia="仿宋" w:cs="仿宋"/>
          <w:bCs/>
          <w:szCs w:val="28"/>
          <w:lang w:val="en-US" w:eastAsia="zh-CN"/>
        </w:rPr>
        <w:t>200000元/年</w:t>
      </w:r>
      <w:r>
        <w:rPr>
          <w:rFonts w:hint="eastAsia" w:ascii="仿宋" w:hAnsi="仿宋" w:eastAsia="仿宋" w:cs="仿宋"/>
          <w:bCs/>
          <w:szCs w:val="28"/>
        </w:rPr>
        <w:t>。</w:t>
      </w:r>
    </w:p>
    <w:p>
      <w:pPr>
        <w:spacing w:line="440" w:lineRule="exact"/>
        <w:rPr>
          <w:rFonts w:ascii="仿宋" w:hAnsi="仿宋" w:eastAsia="仿宋"/>
          <w:b/>
          <w:bCs/>
          <w:szCs w:val="28"/>
        </w:rPr>
      </w:pPr>
      <w:r>
        <w:rPr>
          <w:rFonts w:hint="eastAsia" w:ascii="仿宋" w:hAnsi="仿宋" w:eastAsia="仿宋"/>
          <w:b/>
          <w:bCs/>
          <w:szCs w:val="28"/>
        </w:rPr>
        <w:t>3.服务时间与服务地点</w:t>
      </w:r>
    </w:p>
    <w:p>
      <w:pPr>
        <w:spacing w:line="360" w:lineRule="auto"/>
        <w:jc w:val="left"/>
        <w:outlineLvl w:val="0"/>
        <w:rPr>
          <w:rFonts w:ascii="宋体" w:hAnsi="宋体" w:cs="宋体"/>
          <w:sz w:val="24"/>
        </w:rPr>
      </w:pPr>
      <w:r>
        <w:rPr>
          <w:rFonts w:hint="eastAsia" w:ascii="仿宋" w:hAnsi="仿宋" w:eastAsia="仿宋"/>
          <w:szCs w:val="28"/>
        </w:rPr>
        <w:t>服务时间：详见招标文件要求</w:t>
      </w:r>
      <w:r>
        <w:rPr>
          <w:rFonts w:hint="eastAsia" w:ascii="宋体" w:hAnsi="宋体" w:cs="宋体"/>
          <w:sz w:val="24"/>
        </w:rPr>
        <w:t>；</w:t>
      </w:r>
    </w:p>
    <w:p>
      <w:pPr>
        <w:spacing w:line="360" w:lineRule="auto"/>
        <w:jc w:val="left"/>
        <w:outlineLvl w:val="0"/>
        <w:rPr>
          <w:rFonts w:ascii="仿宋" w:hAnsi="仿宋" w:eastAsia="仿宋"/>
          <w:szCs w:val="28"/>
        </w:rPr>
      </w:pPr>
      <w:r>
        <w:rPr>
          <w:rFonts w:hint="eastAsia" w:ascii="仿宋" w:hAnsi="仿宋" w:eastAsia="仿宋"/>
          <w:szCs w:val="28"/>
        </w:rPr>
        <w:t>服务地点：由采购单位指定。</w:t>
      </w:r>
    </w:p>
    <w:p>
      <w:pPr>
        <w:spacing w:line="440" w:lineRule="exact"/>
        <w:rPr>
          <w:rFonts w:ascii="仿宋" w:hAnsi="仿宋" w:eastAsia="仿宋"/>
          <w:b/>
          <w:bCs/>
          <w:szCs w:val="28"/>
        </w:rPr>
      </w:pPr>
      <w:r>
        <w:rPr>
          <w:rFonts w:hint="eastAsia" w:ascii="仿宋" w:hAnsi="仿宋" w:eastAsia="仿宋"/>
          <w:b/>
          <w:bCs/>
          <w:szCs w:val="28"/>
        </w:rPr>
        <w:t>4.签署合同的要求</w:t>
      </w:r>
    </w:p>
    <w:p>
      <w:pPr>
        <w:spacing w:line="440" w:lineRule="exact"/>
        <w:ind w:firstLine="560" w:firstLineChars="200"/>
        <w:rPr>
          <w:rFonts w:ascii="仿宋" w:hAnsi="仿宋" w:eastAsia="仿宋"/>
          <w:bCs/>
          <w:szCs w:val="28"/>
        </w:rPr>
      </w:pPr>
      <w:r>
        <w:rPr>
          <w:rFonts w:hint="eastAsia" w:ascii="仿宋" w:hAnsi="仿宋" w:eastAsia="仿宋"/>
          <w:bCs/>
          <w:szCs w:val="28"/>
        </w:rPr>
        <w:t>4.1、供应商必须按照投标文件和询标过程中承诺的条款以及中标通知书中规定的时间、地点与采购人签订合同；</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2</w:t>
      </w:r>
      <w:r>
        <w:rPr>
          <w:rFonts w:hint="eastAsia" w:ascii="仿宋" w:hAnsi="仿宋" w:eastAsia="仿宋"/>
          <w:bCs/>
          <w:szCs w:val="28"/>
        </w:rPr>
        <w:t>、所签订的合同内容不得对招标文件和供应商的投标文件作实质性修改；</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3</w:t>
      </w:r>
      <w:r>
        <w:rPr>
          <w:rFonts w:hint="eastAsia" w:ascii="仿宋" w:hAnsi="仿宋" w:eastAsia="仿宋"/>
          <w:bCs/>
          <w:szCs w:val="28"/>
        </w:rPr>
        <w:t>、采购人不得向供应商提出任何不合理的要求，作为签订合同的条件，不得与供应商私下订立背离合同实质性内容的协议；</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4</w:t>
      </w:r>
      <w:r>
        <w:rPr>
          <w:rFonts w:hint="eastAsia" w:ascii="仿宋" w:hAnsi="仿宋" w:eastAsia="仿宋"/>
          <w:bCs/>
          <w:szCs w:val="28"/>
        </w:rPr>
        <w:t>、自采购合同签订之日起 7个工作日内，将采购合同副本</w:t>
      </w:r>
      <w:r>
        <w:rPr>
          <w:rFonts w:hint="eastAsia" w:ascii="仿宋" w:hAnsi="仿宋" w:eastAsia="仿宋"/>
          <w:bCs/>
          <w:szCs w:val="28"/>
          <w:lang w:val="en-US" w:eastAsia="zh-CN"/>
        </w:rPr>
        <w:t>1</w:t>
      </w:r>
      <w:r>
        <w:rPr>
          <w:rFonts w:hint="eastAsia" w:ascii="仿宋" w:hAnsi="仿宋" w:eastAsia="仿宋"/>
          <w:bCs/>
          <w:szCs w:val="28"/>
        </w:rPr>
        <w:t>份送本项目招标代理机构备案。</w:t>
      </w:r>
    </w:p>
    <w:p>
      <w:pPr>
        <w:spacing w:line="440" w:lineRule="exact"/>
        <w:rPr>
          <w:rFonts w:ascii="仿宋" w:hAnsi="仿宋" w:eastAsia="仿宋"/>
          <w:b/>
          <w:bCs/>
          <w:szCs w:val="28"/>
        </w:rPr>
      </w:pPr>
      <w:r>
        <w:rPr>
          <w:rFonts w:hint="eastAsia" w:ascii="仿宋" w:hAnsi="仿宋" w:eastAsia="仿宋"/>
          <w:b/>
          <w:bCs/>
          <w:szCs w:val="28"/>
        </w:rPr>
        <w:t>5.技术规范</w:t>
      </w:r>
    </w:p>
    <w:p>
      <w:pPr>
        <w:spacing w:line="440" w:lineRule="exact"/>
        <w:ind w:firstLine="560" w:firstLineChars="200"/>
        <w:rPr>
          <w:rFonts w:ascii="仿宋" w:hAnsi="仿宋" w:eastAsia="仿宋"/>
          <w:szCs w:val="28"/>
          <w:lang w:val="zh-CN"/>
        </w:rPr>
      </w:pPr>
      <w:r>
        <w:rPr>
          <w:rFonts w:hint="eastAsia" w:ascii="仿宋" w:hAnsi="仿宋" w:eastAsia="仿宋"/>
          <w:szCs w:val="28"/>
          <w:lang w:val="zh-CN"/>
        </w:rPr>
        <w:t>本合同执行国家及本省、市现行项目实施及验收规范及有关条例、实施办法等。</w:t>
      </w:r>
    </w:p>
    <w:p>
      <w:pPr>
        <w:spacing w:line="440" w:lineRule="exact"/>
        <w:ind w:firstLine="560" w:firstLineChars="200"/>
        <w:rPr>
          <w:rFonts w:ascii="仿宋" w:hAnsi="仿宋" w:eastAsia="仿宋"/>
          <w:szCs w:val="28"/>
        </w:rPr>
      </w:pPr>
      <w:r>
        <w:rPr>
          <w:rFonts w:hint="eastAsia" w:ascii="仿宋" w:hAnsi="仿宋" w:eastAsia="仿宋"/>
          <w:szCs w:val="28"/>
        </w:rPr>
        <w:t>提供和交付的服务技术规范应与招标文件规定的技术规范相一致。</w:t>
      </w:r>
    </w:p>
    <w:p>
      <w:pPr>
        <w:spacing w:line="440" w:lineRule="exact"/>
        <w:rPr>
          <w:rFonts w:ascii="仿宋" w:hAnsi="仿宋" w:eastAsia="仿宋"/>
          <w:b/>
          <w:bCs/>
          <w:szCs w:val="28"/>
        </w:rPr>
      </w:pPr>
      <w:r>
        <w:rPr>
          <w:rFonts w:hint="eastAsia" w:ascii="仿宋" w:hAnsi="仿宋" w:eastAsia="仿宋"/>
          <w:b/>
          <w:bCs/>
          <w:szCs w:val="28"/>
        </w:rPr>
        <w:t>6.知识产权</w:t>
      </w:r>
    </w:p>
    <w:p>
      <w:pPr>
        <w:spacing w:line="440" w:lineRule="exact"/>
        <w:ind w:firstLine="560" w:firstLineChars="200"/>
        <w:rPr>
          <w:rFonts w:ascii="仿宋" w:hAnsi="仿宋" w:eastAsia="仿宋"/>
          <w:szCs w:val="28"/>
        </w:rPr>
      </w:pPr>
      <w:r>
        <w:rPr>
          <w:rFonts w:hint="eastAsia" w:ascii="仿宋" w:hAnsi="仿宋" w:eastAsia="仿宋"/>
          <w:szCs w:val="28"/>
        </w:rPr>
        <w:t>供应商保证所提供的服务及货物均不存在知识产权纠纷。供应商应保证采购人在使用时不受第三方提出侵犯其专利权、商标权等知识产权的诉讼。</w:t>
      </w:r>
    </w:p>
    <w:p>
      <w:pPr>
        <w:spacing w:line="440" w:lineRule="exact"/>
        <w:rPr>
          <w:rFonts w:ascii="仿宋" w:hAnsi="仿宋" w:eastAsia="仿宋"/>
          <w:b/>
          <w:bCs/>
          <w:szCs w:val="28"/>
        </w:rPr>
      </w:pPr>
      <w:r>
        <w:rPr>
          <w:rFonts w:hint="eastAsia" w:ascii="仿宋" w:hAnsi="仿宋" w:eastAsia="仿宋"/>
          <w:b/>
          <w:bCs/>
          <w:szCs w:val="28"/>
        </w:rPr>
        <w:t>7.工作考核及付款方式</w:t>
      </w:r>
    </w:p>
    <w:p>
      <w:pPr>
        <w:spacing w:line="440" w:lineRule="exact"/>
        <w:ind w:firstLine="560" w:firstLineChars="200"/>
        <w:rPr>
          <w:rFonts w:ascii="仿宋" w:hAnsi="仿宋" w:eastAsia="仿宋"/>
          <w:szCs w:val="28"/>
        </w:rPr>
      </w:pPr>
      <w:r>
        <w:rPr>
          <w:rFonts w:hint="eastAsia" w:ascii="仿宋" w:hAnsi="仿宋" w:eastAsia="仿宋"/>
          <w:szCs w:val="28"/>
        </w:rPr>
        <w:t>7.1付款方式：</w:t>
      </w:r>
    </w:p>
    <w:p>
      <w:pPr>
        <w:numPr>
          <w:ilvl w:val="0"/>
          <w:numId w:val="30"/>
        </w:numPr>
        <w:spacing w:line="440" w:lineRule="exact"/>
        <w:ind w:firstLine="560" w:firstLineChars="200"/>
        <w:rPr>
          <w:rFonts w:ascii="仿宋" w:hAnsi="仿宋" w:eastAsia="仿宋"/>
          <w:szCs w:val="28"/>
        </w:rPr>
      </w:pPr>
      <w:r>
        <w:rPr>
          <w:rFonts w:hint="eastAsia" w:ascii="仿宋" w:hAnsi="仿宋" w:eastAsia="仿宋"/>
          <w:szCs w:val="28"/>
        </w:rPr>
        <w:t>合同生效以及具备实施条件后7个工作日内支付年合同价款（扣除当年应急整治费用）的40%作为预付款；</w:t>
      </w:r>
    </w:p>
    <w:p>
      <w:pPr>
        <w:numPr>
          <w:ilvl w:val="0"/>
          <w:numId w:val="30"/>
        </w:numPr>
        <w:spacing w:line="440" w:lineRule="exact"/>
        <w:ind w:firstLine="560" w:firstLineChars="200"/>
        <w:rPr>
          <w:rFonts w:ascii="仿宋" w:hAnsi="仿宋" w:eastAsia="仿宋"/>
          <w:szCs w:val="28"/>
        </w:rPr>
      </w:pPr>
      <w:r>
        <w:rPr>
          <w:rFonts w:hint="eastAsia" w:ascii="仿宋" w:hAnsi="仿宋" w:eastAsia="仿宋"/>
          <w:szCs w:val="28"/>
        </w:rPr>
        <w:t>服务费用分两部分支付：①绿化养护费用及草花种植养护费用：招标人根据考核情况按季度支付【预付款在季度服务费用中逐步扣除，扣除比例为每季度扣除预付款金额的25%】，扣除考核处罚金等相关费用，待核实批准后结清；②应急整治费用按实结算，在最后一个季度待核实批准后一次性结清。②应急整治费用按实结算，在最后一个季度待核实批准后一次性结清。</w:t>
      </w:r>
    </w:p>
    <w:p>
      <w:pPr>
        <w:numPr>
          <w:ilvl w:val="0"/>
          <w:numId w:val="30"/>
        </w:numPr>
        <w:spacing w:line="440" w:lineRule="exact"/>
        <w:ind w:firstLine="560" w:firstLineChars="200"/>
        <w:rPr>
          <w:rFonts w:ascii="仿宋" w:hAnsi="仿宋" w:eastAsia="仿宋"/>
          <w:szCs w:val="28"/>
        </w:rPr>
      </w:pPr>
      <w:r>
        <w:rPr>
          <w:rFonts w:hint="eastAsia" w:ascii="仿宋" w:hAnsi="仿宋" w:eastAsia="仿宋"/>
          <w:szCs w:val="28"/>
        </w:rPr>
        <w:t>采购人在向供应商支付预付款之前，有权要求供应商向采购人提供与预付款金额相对应的担保措施，担保措施可以是银行、保险公司等金融机构出具的预付款保函或其他担保措施。</w:t>
      </w:r>
    </w:p>
    <w:p>
      <w:pPr>
        <w:spacing w:line="440" w:lineRule="exact"/>
        <w:ind w:firstLine="560" w:firstLineChars="200"/>
        <w:rPr>
          <w:rFonts w:ascii="仿宋" w:hAnsi="仿宋" w:eastAsia="仿宋"/>
          <w:szCs w:val="28"/>
        </w:rPr>
      </w:pPr>
      <w:r>
        <w:rPr>
          <w:rFonts w:hint="eastAsia" w:ascii="仿宋" w:hAnsi="仿宋" w:eastAsia="仿宋"/>
          <w:szCs w:val="28"/>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pPr>
        <w:spacing w:line="440" w:lineRule="exact"/>
        <w:rPr>
          <w:rFonts w:ascii="仿宋" w:hAnsi="仿宋" w:eastAsia="仿宋"/>
          <w:b/>
          <w:bCs/>
          <w:szCs w:val="28"/>
        </w:rPr>
      </w:pPr>
      <w:r>
        <w:rPr>
          <w:rFonts w:hint="eastAsia" w:ascii="仿宋" w:hAnsi="仿宋" w:eastAsia="仿宋"/>
          <w:b/>
          <w:bCs/>
          <w:szCs w:val="28"/>
        </w:rPr>
        <w:t>9.技术服务</w:t>
      </w:r>
    </w:p>
    <w:p>
      <w:pPr>
        <w:spacing w:line="440" w:lineRule="exact"/>
        <w:ind w:firstLine="560" w:firstLineChars="200"/>
        <w:rPr>
          <w:rFonts w:ascii="仿宋" w:hAnsi="仿宋" w:eastAsia="仿宋"/>
          <w:szCs w:val="28"/>
        </w:rPr>
      </w:pPr>
      <w:r>
        <w:rPr>
          <w:rFonts w:hint="eastAsia" w:ascii="仿宋" w:hAnsi="仿宋" w:eastAsia="仿宋"/>
          <w:szCs w:val="28"/>
        </w:rPr>
        <w:t>供应商应负责安排采购人相关人员进行操作、维修的培训。具体时间及培训内容在投标时由供应商提出建议；</w:t>
      </w:r>
    </w:p>
    <w:p>
      <w:pPr>
        <w:spacing w:line="440" w:lineRule="exact"/>
        <w:rPr>
          <w:rFonts w:ascii="仿宋" w:hAnsi="仿宋" w:eastAsia="仿宋"/>
          <w:b/>
          <w:bCs/>
          <w:szCs w:val="28"/>
        </w:rPr>
      </w:pPr>
      <w:r>
        <w:rPr>
          <w:rFonts w:hint="eastAsia" w:ascii="仿宋" w:hAnsi="仿宋" w:eastAsia="仿宋"/>
          <w:b/>
          <w:bCs/>
          <w:szCs w:val="28"/>
        </w:rPr>
        <w:t>10.售后服务及承诺</w:t>
      </w:r>
    </w:p>
    <w:p>
      <w:pPr>
        <w:spacing w:line="440" w:lineRule="exact"/>
        <w:ind w:firstLine="560" w:firstLineChars="200"/>
        <w:rPr>
          <w:rFonts w:ascii="仿宋" w:hAnsi="仿宋" w:eastAsia="仿宋"/>
          <w:bCs/>
          <w:szCs w:val="28"/>
        </w:rPr>
      </w:pPr>
      <w:r>
        <w:rPr>
          <w:rFonts w:hint="eastAsia" w:ascii="仿宋" w:hAnsi="仿宋" w:eastAsia="仿宋"/>
          <w:bCs/>
          <w:szCs w:val="28"/>
        </w:rPr>
        <w:t>10.1供应商应明确承诺售后服务各项内容和措施，提供详细的服务地点、联系人、电话等有关资料；</w:t>
      </w:r>
    </w:p>
    <w:p>
      <w:pPr>
        <w:spacing w:line="440" w:lineRule="exact"/>
        <w:ind w:firstLine="560" w:firstLineChars="200"/>
        <w:rPr>
          <w:rFonts w:ascii="仿宋" w:hAnsi="仿宋" w:eastAsia="仿宋"/>
          <w:bCs/>
          <w:szCs w:val="28"/>
        </w:rPr>
      </w:pPr>
      <w:r>
        <w:rPr>
          <w:rFonts w:hint="eastAsia" w:ascii="仿宋" w:hAnsi="仿宋" w:eastAsia="仿宋"/>
          <w:bCs/>
          <w:szCs w:val="28"/>
        </w:rPr>
        <w:t>10.2</w:t>
      </w:r>
      <w:r>
        <w:rPr>
          <w:rFonts w:hint="eastAsia" w:ascii="仿宋" w:hAnsi="仿宋" w:eastAsia="仿宋"/>
          <w:b/>
          <w:bCs/>
          <w:szCs w:val="28"/>
        </w:rPr>
        <w:t>服务期：本项目服务期限为3年(相关要求及考核未达到招标人要求，采购人有权终止与中标人本项目合同并没收中标人履约保证金）</w:t>
      </w:r>
      <w:r>
        <w:rPr>
          <w:rFonts w:hint="eastAsia" w:ascii="仿宋" w:hAnsi="仿宋" w:eastAsia="仿宋"/>
          <w:bCs/>
          <w:szCs w:val="28"/>
        </w:rPr>
        <w:t>。在服务期内，因服务质量所发生的一切费用均由供应商承担；</w:t>
      </w:r>
    </w:p>
    <w:p>
      <w:pPr>
        <w:spacing w:line="440" w:lineRule="exact"/>
        <w:rPr>
          <w:rFonts w:ascii="仿宋" w:hAnsi="仿宋" w:eastAsia="仿宋"/>
          <w:b/>
          <w:bCs/>
          <w:szCs w:val="28"/>
        </w:rPr>
      </w:pPr>
      <w:r>
        <w:rPr>
          <w:rFonts w:hint="eastAsia" w:ascii="仿宋" w:hAnsi="仿宋" w:eastAsia="仿宋"/>
          <w:b/>
          <w:bCs/>
          <w:szCs w:val="28"/>
        </w:rPr>
        <w:t>11.履约保证及后续服务</w:t>
      </w:r>
    </w:p>
    <w:p>
      <w:pPr>
        <w:spacing w:line="440" w:lineRule="exact"/>
        <w:ind w:firstLine="562" w:firstLineChars="200"/>
        <w:rPr>
          <w:rFonts w:ascii="仿宋" w:hAnsi="仿宋" w:eastAsia="仿宋"/>
          <w:b/>
          <w:bCs/>
          <w:szCs w:val="28"/>
        </w:rPr>
      </w:pPr>
      <w:r>
        <w:rPr>
          <w:rFonts w:hint="eastAsia" w:ascii="仿宋" w:hAnsi="仿宋" w:eastAsia="仿宋"/>
          <w:b/>
          <w:bCs/>
          <w:szCs w:val="28"/>
        </w:rPr>
        <w:t>1</w:t>
      </w:r>
      <w:r>
        <w:rPr>
          <w:rFonts w:ascii="仿宋" w:hAnsi="仿宋" w:eastAsia="仿宋"/>
          <w:b/>
          <w:bCs/>
          <w:szCs w:val="28"/>
        </w:rPr>
        <w:t xml:space="preserve">1.1 </w:t>
      </w:r>
      <w:r>
        <w:rPr>
          <w:rFonts w:hint="eastAsia" w:ascii="仿宋" w:hAnsi="仿宋" w:eastAsia="仿宋"/>
          <w:b/>
          <w:bCs/>
          <w:szCs w:val="28"/>
        </w:rPr>
        <w:t>供应商应在签订本合同之日起15日内提供提交年合同总额</w:t>
      </w:r>
      <w:r>
        <w:rPr>
          <w:rFonts w:hint="eastAsia" w:ascii="仿宋" w:hAnsi="仿宋" w:eastAsia="仿宋"/>
          <w:b/>
          <w:bCs/>
          <w:szCs w:val="28"/>
          <w:lang w:val="en-US" w:eastAsia="zh-CN"/>
        </w:rPr>
        <w:t>1</w:t>
      </w:r>
      <w:r>
        <w:rPr>
          <w:rFonts w:hint="eastAsia" w:ascii="仿宋" w:hAnsi="仿宋" w:eastAsia="仿宋"/>
          <w:b/>
          <w:bCs/>
          <w:szCs w:val="28"/>
        </w:rPr>
        <w:t>%的履约保证金，提供由银行、保险公司出具保函形式或网银电汇提交履约保证金。</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2</w:t>
      </w:r>
      <w:r>
        <w:rPr>
          <w:rFonts w:hint="eastAsia" w:ascii="仿宋" w:hAnsi="仿宋" w:eastAsia="仿宋"/>
          <w:bCs/>
          <w:szCs w:val="28"/>
        </w:rPr>
        <w:t xml:space="preserve"> 供应商应按招标文件规定的服务标准向采购人提供服务。</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3</w:t>
      </w:r>
      <w:r>
        <w:rPr>
          <w:rFonts w:hint="eastAsia" w:ascii="仿宋" w:hAnsi="仿宋" w:eastAsia="仿宋"/>
          <w:bCs/>
          <w:szCs w:val="28"/>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4</w:t>
      </w:r>
      <w:r>
        <w:rPr>
          <w:rFonts w:hint="eastAsia" w:ascii="仿宋" w:hAnsi="仿宋" w:eastAsia="仿宋"/>
          <w:bCs/>
          <w:szCs w:val="28"/>
        </w:rPr>
        <w:t xml:space="preserve"> 供应商提供的服务人员不符合本合同约定的数额，供应商应当自接到采购人通知之日起2日内予以补足，采购人有权按照缺岗天数及缺岗人数扣除相应的履约保证金。</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5</w:t>
      </w:r>
      <w:r>
        <w:rPr>
          <w:rFonts w:hint="eastAsia" w:ascii="仿宋" w:hAnsi="仿宋" w:eastAsia="仿宋"/>
          <w:bCs/>
          <w:szCs w:val="28"/>
        </w:rPr>
        <w:t xml:space="preserve"> 由于供应商服务人员原因在服务工作中给采购人的设施、材料造成损失，供应商应负责赔偿。</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6</w:t>
      </w:r>
      <w:r>
        <w:rPr>
          <w:rFonts w:hint="eastAsia" w:ascii="仿宋" w:hAnsi="仿宋" w:eastAsia="仿宋"/>
          <w:bCs/>
          <w:szCs w:val="28"/>
        </w:rPr>
        <w:t xml:space="preserve"> 在使用过程中发生问题，供应商在接到采购人通知后在1小时内到达采购人现场。</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7</w:t>
      </w:r>
      <w:r>
        <w:rPr>
          <w:rFonts w:hint="eastAsia" w:ascii="仿宋" w:hAnsi="仿宋" w:eastAsia="仿宋"/>
          <w:bCs/>
          <w:szCs w:val="28"/>
        </w:rPr>
        <w:t xml:space="preserve"> 在服务质量保证期内，供应商应对出现的服务质量及安全问题负责处理解决并承担一切费用。</w:t>
      </w:r>
    </w:p>
    <w:p>
      <w:pPr>
        <w:spacing w:line="440" w:lineRule="exact"/>
        <w:ind w:firstLine="560" w:firstLineChars="200"/>
        <w:rPr>
          <w:rFonts w:ascii="仿宋" w:hAnsi="仿宋" w:eastAsia="仿宋"/>
          <w:bCs/>
          <w:szCs w:val="28"/>
        </w:rPr>
      </w:pPr>
      <w:r>
        <w:rPr>
          <w:rFonts w:hint="eastAsia" w:ascii="仿宋" w:hAnsi="仿宋" w:eastAsia="仿宋"/>
          <w:bCs/>
          <w:szCs w:val="28"/>
        </w:rPr>
        <w:t>1</w:t>
      </w:r>
      <w:r>
        <w:rPr>
          <w:rFonts w:ascii="仿宋" w:hAnsi="仿宋" w:eastAsia="仿宋"/>
          <w:bCs/>
          <w:szCs w:val="28"/>
        </w:rPr>
        <w:t xml:space="preserve">1.8 </w:t>
      </w:r>
      <w:r>
        <w:rPr>
          <w:rFonts w:hint="eastAsia" w:ascii="仿宋" w:hAnsi="仿宋" w:eastAsia="仿宋"/>
          <w:bCs/>
          <w:szCs w:val="28"/>
        </w:rPr>
        <w:t>在本合同履行完毕后，采购人扣除供应商在履约过程中产生的本合同涉及的相关赔偿金额后，在15日内将剩余履约保证金退还至供应商。</w:t>
      </w:r>
    </w:p>
    <w:p>
      <w:pPr>
        <w:spacing w:line="440" w:lineRule="exact"/>
        <w:rPr>
          <w:rFonts w:ascii="仿宋" w:hAnsi="仿宋" w:eastAsia="仿宋"/>
          <w:b/>
          <w:bCs/>
          <w:szCs w:val="28"/>
        </w:rPr>
      </w:pPr>
      <w:r>
        <w:rPr>
          <w:rFonts w:hint="eastAsia" w:ascii="仿宋" w:hAnsi="仿宋" w:eastAsia="仿宋"/>
          <w:b/>
          <w:bCs/>
          <w:szCs w:val="28"/>
        </w:rPr>
        <w:t>12.违约责任</w:t>
      </w:r>
    </w:p>
    <w:p>
      <w:pPr>
        <w:spacing w:line="440" w:lineRule="exact"/>
        <w:ind w:firstLine="560" w:firstLineChars="200"/>
        <w:rPr>
          <w:rFonts w:ascii="仿宋" w:hAnsi="仿宋" w:eastAsia="仿宋"/>
          <w:bCs/>
          <w:szCs w:val="28"/>
        </w:rPr>
      </w:pPr>
      <w:r>
        <w:rPr>
          <w:rFonts w:hint="eastAsia" w:ascii="仿宋" w:hAnsi="仿宋" w:eastAsia="仿宋"/>
          <w:bCs/>
          <w:szCs w:val="28"/>
        </w:rPr>
        <w:t>12.1 采购人无正当理由拒收接受服务的，采购人向供应商偿付合同款项百分之五作为违约金。</w:t>
      </w:r>
    </w:p>
    <w:p>
      <w:pPr>
        <w:spacing w:line="440" w:lineRule="exact"/>
        <w:ind w:firstLine="560" w:firstLineChars="200"/>
        <w:rPr>
          <w:rFonts w:ascii="仿宋" w:hAnsi="仿宋" w:eastAsia="仿宋"/>
          <w:bCs/>
          <w:szCs w:val="28"/>
        </w:rPr>
      </w:pPr>
      <w:r>
        <w:rPr>
          <w:rFonts w:hint="eastAsia" w:ascii="仿宋" w:hAnsi="仿宋" w:eastAsia="仿宋"/>
          <w:bCs/>
          <w:szCs w:val="28"/>
        </w:rPr>
        <w:t>12.2 采购人无故逾期验收和办理款项支付手续的,采购人应按逾期付款总额每日万分之五向供应商支付违约金。</w:t>
      </w:r>
    </w:p>
    <w:p>
      <w:pPr>
        <w:spacing w:line="440" w:lineRule="exact"/>
        <w:ind w:firstLine="560" w:firstLineChars="200"/>
        <w:rPr>
          <w:rFonts w:ascii="仿宋" w:hAnsi="仿宋" w:eastAsia="仿宋"/>
          <w:bCs/>
          <w:szCs w:val="28"/>
        </w:rPr>
      </w:pPr>
      <w:r>
        <w:rPr>
          <w:rFonts w:hint="eastAsia" w:ascii="仿宋" w:hAnsi="仿宋" w:eastAsia="仿宋"/>
          <w:bCs/>
          <w:szCs w:val="28"/>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560" w:firstLineChars="200"/>
        <w:rPr>
          <w:rFonts w:ascii="仿宋" w:hAnsi="仿宋" w:eastAsia="仿宋"/>
          <w:bCs/>
          <w:szCs w:val="28"/>
        </w:rPr>
      </w:pPr>
      <w:r>
        <w:rPr>
          <w:rFonts w:ascii="仿宋" w:hAnsi="仿宋" w:eastAsia="仿宋"/>
          <w:bCs/>
          <w:szCs w:val="28"/>
        </w:rPr>
        <w:t>12.4</w:t>
      </w:r>
      <w:r>
        <w:rPr>
          <w:rFonts w:hint="eastAsia" w:ascii="仿宋" w:hAnsi="仿宋" w:eastAsia="仿宋"/>
          <w:szCs w:val="28"/>
        </w:rPr>
        <w:t>如供应商提供的服务或与服务相关的物品存在知识产权纠纷而导致本合同无法继续履行，在采购人发函要求解决相关知识产权问题后30日内仍未解决的，则采购人有权单方终止本合同的履行，并要求供应商承担相应赔偿责任。</w:t>
      </w:r>
    </w:p>
    <w:p>
      <w:pPr>
        <w:spacing w:line="440" w:lineRule="exact"/>
        <w:rPr>
          <w:rFonts w:ascii="仿宋" w:hAnsi="仿宋" w:eastAsia="仿宋"/>
          <w:b/>
          <w:bCs/>
          <w:szCs w:val="28"/>
        </w:rPr>
      </w:pPr>
      <w:r>
        <w:rPr>
          <w:rFonts w:hint="eastAsia" w:ascii="仿宋" w:hAnsi="仿宋" w:eastAsia="仿宋"/>
          <w:b/>
          <w:bCs/>
          <w:szCs w:val="28"/>
        </w:rPr>
        <w:t>13.不可抗力事件处理</w:t>
      </w:r>
    </w:p>
    <w:p>
      <w:pPr>
        <w:spacing w:line="440" w:lineRule="exact"/>
        <w:ind w:firstLine="560" w:firstLineChars="200"/>
        <w:rPr>
          <w:rFonts w:ascii="仿宋" w:hAnsi="仿宋" w:eastAsia="仿宋"/>
          <w:bCs/>
          <w:szCs w:val="28"/>
        </w:rPr>
      </w:pPr>
      <w:r>
        <w:rPr>
          <w:rFonts w:hint="eastAsia" w:ascii="仿宋" w:hAnsi="仿宋" w:eastAsia="仿宋"/>
          <w:bCs/>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bCs/>
          <w:szCs w:val="28"/>
        </w:rPr>
      </w:pPr>
      <w:r>
        <w:rPr>
          <w:rFonts w:hint="eastAsia" w:ascii="仿宋" w:hAnsi="仿宋" w:eastAsia="仿宋"/>
          <w:bCs/>
          <w:szCs w:val="28"/>
        </w:rPr>
        <w:t>13.2 不可抗力事件发生后，应立即通知对方，并寄送有关权威机构出具的证明。</w:t>
      </w:r>
    </w:p>
    <w:p>
      <w:pPr>
        <w:spacing w:line="440" w:lineRule="exact"/>
        <w:ind w:firstLine="560" w:firstLineChars="200"/>
        <w:rPr>
          <w:rFonts w:ascii="仿宋" w:hAnsi="仿宋" w:eastAsia="仿宋"/>
          <w:bCs/>
          <w:szCs w:val="28"/>
        </w:rPr>
      </w:pPr>
      <w:r>
        <w:rPr>
          <w:rFonts w:hint="eastAsia" w:ascii="仿宋" w:hAnsi="仿宋" w:eastAsia="仿宋"/>
          <w:bCs/>
          <w:szCs w:val="28"/>
        </w:rPr>
        <w:t>13.3 不可抗力事件延续120天以上，双方应通过友好协商，确定是否继续履行合同。</w:t>
      </w:r>
    </w:p>
    <w:p>
      <w:pPr>
        <w:spacing w:line="440" w:lineRule="exact"/>
        <w:rPr>
          <w:rFonts w:ascii="仿宋" w:hAnsi="仿宋" w:eastAsia="仿宋"/>
          <w:bCs/>
          <w:szCs w:val="28"/>
        </w:rPr>
      </w:pPr>
      <w:r>
        <w:rPr>
          <w:rFonts w:hint="eastAsia" w:ascii="仿宋" w:hAnsi="仿宋" w:eastAsia="仿宋"/>
          <w:b/>
          <w:bCs/>
          <w:szCs w:val="28"/>
        </w:rPr>
        <w:t>14.争议解决</w:t>
      </w:r>
    </w:p>
    <w:p>
      <w:pPr>
        <w:spacing w:line="440" w:lineRule="exact"/>
        <w:ind w:firstLine="560" w:firstLineChars="200"/>
        <w:rPr>
          <w:rFonts w:ascii="仿宋" w:hAnsi="仿宋" w:eastAsia="仿宋"/>
          <w:szCs w:val="28"/>
        </w:rPr>
      </w:pPr>
      <w:r>
        <w:rPr>
          <w:rFonts w:hint="eastAsia" w:ascii="仿宋" w:hAnsi="仿宋" w:eastAsia="仿宋"/>
          <w:szCs w:val="28"/>
        </w:rPr>
        <w:t>14.1在执行本合同中所发生的或与本合同有关的一切争端，合同双方应通过友好协商解决，经过协商仍不能解决，双方选择通过下列第</w:t>
      </w:r>
      <w:r>
        <w:rPr>
          <w:rFonts w:ascii="仿宋" w:hAnsi="仿宋" w:eastAsia="仿宋"/>
          <w:szCs w:val="28"/>
        </w:rPr>
        <w:t>x</w:t>
      </w:r>
      <w:r>
        <w:rPr>
          <w:rFonts w:hint="eastAsia" w:ascii="仿宋" w:hAnsi="仿宋" w:eastAsia="仿宋"/>
          <w:szCs w:val="28"/>
        </w:rPr>
        <w:t>种方式解决：</w:t>
      </w:r>
    </w:p>
    <w:p>
      <w:pPr>
        <w:spacing w:line="440" w:lineRule="exact"/>
        <w:ind w:firstLine="560" w:firstLineChars="200"/>
        <w:rPr>
          <w:rFonts w:ascii="仿宋" w:hAnsi="仿宋" w:eastAsia="仿宋"/>
          <w:szCs w:val="28"/>
        </w:rPr>
      </w:pPr>
      <w:r>
        <w:rPr>
          <w:rFonts w:hint="eastAsia" w:ascii="仿宋" w:hAnsi="仿宋" w:eastAsia="仿宋"/>
          <w:szCs w:val="28"/>
        </w:rPr>
        <w:t>（1）将争端提交湖州仲裁委员会仲裁</w:t>
      </w:r>
    </w:p>
    <w:p>
      <w:pPr>
        <w:spacing w:line="440" w:lineRule="exact"/>
        <w:ind w:firstLine="560" w:firstLineChars="200"/>
        <w:rPr>
          <w:rFonts w:ascii="仿宋" w:hAnsi="仿宋" w:eastAsia="仿宋"/>
          <w:szCs w:val="28"/>
        </w:rPr>
      </w:pPr>
      <w:r>
        <w:rPr>
          <w:rFonts w:hint="eastAsia" w:ascii="仿宋" w:hAnsi="仿宋" w:eastAsia="仿宋"/>
          <w:szCs w:val="28"/>
        </w:rPr>
        <w:t>（2）直接向采购人所在地有管辖权的人民法院起诉。</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2</w:t>
      </w:r>
      <w:r>
        <w:rPr>
          <w:rFonts w:hint="eastAsia" w:ascii="仿宋" w:hAnsi="仿宋" w:eastAsia="仿宋"/>
          <w:szCs w:val="28"/>
        </w:rPr>
        <w:t>仲裁费用或诉讼费用应由败诉方负担。</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3</w:t>
      </w:r>
      <w:r>
        <w:rPr>
          <w:rFonts w:hint="eastAsia" w:ascii="仿宋" w:hAnsi="仿宋" w:eastAsia="仿宋"/>
          <w:szCs w:val="28"/>
        </w:rPr>
        <w:t>在仲裁或诉讼期间，除进行仲裁或诉讼的部分外，本合同其它部分应继续执行。</w:t>
      </w:r>
    </w:p>
    <w:p>
      <w:pPr>
        <w:spacing w:line="440" w:lineRule="exact"/>
        <w:rPr>
          <w:rFonts w:ascii="仿宋" w:hAnsi="仿宋" w:eastAsia="仿宋"/>
          <w:b/>
          <w:bCs/>
          <w:szCs w:val="28"/>
        </w:rPr>
      </w:pPr>
      <w:r>
        <w:rPr>
          <w:rFonts w:hint="eastAsia" w:ascii="仿宋" w:hAnsi="仿宋" w:eastAsia="仿宋"/>
          <w:b/>
          <w:bCs/>
          <w:szCs w:val="28"/>
        </w:rPr>
        <w:t>15.转让或分包</w:t>
      </w:r>
    </w:p>
    <w:p>
      <w:pPr>
        <w:spacing w:line="440" w:lineRule="exact"/>
        <w:ind w:firstLine="560" w:firstLineChars="200"/>
        <w:rPr>
          <w:rFonts w:ascii="仿宋" w:hAnsi="仿宋" w:eastAsia="仿宋"/>
          <w:szCs w:val="28"/>
        </w:rPr>
      </w:pPr>
      <w:r>
        <w:rPr>
          <w:rFonts w:hint="eastAsia" w:ascii="仿宋" w:hAnsi="仿宋" w:eastAsia="仿宋"/>
          <w:szCs w:val="28"/>
        </w:rPr>
        <w:t>15.1本合同范围的服务，应由供应商提供，不得转让他人供应；</w:t>
      </w:r>
    </w:p>
    <w:p>
      <w:pPr>
        <w:spacing w:line="440" w:lineRule="exact"/>
        <w:ind w:firstLine="560" w:firstLineChars="200"/>
        <w:rPr>
          <w:rFonts w:ascii="仿宋" w:hAnsi="仿宋" w:eastAsia="仿宋"/>
          <w:szCs w:val="28"/>
        </w:rPr>
      </w:pPr>
      <w:r>
        <w:rPr>
          <w:rFonts w:hint="eastAsia" w:ascii="仿宋" w:hAnsi="仿宋" w:eastAsia="仿宋"/>
          <w:szCs w:val="28"/>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szCs w:val="28"/>
        </w:rPr>
      </w:pPr>
      <w:r>
        <w:rPr>
          <w:rFonts w:hint="eastAsia" w:ascii="仿宋" w:hAnsi="仿宋" w:eastAsia="仿宋"/>
          <w:szCs w:val="28"/>
        </w:rPr>
        <w:t>15.3本合同全部或部分的分包不能减轻供应商承担的责任，供应商仍须将分包人的任何行动、错误或疏忽当作是自己完成的并负全责；</w:t>
      </w:r>
    </w:p>
    <w:p>
      <w:pPr>
        <w:spacing w:line="440" w:lineRule="exact"/>
        <w:ind w:firstLine="560" w:firstLineChars="200"/>
        <w:rPr>
          <w:rFonts w:ascii="仿宋" w:hAnsi="仿宋" w:eastAsia="仿宋"/>
          <w:szCs w:val="28"/>
        </w:rPr>
      </w:pPr>
      <w:r>
        <w:rPr>
          <w:rFonts w:ascii="仿宋" w:hAnsi="仿宋" w:eastAsia="仿宋"/>
          <w:szCs w:val="28"/>
        </w:rPr>
        <w:t>15</w:t>
      </w:r>
      <w:r>
        <w:rPr>
          <w:rFonts w:hint="eastAsia" w:ascii="仿宋" w:hAnsi="仿宋" w:eastAsia="仿宋"/>
          <w:szCs w:val="28"/>
        </w:rPr>
        <w:t>.4在任何分包合同中，须注明分包人按分包合同的范围履行，在供应商按本合同的履行终止时（不论任何原因），亦同时一并终止；</w:t>
      </w:r>
    </w:p>
    <w:p>
      <w:pPr>
        <w:spacing w:line="440" w:lineRule="exact"/>
        <w:ind w:firstLine="560" w:firstLineChars="200"/>
        <w:rPr>
          <w:rFonts w:ascii="仿宋" w:hAnsi="仿宋" w:eastAsia="仿宋"/>
          <w:szCs w:val="28"/>
        </w:rPr>
      </w:pPr>
      <w:r>
        <w:rPr>
          <w:rFonts w:hint="eastAsia" w:ascii="仿宋" w:hAnsi="仿宋" w:eastAsia="仿宋"/>
          <w:szCs w:val="28"/>
        </w:rPr>
        <w:t>15.5如有转让和未经采购人同意的分包行为，采购人有权给予终止合同。</w:t>
      </w:r>
    </w:p>
    <w:p>
      <w:pPr>
        <w:spacing w:line="440" w:lineRule="exact"/>
        <w:rPr>
          <w:rFonts w:ascii="仿宋" w:hAnsi="仿宋" w:eastAsia="仿宋"/>
          <w:b/>
          <w:bCs/>
          <w:szCs w:val="28"/>
        </w:rPr>
      </w:pPr>
      <w:r>
        <w:rPr>
          <w:rFonts w:hint="eastAsia" w:ascii="仿宋" w:hAnsi="仿宋" w:eastAsia="仿宋"/>
          <w:b/>
          <w:bCs/>
          <w:szCs w:val="28"/>
        </w:rPr>
        <w:t>16.适用法律</w:t>
      </w:r>
    </w:p>
    <w:p>
      <w:pPr>
        <w:spacing w:line="440" w:lineRule="exact"/>
        <w:ind w:firstLine="560" w:firstLineChars="200"/>
        <w:rPr>
          <w:rFonts w:ascii="仿宋" w:hAnsi="仿宋" w:eastAsia="仿宋"/>
          <w:bCs/>
          <w:szCs w:val="28"/>
        </w:rPr>
      </w:pPr>
      <w:r>
        <w:rPr>
          <w:rFonts w:hint="eastAsia" w:ascii="仿宋" w:hAnsi="仿宋" w:eastAsia="仿宋"/>
          <w:szCs w:val="28"/>
        </w:rPr>
        <w:t>合同适用法律有《中华人民共和国政府采购法》、《中华人民共和国民法典》和浙江省有关条例等。</w:t>
      </w:r>
    </w:p>
    <w:p>
      <w:pPr>
        <w:spacing w:line="440" w:lineRule="exact"/>
        <w:rPr>
          <w:rFonts w:ascii="仿宋" w:hAnsi="仿宋" w:eastAsia="仿宋"/>
          <w:b/>
          <w:bCs/>
          <w:szCs w:val="28"/>
        </w:rPr>
      </w:pPr>
      <w:r>
        <w:rPr>
          <w:rFonts w:hint="eastAsia" w:ascii="仿宋" w:hAnsi="仿宋" w:eastAsia="仿宋"/>
          <w:b/>
          <w:bCs/>
          <w:szCs w:val="28"/>
        </w:rPr>
        <w:t>17.合同生效及其他</w:t>
      </w:r>
    </w:p>
    <w:p>
      <w:pPr>
        <w:spacing w:line="440" w:lineRule="exact"/>
        <w:ind w:firstLine="560" w:firstLineChars="200"/>
        <w:rPr>
          <w:rFonts w:ascii="仿宋" w:hAnsi="仿宋" w:eastAsia="仿宋"/>
          <w:bCs/>
          <w:szCs w:val="28"/>
        </w:rPr>
      </w:pPr>
      <w:r>
        <w:rPr>
          <w:rFonts w:hint="eastAsia" w:ascii="仿宋" w:hAnsi="仿宋" w:eastAsia="仿宋"/>
          <w:bCs/>
          <w:szCs w:val="28"/>
        </w:rPr>
        <w:t>17.1本合同经双方法人及法定代表人签字盖章生效；</w:t>
      </w:r>
    </w:p>
    <w:p>
      <w:pPr>
        <w:spacing w:line="440" w:lineRule="exact"/>
        <w:ind w:firstLine="560" w:firstLineChars="200"/>
      </w:pPr>
      <w:r>
        <w:rPr>
          <w:rFonts w:hint="eastAsia" w:ascii="仿宋" w:hAnsi="仿宋" w:eastAsia="仿宋"/>
          <w:bCs/>
          <w:szCs w:val="28"/>
        </w:rPr>
        <w:t>17.2本合同一式八份，供应商、采购人各执四份。</w:t>
      </w:r>
    </w:p>
    <w:p>
      <w:pPr>
        <w:pStyle w:val="2"/>
        <w:ind w:firstLine="280"/>
      </w:pPr>
    </w:p>
    <w:tbl>
      <w:tblPr>
        <w:tblStyle w:val="2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rPr>
            </w:pPr>
            <w:r>
              <w:rPr>
                <w:rFonts w:hint="eastAsia" w:ascii="微软雅黑" w:hAnsi="微软雅黑" w:eastAsia="微软雅黑" w:cs="微软雅黑"/>
              </w:rPr>
              <w:t>甲方(盖章)：</w:t>
            </w:r>
          </w:p>
          <w:p>
            <w:pPr>
              <w:pStyle w:val="3"/>
              <w:rPr>
                <w:rFonts w:ascii="微软雅黑" w:hAnsi="微软雅黑" w:eastAsia="微软雅黑" w:cs="微软雅黑"/>
              </w:rPr>
            </w:pPr>
          </w:p>
        </w:tc>
        <w:tc>
          <w:tcPr>
            <w:tcW w:w="4200"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乙</w:t>
            </w:r>
            <w:r>
              <w:rPr>
                <w:rFonts w:hint="eastAsia" w:ascii="微软雅黑" w:hAnsi="微软雅黑" w:eastAsia="微软雅黑" w:cs="微软雅黑"/>
                <w:bCs/>
                <w:szCs w:val="28"/>
              </w:rPr>
              <w:t>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rPr>
            </w:pPr>
            <w:r>
              <w:rPr>
                <w:rFonts w:hint="eastAsia" w:ascii="微软雅黑" w:hAnsi="微软雅黑" w:eastAsia="微软雅黑" w:cs="微软雅黑"/>
              </w:rPr>
              <w:t xml:space="preserve">法定代表人 </w:t>
            </w:r>
          </w:p>
          <w:p>
            <w:pPr>
              <w:pStyle w:val="2"/>
              <w:ind w:firstLine="0" w:firstLineChars="0"/>
              <w:rPr>
                <w:rFonts w:ascii="微软雅黑" w:hAnsi="微软雅黑" w:eastAsia="微软雅黑" w:cs="微软雅黑"/>
              </w:rPr>
            </w:pPr>
            <w:r>
              <w:rPr>
                <w:rFonts w:hint="eastAsia" w:ascii="微软雅黑" w:hAnsi="微软雅黑" w:eastAsia="微软雅黑" w:cs="微软雅黑"/>
                <w:szCs w:val="28"/>
              </w:rPr>
              <w:t>或委托人(签名)：</w:t>
            </w:r>
          </w:p>
        </w:tc>
        <w:tc>
          <w:tcPr>
            <w:tcW w:w="4200" w:type="dxa"/>
          </w:tcPr>
          <w:p>
            <w:pPr>
              <w:spacing w:line="600" w:lineRule="exact"/>
              <w:rPr>
                <w:rFonts w:ascii="微软雅黑" w:hAnsi="微软雅黑" w:eastAsia="微软雅黑" w:cs="微软雅黑"/>
              </w:rPr>
            </w:pPr>
            <w:r>
              <w:rPr>
                <w:rFonts w:hint="eastAsia" w:ascii="微软雅黑" w:hAnsi="微软雅黑" w:eastAsia="微软雅黑" w:cs="微软雅黑"/>
              </w:rPr>
              <w:t xml:space="preserve">法定代表人 </w:t>
            </w:r>
          </w:p>
          <w:p>
            <w:pPr>
              <w:pStyle w:val="2"/>
              <w:ind w:firstLine="0" w:firstLineChars="0"/>
              <w:rPr>
                <w:rFonts w:ascii="微软雅黑" w:hAnsi="微软雅黑" w:eastAsia="微软雅黑" w:cs="微软雅黑"/>
              </w:rPr>
            </w:pPr>
            <w:r>
              <w:rPr>
                <w:rFonts w:hint="eastAsia" w:ascii="微软雅黑" w:hAnsi="微软雅黑" w:eastAsia="微软雅黑" w:cs="微软雅黑"/>
                <w:szCs w:val="28"/>
              </w:rPr>
              <w:t>或委托人(签名)：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联系人（签名）：</w:t>
            </w:r>
          </w:p>
          <w:p>
            <w:pPr>
              <w:pStyle w:val="3"/>
              <w:rPr>
                <w:rFonts w:ascii="微软雅黑" w:hAnsi="微软雅黑" w:eastAsia="微软雅黑" w:cs="微软雅黑"/>
                <w:szCs w:val="28"/>
              </w:rPr>
            </w:pPr>
          </w:p>
        </w:tc>
        <w:tc>
          <w:tcPr>
            <w:tcW w:w="4200"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联系人（签名）：</w:t>
            </w:r>
          </w:p>
          <w:p>
            <w:pPr>
              <w:spacing w:line="600" w:lineRule="exact"/>
              <w:rPr>
                <w:rFonts w:ascii="微软雅黑" w:hAnsi="微软雅黑" w:eastAsia="微软雅黑" w:cs="微软雅黑"/>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电话：</w:t>
            </w:r>
          </w:p>
        </w:tc>
        <w:tc>
          <w:tcPr>
            <w:tcW w:w="4200"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开户银行：</w:t>
            </w:r>
          </w:p>
        </w:tc>
        <w:tc>
          <w:tcPr>
            <w:tcW w:w="4200"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帐号：</w:t>
            </w:r>
          </w:p>
        </w:tc>
        <w:tc>
          <w:tcPr>
            <w:tcW w:w="4200"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统一社会信用代码：</w:t>
            </w:r>
          </w:p>
        </w:tc>
        <w:tc>
          <w:tcPr>
            <w:tcW w:w="4200" w:type="dxa"/>
          </w:tcPr>
          <w:p>
            <w:pPr>
              <w:pStyle w:val="3"/>
              <w:spacing w:line="600" w:lineRule="exact"/>
              <w:rPr>
                <w:rFonts w:ascii="微软雅黑" w:hAnsi="微软雅黑" w:eastAsia="微软雅黑" w:cs="微软雅黑"/>
                <w:szCs w:val="28"/>
              </w:rPr>
            </w:pPr>
            <w:r>
              <w:rPr>
                <w:rFonts w:hint="eastAsia" w:ascii="微软雅黑" w:hAnsi="微软雅黑" w:eastAsia="微软雅黑" w:cs="微软雅黑"/>
                <w:szCs w:val="2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地址：</w:t>
            </w:r>
          </w:p>
        </w:tc>
        <w:tc>
          <w:tcPr>
            <w:tcW w:w="4200" w:type="dxa"/>
          </w:tcPr>
          <w:p>
            <w:pPr>
              <w:pStyle w:val="3"/>
              <w:spacing w:line="600" w:lineRule="exact"/>
              <w:rPr>
                <w:rFonts w:ascii="微软雅黑" w:hAnsi="微软雅黑" w:eastAsia="微软雅黑" w:cs="微软雅黑"/>
                <w:szCs w:val="28"/>
              </w:rPr>
            </w:pPr>
            <w:r>
              <w:rPr>
                <w:rFonts w:hint="eastAsia" w:ascii="微软雅黑" w:hAnsi="微软雅黑" w:eastAsia="微软雅黑" w:cs="微软雅黑"/>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 xml:space="preserve">电子邮箱： </w:t>
            </w:r>
          </w:p>
        </w:tc>
        <w:tc>
          <w:tcPr>
            <w:tcW w:w="4200" w:type="dxa"/>
          </w:tcPr>
          <w:p>
            <w:pPr>
              <w:pStyle w:val="3"/>
              <w:spacing w:line="600" w:lineRule="exact"/>
              <w:rPr>
                <w:rFonts w:ascii="微软雅黑" w:hAnsi="微软雅黑" w:eastAsia="微软雅黑" w:cs="微软雅黑"/>
                <w:szCs w:val="28"/>
              </w:rPr>
            </w:pPr>
            <w:r>
              <w:rPr>
                <w:rFonts w:hint="eastAsia" w:ascii="微软雅黑" w:hAnsi="微软雅黑" w:eastAsia="微软雅黑" w:cs="微软雅黑"/>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ascii="微软雅黑" w:hAnsi="微软雅黑" w:eastAsia="微软雅黑" w:cs="微软雅黑"/>
                <w:szCs w:val="28"/>
              </w:rPr>
            </w:pPr>
            <w:r>
              <w:rPr>
                <w:rFonts w:hint="eastAsia" w:ascii="微软雅黑" w:hAnsi="微软雅黑" w:eastAsia="微软雅黑" w:cs="微软雅黑"/>
                <w:szCs w:val="28"/>
              </w:rPr>
              <w:t>签订时间：</w:t>
            </w:r>
          </w:p>
        </w:tc>
        <w:tc>
          <w:tcPr>
            <w:tcW w:w="4200" w:type="dxa"/>
          </w:tcPr>
          <w:p>
            <w:pPr>
              <w:pStyle w:val="3"/>
              <w:spacing w:line="600" w:lineRule="exact"/>
              <w:rPr>
                <w:rFonts w:ascii="微软雅黑" w:hAnsi="微软雅黑" w:eastAsia="微软雅黑" w:cs="微软雅黑"/>
                <w:szCs w:val="28"/>
              </w:rPr>
            </w:pPr>
            <w:r>
              <w:rPr>
                <w:rFonts w:hint="eastAsia" w:ascii="微软雅黑" w:hAnsi="微软雅黑" w:eastAsia="微软雅黑" w:cs="微软雅黑"/>
                <w:szCs w:val="28"/>
              </w:rPr>
              <w:t>签订时间：</w:t>
            </w:r>
          </w:p>
        </w:tc>
      </w:tr>
    </w:tbl>
    <w:p>
      <w:pPr>
        <w:spacing w:line="440" w:lineRule="exact"/>
        <w:ind w:firstLine="560" w:firstLineChars="200"/>
        <w:rPr>
          <w:rFonts w:ascii="微软雅黑" w:hAnsi="微软雅黑" w:eastAsia="微软雅黑" w:cs="微软雅黑"/>
          <w:szCs w:val="28"/>
        </w:rPr>
      </w:pPr>
      <w:r>
        <w:rPr>
          <w:rFonts w:hint="eastAsia" w:ascii="微软雅黑" w:hAnsi="微软雅黑" w:eastAsia="微软雅黑" w:cs="微软雅黑"/>
          <w:b/>
          <w:bCs/>
          <w:szCs w:val="28"/>
        </w:rPr>
        <w:t> </w:t>
      </w:r>
    </w:p>
    <w:p>
      <w:pPr>
        <w:tabs>
          <w:tab w:val="left" w:pos="1440"/>
        </w:tabs>
        <w:spacing w:line="480" w:lineRule="exact"/>
        <w:rPr>
          <w:rFonts w:ascii="微软雅黑" w:hAnsi="微软雅黑" w:eastAsia="微软雅黑" w:cs="微软雅黑"/>
        </w:rPr>
      </w:pPr>
    </w:p>
    <w:p>
      <w:pPr>
        <w:tabs>
          <w:tab w:val="left" w:pos="1440"/>
        </w:tabs>
        <w:spacing w:line="480" w:lineRule="exact"/>
        <w:rPr>
          <w:rFonts w:ascii="微软雅黑" w:hAnsi="微软雅黑" w:eastAsia="微软雅黑" w:cs="微软雅黑"/>
          <w:b/>
          <w:sz w:val="24"/>
        </w:rPr>
      </w:pPr>
      <w:r>
        <w:rPr>
          <w:rFonts w:hint="eastAsia" w:ascii="微软雅黑" w:hAnsi="微软雅黑" w:eastAsia="微软雅黑" w:cs="微软雅黑"/>
          <w:b/>
          <w:sz w:val="24"/>
        </w:rPr>
        <w:t>注：本合同仅作示范文本，具体以双方签定的正式合同为准，合同内容不得违背本招标文件实质性要求。</w:t>
      </w:r>
    </w:p>
    <w:p>
      <w:pPr>
        <w:spacing w:line="480" w:lineRule="exact"/>
        <w:rPr>
          <w:szCs w:val="28"/>
        </w:rPr>
      </w:pPr>
    </w:p>
    <w:p>
      <w:pPr>
        <w:pStyle w:val="2"/>
        <w:spacing w:after="0" w:line="480" w:lineRule="exact"/>
        <w:ind w:firstLine="280"/>
        <w:rPr>
          <w:szCs w:val="28"/>
        </w:rPr>
      </w:pPr>
    </w:p>
    <w:p>
      <w:pPr>
        <w:spacing w:line="530" w:lineRule="exact"/>
        <w:rPr>
          <w:rFonts w:ascii="宋体" w:hAnsi="宋体" w:cs="宋体"/>
          <w:b/>
          <w:sz w:val="36"/>
          <w:szCs w:val="36"/>
        </w:rPr>
      </w:pPr>
    </w:p>
    <w:p/>
    <w:p>
      <w:pPr>
        <w:pStyle w:val="10"/>
        <w:rPr>
          <w:rFonts w:ascii="微软雅黑" w:hAnsi="微软雅黑" w:eastAsia="微软雅黑" w:cs="微软雅黑"/>
          <w:sz w:val="24"/>
        </w:rPr>
      </w:pPr>
    </w:p>
    <w:p>
      <w:pPr>
        <w:numPr>
          <w:ilvl w:val="0"/>
          <w:numId w:val="10"/>
        </w:numPr>
        <w:spacing w:line="360" w:lineRule="auto"/>
        <w:jc w:val="center"/>
        <w:outlineLvl w:val="0"/>
        <w:rPr>
          <w:rFonts w:ascii="微软雅黑" w:hAnsi="微软雅黑" w:eastAsia="微软雅黑" w:cs="微软雅黑"/>
          <w:b/>
          <w:sz w:val="32"/>
          <w:szCs w:val="32"/>
        </w:rPr>
        <w:sectPr>
          <w:pgSz w:w="11906" w:h="16838"/>
          <w:pgMar w:top="1531" w:right="779" w:bottom="1134" w:left="1134" w:header="851" w:footer="427" w:gutter="0"/>
          <w:cols w:space="720" w:num="1"/>
          <w:docGrid w:linePitch="312" w:charSpace="0"/>
        </w:sectPr>
      </w:pPr>
    </w:p>
    <w:p>
      <w:pPr>
        <w:numPr>
          <w:ilvl w:val="0"/>
          <w:numId w:val="10"/>
        </w:numPr>
        <w:spacing w:line="360" w:lineRule="auto"/>
        <w:jc w:val="center"/>
        <w:outlineLvl w:val="0"/>
        <w:rPr>
          <w:rFonts w:ascii="微软雅黑" w:hAnsi="微软雅黑" w:eastAsia="微软雅黑" w:cs="微软雅黑"/>
          <w:b/>
          <w:sz w:val="36"/>
          <w:szCs w:val="36"/>
        </w:rPr>
      </w:pPr>
      <w:r>
        <w:rPr>
          <w:rFonts w:hint="eastAsia" w:ascii="微软雅黑" w:hAnsi="微软雅黑" w:eastAsia="微软雅黑" w:cs="微软雅黑"/>
          <w:b/>
          <w:sz w:val="36"/>
          <w:szCs w:val="36"/>
        </w:rPr>
        <w:t xml:space="preserve"> 投标格式与附件</w:t>
      </w:r>
      <w:bookmarkEnd w:id="61"/>
    </w:p>
    <w:p>
      <w:pPr>
        <w:pStyle w:val="7"/>
        <w:spacing w:before="195"/>
        <w:ind w:left="0" w:right="757"/>
        <w:jc w:val="center"/>
        <w:rPr>
          <w:rFonts w:ascii="微软雅黑" w:hAnsi="微软雅黑" w:eastAsia="微软雅黑" w:cs="微软雅黑"/>
        </w:rPr>
      </w:pPr>
      <w:r>
        <w:rPr>
          <w:rFonts w:hint="eastAsia" w:ascii="微软雅黑" w:hAnsi="微软雅黑" w:eastAsia="微软雅黑" w:cs="微软雅黑"/>
        </w:rPr>
        <w:t>（本章仅提供部分标准通用表格，其余请根据招标文件要求格式自拟。）</w:t>
      </w:r>
    </w:p>
    <w:p>
      <w:pPr>
        <w:pStyle w:val="2"/>
        <w:ind w:firstLine="280"/>
        <w:rPr>
          <w:rFonts w:ascii="微软雅黑" w:hAnsi="微软雅黑" w:eastAsia="微软雅黑" w:cs="微软雅黑"/>
        </w:rPr>
      </w:pPr>
    </w:p>
    <w:p>
      <w:pPr>
        <w:snapToGrid w:val="0"/>
        <w:spacing w:before="120" w:beforeLines="50" w:after="50"/>
        <w:rPr>
          <w:rFonts w:ascii="微软雅黑" w:hAnsi="微软雅黑" w:eastAsia="微软雅黑" w:cs="微软雅黑"/>
          <w:b/>
          <w:bCs/>
          <w:szCs w:val="28"/>
        </w:rPr>
      </w:pPr>
    </w:p>
    <w:p>
      <w:pPr>
        <w:snapToGrid w:val="0"/>
        <w:spacing w:before="120" w:beforeLines="50" w:after="50"/>
        <w:rPr>
          <w:rFonts w:ascii="微软雅黑" w:hAnsi="微软雅黑" w:eastAsia="微软雅黑" w:cs="微软雅黑"/>
          <w:b/>
          <w:szCs w:val="28"/>
        </w:rPr>
      </w:pPr>
      <w:r>
        <w:rPr>
          <w:rFonts w:hint="eastAsia" w:ascii="微软雅黑" w:hAnsi="微软雅黑" w:eastAsia="微软雅黑" w:cs="微软雅黑"/>
          <w:b/>
          <w:szCs w:val="21"/>
        </w:rPr>
        <w:t>资格证明文件/技术、商务、资信及其他文件/报价文件封面格式：</w:t>
      </w:r>
    </w:p>
    <w:p>
      <w:pPr>
        <w:pStyle w:val="2"/>
        <w:ind w:firstLine="280"/>
        <w:rPr>
          <w:rFonts w:ascii="微软雅黑" w:hAnsi="微软雅黑" w:eastAsia="微软雅黑" w:cs="微软雅黑"/>
          <w:b/>
          <w:bCs/>
          <w:szCs w:val="28"/>
        </w:rPr>
      </w:pPr>
    </w:p>
    <w:p>
      <w:pPr>
        <w:pStyle w:val="2"/>
        <w:ind w:firstLine="280"/>
        <w:rPr>
          <w:rFonts w:ascii="微软雅黑" w:hAnsi="微软雅黑" w:eastAsia="微软雅黑" w:cs="微软雅黑"/>
          <w:b/>
          <w:bCs/>
          <w:szCs w:val="28"/>
        </w:rPr>
      </w:pPr>
    </w:p>
    <w:p>
      <w:pPr>
        <w:adjustRightInd w:val="0"/>
        <w:snapToGrid w:val="0"/>
        <w:spacing w:line="360" w:lineRule="auto"/>
        <w:jc w:val="center"/>
        <w:rPr>
          <w:rFonts w:hint="eastAsia" w:ascii="微软雅黑" w:hAnsi="微软雅黑" w:eastAsia="微软雅黑" w:cs="微软雅黑"/>
          <w:b/>
          <w:snapToGrid w:val="0"/>
          <w:sz w:val="44"/>
          <w:szCs w:val="44"/>
          <w:lang w:eastAsia="zh-CN"/>
        </w:rPr>
      </w:pPr>
      <w:r>
        <w:rPr>
          <w:rFonts w:hint="eastAsia" w:ascii="微软雅黑" w:hAnsi="微软雅黑" w:eastAsia="微软雅黑" w:cs="微软雅黑"/>
          <w:bCs/>
          <w:snapToGrid w:val="0"/>
          <w:sz w:val="44"/>
          <w:szCs w:val="44"/>
          <w:lang w:eastAsia="zh-CN"/>
        </w:rPr>
        <w:t>湖州市南浔区住房和城乡建设局年度（2022-2025）绿化养护服务采购</w:t>
      </w:r>
    </w:p>
    <w:p>
      <w:pPr>
        <w:snapToGrid w:val="0"/>
        <w:spacing w:before="120" w:beforeLines="50" w:after="50"/>
        <w:rPr>
          <w:rFonts w:ascii="微软雅黑" w:hAnsi="微软雅黑" w:eastAsia="微软雅黑" w:cs="微软雅黑"/>
          <w:bCs/>
          <w:sz w:val="24"/>
          <w:szCs w:val="20"/>
        </w:rPr>
      </w:pPr>
    </w:p>
    <w:p>
      <w:pPr>
        <w:snapToGrid w:val="0"/>
        <w:spacing w:before="120" w:beforeLines="50" w:after="50"/>
        <w:jc w:val="center"/>
        <w:rPr>
          <w:rFonts w:ascii="微软雅黑" w:hAnsi="微软雅黑" w:eastAsia="微软雅黑" w:cs="微软雅黑"/>
          <w:bCs/>
          <w:sz w:val="30"/>
          <w:szCs w:val="30"/>
        </w:rPr>
      </w:pPr>
      <w:r>
        <w:rPr>
          <w:rFonts w:hint="eastAsia" w:ascii="微软雅黑" w:hAnsi="微软雅黑" w:eastAsia="微软雅黑" w:cs="微软雅黑"/>
          <w:bCs/>
          <w:sz w:val="30"/>
          <w:szCs w:val="30"/>
        </w:rPr>
        <w:t>资格文件/技术、商务、资信及其他部分文件/报价文件</w:t>
      </w:r>
    </w:p>
    <w:p>
      <w:pPr>
        <w:snapToGrid w:val="0"/>
        <w:spacing w:before="120" w:beforeLines="50" w:after="50"/>
        <w:rPr>
          <w:rFonts w:ascii="微软雅黑" w:hAnsi="微软雅黑" w:eastAsia="微软雅黑" w:cs="微软雅黑"/>
          <w:bCs/>
          <w:sz w:val="24"/>
          <w:szCs w:val="20"/>
        </w:rPr>
      </w:pPr>
    </w:p>
    <w:p>
      <w:pPr>
        <w:snapToGrid w:val="0"/>
        <w:spacing w:before="120" w:beforeLines="50" w:after="50"/>
        <w:jc w:val="center"/>
        <w:rPr>
          <w:rFonts w:ascii="微软雅黑" w:hAnsi="微软雅黑" w:eastAsia="微软雅黑" w:cs="微软雅黑"/>
          <w:bCs/>
          <w:sz w:val="24"/>
          <w:szCs w:val="20"/>
        </w:rPr>
      </w:pPr>
    </w:p>
    <w:p>
      <w:pPr>
        <w:adjustRightInd w:val="0"/>
        <w:snapToGrid w:val="0"/>
        <w:spacing w:before="120" w:beforeLines="50" w:after="120" w:afterLines="50" w:line="500" w:lineRule="exact"/>
        <w:ind w:firstLine="1120" w:firstLineChars="400"/>
        <w:rPr>
          <w:rFonts w:ascii="微软雅黑" w:hAnsi="微软雅黑" w:eastAsia="微软雅黑" w:cs="微软雅黑"/>
          <w:bCs/>
          <w:szCs w:val="21"/>
          <w:u w:val="single"/>
        </w:rPr>
      </w:pPr>
      <w:r>
        <w:rPr>
          <w:rFonts w:hint="eastAsia" w:ascii="微软雅黑" w:hAnsi="微软雅黑" w:eastAsia="微软雅黑" w:cs="微软雅黑"/>
          <w:bCs/>
          <w:szCs w:val="21"/>
        </w:rPr>
        <w:t>项目名称：</w:t>
      </w:r>
    </w:p>
    <w:p>
      <w:pPr>
        <w:adjustRightInd w:val="0"/>
        <w:snapToGrid w:val="0"/>
        <w:spacing w:before="120" w:beforeLines="50" w:after="120" w:afterLines="50" w:line="500" w:lineRule="exact"/>
        <w:ind w:firstLine="1120" w:firstLineChars="400"/>
        <w:rPr>
          <w:rFonts w:ascii="微软雅黑" w:hAnsi="微软雅黑" w:eastAsia="微软雅黑" w:cs="微软雅黑"/>
          <w:bCs/>
          <w:szCs w:val="21"/>
          <w:u w:val="single"/>
        </w:rPr>
      </w:pPr>
      <w:r>
        <w:rPr>
          <w:rFonts w:hint="eastAsia" w:ascii="微软雅黑" w:hAnsi="微软雅黑" w:eastAsia="微软雅黑" w:cs="微软雅黑"/>
          <w:bCs/>
          <w:szCs w:val="21"/>
        </w:rPr>
        <w:t>项目编号：</w:t>
      </w:r>
    </w:p>
    <w:p>
      <w:pPr>
        <w:adjustRightInd w:val="0"/>
        <w:snapToGrid w:val="0"/>
        <w:spacing w:before="120" w:beforeLines="50" w:after="120" w:afterLines="50" w:line="500" w:lineRule="exact"/>
        <w:ind w:firstLine="1120" w:firstLineChars="400"/>
        <w:rPr>
          <w:rFonts w:ascii="微软雅黑" w:hAnsi="微软雅黑" w:eastAsia="微软雅黑" w:cs="微软雅黑"/>
          <w:szCs w:val="21"/>
        </w:rPr>
      </w:pPr>
      <w:r>
        <w:rPr>
          <w:rFonts w:hint="eastAsia" w:ascii="微软雅黑" w:hAnsi="微软雅黑" w:eastAsia="微软雅黑" w:cs="微软雅黑"/>
          <w:szCs w:val="21"/>
        </w:rPr>
        <w:t>投标人名称（盖章）：</w:t>
      </w:r>
    </w:p>
    <w:p>
      <w:pPr>
        <w:adjustRightInd w:val="0"/>
        <w:snapToGrid w:val="0"/>
        <w:spacing w:before="120" w:beforeLines="50" w:after="120" w:afterLines="50" w:line="500" w:lineRule="exact"/>
        <w:ind w:firstLine="1120" w:firstLineChars="400"/>
        <w:rPr>
          <w:rFonts w:ascii="微软雅黑" w:hAnsi="微软雅黑" w:eastAsia="微软雅黑" w:cs="微软雅黑"/>
          <w:szCs w:val="21"/>
        </w:rPr>
      </w:pPr>
      <w:r>
        <w:rPr>
          <w:rFonts w:hint="eastAsia" w:ascii="微软雅黑" w:hAnsi="微软雅黑" w:eastAsia="微软雅黑" w:cs="微软雅黑"/>
          <w:szCs w:val="21"/>
        </w:rPr>
        <w:t>投标人地址：</w:t>
      </w:r>
    </w:p>
    <w:p>
      <w:pPr>
        <w:adjustRightInd w:val="0"/>
        <w:snapToGrid w:val="0"/>
        <w:spacing w:before="120" w:beforeLines="50" w:after="120" w:afterLines="50" w:line="500" w:lineRule="exact"/>
        <w:ind w:firstLine="1120" w:firstLineChars="400"/>
        <w:rPr>
          <w:rFonts w:ascii="微软雅黑" w:hAnsi="微软雅黑" w:eastAsia="微软雅黑" w:cs="微软雅黑"/>
          <w:bCs/>
          <w:szCs w:val="21"/>
        </w:rPr>
      </w:pPr>
      <w:r>
        <w:rPr>
          <w:rFonts w:hint="eastAsia" w:ascii="微软雅黑" w:hAnsi="微软雅黑" w:eastAsia="微软雅黑" w:cs="微软雅黑"/>
          <w:bCs/>
          <w:szCs w:val="21"/>
        </w:rPr>
        <w:t>授权代表签字：</w:t>
      </w:r>
    </w:p>
    <w:p>
      <w:pPr>
        <w:adjustRightInd w:val="0"/>
        <w:snapToGrid w:val="0"/>
        <w:spacing w:before="120" w:beforeLines="50" w:after="120" w:afterLines="50" w:line="500" w:lineRule="exact"/>
        <w:ind w:firstLine="1120" w:firstLineChars="400"/>
        <w:rPr>
          <w:rFonts w:ascii="微软雅黑" w:hAnsi="微软雅黑" w:eastAsia="微软雅黑" w:cs="微软雅黑"/>
          <w:bCs/>
          <w:szCs w:val="21"/>
        </w:rPr>
      </w:pPr>
      <w:r>
        <w:rPr>
          <w:rFonts w:hint="eastAsia" w:ascii="微软雅黑" w:hAnsi="微软雅黑" w:eastAsia="微软雅黑" w:cs="微软雅黑"/>
          <w:bCs/>
          <w:szCs w:val="21"/>
        </w:rPr>
        <w:t>年月日</w:t>
      </w:r>
    </w:p>
    <w:p>
      <w:pPr>
        <w:snapToGrid w:val="0"/>
        <w:spacing w:before="120" w:beforeLines="50" w:after="50"/>
        <w:rPr>
          <w:rFonts w:ascii="微软雅黑" w:hAnsi="微软雅黑" w:eastAsia="微软雅黑" w:cs="微软雅黑"/>
          <w:bCs/>
          <w:sz w:val="24"/>
        </w:rPr>
      </w:pPr>
    </w:p>
    <w:p>
      <w:pPr>
        <w:snapToGrid w:val="0"/>
        <w:spacing w:before="120" w:beforeLines="50" w:after="50"/>
        <w:jc w:val="center"/>
        <w:rPr>
          <w:rFonts w:ascii="微软雅黑" w:hAnsi="微软雅黑" w:eastAsia="微软雅黑" w:cs="微软雅黑"/>
          <w:bCs/>
          <w:sz w:val="24"/>
        </w:rPr>
      </w:pPr>
    </w:p>
    <w:p>
      <w:pPr>
        <w:pStyle w:val="2"/>
        <w:ind w:firstLine="0" w:firstLineChars="0"/>
        <w:rPr>
          <w:rFonts w:ascii="微软雅黑" w:hAnsi="微软雅黑" w:eastAsia="微软雅黑" w:cs="微软雅黑"/>
          <w:b/>
          <w:sz w:val="44"/>
          <w:szCs w:val="44"/>
        </w:rPr>
      </w:pPr>
    </w:p>
    <w:p>
      <w:pPr>
        <w:rPr>
          <w:rFonts w:ascii="微软雅黑" w:hAnsi="微软雅黑" w:eastAsia="微软雅黑" w:cs="微软雅黑"/>
        </w:rPr>
      </w:pPr>
    </w:p>
    <w:p>
      <w:pPr>
        <w:adjustRightInd w:val="0"/>
        <w:snapToGrid w:val="0"/>
        <w:spacing w:line="360" w:lineRule="exact"/>
        <w:rPr>
          <w:rFonts w:ascii="微软雅黑" w:hAnsi="微软雅黑" w:eastAsia="微软雅黑" w:cs="微软雅黑"/>
          <w:b/>
          <w:szCs w:val="21"/>
        </w:rPr>
      </w:pPr>
    </w:p>
    <w:p>
      <w:pPr>
        <w:adjustRightInd w:val="0"/>
        <w:snapToGrid w:val="0"/>
        <w:spacing w:line="360" w:lineRule="exact"/>
        <w:rPr>
          <w:rFonts w:ascii="微软雅黑" w:hAnsi="微软雅黑" w:eastAsia="微软雅黑" w:cs="微软雅黑"/>
          <w:b/>
          <w:szCs w:val="28"/>
        </w:rPr>
      </w:pPr>
    </w:p>
    <w:p>
      <w:pPr>
        <w:adjustRightInd w:val="0"/>
        <w:snapToGrid w:val="0"/>
        <w:spacing w:line="360" w:lineRule="exact"/>
        <w:rPr>
          <w:rFonts w:ascii="微软雅黑" w:hAnsi="微软雅黑" w:eastAsia="微软雅黑" w:cs="微软雅黑"/>
          <w:b/>
          <w:szCs w:val="28"/>
        </w:rPr>
      </w:pPr>
    </w:p>
    <w:p>
      <w:pPr>
        <w:adjustRightInd w:val="0"/>
        <w:snapToGrid w:val="0"/>
        <w:spacing w:line="360" w:lineRule="exact"/>
        <w:rPr>
          <w:rFonts w:ascii="微软雅黑" w:hAnsi="微软雅黑" w:eastAsia="微软雅黑" w:cs="微软雅黑"/>
          <w:b/>
          <w:szCs w:val="28"/>
        </w:rPr>
      </w:pPr>
      <w:r>
        <w:rPr>
          <w:rFonts w:hint="eastAsia" w:ascii="微软雅黑" w:hAnsi="微软雅黑" w:eastAsia="微软雅黑" w:cs="微软雅黑"/>
          <w:b/>
          <w:szCs w:val="28"/>
        </w:rPr>
        <w:t>三、资格证明文件目录（具体参考投标须知“投标文件的组成”）</w:t>
      </w:r>
    </w:p>
    <w:p>
      <w:pPr>
        <w:snapToGrid w:val="0"/>
        <w:spacing w:line="440" w:lineRule="exact"/>
        <w:jc w:val="left"/>
        <w:rPr>
          <w:rFonts w:ascii="微软雅黑" w:hAnsi="微软雅黑" w:eastAsia="微软雅黑" w:cs="微软雅黑"/>
          <w:b/>
          <w:szCs w:val="28"/>
        </w:rPr>
      </w:pPr>
      <w:r>
        <w:rPr>
          <w:rFonts w:hint="eastAsia" w:ascii="微软雅黑" w:hAnsi="微软雅黑" w:eastAsia="微软雅黑" w:cs="微软雅黑"/>
          <w:b/>
          <w:szCs w:val="28"/>
        </w:rPr>
        <w:t>四、技术、商务、资信及其他文件目录（具体参考投标须知“投标文件的组成”）</w:t>
      </w:r>
    </w:p>
    <w:p>
      <w:pPr>
        <w:snapToGrid w:val="0"/>
        <w:spacing w:line="440" w:lineRule="exact"/>
        <w:jc w:val="left"/>
        <w:rPr>
          <w:rFonts w:ascii="微软雅黑" w:hAnsi="微软雅黑" w:eastAsia="微软雅黑" w:cs="微软雅黑"/>
          <w:b/>
          <w:szCs w:val="28"/>
        </w:rPr>
        <w:sectPr>
          <w:pgSz w:w="11906" w:h="16838"/>
          <w:pgMar w:top="1531" w:right="779" w:bottom="1134" w:left="1134" w:header="851" w:footer="427" w:gutter="0"/>
          <w:cols w:space="720" w:num="1"/>
          <w:docGrid w:linePitch="312" w:charSpace="0"/>
        </w:sectPr>
      </w:pPr>
      <w:r>
        <w:rPr>
          <w:rFonts w:hint="eastAsia" w:ascii="微软雅黑" w:hAnsi="微软雅黑" w:eastAsia="微软雅黑" w:cs="微软雅黑"/>
          <w:b/>
          <w:szCs w:val="28"/>
        </w:rPr>
        <w:t>五．报价文件目录（具体参考投标须知“投标文件的组成）</w:t>
      </w:r>
    </w:p>
    <w:p>
      <w:pPr>
        <w:pStyle w:val="2"/>
        <w:ind w:firstLine="0" w:firstLineChars="0"/>
        <w:rPr>
          <w:rFonts w:ascii="微软雅黑" w:hAnsi="微软雅黑" w:eastAsia="微软雅黑" w:cs="微软雅黑"/>
          <w:b/>
          <w:sz w:val="44"/>
          <w:szCs w:val="44"/>
        </w:rPr>
      </w:pPr>
    </w:p>
    <w:p>
      <w:pPr>
        <w:adjustRightInd w:val="0"/>
        <w:snapToGrid w:val="0"/>
        <w:spacing w:before="120" w:beforeLines="50" w:after="120" w:afterLines="50" w:line="500" w:lineRule="exact"/>
        <w:rPr>
          <w:rFonts w:ascii="微软雅黑" w:hAnsi="微软雅黑" w:eastAsia="微软雅黑" w:cs="微软雅黑"/>
          <w:b/>
          <w:sz w:val="24"/>
        </w:rPr>
      </w:pPr>
      <w:r>
        <w:rPr>
          <w:rFonts w:hint="eastAsia" w:ascii="微软雅黑" w:hAnsi="微软雅黑" w:eastAsia="微软雅黑" w:cs="微软雅黑"/>
          <w:b/>
          <w:sz w:val="24"/>
        </w:rPr>
        <w:t>1、投标声明书格式：</w:t>
      </w:r>
    </w:p>
    <w:p>
      <w:pPr>
        <w:adjustRightInd w:val="0"/>
        <w:snapToGrid w:val="0"/>
        <w:spacing w:line="440" w:lineRule="exact"/>
        <w:jc w:val="center"/>
        <w:rPr>
          <w:rFonts w:ascii="微软雅黑" w:hAnsi="微软雅黑" w:eastAsia="微软雅黑" w:cs="微软雅黑"/>
          <w:b/>
          <w:sz w:val="24"/>
        </w:rPr>
      </w:pPr>
      <w:r>
        <w:rPr>
          <w:rFonts w:hint="eastAsia" w:ascii="微软雅黑" w:hAnsi="微软雅黑" w:eastAsia="微软雅黑" w:cs="微软雅黑"/>
          <w:b/>
          <w:sz w:val="24"/>
        </w:rPr>
        <w:t>投标声明书</w:t>
      </w:r>
    </w:p>
    <w:p>
      <w:pPr>
        <w:adjustRightInd w:val="0"/>
        <w:snapToGrid w:val="0"/>
        <w:spacing w:line="440" w:lineRule="exact"/>
        <w:rPr>
          <w:rFonts w:ascii="微软雅黑" w:hAnsi="微软雅黑" w:eastAsia="微软雅黑" w:cs="微软雅黑"/>
          <w:sz w:val="24"/>
        </w:rPr>
      </w:pPr>
    </w:p>
    <w:p>
      <w:pPr>
        <w:spacing w:line="440" w:lineRule="exact"/>
        <w:rPr>
          <w:rFonts w:ascii="微软雅黑" w:hAnsi="微软雅黑" w:eastAsia="微软雅黑" w:cs="微软雅黑"/>
          <w:sz w:val="24"/>
        </w:rPr>
      </w:pPr>
      <w:r>
        <w:rPr>
          <w:rFonts w:hint="eastAsia" w:ascii="微软雅黑" w:hAnsi="微软雅黑" w:eastAsia="微软雅黑" w:cs="微软雅黑"/>
          <w:sz w:val="24"/>
        </w:rPr>
        <w:t>致：（招标采购单位名称）：</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（投标人名称）系中华人民共和国合法企业，经营地址。</w:t>
      </w: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我（姓名）系（投标人名称）的法定代表人，我方愿意参加贵方组织的项目的投标，为便于贵方公正、择优地确定中标人及其投标产品和服务，我方就本次投标有关事项郑重声明如下：</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1、我方已详细审查全部招标文件，同意招标文件的各项要求。</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2、我方向贵方提交的所有投标文件、资料都是准确的和真实的。</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3、若中标，我方将按招标文件规定履行合同责任和义务。</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4、我方不是采购人的附属机构，在获知本项目采购信息后，与采购人聘请的为此项目提供咨询服务的公司及其附属机构没有任何联系。</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5、投标文件自开标日起有效期为180天。</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6、我方参与本项目前3年内的经营活动中没有重大违法记录；</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7、我方通过“信用中国”网站（www.creditchina.gov.cn）、中国政府采购网（www.ccgp.gov.cn）查询，未被列入失信被执行人、重大税收违法案件当事人名单、政府采购严重违法失信行为记录名单。</w:t>
      </w:r>
    </w:p>
    <w:p>
      <w:pPr>
        <w:snapToGrid w:val="0"/>
        <w:ind w:right="600" w:firstLine="120" w:firstLineChars="50"/>
        <w:rPr>
          <w:rFonts w:ascii="微软雅黑" w:hAnsi="微软雅黑" w:eastAsia="微软雅黑" w:cs="微软雅黑"/>
          <w:snapToGrid w:val="0"/>
          <w:kern w:val="0"/>
          <w:sz w:val="24"/>
        </w:rPr>
      </w:pPr>
      <w:r>
        <w:rPr>
          <w:rFonts w:hint="eastAsia" w:ascii="微软雅黑" w:hAnsi="微软雅黑" w:eastAsia="微软雅黑" w:cs="微软雅黑"/>
          <w:snapToGrid w:val="0"/>
          <w:kern w:val="0"/>
          <w:sz w:val="24"/>
        </w:rPr>
        <w:t>8、以上事项如有虚假或隐瞒，我方愿意承担一切后果，并不再寻求任何旨在减轻或免除法律责任的辩解。</w:t>
      </w:r>
    </w:p>
    <w:p>
      <w:pPr>
        <w:pStyle w:val="2"/>
        <w:ind w:firstLine="280"/>
      </w:pPr>
    </w:p>
    <w:p>
      <w:pPr>
        <w:snapToGrid w:val="0"/>
        <w:ind w:right="600" w:firstLine="120" w:firstLineChars="50"/>
        <w:rPr>
          <w:rFonts w:ascii="微软雅黑" w:hAnsi="微软雅黑" w:eastAsia="微软雅黑" w:cs="微软雅黑"/>
          <w:sz w:val="24"/>
          <w:u w:val="single"/>
        </w:rPr>
      </w:pPr>
      <w:r>
        <w:rPr>
          <w:rFonts w:hint="eastAsia" w:ascii="微软雅黑" w:hAnsi="微软雅黑" w:eastAsia="微软雅黑" w:cs="微软雅黑"/>
          <w:sz w:val="24"/>
        </w:rPr>
        <w:t>法定代表人签名（或签名章）：  日 期：</w:t>
      </w:r>
    </w:p>
    <w:p>
      <w:pPr>
        <w:spacing w:line="360" w:lineRule="auto"/>
        <w:ind w:right="560" w:rightChars="200"/>
        <w:rPr>
          <w:rFonts w:ascii="微软雅黑" w:hAnsi="微软雅黑" w:eastAsia="微软雅黑" w:cs="微软雅黑"/>
          <w:b/>
          <w:szCs w:val="28"/>
        </w:rPr>
      </w:pPr>
      <w:r>
        <w:rPr>
          <w:rFonts w:hint="eastAsia" w:ascii="微软雅黑" w:hAnsi="微软雅黑" w:eastAsia="微软雅黑" w:cs="微软雅黑"/>
          <w:sz w:val="24"/>
        </w:rPr>
        <w:t>投标人全称（电子签章）：</w:t>
      </w:r>
      <w:r>
        <w:rPr>
          <w:rFonts w:hint="eastAsia" w:ascii="微软雅黑" w:hAnsi="微软雅黑" w:eastAsia="微软雅黑" w:cs="微软雅黑"/>
          <w:sz w:val="24"/>
        </w:rPr>
        <w:br w:type="page"/>
      </w:r>
    </w:p>
    <w:p>
      <w:pPr>
        <w:adjustRightInd w:val="0"/>
        <w:snapToGrid w:val="0"/>
        <w:spacing w:before="120" w:beforeLines="50" w:after="120" w:afterLines="50" w:line="500" w:lineRule="exact"/>
        <w:rPr>
          <w:rFonts w:ascii="微软雅黑" w:hAnsi="微软雅黑" w:eastAsia="微软雅黑" w:cs="微软雅黑"/>
          <w:b/>
          <w:sz w:val="24"/>
        </w:rPr>
      </w:pPr>
      <w:r>
        <w:rPr>
          <w:rFonts w:hint="eastAsia" w:ascii="微软雅黑" w:hAnsi="微软雅黑" w:eastAsia="微软雅黑" w:cs="微软雅黑"/>
          <w:b/>
          <w:sz w:val="24"/>
        </w:rPr>
        <w:t>2、法人代表身份证明书格式：</w:t>
      </w:r>
    </w:p>
    <w:p>
      <w:pPr>
        <w:jc w:val="center"/>
        <w:rPr>
          <w:rFonts w:ascii="微软雅黑" w:hAnsi="微软雅黑" w:eastAsia="微软雅黑" w:cs="微软雅黑"/>
          <w:b/>
          <w:sz w:val="24"/>
        </w:rPr>
      </w:pPr>
    </w:p>
    <w:p>
      <w:pPr>
        <w:snapToGrid w:val="0"/>
        <w:spacing w:before="50" w:after="50"/>
        <w:jc w:val="center"/>
        <w:rPr>
          <w:rFonts w:ascii="微软雅黑" w:hAnsi="微软雅黑" w:eastAsia="微软雅黑" w:cs="微软雅黑"/>
          <w:b/>
          <w:sz w:val="24"/>
        </w:rPr>
      </w:pPr>
      <w:r>
        <w:rPr>
          <w:rFonts w:hint="eastAsia" w:ascii="微软雅黑" w:hAnsi="微软雅黑" w:eastAsia="微软雅黑" w:cs="微软雅黑"/>
          <w:b/>
          <w:bCs/>
          <w:spacing w:val="24"/>
          <w:sz w:val="24"/>
        </w:rPr>
        <w:t>法定代表人有效身份证明书</w:t>
      </w:r>
    </w:p>
    <w:p>
      <w:pPr>
        <w:pStyle w:val="8"/>
        <w:spacing w:line="500" w:lineRule="exact"/>
        <w:ind w:firstLine="449" w:firstLineChars="156"/>
        <w:jc w:val="center"/>
        <w:rPr>
          <w:rFonts w:ascii="微软雅黑" w:hAnsi="微软雅黑" w:eastAsia="微软雅黑" w:cs="微软雅黑"/>
          <w:b/>
          <w:bCs/>
          <w:spacing w:val="24"/>
          <w:sz w:val="24"/>
          <w:szCs w:val="24"/>
        </w:rPr>
      </w:pPr>
    </w:p>
    <w:p>
      <w:pPr>
        <w:pStyle w:val="8"/>
        <w:spacing w:line="500" w:lineRule="exact"/>
        <w:ind w:firstLine="449" w:firstLineChars="156"/>
        <w:jc w:val="center"/>
        <w:rPr>
          <w:rFonts w:ascii="微软雅黑" w:hAnsi="微软雅黑" w:eastAsia="微软雅黑" w:cs="微软雅黑"/>
          <w:b/>
          <w:bCs/>
          <w:spacing w:val="24"/>
          <w:sz w:val="24"/>
          <w:szCs w:val="24"/>
        </w:rPr>
      </w:pPr>
    </w:p>
    <w:p>
      <w:pPr>
        <w:pStyle w:val="8"/>
        <w:spacing w:line="500" w:lineRule="exact"/>
        <w:ind w:firstLine="1080" w:firstLineChars="450"/>
        <w:rPr>
          <w:rFonts w:ascii="微软雅黑" w:hAnsi="微软雅黑" w:eastAsia="微软雅黑" w:cs="微软雅黑"/>
          <w:sz w:val="24"/>
          <w:szCs w:val="24"/>
        </w:rPr>
      </w:pPr>
      <w:r>
        <w:rPr>
          <w:rFonts w:hint="eastAsia" w:ascii="微软雅黑" w:hAnsi="微软雅黑" w:eastAsia="微软雅黑" w:cs="微软雅黑"/>
          <w:sz w:val="24"/>
          <w:szCs w:val="24"/>
          <w:u w:val="single"/>
        </w:rPr>
        <w:t>（姓名）</w:t>
      </w:r>
      <w:r>
        <w:rPr>
          <w:rFonts w:hint="eastAsia" w:ascii="微软雅黑" w:hAnsi="微软雅黑" w:eastAsia="微软雅黑" w:cs="微软雅黑"/>
          <w:sz w:val="24"/>
          <w:szCs w:val="24"/>
        </w:rPr>
        <w:t>是 （单位全称）</w:t>
      </w: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的法定代表人，身份证号码为 。</w:t>
      </w: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特此证明</w:t>
      </w: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投标人：（电子签章）</w:t>
      </w:r>
    </w:p>
    <w:p>
      <w:pPr>
        <w:pStyle w:val="8"/>
        <w:spacing w:line="500" w:lineRule="exact"/>
        <w:ind w:firstLine="374" w:firstLineChars="156"/>
        <w:rPr>
          <w:rFonts w:ascii="微软雅黑" w:hAnsi="微软雅黑" w:eastAsia="微软雅黑" w:cs="微软雅黑"/>
          <w:sz w:val="24"/>
          <w:szCs w:val="24"/>
        </w:rPr>
      </w:pPr>
    </w:p>
    <w:p>
      <w:pPr>
        <w:pStyle w:val="8"/>
        <w:spacing w:line="500" w:lineRule="exact"/>
        <w:ind w:firstLine="1454" w:firstLineChars="606"/>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374" w:firstLineChars="156"/>
        <w:jc w:val="center"/>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日期：    年   月   日</w:t>
      </w:r>
    </w:p>
    <w:p>
      <w:pPr>
        <w:pStyle w:val="8"/>
        <w:spacing w:line="500" w:lineRule="exact"/>
        <w:ind w:firstLine="374" w:firstLineChars="156"/>
        <w:jc w:val="center"/>
        <w:rPr>
          <w:rFonts w:ascii="微软雅黑" w:hAnsi="微软雅黑" w:eastAsia="微软雅黑" w:cs="微软雅黑"/>
          <w:sz w:val="24"/>
          <w:szCs w:val="24"/>
        </w:rPr>
      </w:pP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w:t>
      </w:r>
    </w:p>
    <w:p>
      <w:pPr>
        <w:pStyle w:val="8"/>
        <w:spacing w:line="500" w:lineRule="exact"/>
        <w:ind w:firstLine="0"/>
        <w:rPr>
          <w:rFonts w:ascii="微软雅黑" w:hAnsi="微软雅黑" w:eastAsia="微软雅黑" w:cs="微软雅黑"/>
          <w:sz w:val="24"/>
          <w:szCs w:val="24"/>
        </w:rPr>
      </w:pPr>
    </w:p>
    <w:p>
      <w:pPr>
        <w:pStyle w:val="8"/>
        <w:spacing w:line="500" w:lineRule="exact"/>
        <w:ind w:firstLine="374" w:firstLineChars="156"/>
        <w:jc w:val="center"/>
        <w:rPr>
          <w:rFonts w:ascii="微软雅黑" w:hAnsi="微软雅黑" w:eastAsia="微软雅黑" w:cs="微软雅黑"/>
          <w:sz w:val="24"/>
          <w:szCs w:val="24"/>
        </w:rPr>
      </w:pPr>
      <w:r>
        <w:rPr>
          <w:rFonts w:hint="eastAsia" w:ascii="微软雅黑" w:hAnsi="微软雅黑" w:eastAsia="微软雅黑" w:cs="微软雅黑"/>
          <w:sz w:val="24"/>
          <w:szCs w:val="24"/>
        </w:rPr>
        <w:t>有效身份证明复印件粘贴处</w:t>
      </w:r>
    </w:p>
    <w:p>
      <w:pPr>
        <w:pStyle w:val="8"/>
        <w:spacing w:line="440" w:lineRule="exact"/>
        <w:ind w:firstLine="640" w:firstLineChars="200"/>
        <w:jc w:val="center"/>
        <w:rPr>
          <w:rFonts w:ascii="微软雅黑" w:hAnsi="微软雅黑" w:eastAsia="微软雅黑" w:cs="微软雅黑"/>
          <w:sz w:val="32"/>
          <w:szCs w:val="32"/>
        </w:rPr>
      </w:pPr>
    </w:p>
    <w:p>
      <w:pPr>
        <w:spacing w:line="360" w:lineRule="auto"/>
        <w:ind w:right="560" w:rightChars="200"/>
        <w:rPr>
          <w:rFonts w:ascii="微软雅黑" w:hAnsi="微软雅黑" w:eastAsia="微软雅黑" w:cs="微软雅黑"/>
          <w:b/>
          <w:sz w:val="24"/>
          <w:szCs w:val="20"/>
        </w:rPr>
      </w:pPr>
      <w:r>
        <w:rPr>
          <w:rFonts w:hint="eastAsia" w:ascii="微软雅黑" w:hAnsi="微软雅黑" w:eastAsia="微软雅黑" w:cs="微软雅黑"/>
          <w:b/>
          <w:szCs w:val="28"/>
        </w:rPr>
        <w:br w:type="page"/>
      </w:r>
      <w:r>
        <w:rPr>
          <w:rFonts w:hint="eastAsia" w:ascii="微软雅黑" w:hAnsi="微软雅黑" w:eastAsia="微软雅黑" w:cs="微软雅黑"/>
          <w:b/>
          <w:sz w:val="24"/>
        </w:rPr>
        <w:t>3、</w:t>
      </w:r>
      <w:r>
        <w:rPr>
          <w:rFonts w:hint="eastAsia" w:ascii="微软雅黑" w:hAnsi="微软雅黑" w:eastAsia="微软雅黑" w:cs="微软雅黑"/>
          <w:b/>
          <w:sz w:val="24"/>
          <w:szCs w:val="20"/>
        </w:rPr>
        <w:t>法定</w:t>
      </w:r>
      <w:r>
        <w:rPr>
          <w:rFonts w:hint="eastAsia" w:ascii="微软雅黑" w:hAnsi="微软雅黑" w:eastAsia="微软雅黑" w:cs="微软雅黑"/>
          <w:b/>
          <w:sz w:val="22"/>
          <w:szCs w:val="18"/>
        </w:rPr>
        <w:t>代表人授权委托书格式：</w:t>
      </w:r>
    </w:p>
    <w:p>
      <w:pPr>
        <w:snapToGrid w:val="0"/>
        <w:spacing w:before="50" w:after="50"/>
        <w:jc w:val="center"/>
        <w:rPr>
          <w:rFonts w:ascii="微软雅黑" w:hAnsi="微软雅黑" w:eastAsia="微软雅黑" w:cs="微软雅黑"/>
          <w:b/>
          <w:sz w:val="24"/>
        </w:rPr>
      </w:pPr>
      <w:r>
        <w:rPr>
          <w:rFonts w:hint="eastAsia" w:ascii="微软雅黑" w:hAnsi="微软雅黑" w:eastAsia="微软雅黑" w:cs="微软雅黑"/>
          <w:b/>
          <w:sz w:val="24"/>
        </w:rPr>
        <w:t>法定代表人授权委托书</w:t>
      </w:r>
    </w:p>
    <w:p>
      <w:pPr>
        <w:snapToGrid w:val="0"/>
        <w:spacing w:before="120" w:beforeLines="50" w:after="50"/>
        <w:jc w:val="center"/>
        <w:rPr>
          <w:rFonts w:ascii="微软雅黑" w:hAnsi="微软雅黑" w:eastAsia="微软雅黑" w:cs="微软雅黑"/>
          <w:b/>
          <w:sz w:val="24"/>
        </w:rPr>
      </w:pPr>
    </w:p>
    <w:p>
      <w:pPr>
        <w:snapToGrid w:val="0"/>
        <w:spacing w:line="360" w:lineRule="auto"/>
        <w:ind w:firstLine="720" w:firstLineChars="300"/>
        <w:rPr>
          <w:rFonts w:ascii="微软雅黑" w:hAnsi="微软雅黑" w:eastAsia="微软雅黑" w:cs="微软雅黑"/>
          <w:bCs/>
          <w:sz w:val="24"/>
          <w:u w:val="single"/>
        </w:rPr>
      </w:pPr>
      <w:r>
        <w:rPr>
          <w:rFonts w:hint="eastAsia" w:ascii="微软雅黑" w:hAnsi="微软雅黑" w:eastAsia="微软雅黑" w:cs="微软雅黑"/>
          <w:bCs/>
          <w:sz w:val="24"/>
          <w:u w:val="single"/>
        </w:rPr>
        <w:t xml:space="preserve">                          ：</w:t>
      </w:r>
    </w:p>
    <w:p>
      <w:pPr>
        <w:snapToGrid w:val="0"/>
        <w:spacing w:line="360" w:lineRule="auto"/>
        <w:ind w:firstLine="720" w:firstLineChars="300"/>
        <w:rPr>
          <w:rFonts w:ascii="微软雅黑" w:hAnsi="微软雅黑" w:eastAsia="微软雅黑" w:cs="微软雅黑"/>
          <w:sz w:val="24"/>
          <w:u w:val="single"/>
        </w:rPr>
      </w:pPr>
      <w:r>
        <w:rPr>
          <w:rFonts w:hint="eastAsia" w:ascii="微软雅黑" w:hAnsi="微软雅黑" w:eastAsia="微软雅黑" w:cs="微软雅黑"/>
          <w:sz w:val="24"/>
        </w:rPr>
        <w:t>我（姓名）系（投标人名称）的法定代表人，现授权委托本单位在职职工</w:t>
      </w:r>
      <w:r>
        <w:rPr>
          <w:rFonts w:hint="eastAsia" w:ascii="微软雅黑" w:hAnsi="微软雅黑" w:eastAsia="微软雅黑" w:cs="微软雅黑"/>
          <w:b/>
          <w:sz w:val="24"/>
        </w:rPr>
        <w:t xml:space="preserve">(提供个人在本单位缴纳社保的证明) </w:t>
      </w:r>
    </w:p>
    <w:p>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（姓名）为授权代表，以我方的名义参加项目编号：项目名称</w:t>
      </w:r>
      <w:r>
        <w:rPr>
          <w:rFonts w:hint="eastAsia" w:ascii="微软雅黑" w:hAnsi="微软雅黑" w:eastAsia="微软雅黑" w:cs="微软雅黑"/>
          <w:sz w:val="24"/>
          <w:u w:val="single"/>
        </w:rPr>
        <w:t>：</w:t>
      </w:r>
      <w:r>
        <w:rPr>
          <w:rFonts w:hint="eastAsia" w:ascii="微软雅黑" w:hAnsi="微软雅黑" w:eastAsia="微软雅黑" w:cs="微软雅黑"/>
          <w:sz w:val="24"/>
          <w:u w:val="single"/>
          <w:lang w:eastAsia="zh-CN"/>
        </w:rPr>
        <w:t>湖州市南浔区住房和城乡建设局年度（2022-2025）绿化养护服务采购</w:t>
      </w:r>
      <w:r>
        <w:rPr>
          <w:rFonts w:hint="eastAsia" w:ascii="微软雅黑" w:hAnsi="微软雅黑" w:eastAsia="微软雅黑" w:cs="微软雅黑"/>
          <w:sz w:val="24"/>
        </w:rPr>
        <w:t>的投标活动，并代表我方全权办理针对上述项目的投标、开标、评标、签约等具体事务和签署相关文件。我方对授权代表的签名事项负全部责任。</w:t>
      </w:r>
    </w:p>
    <w:p>
      <w:pPr>
        <w:snapToGrid w:val="0"/>
        <w:spacing w:line="360" w:lineRule="auto"/>
        <w:ind w:firstLine="480"/>
        <w:rPr>
          <w:rFonts w:ascii="微软雅黑" w:hAnsi="微软雅黑" w:eastAsia="微软雅黑" w:cs="微软雅黑"/>
          <w:sz w:val="24"/>
        </w:rPr>
      </w:pPr>
      <w:r>
        <w:rPr>
          <w:rFonts w:hint="eastAsia" w:ascii="微软雅黑" w:hAnsi="微软雅黑" w:eastAsia="微软雅黑" w:cs="微软雅黑"/>
          <w:sz w:val="24"/>
        </w:rPr>
        <w:t>在撤销授权的书面通知以前，本授权书一直有效。授权代表在授权书有效期内签署的所有文件不因授权的撤销而失效。</w:t>
      </w:r>
    </w:p>
    <w:p>
      <w:pPr>
        <w:snapToGrid w:val="0"/>
        <w:spacing w:line="360" w:lineRule="auto"/>
        <w:ind w:firstLine="480"/>
        <w:rPr>
          <w:rFonts w:ascii="微软雅黑" w:hAnsi="微软雅黑" w:eastAsia="微软雅黑" w:cs="微软雅黑"/>
          <w:sz w:val="24"/>
        </w:rPr>
      </w:pPr>
      <w:r>
        <w:rPr>
          <w:rFonts w:hint="eastAsia" w:ascii="微软雅黑" w:hAnsi="微软雅黑" w:eastAsia="微软雅黑" w:cs="微软雅黑"/>
          <w:sz w:val="24"/>
        </w:rPr>
        <w:t>授权代表无转委托权，特此委托。</w:t>
      </w:r>
    </w:p>
    <w:p>
      <w:pPr>
        <w:snapToGrid w:val="0"/>
        <w:spacing w:before="120" w:beforeLines="50" w:after="50" w:line="460" w:lineRule="exact"/>
        <w:rPr>
          <w:rFonts w:ascii="微软雅黑" w:hAnsi="微软雅黑" w:eastAsia="微软雅黑" w:cs="微软雅黑"/>
          <w:sz w:val="24"/>
        </w:rPr>
      </w:pPr>
      <w:r>
        <w:rPr>
          <w:rFonts w:hint="eastAsia" w:ascii="微软雅黑" w:hAnsi="微软雅黑" w:eastAsia="微软雅黑" w:cs="微软雅黑"/>
          <w:sz w:val="24"/>
        </w:rPr>
        <w:t>授权代表签名：     职务：</w:t>
      </w:r>
    </w:p>
    <w:p>
      <w:pPr>
        <w:snapToGrid w:val="0"/>
        <w:spacing w:before="120" w:beforeLines="50" w:after="50" w:line="460" w:lineRule="exact"/>
        <w:rPr>
          <w:rFonts w:ascii="微软雅黑" w:hAnsi="微软雅黑" w:eastAsia="微软雅黑" w:cs="微软雅黑"/>
          <w:sz w:val="24"/>
        </w:rPr>
      </w:pPr>
      <w:r>
        <w:rPr>
          <w:rFonts w:hint="eastAsia" w:ascii="微软雅黑" w:hAnsi="微软雅黑" w:eastAsia="微软雅黑" w:cs="微软雅黑"/>
          <w:sz w:val="24"/>
        </w:rPr>
        <w:t>联系手机：（开评标期间务必保持通畅，用以询标联系）</w:t>
      </w:r>
    </w:p>
    <w:p>
      <w:pPr>
        <w:snapToGrid w:val="0"/>
        <w:spacing w:before="120" w:beforeLines="50" w:after="50" w:line="460" w:lineRule="exact"/>
        <w:rPr>
          <w:rFonts w:ascii="微软雅黑" w:hAnsi="微软雅黑" w:eastAsia="微软雅黑" w:cs="微软雅黑"/>
          <w:sz w:val="24"/>
        </w:rPr>
      </w:pPr>
      <w:r>
        <w:rPr>
          <w:rFonts w:hint="eastAsia" w:ascii="微软雅黑" w:hAnsi="微软雅黑" w:eastAsia="微软雅黑" w:cs="微软雅黑"/>
          <w:sz w:val="24"/>
        </w:rPr>
        <w:t>授权代表身份证号码：</w:t>
      </w:r>
    </w:p>
    <w:p>
      <w:pPr>
        <w:snapToGrid w:val="0"/>
        <w:spacing w:before="120" w:beforeLines="50" w:after="50" w:line="460" w:lineRule="exact"/>
        <w:rPr>
          <w:rFonts w:ascii="微软雅黑" w:hAnsi="微软雅黑" w:eastAsia="微软雅黑" w:cs="微软雅黑"/>
          <w:sz w:val="24"/>
        </w:rPr>
      </w:pPr>
      <w:r>
        <w:rPr>
          <w:rFonts w:hint="eastAsia" w:ascii="微软雅黑" w:hAnsi="微软雅黑" w:eastAsia="微软雅黑" w:cs="微软雅黑"/>
          <w:sz w:val="24"/>
        </w:rPr>
        <w:t>法定代表人签名（或签名章）：   职务：</w:t>
      </w:r>
    </w:p>
    <w:p>
      <w:pPr>
        <w:snapToGrid w:val="0"/>
        <w:spacing w:before="120" w:beforeLines="50" w:after="50" w:line="460" w:lineRule="exact"/>
        <w:rPr>
          <w:rFonts w:ascii="微软雅黑" w:hAnsi="微软雅黑" w:eastAsia="微软雅黑" w:cs="微软雅黑"/>
          <w:sz w:val="24"/>
        </w:rPr>
      </w:pPr>
    </w:p>
    <w:p>
      <w:pPr>
        <w:snapToGrid w:val="0"/>
        <w:spacing w:before="120" w:beforeLines="50" w:after="50" w:line="460" w:lineRule="exact"/>
        <w:rPr>
          <w:rFonts w:ascii="微软雅黑" w:hAnsi="微软雅黑" w:eastAsia="微软雅黑" w:cs="微软雅黑"/>
          <w:sz w:val="24"/>
          <w:u w:val="single"/>
        </w:rPr>
      </w:pPr>
      <w:r>
        <w:rPr>
          <w:rFonts w:hint="eastAsia" w:ascii="微软雅黑" w:hAnsi="微软雅黑" w:eastAsia="微软雅黑" w:cs="微软雅黑"/>
          <w:sz w:val="24"/>
        </w:rPr>
        <w:t>投标人全称（电子签章）：         日  期：</w:t>
      </w:r>
    </w:p>
    <w:p>
      <w:pPr>
        <w:pStyle w:val="8"/>
        <w:spacing w:line="6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w:t>
      </w:r>
    </w:p>
    <w:p>
      <w:pPr>
        <w:snapToGrid w:val="0"/>
        <w:spacing w:before="120" w:beforeLines="50" w:after="50" w:line="460" w:lineRule="exact"/>
        <w:jc w:val="center"/>
        <w:rPr>
          <w:rFonts w:ascii="微软雅黑" w:hAnsi="微软雅黑" w:eastAsia="微软雅黑" w:cs="微软雅黑"/>
          <w:sz w:val="24"/>
          <w:u w:val="single"/>
        </w:rPr>
      </w:pPr>
      <w:r>
        <w:rPr>
          <w:rFonts w:hint="eastAsia" w:ascii="微软雅黑" w:hAnsi="微软雅黑" w:eastAsia="微软雅黑" w:cs="微软雅黑"/>
          <w:sz w:val="24"/>
        </w:rPr>
        <w:t>授权代理人有效身份证明复印件粘贴处</w:t>
      </w:r>
    </w:p>
    <w:p>
      <w:pPr>
        <w:snapToGrid w:val="0"/>
        <w:spacing w:before="120" w:beforeLines="50" w:after="50" w:line="460" w:lineRule="exact"/>
        <w:rPr>
          <w:rFonts w:ascii="微软雅黑" w:hAnsi="微软雅黑" w:eastAsia="微软雅黑" w:cs="微软雅黑"/>
          <w:szCs w:val="28"/>
          <w:u w:val="single"/>
        </w:rPr>
      </w:pPr>
    </w:p>
    <w:p>
      <w:pPr>
        <w:rPr>
          <w:rFonts w:ascii="微软雅黑" w:hAnsi="微软雅黑" w:eastAsia="微软雅黑" w:cs="微软雅黑"/>
          <w:szCs w:val="28"/>
        </w:rPr>
      </w:pPr>
    </w:p>
    <w:p>
      <w:pPr>
        <w:tabs>
          <w:tab w:val="left" w:pos="1650"/>
        </w:tabs>
        <w:spacing w:line="560" w:lineRule="exact"/>
        <w:jc w:val="left"/>
        <w:rPr>
          <w:rFonts w:ascii="微软雅黑" w:hAnsi="微软雅黑" w:eastAsia="微软雅黑" w:cs="微软雅黑"/>
          <w:b/>
          <w:bCs/>
        </w:rPr>
      </w:pPr>
      <w:r>
        <w:rPr>
          <w:rFonts w:hint="eastAsia" w:ascii="微软雅黑" w:hAnsi="微软雅黑" w:eastAsia="微软雅黑" w:cs="微软雅黑"/>
          <w:b/>
          <w:bCs/>
        </w:rPr>
        <w:t>4、信用承诺书格式</w:t>
      </w:r>
    </w:p>
    <w:p>
      <w:pPr>
        <w:tabs>
          <w:tab w:val="left" w:pos="1650"/>
        </w:tabs>
        <w:spacing w:line="560" w:lineRule="exact"/>
        <w:jc w:val="center"/>
        <w:rPr>
          <w:rFonts w:ascii="微软雅黑" w:hAnsi="微软雅黑" w:eastAsia="微软雅黑" w:cs="微软雅黑"/>
          <w:b/>
          <w:bCs/>
          <w:sz w:val="24"/>
          <w:szCs w:val="22"/>
        </w:rPr>
      </w:pPr>
      <w:r>
        <w:rPr>
          <w:rFonts w:hint="eastAsia" w:ascii="微软雅黑" w:hAnsi="微软雅黑" w:eastAsia="微软雅黑" w:cs="微软雅黑"/>
          <w:b/>
          <w:bCs/>
          <w:sz w:val="24"/>
          <w:szCs w:val="22"/>
        </w:rPr>
        <w:t>信用承诺书</w:t>
      </w:r>
    </w:p>
    <w:p>
      <w:pPr>
        <w:tabs>
          <w:tab w:val="left" w:pos="1650"/>
        </w:tabs>
        <w:spacing w:line="560" w:lineRule="exact"/>
        <w:rPr>
          <w:rFonts w:ascii="微软雅黑" w:hAnsi="微软雅黑" w:eastAsia="微软雅黑" w:cs="微软雅黑"/>
          <w:sz w:val="24"/>
          <w:szCs w:val="22"/>
        </w:rPr>
      </w:pPr>
    </w:p>
    <w:p>
      <w:pPr>
        <w:tabs>
          <w:tab w:val="left" w:pos="1650"/>
        </w:tabs>
        <w:jc w:val="left"/>
        <w:rPr>
          <w:rFonts w:ascii="微软雅黑" w:hAnsi="微软雅黑" w:eastAsia="微软雅黑" w:cs="微软雅黑"/>
          <w:sz w:val="24"/>
          <w:szCs w:val="22"/>
        </w:rPr>
      </w:pPr>
      <w:r>
        <w:rPr>
          <w:rFonts w:hint="eastAsia" w:ascii="微软雅黑" w:hAnsi="微软雅黑" w:eastAsia="微软雅黑" w:cs="微软雅黑"/>
          <w:sz w:val="24"/>
          <w:szCs w:val="22"/>
        </w:rPr>
        <w:t>（投标单位）现参加（采购项目）政府采购活动，郑重承诺如下：</w:t>
      </w:r>
    </w:p>
    <w:p>
      <w:pPr>
        <w:tabs>
          <w:tab w:val="left" w:pos="1650"/>
        </w:tabs>
        <w:spacing w:line="560" w:lineRule="exact"/>
        <w:ind w:firstLine="630"/>
        <w:rPr>
          <w:rFonts w:ascii="微软雅黑" w:hAnsi="微软雅黑" w:eastAsia="微软雅黑" w:cs="微软雅黑"/>
          <w:sz w:val="24"/>
          <w:szCs w:val="22"/>
        </w:rPr>
      </w:pPr>
      <w:r>
        <w:rPr>
          <w:rFonts w:hint="eastAsia" w:ascii="微软雅黑" w:hAnsi="微软雅黑" w:eastAsia="微软雅黑" w:cs="微软雅黑"/>
          <w:sz w:val="24"/>
          <w:szCs w:val="22"/>
        </w:rPr>
        <w:t>对所提供的资料合法性、真实性、准确性和有效性负责；</w:t>
      </w:r>
    </w:p>
    <w:p>
      <w:pPr>
        <w:tabs>
          <w:tab w:val="left" w:pos="1650"/>
        </w:tabs>
        <w:spacing w:line="560" w:lineRule="exact"/>
        <w:ind w:firstLine="630"/>
        <w:rPr>
          <w:rFonts w:ascii="微软雅黑" w:hAnsi="微软雅黑" w:eastAsia="微软雅黑" w:cs="微软雅黑"/>
          <w:sz w:val="24"/>
          <w:szCs w:val="22"/>
        </w:rPr>
      </w:pPr>
      <w:r>
        <w:rPr>
          <w:rFonts w:hint="eastAsia" w:ascii="微软雅黑" w:hAnsi="微软雅黑" w:eastAsia="微软雅黑" w:cs="微软雅黑"/>
          <w:sz w:val="24"/>
          <w:szCs w:val="22"/>
        </w:rPr>
        <w:t>严格按照国家法律、法规和规章，依法开展相关经济活动，全面履行应尽的责任和义务；</w:t>
      </w:r>
    </w:p>
    <w:p>
      <w:pPr>
        <w:tabs>
          <w:tab w:val="left" w:pos="1650"/>
        </w:tabs>
        <w:spacing w:line="560" w:lineRule="exact"/>
        <w:ind w:firstLine="630"/>
        <w:rPr>
          <w:rFonts w:ascii="微软雅黑" w:hAnsi="微软雅黑" w:eastAsia="微软雅黑" w:cs="微软雅黑"/>
          <w:sz w:val="24"/>
          <w:szCs w:val="22"/>
        </w:rPr>
      </w:pPr>
      <w:r>
        <w:rPr>
          <w:rFonts w:hint="eastAsia" w:ascii="微软雅黑" w:hAnsi="微软雅黑" w:eastAsia="微软雅黑" w:cs="微软雅黑"/>
          <w:sz w:val="24"/>
          <w:szCs w:val="22"/>
        </w:rPr>
        <w:t>加强自我约束、自我规范、自我管理，不制假售假、不虚假宣传、不违约毁约、不恶意逃债、不偷税漏税，诚信依法经营；</w:t>
      </w:r>
    </w:p>
    <w:p>
      <w:pPr>
        <w:tabs>
          <w:tab w:val="left" w:pos="1650"/>
        </w:tabs>
        <w:spacing w:line="560" w:lineRule="exact"/>
        <w:ind w:firstLine="630"/>
        <w:rPr>
          <w:rFonts w:ascii="微软雅黑" w:hAnsi="微软雅黑" w:eastAsia="微软雅黑" w:cs="微软雅黑"/>
          <w:sz w:val="24"/>
          <w:szCs w:val="22"/>
        </w:rPr>
      </w:pPr>
      <w:r>
        <w:rPr>
          <w:rFonts w:hint="eastAsia" w:ascii="微软雅黑" w:hAnsi="微软雅黑" w:eastAsia="微软雅黑" w:cs="微软雅黑"/>
          <w:sz w:val="24"/>
          <w:szCs w:val="22"/>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微软雅黑" w:hAnsi="微软雅黑" w:eastAsia="微软雅黑" w:cs="微软雅黑"/>
          <w:sz w:val="24"/>
          <w:szCs w:val="22"/>
        </w:rPr>
      </w:pPr>
      <w:r>
        <w:rPr>
          <w:rFonts w:hint="eastAsia" w:ascii="微软雅黑" w:hAnsi="微软雅黑" w:eastAsia="微软雅黑" w:cs="微软雅黑"/>
          <w:color w:val="333333"/>
          <w:kern w:val="0"/>
          <w:sz w:val="24"/>
          <w:szCs w:val="22"/>
        </w:rPr>
        <w:t>按照信用信息管理有关要求，本单位（个人）同意将以上承诺在信用湖州网站公示，若违背以上承诺，依据相关规定记入企业（个人）信用</w:t>
      </w:r>
      <w:r>
        <w:rPr>
          <w:rFonts w:hint="eastAsia" w:ascii="微软雅黑" w:hAnsi="微软雅黑" w:eastAsia="微软雅黑" w:cs="微软雅黑"/>
          <w:color w:val="000000"/>
          <w:kern w:val="0"/>
          <w:sz w:val="24"/>
          <w:szCs w:val="22"/>
        </w:rPr>
        <w:t>档案；性质严重的，承担相应法律后果和责任，并依法依规列入严重失信名单。</w:t>
      </w:r>
    </w:p>
    <w:p>
      <w:pPr>
        <w:tabs>
          <w:tab w:val="left" w:pos="1650"/>
        </w:tabs>
        <w:spacing w:line="560" w:lineRule="exact"/>
        <w:rPr>
          <w:rFonts w:ascii="微软雅黑" w:hAnsi="微软雅黑" w:eastAsia="微软雅黑" w:cs="微软雅黑"/>
          <w:sz w:val="24"/>
          <w:szCs w:val="22"/>
          <w:u w:val="single"/>
        </w:rPr>
      </w:pPr>
    </w:p>
    <w:p>
      <w:pPr>
        <w:widowControl/>
        <w:spacing w:line="560" w:lineRule="exact"/>
        <w:ind w:firstLine="600" w:firstLineChars="250"/>
        <w:jc w:val="left"/>
        <w:rPr>
          <w:rFonts w:ascii="微软雅黑" w:hAnsi="微软雅黑" w:eastAsia="微软雅黑" w:cs="微软雅黑"/>
          <w:color w:val="000000"/>
          <w:spacing w:val="-7"/>
          <w:kern w:val="0"/>
          <w:sz w:val="24"/>
          <w:szCs w:val="22"/>
        </w:rPr>
      </w:pPr>
      <w:r>
        <w:rPr>
          <w:rFonts w:hint="eastAsia" w:ascii="微软雅黑" w:hAnsi="微软雅黑" w:eastAsia="微软雅黑" w:cs="微软雅黑"/>
          <w:sz w:val="24"/>
          <w:szCs w:val="22"/>
        </w:rPr>
        <w:t>统一社会信用代码：</w:t>
      </w:r>
    </w:p>
    <w:p>
      <w:pPr>
        <w:widowControl/>
        <w:spacing w:line="560" w:lineRule="exact"/>
        <w:jc w:val="left"/>
        <w:rPr>
          <w:rFonts w:ascii="微软雅黑" w:hAnsi="微软雅黑" w:eastAsia="微软雅黑" w:cs="微软雅黑"/>
          <w:color w:val="000000"/>
          <w:kern w:val="0"/>
          <w:sz w:val="24"/>
          <w:szCs w:val="22"/>
        </w:rPr>
      </w:pPr>
    </w:p>
    <w:p>
      <w:pPr>
        <w:pStyle w:val="8"/>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投标人：（电子签章）</w:t>
      </w:r>
    </w:p>
    <w:p>
      <w:pPr>
        <w:spacing w:line="440" w:lineRule="exact"/>
        <w:rPr>
          <w:rFonts w:ascii="微软雅黑" w:hAnsi="微软雅黑" w:eastAsia="微软雅黑" w:cs="微软雅黑"/>
          <w:sz w:val="20"/>
          <w:szCs w:val="20"/>
        </w:rPr>
      </w:pPr>
    </w:p>
    <w:p>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签字或签名章）   </w:t>
      </w:r>
    </w:p>
    <w:p>
      <w:pPr>
        <w:widowControl/>
        <w:spacing w:line="560" w:lineRule="exact"/>
        <w:jc w:val="left"/>
        <w:rPr>
          <w:rFonts w:ascii="微软雅黑" w:hAnsi="微软雅黑" w:eastAsia="微软雅黑" w:cs="微软雅黑"/>
          <w:sz w:val="24"/>
        </w:rPr>
      </w:pPr>
    </w:p>
    <w:p>
      <w:pPr>
        <w:adjustRightInd w:val="0"/>
        <w:snapToGrid w:val="0"/>
        <w:spacing w:line="320" w:lineRule="exact"/>
        <w:rPr>
          <w:rFonts w:ascii="微软雅黑" w:hAnsi="微软雅黑" w:eastAsia="微软雅黑" w:cs="微软雅黑"/>
          <w:sz w:val="24"/>
          <w:szCs w:val="22"/>
        </w:rPr>
      </w:pPr>
      <w:r>
        <w:rPr>
          <w:rFonts w:hint="eastAsia" w:ascii="微软雅黑" w:hAnsi="微软雅黑" w:eastAsia="微软雅黑" w:cs="微软雅黑"/>
          <w:sz w:val="24"/>
          <w:szCs w:val="22"/>
        </w:rPr>
        <w:t xml:space="preserve">                                            时间：  年  月  日</w:t>
      </w:r>
    </w:p>
    <w:p>
      <w:pPr>
        <w:spacing w:line="360" w:lineRule="auto"/>
        <w:ind w:right="560" w:rightChars="200"/>
        <w:rPr>
          <w:rFonts w:ascii="微软雅黑" w:hAnsi="微软雅黑" w:eastAsia="微软雅黑" w:cs="微软雅黑"/>
          <w:sz w:val="22"/>
          <w:szCs w:val="22"/>
        </w:rPr>
      </w:pPr>
    </w:p>
    <w:p>
      <w:pPr>
        <w:spacing w:line="360" w:lineRule="auto"/>
        <w:ind w:right="560" w:rightChars="200"/>
        <w:rPr>
          <w:rFonts w:ascii="微软雅黑" w:hAnsi="微软雅黑" w:eastAsia="微软雅黑" w:cs="微软雅黑"/>
          <w:sz w:val="24"/>
        </w:rPr>
      </w:pPr>
    </w:p>
    <w:p>
      <w:pPr>
        <w:snapToGrid w:val="0"/>
        <w:spacing w:line="360" w:lineRule="auto"/>
        <w:jc w:val="left"/>
        <w:rPr>
          <w:rFonts w:ascii="微软雅黑" w:hAnsi="微软雅黑" w:eastAsia="微软雅黑" w:cs="微软雅黑"/>
          <w:b/>
          <w:sz w:val="24"/>
        </w:rPr>
      </w:pPr>
    </w:p>
    <w:p>
      <w:pPr>
        <w:pStyle w:val="2"/>
        <w:ind w:firstLine="240"/>
        <w:rPr>
          <w:rFonts w:ascii="微软雅黑" w:hAnsi="微软雅黑" w:eastAsia="微软雅黑" w:cs="微软雅黑"/>
          <w:b/>
          <w:sz w:val="24"/>
        </w:rPr>
      </w:pPr>
    </w:p>
    <w:p>
      <w:pPr>
        <w:spacing w:line="360" w:lineRule="auto"/>
        <w:rPr>
          <w:rFonts w:ascii="微软雅黑" w:hAnsi="微软雅黑" w:eastAsia="微软雅黑" w:cs="微软雅黑"/>
          <w:b/>
          <w:bCs/>
          <w:szCs w:val="28"/>
        </w:rPr>
      </w:pPr>
    </w:p>
    <w:p>
      <w:pPr>
        <w:spacing w:before="240" w:beforeLines="100" w:after="240" w:afterLines="100" w:line="360" w:lineRule="auto"/>
        <w:ind w:right="-28" w:rightChars="-10"/>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具有良好的商业信誉和健全的财务会计制度的承诺函</w:t>
      </w:r>
    </w:p>
    <w:p>
      <w:pPr>
        <w:spacing w:before="240" w:beforeLines="100" w:after="240" w:afterLines="100" w:line="480" w:lineRule="exact"/>
        <w:ind w:right="840" w:rightChars="300"/>
        <w:jc w:val="center"/>
        <w:rPr>
          <w:rFonts w:ascii="微软雅黑" w:hAnsi="微软雅黑" w:eastAsia="微软雅黑" w:cs="微软雅黑"/>
          <w:szCs w:val="28"/>
        </w:rPr>
      </w:pPr>
      <w:r>
        <w:rPr>
          <w:rFonts w:hint="eastAsia" w:ascii="微软雅黑" w:hAnsi="微软雅黑" w:eastAsia="微软雅黑" w:cs="微软雅黑"/>
          <w:szCs w:val="28"/>
        </w:rPr>
        <w:t>（格式自拟）</w:t>
      </w: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pStyle w:val="8"/>
        <w:spacing w:line="500" w:lineRule="exact"/>
        <w:ind w:firstLine="0"/>
        <w:rPr>
          <w:rFonts w:ascii="微软雅黑" w:hAnsi="微软雅黑" w:eastAsia="微软雅黑" w:cs="微软雅黑"/>
          <w:sz w:val="28"/>
          <w:szCs w:val="24"/>
        </w:rPr>
      </w:pPr>
      <w:r>
        <w:rPr>
          <w:rFonts w:hint="eastAsia" w:ascii="微软雅黑" w:hAnsi="微软雅黑" w:eastAsia="微软雅黑" w:cs="微软雅黑"/>
          <w:sz w:val="28"/>
          <w:szCs w:val="24"/>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8"/>
          <w:szCs w:val="24"/>
        </w:rPr>
        <w:t xml:space="preserve"> （电子签章）</w:t>
      </w:r>
    </w:p>
    <w:p>
      <w:pPr>
        <w:snapToGrid w:val="0"/>
        <w:spacing w:line="480" w:lineRule="auto"/>
        <w:rPr>
          <w:rFonts w:ascii="微软雅黑" w:hAnsi="微软雅黑" w:eastAsia="微软雅黑" w:cs="微软雅黑"/>
        </w:rPr>
      </w:pPr>
      <w:r>
        <w:rPr>
          <w:rFonts w:hint="eastAsia" w:ascii="微软雅黑" w:hAnsi="微软雅黑" w:eastAsia="微软雅黑" w:cs="微软雅黑"/>
        </w:rPr>
        <w:t>法定代表人</w:t>
      </w:r>
      <w:r>
        <w:rPr>
          <w:rFonts w:hint="eastAsia" w:ascii="微软雅黑" w:hAnsi="微软雅黑" w:eastAsia="微软雅黑" w:cs="微软雅黑"/>
          <w:szCs w:val="21"/>
        </w:rPr>
        <w:t>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rPr>
        <w:t>(签字或盖章)：</w:t>
      </w:r>
    </w:p>
    <w:p>
      <w:pPr>
        <w:adjustRightInd w:val="0"/>
        <w:snapToGrid w:val="0"/>
        <w:spacing w:line="360" w:lineRule="auto"/>
        <w:ind w:right="140" w:rightChars="50"/>
        <w:jc w:val="left"/>
        <w:rPr>
          <w:rFonts w:ascii="微软雅黑" w:hAnsi="微软雅黑" w:eastAsia="微软雅黑" w:cs="微软雅黑"/>
          <w:u w:val="single"/>
        </w:rPr>
      </w:pPr>
      <w:r>
        <w:rPr>
          <w:rFonts w:hint="eastAsia" w:ascii="微软雅黑" w:hAnsi="微软雅黑" w:eastAsia="微软雅黑" w:cs="微软雅黑"/>
        </w:rPr>
        <w:t>日期：</w:t>
      </w:r>
    </w:p>
    <w:p>
      <w:pPr>
        <w:adjustRightInd w:val="0"/>
        <w:snapToGrid w:val="0"/>
        <w:spacing w:line="360" w:lineRule="auto"/>
        <w:ind w:right="140" w:rightChars="50"/>
        <w:jc w:val="left"/>
        <w:rPr>
          <w:rFonts w:ascii="微软雅黑" w:hAnsi="微软雅黑" w:eastAsia="微软雅黑" w:cs="微软雅黑"/>
          <w:u w:val="single"/>
        </w:rPr>
      </w:pPr>
    </w:p>
    <w:p>
      <w:pPr>
        <w:rPr>
          <w:rFonts w:ascii="微软雅黑" w:hAnsi="微软雅黑" w:eastAsia="微软雅黑" w:cs="微软雅黑"/>
          <w:szCs w:val="28"/>
        </w:rPr>
      </w:pPr>
      <w:r>
        <w:rPr>
          <w:rFonts w:hint="eastAsia" w:ascii="微软雅黑" w:hAnsi="微软雅黑" w:eastAsia="微软雅黑" w:cs="微软雅黑"/>
          <w:szCs w:val="28"/>
        </w:rPr>
        <w:br w:type="page"/>
      </w:r>
    </w:p>
    <w:p>
      <w:pPr>
        <w:spacing w:before="240" w:beforeLines="100" w:after="240" w:afterLines="100" w:line="360" w:lineRule="auto"/>
        <w:ind w:right="-28" w:rightChars="-10"/>
        <w:jc w:val="center"/>
        <w:rPr>
          <w:rFonts w:ascii="微软雅黑" w:hAnsi="微软雅黑" w:eastAsia="微软雅黑" w:cs="微软雅黑"/>
          <w:szCs w:val="28"/>
        </w:rPr>
      </w:pPr>
      <w:bookmarkStart w:id="64" w:name="_Toc12037_WPSOffice_Level2"/>
      <w:bookmarkStart w:id="65" w:name="_Toc23728_WPSOffice_Level2"/>
    </w:p>
    <w:p>
      <w:pPr>
        <w:spacing w:before="240" w:beforeLines="100" w:after="240" w:afterLines="100" w:line="360" w:lineRule="auto"/>
        <w:ind w:right="-28" w:rightChars="-10"/>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具备履行合同所必需的设备和专业技术能力声明函</w:t>
      </w:r>
      <w:bookmarkEnd w:id="64"/>
      <w:bookmarkEnd w:id="65"/>
    </w:p>
    <w:p>
      <w:pPr>
        <w:spacing w:before="240" w:beforeLines="100" w:after="240" w:afterLines="100" w:line="480" w:lineRule="exact"/>
        <w:ind w:right="840" w:rightChars="300"/>
        <w:jc w:val="center"/>
        <w:rPr>
          <w:rFonts w:ascii="微软雅黑" w:hAnsi="微软雅黑" w:eastAsia="微软雅黑" w:cs="微软雅黑"/>
          <w:szCs w:val="28"/>
        </w:rPr>
      </w:pPr>
      <w:bookmarkStart w:id="66" w:name="_Toc1917_WPSOffice_Level2"/>
      <w:bookmarkStart w:id="67" w:name="_Toc28831_WPSOffice_Level2"/>
      <w:r>
        <w:rPr>
          <w:rFonts w:hint="eastAsia" w:ascii="微软雅黑" w:hAnsi="微软雅黑" w:eastAsia="微软雅黑" w:cs="微软雅黑"/>
          <w:szCs w:val="28"/>
        </w:rPr>
        <w:t>（格式自拟）</w:t>
      </w:r>
      <w:bookmarkEnd w:id="66"/>
      <w:bookmarkEnd w:id="67"/>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pStyle w:val="8"/>
        <w:spacing w:line="500" w:lineRule="exact"/>
        <w:ind w:firstLine="0"/>
        <w:rPr>
          <w:rFonts w:ascii="微软雅黑" w:hAnsi="微软雅黑" w:eastAsia="微软雅黑" w:cs="微软雅黑"/>
          <w:sz w:val="28"/>
          <w:szCs w:val="24"/>
        </w:rPr>
      </w:pPr>
      <w:r>
        <w:rPr>
          <w:rFonts w:hint="eastAsia" w:ascii="微软雅黑" w:hAnsi="微软雅黑" w:eastAsia="微软雅黑" w:cs="微软雅黑"/>
          <w:sz w:val="28"/>
          <w:szCs w:val="24"/>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8"/>
          <w:szCs w:val="24"/>
        </w:rPr>
        <w:t xml:space="preserve"> （电子签章）</w:t>
      </w:r>
    </w:p>
    <w:p>
      <w:pPr>
        <w:snapToGrid w:val="0"/>
        <w:spacing w:line="480" w:lineRule="auto"/>
        <w:rPr>
          <w:rFonts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rPr>
        <w:t>(签字或盖章)：</w:t>
      </w:r>
    </w:p>
    <w:p>
      <w:pPr>
        <w:adjustRightInd w:val="0"/>
        <w:snapToGrid w:val="0"/>
        <w:spacing w:line="360" w:lineRule="auto"/>
        <w:ind w:right="140" w:rightChars="50"/>
        <w:jc w:val="left"/>
        <w:rPr>
          <w:rFonts w:ascii="微软雅黑" w:hAnsi="微软雅黑" w:eastAsia="微软雅黑" w:cs="微软雅黑"/>
          <w:u w:val="single"/>
        </w:rPr>
      </w:pPr>
      <w:r>
        <w:rPr>
          <w:rFonts w:hint="eastAsia" w:ascii="微软雅黑" w:hAnsi="微软雅黑" w:eastAsia="微软雅黑" w:cs="微软雅黑"/>
        </w:rPr>
        <w:t>日期：</w:t>
      </w:r>
    </w:p>
    <w:p>
      <w:pPr>
        <w:adjustRightInd w:val="0"/>
        <w:snapToGrid w:val="0"/>
        <w:spacing w:line="360" w:lineRule="auto"/>
        <w:ind w:right="140" w:rightChars="50"/>
        <w:jc w:val="left"/>
        <w:rPr>
          <w:rFonts w:ascii="微软雅黑" w:hAnsi="微软雅黑" w:eastAsia="微软雅黑" w:cs="微软雅黑"/>
          <w:u w:val="single"/>
        </w:rPr>
      </w:pPr>
    </w:p>
    <w:p>
      <w:pPr>
        <w:adjustRightInd w:val="0"/>
        <w:snapToGrid w:val="0"/>
        <w:spacing w:line="360" w:lineRule="auto"/>
        <w:ind w:right="140" w:rightChars="50"/>
        <w:jc w:val="left"/>
        <w:rPr>
          <w:rFonts w:ascii="微软雅黑" w:hAnsi="微软雅黑" w:eastAsia="微软雅黑" w:cs="微软雅黑"/>
          <w:u w:val="single"/>
        </w:rPr>
      </w:pPr>
    </w:p>
    <w:p>
      <w:pPr>
        <w:spacing w:line="360" w:lineRule="auto"/>
        <w:jc w:val="center"/>
        <w:rPr>
          <w:rFonts w:ascii="微软雅黑" w:hAnsi="微软雅黑" w:eastAsia="微软雅黑" w:cs="微软雅黑"/>
          <w:b/>
          <w:szCs w:val="28"/>
        </w:rPr>
      </w:pPr>
    </w:p>
    <w:p>
      <w:pPr>
        <w:spacing w:line="360" w:lineRule="auto"/>
        <w:jc w:val="center"/>
        <w:rPr>
          <w:rFonts w:ascii="微软雅黑" w:hAnsi="微软雅黑" w:eastAsia="微软雅黑" w:cs="微软雅黑"/>
          <w:b/>
          <w:szCs w:val="28"/>
        </w:rPr>
      </w:pPr>
    </w:p>
    <w:p>
      <w:pPr>
        <w:spacing w:line="360" w:lineRule="auto"/>
        <w:jc w:val="center"/>
        <w:rPr>
          <w:rFonts w:ascii="微软雅黑" w:hAnsi="微软雅黑" w:eastAsia="微软雅黑" w:cs="微软雅黑"/>
          <w:b/>
          <w:szCs w:val="28"/>
        </w:rPr>
      </w:pPr>
    </w:p>
    <w:p>
      <w:pPr>
        <w:spacing w:line="360" w:lineRule="auto"/>
        <w:jc w:val="center"/>
        <w:rPr>
          <w:rFonts w:ascii="微软雅黑" w:hAnsi="微软雅黑" w:eastAsia="微软雅黑" w:cs="微软雅黑"/>
          <w:b/>
          <w:szCs w:val="28"/>
        </w:rPr>
      </w:pPr>
    </w:p>
    <w:p>
      <w:pPr>
        <w:adjustRightInd w:val="0"/>
        <w:snapToGrid w:val="0"/>
        <w:spacing w:before="240" w:beforeLines="100" w:after="240" w:afterLines="100" w:line="360" w:lineRule="auto"/>
        <w:ind w:right="140" w:rightChars="50"/>
        <w:jc w:val="center"/>
        <w:rPr>
          <w:rFonts w:ascii="微软雅黑" w:hAnsi="微软雅黑" w:eastAsia="微软雅黑" w:cs="微软雅黑"/>
          <w:b/>
          <w:bCs/>
          <w:sz w:val="32"/>
          <w:szCs w:val="32"/>
        </w:rPr>
      </w:pPr>
      <w:bookmarkStart w:id="68" w:name="_Toc9410_WPSOffice_Level2"/>
      <w:bookmarkStart w:id="69" w:name="_Toc20929_WPSOffice_Level2"/>
      <w:r>
        <w:rPr>
          <w:rFonts w:hint="eastAsia" w:ascii="微软雅黑" w:hAnsi="微软雅黑" w:eastAsia="微软雅黑" w:cs="微软雅黑"/>
          <w:b/>
          <w:bCs/>
          <w:sz w:val="32"/>
          <w:szCs w:val="32"/>
        </w:rPr>
        <w:t>投标人关联单位的说明</w:t>
      </w:r>
      <w:bookmarkEnd w:id="68"/>
      <w:bookmarkEnd w:id="69"/>
    </w:p>
    <w:p>
      <w:pPr>
        <w:adjustRightInd w:val="0"/>
        <w:snapToGrid w:val="0"/>
        <w:spacing w:line="360" w:lineRule="auto"/>
        <w:ind w:right="140" w:rightChars="50" w:firstLine="635" w:firstLineChars="227"/>
        <w:jc w:val="left"/>
        <w:rPr>
          <w:rFonts w:ascii="微软雅黑" w:hAnsi="微软雅黑" w:eastAsia="微软雅黑" w:cs="微软雅黑"/>
          <w:szCs w:val="21"/>
        </w:rPr>
      </w:pPr>
      <w:r>
        <w:rPr>
          <w:rFonts w:hint="eastAsia" w:ascii="微软雅黑" w:hAnsi="微软雅黑" w:eastAsia="微软雅黑" w:cs="微软雅黑"/>
          <w:szCs w:val="21"/>
        </w:rPr>
        <w:t>说明：投标人应当如实披露与本单位存在下列关联关系的单位名称：</w:t>
      </w:r>
    </w:p>
    <w:p>
      <w:pPr>
        <w:adjustRightInd w:val="0"/>
        <w:snapToGrid w:val="0"/>
        <w:spacing w:line="360" w:lineRule="auto"/>
        <w:ind w:right="140" w:rightChars="50" w:firstLine="635" w:firstLineChars="227"/>
        <w:jc w:val="left"/>
        <w:rPr>
          <w:rFonts w:ascii="微软雅黑" w:hAnsi="微软雅黑" w:eastAsia="微软雅黑" w:cs="微软雅黑"/>
          <w:szCs w:val="21"/>
        </w:rPr>
      </w:pPr>
      <w:bookmarkStart w:id="70" w:name="_Toc31070_WPSOffice_Level2"/>
      <w:bookmarkStart w:id="71" w:name="_Toc2074_WPSOffice_Level2"/>
      <w:r>
        <w:rPr>
          <w:rFonts w:hint="eastAsia" w:ascii="微软雅黑" w:hAnsi="微软雅黑" w:eastAsia="微软雅黑" w:cs="微软雅黑"/>
          <w:szCs w:val="21"/>
        </w:rPr>
        <w:t>（1）与投标人单位法定代表人（或非法人组织负责人）为同一人的其他单位；</w:t>
      </w:r>
      <w:bookmarkEnd w:id="70"/>
      <w:bookmarkEnd w:id="71"/>
    </w:p>
    <w:p>
      <w:pPr>
        <w:adjustRightInd w:val="0"/>
        <w:snapToGrid w:val="0"/>
        <w:spacing w:line="360" w:lineRule="auto"/>
        <w:ind w:right="140" w:rightChars="50" w:firstLine="635" w:firstLineChars="227"/>
        <w:jc w:val="left"/>
        <w:rPr>
          <w:rFonts w:ascii="微软雅黑" w:hAnsi="微软雅黑" w:eastAsia="微软雅黑" w:cs="微软雅黑"/>
          <w:szCs w:val="21"/>
        </w:rPr>
      </w:pPr>
      <w:bookmarkStart w:id="72" w:name="_Toc889_WPSOffice_Level2"/>
      <w:bookmarkStart w:id="73" w:name="_Toc27053_WPSOffice_Level2"/>
      <w:r>
        <w:rPr>
          <w:rFonts w:hint="eastAsia" w:ascii="微软雅黑" w:hAnsi="微软雅黑" w:eastAsia="微软雅黑" w:cs="微软雅黑"/>
          <w:szCs w:val="21"/>
        </w:rPr>
        <w:t>（2）与投标人存在直接控股、管理关系的其他单位。</w:t>
      </w:r>
      <w:bookmarkEnd w:id="72"/>
      <w:bookmarkEnd w:id="73"/>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r>
        <w:rPr>
          <w:rFonts w:hint="eastAsia" w:ascii="微软雅黑" w:hAnsi="微软雅黑" w:eastAsia="微软雅黑" w:cs="微软雅黑"/>
          <w:szCs w:val="21"/>
        </w:rPr>
        <w:t>注：若无此情形，写“无”即可</w:t>
      </w: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adjustRightInd w:val="0"/>
        <w:snapToGrid w:val="0"/>
        <w:spacing w:line="360" w:lineRule="auto"/>
        <w:ind w:right="140" w:rightChars="50" w:firstLine="635" w:firstLineChars="227"/>
        <w:jc w:val="left"/>
        <w:rPr>
          <w:rFonts w:ascii="微软雅黑" w:hAnsi="微软雅黑" w:eastAsia="微软雅黑" w:cs="微软雅黑"/>
          <w:szCs w:val="21"/>
        </w:rPr>
      </w:pPr>
    </w:p>
    <w:p>
      <w:pPr>
        <w:pStyle w:val="8"/>
        <w:spacing w:line="500" w:lineRule="exact"/>
        <w:ind w:firstLine="0"/>
        <w:rPr>
          <w:rFonts w:ascii="微软雅黑" w:hAnsi="微软雅黑" w:eastAsia="微软雅黑" w:cs="微软雅黑"/>
          <w:sz w:val="28"/>
          <w:szCs w:val="24"/>
        </w:rPr>
      </w:pPr>
      <w:r>
        <w:rPr>
          <w:rFonts w:hint="eastAsia" w:ascii="微软雅黑" w:hAnsi="微软雅黑" w:eastAsia="微软雅黑" w:cs="微软雅黑"/>
          <w:sz w:val="28"/>
          <w:szCs w:val="24"/>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8"/>
          <w:szCs w:val="24"/>
        </w:rPr>
        <w:t xml:space="preserve"> （电子签章）</w:t>
      </w:r>
    </w:p>
    <w:p>
      <w:pPr>
        <w:snapToGrid w:val="0"/>
        <w:spacing w:line="480" w:lineRule="auto"/>
        <w:rPr>
          <w:rFonts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其授权委托人(签字或盖章)：</w:t>
      </w:r>
    </w:p>
    <w:p>
      <w:pPr>
        <w:adjustRightInd w:val="0"/>
        <w:snapToGrid w:val="0"/>
        <w:spacing w:line="480" w:lineRule="auto"/>
        <w:ind w:right="140" w:rightChars="50"/>
        <w:jc w:val="left"/>
        <w:rPr>
          <w:rFonts w:ascii="微软雅黑" w:hAnsi="微软雅黑" w:eastAsia="微软雅黑" w:cs="微软雅黑"/>
          <w:u w:val="single"/>
        </w:rPr>
      </w:pPr>
      <w:r>
        <w:rPr>
          <w:rFonts w:hint="eastAsia" w:ascii="微软雅黑" w:hAnsi="微软雅黑" w:eastAsia="微软雅黑" w:cs="微软雅黑"/>
        </w:rPr>
        <w:t>日期：</w:t>
      </w:r>
    </w:p>
    <w:p>
      <w:pPr>
        <w:jc w:val="center"/>
        <w:rPr>
          <w:rFonts w:ascii="微软雅黑" w:hAnsi="微软雅黑" w:eastAsia="微软雅黑" w:cs="微软雅黑"/>
          <w:b/>
          <w:color w:val="000000"/>
          <w:sz w:val="24"/>
        </w:rPr>
      </w:pPr>
      <w:r>
        <w:rPr>
          <w:rFonts w:hint="eastAsia" w:ascii="微软雅黑" w:hAnsi="微软雅黑" w:eastAsia="微软雅黑" w:cs="微软雅黑"/>
          <w:b/>
          <w:szCs w:val="28"/>
        </w:rPr>
        <w:br w:type="page"/>
      </w:r>
      <w:r>
        <w:rPr>
          <w:rFonts w:hint="eastAsia" w:ascii="微软雅黑" w:hAnsi="微软雅黑" w:eastAsia="微软雅黑" w:cs="微软雅黑"/>
          <w:b/>
          <w:color w:val="000000"/>
          <w:sz w:val="24"/>
        </w:rPr>
        <w:t>中小企业声明函(服务)</w:t>
      </w:r>
    </w:p>
    <w:p>
      <w:pPr>
        <w:jc w:val="center"/>
        <w:rPr>
          <w:rFonts w:ascii="微软雅黑" w:hAnsi="微软雅黑" w:eastAsia="微软雅黑" w:cs="微软雅黑"/>
          <w:sz w:val="24"/>
        </w:rPr>
      </w:pPr>
    </w:p>
    <w:p>
      <w:pPr>
        <w:spacing w:line="480" w:lineRule="exact"/>
        <w:ind w:firstLine="555"/>
        <w:jc w:val="left"/>
        <w:rPr>
          <w:rFonts w:ascii="微软雅黑" w:hAnsi="微软雅黑" w:eastAsia="微软雅黑" w:cs="微软雅黑"/>
          <w:sz w:val="24"/>
        </w:rPr>
      </w:pPr>
      <w:r>
        <w:rPr>
          <w:rFonts w:hint="eastAsia" w:ascii="微软雅黑" w:hAnsi="微软雅黑" w:eastAsia="微软雅黑" w:cs="微软雅黑"/>
          <w:sz w:val="24"/>
        </w:rPr>
        <w:t>本公司（联合体）郑重声明，根据《政府采购促进中小企业发展管理办法》（财库（2020)46号)的规定，本公司（联合体)参加</w:t>
      </w:r>
      <w:r>
        <w:rPr>
          <w:rFonts w:hint="eastAsia" w:ascii="微软雅黑" w:hAnsi="微软雅黑" w:eastAsia="微软雅黑" w:cs="微软雅黑"/>
          <w:color w:val="auto"/>
          <w:sz w:val="24"/>
          <w:u w:val="single"/>
          <w:lang w:eastAsia="zh-CN"/>
        </w:rPr>
        <w:t xml:space="preserve">南浔区住房和城乡建设局 </w:t>
      </w:r>
      <w:r>
        <w:rPr>
          <w:rFonts w:hint="eastAsia" w:ascii="微软雅黑" w:hAnsi="微软雅黑" w:eastAsia="微软雅黑" w:cs="微软雅黑"/>
          <w:sz w:val="24"/>
        </w:rPr>
        <w:t>的</w:t>
      </w:r>
      <w:r>
        <w:rPr>
          <w:rFonts w:hint="eastAsia" w:ascii="微软雅黑" w:hAnsi="微软雅黑" w:eastAsia="微软雅黑" w:cs="微软雅黑"/>
          <w:sz w:val="24"/>
          <w:u w:val="single"/>
          <w:lang w:eastAsia="zh-CN"/>
        </w:rPr>
        <w:t>湖州市南浔区住房和城乡建设局年度（2022-2025）绿化养护服务采购</w:t>
      </w:r>
      <w:r>
        <w:rPr>
          <w:rFonts w:hint="eastAsia" w:ascii="微软雅黑" w:hAnsi="微软雅黑" w:eastAsia="微软雅黑" w:cs="微软雅黑"/>
          <w:sz w:val="24"/>
        </w:rPr>
        <w:t>采购活动，服务全部由符合政策要求的中小企业承接）。相关企业（含联合体中的中小企业、签订分包意向协议的中小企业）的具体情况如下：</w:t>
      </w:r>
    </w:p>
    <w:p>
      <w:pPr>
        <w:spacing w:line="48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w:t>
      </w:r>
      <w:r>
        <w:rPr>
          <w:rFonts w:hint="eastAsia" w:ascii="微软雅黑" w:hAnsi="微软雅黑" w:eastAsia="微软雅黑" w:cs="微软雅黑"/>
          <w:sz w:val="24"/>
          <w:u w:val="single"/>
          <w:lang w:eastAsia="zh-CN"/>
        </w:rPr>
        <w:t>湖州市南浔区住房和城乡建设局年度（2022-2025）绿化养护服务采购</w:t>
      </w:r>
      <w:r>
        <w:rPr>
          <w:rFonts w:hint="eastAsia" w:ascii="微软雅黑" w:hAnsi="微软雅黑" w:eastAsia="微软雅黑" w:cs="微软雅黑"/>
          <w:sz w:val="24"/>
        </w:rPr>
        <w:t>，属于</w:t>
      </w:r>
      <w:r>
        <w:rPr>
          <w:rFonts w:hint="eastAsia" w:ascii="微软雅黑" w:hAnsi="微软雅黑" w:eastAsia="微软雅黑" w:cs="微软雅黑"/>
          <w:sz w:val="24"/>
          <w:u w:val="single"/>
        </w:rPr>
        <w:t>建筑业（采购文件中明确的所属行业）</w:t>
      </w:r>
      <w:r>
        <w:rPr>
          <w:rFonts w:hint="eastAsia" w:ascii="微软雅黑" w:hAnsi="微软雅黑" w:eastAsia="微软雅黑" w:cs="微软雅黑"/>
          <w:sz w:val="24"/>
        </w:rPr>
        <w:t>行业；承建（承接）企业为</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u w:val="single"/>
        </w:rPr>
        <w:t>（企业名称)</w:t>
      </w:r>
      <w:r>
        <w:rPr>
          <w:rFonts w:hint="eastAsia" w:ascii="微软雅黑" w:hAnsi="微软雅黑" w:eastAsia="微软雅黑" w:cs="微软雅黑"/>
          <w:sz w:val="24"/>
        </w:rPr>
        <w:t>，从业人员人，营业收入为万元，资产总额为万元，属于</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u w:val="single"/>
        </w:rPr>
        <w:t>（中型企业、小型企业、微型企业）</w:t>
      </w:r>
      <w:r>
        <w:rPr>
          <w:rFonts w:hint="eastAsia" w:ascii="微软雅黑" w:hAnsi="微软雅黑" w:eastAsia="微软雅黑" w:cs="微软雅黑"/>
          <w:sz w:val="24"/>
        </w:rPr>
        <w:t>；</w:t>
      </w:r>
    </w:p>
    <w:p>
      <w:pPr>
        <w:spacing w:line="480" w:lineRule="exact"/>
        <w:ind w:firstLine="570"/>
        <w:jc w:val="left"/>
        <w:rPr>
          <w:rFonts w:ascii="微软雅黑" w:hAnsi="微软雅黑" w:eastAsia="微软雅黑" w:cs="微软雅黑"/>
          <w:sz w:val="24"/>
          <w:u w:val="single"/>
        </w:rPr>
      </w:pPr>
      <w:r>
        <w:rPr>
          <w:rFonts w:hint="eastAsia" w:ascii="微软雅黑" w:hAnsi="微软雅黑" w:eastAsia="微软雅黑" w:cs="微软雅黑"/>
          <w:sz w:val="24"/>
        </w:rPr>
        <w:t>2.</w:t>
      </w:r>
      <w:r>
        <w:rPr>
          <w:rFonts w:hint="eastAsia" w:ascii="微软雅黑" w:hAnsi="微软雅黑" w:eastAsia="微软雅黑" w:cs="微软雅黑"/>
          <w:sz w:val="24"/>
          <w:u w:val="single"/>
        </w:rPr>
        <w:t xml:space="preserve"> （标的名称）</w:t>
      </w:r>
      <w:r>
        <w:rPr>
          <w:rFonts w:hint="eastAsia" w:ascii="微软雅黑" w:hAnsi="微软雅黑" w:eastAsia="微软雅黑" w:cs="微软雅黑"/>
          <w:sz w:val="24"/>
        </w:rPr>
        <w:t>，属于</w:t>
      </w:r>
      <w:r>
        <w:rPr>
          <w:rFonts w:hint="eastAsia" w:ascii="微软雅黑" w:hAnsi="微软雅黑" w:eastAsia="微软雅黑" w:cs="微软雅黑"/>
          <w:sz w:val="24"/>
          <w:u w:val="single"/>
        </w:rPr>
        <w:t>（采购文件中明确的所属行业）</w:t>
      </w:r>
      <w:r>
        <w:rPr>
          <w:rFonts w:hint="eastAsia" w:ascii="微软雅黑" w:hAnsi="微软雅黑" w:eastAsia="微软雅黑" w:cs="微软雅黑"/>
          <w:sz w:val="24"/>
        </w:rPr>
        <w:t>行业；承建（承接）企业为</w:t>
      </w:r>
      <w:r>
        <w:rPr>
          <w:rFonts w:hint="eastAsia" w:ascii="微软雅黑" w:hAnsi="微软雅黑" w:eastAsia="微软雅黑" w:cs="微软雅黑"/>
          <w:sz w:val="24"/>
          <w:u w:val="single"/>
        </w:rPr>
        <w:t>（企业名称)</w:t>
      </w:r>
      <w:r>
        <w:rPr>
          <w:rFonts w:hint="eastAsia" w:ascii="微软雅黑" w:hAnsi="微软雅黑" w:eastAsia="微软雅黑" w:cs="微软雅黑"/>
          <w:sz w:val="24"/>
        </w:rPr>
        <w:t>，从业人员人，营业收入为</w:t>
      </w:r>
    </w:p>
    <w:p>
      <w:p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万元，资产总额为万元，属于</w:t>
      </w:r>
      <w:r>
        <w:rPr>
          <w:rFonts w:hint="eastAsia" w:ascii="微软雅黑" w:hAnsi="微软雅黑" w:eastAsia="微软雅黑" w:cs="微软雅黑"/>
          <w:sz w:val="24"/>
          <w:u w:val="single"/>
        </w:rPr>
        <w:t>（中型企业、小型企业、微型企业）</w:t>
      </w:r>
      <w:r>
        <w:rPr>
          <w:rFonts w:hint="eastAsia" w:ascii="微软雅黑" w:hAnsi="微软雅黑" w:eastAsia="微软雅黑" w:cs="微软雅黑"/>
          <w:sz w:val="24"/>
        </w:rPr>
        <w:t>；</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 xml:space="preserve">    ……</w:t>
      </w:r>
    </w:p>
    <w:p>
      <w:pPr>
        <w:spacing w:line="480" w:lineRule="exact"/>
        <w:ind w:firstLine="555"/>
        <w:jc w:val="center"/>
        <w:rPr>
          <w:rFonts w:ascii="微软雅黑" w:hAnsi="微软雅黑" w:eastAsia="微软雅黑" w:cs="微软雅黑"/>
          <w:b/>
          <w:bCs/>
          <w:sz w:val="24"/>
        </w:rPr>
      </w:pPr>
      <w:r>
        <w:rPr>
          <w:rFonts w:hint="eastAsia" w:ascii="微软雅黑" w:hAnsi="微软雅黑" w:eastAsia="微软雅黑" w:cs="微软雅黑"/>
          <w:b/>
          <w:bCs/>
          <w:sz w:val="24"/>
        </w:rPr>
        <w:t>以上企业，不属于大企业的分支机构，不存在控股股东为大企业</w:t>
      </w:r>
    </w:p>
    <w:p>
      <w:pPr>
        <w:spacing w:line="480" w:lineRule="exact"/>
        <w:rPr>
          <w:rFonts w:ascii="微软雅黑" w:hAnsi="微软雅黑" w:eastAsia="微软雅黑" w:cs="微软雅黑"/>
          <w:b/>
          <w:bCs/>
          <w:sz w:val="24"/>
        </w:rPr>
      </w:pPr>
      <w:r>
        <w:rPr>
          <w:rFonts w:hint="eastAsia" w:ascii="微软雅黑" w:hAnsi="微软雅黑" w:eastAsia="微软雅黑" w:cs="微软雅黑"/>
          <w:b/>
          <w:bCs/>
          <w:sz w:val="24"/>
        </w:rPr>
        <w:t>的情形，也不存在与大企业的负贵人为同一人的情形。</w:t>
      </w:r>
    </w:p>
    <w:p>
      <w:pPr>
        <w:spacing w:line="480" w:lineRule="exact"/>
        <w:ind w:firstLine="427" w:firstLineChars="178"/>
        <w:rPr>
          <w:rFonts w:ascii="微软雅黑" w:hAnsi="微软雅黑" w:eastAsia="微软雅黑" w:cs="微软雅黑"/>
          <w:sz w:val="24"/>
        </w:rPr>
      </w:pPr>
      <w:r>
        <w:rPr>
          <w:rFonts w:hint="eastAsia" w:ascii="微软雅黑" w:hAnsi="微软雅黑" w:eastAsia="微软雅黑" w:cs="微软雅黑"/>
          <w:sz w:val="24"/>
        </w:rPr>
        <w:t>本企业对上述声明内容的真实性负责，如有虚假，将依法承担相应责任。</w:t>
      </w:r>
    </w:p>
    <w:p>
      <w:pPr>
        <w:spacing w:line="480" w:lineRule="exact"/>
        <w:jc w:val="center"/>
        <w:rPr>
          <w:rFonts w:ascii="微软雅黑" w:hAnsi="微软雅黑" w:eastAsia="微软雅黑" w:cs="微软雅黑"/>
          <w:sz w:val="24"/>
        </w:rPr>
      </w:pPr>
      <w:r>
        <w:rPr>
          <w:rFonts w:hint="eastAsia" w:ascii="微软雅黑" w:hAnsi="微软雅黑" w:eastAsia="微软雅黑" w:cs="微软雅黑"/>
          <w:sz w:val="24"/>
        </w:rPr>
        <w:t>企业名称（电子签章）：</w:t>
      </w:r>
    </w:p>
    <w:p>
      <w:pPr>
        <w:spacing w:line="480" w:lineRule="exact"/>
        <w:jc w:val="center"/>
        <w:rPr>
          <w:rFonts w:ascii="微软雅黑" w:hAnsi="微软雅黑" w:eastAsia="微软雅黑" w:cs="微软雅黑"/>
          <w:sz w:val="24"/>
        </w:rPr>
      </w:pPr>
      <w:r>
        <w:rPr>
          <w:rFonts w:hint="eastAsia" w:ascii="微软雅黑" w:hAnsi="微软雅黑" w:eastAsia="微软雅黑" w:cs="微软雅黑"/>
          <w:sz w:val="24"/>
        </w:rPr>
        <w:t>日期：</w:t>
      </w:r>
    </w:p>
    <w:p>
      <w:pPr>
        <w:rPr>
          <w:rFonts w:ascii="微软雅黑" w:hAnsi="微软雅黑" w:eastAsia="微软雅黑" w:cs="微软雅黑"/>
          <w:b/>
          <w:sz w:val="24"/>
        </w:rPr>
      </w:pPr>
    </w:p>
    <w:p>
      <w:pPr>
        <w:rPr>
          <w:rFonts w:ascii="微软雅黑" w:hAnsi="微软雅黑" w:eastAsia="微软雅黑" w:cs="微软雅黑"/>
          <w:b/>
          <w:sz w:val="24"/>
        </w:rPr>
      </w:pPr>
    </w:p>
    <w:p>
      <w:pPr>
        <w:rPr>
          <w:rFonts w:ascii="微软雅黑" w:hAnsi="微软雅黑" w:eastAsia="微软雅黑" w:cs="微软雅黑"/>
          <w:b/>
          <w:color w:val="000000"/>
          <w:sz w:val="24"/>
        </w:rPr>
      </w:pPr>
      <w:r>
        <w:rPr>
          <w:rFonts w:hint="eastAsia" w:ascii="微软雅黑" w:hAnsi="微软雅黑" w:eastAsia="微软雅黑" w:cs="微软雅黑"/>
          <w:b/>
          <w:sz w:val="24"/>
        </w:rPr>
        <w:t>注</w:t>
      </w:r>
      <w:r>
        <w:rPr>
          <w:rFonts w:hint="eastAsia" w:ascii="微软雅黑" w:hAnsi="微软雅黑" w:eastAsia="微软雅黑" w:cs="微软雅黑"/>
          <w:b/>
          <w:color w:val="000000"/>
          <w:sz w:val="24"/>
        </w:rPr>
        <w:t>：1、中小企业划型标准详见《关于印发中小企业划型标准规定的</w:t>
      </w:r>
    </w:p>
    <w:p>
      <w:pPr>
        <w:rPr>
          <w:rFonts w:ascii="微软雅黑" w:hAnsi="微软雅黑" w:eastAsia="微软雅黑" w:cs="微软雅黑"/>
          <w:b/>
          <w:color w:val="000000"/>
          <w:sz w:val="24"/>
        </w:rPr>
      </w:pPr>
      <w:r>
        <w:rPr>
          <w:rFonts w:hint="eastAsia" w:ascii="微软雅黑" w:hAnsi="微软雅黑" w:eastAsia="微软雅黑" w:cs="微软雅黑"/>
          <w:b/>
          <w:color w:val="000000"/>
          <w:sz w:val="24"/>
        </w:rPr>
        <w:t>通知》工信部联企业[2011]300号文件。</w:t>
      </w:r>
    </w:p>
    <w:p>
      <w:pPr>
        <w:rPr>
          <w:rFonts w:ascii="微软雅黑" w:hAnsi="微软雅黑" w:eastAsia="微软雅黑" w:cs="微软雅黑"/>
          <w:b/>
          <w:color w:val="000000"/>
          <w:sz w:val="24"/>
        </w:rPr>
      </w:pPr>
      <w:r>
        <w:rPr>
          <w:rFonts w:hint="eastAsia" w:ascii="微软雅黑" w:hAnsi="微软雅黑" w:eastAsia="微软雅黑" w:cs="微软雅黑"/>
          <w:b/>
          <w:color w:val="000000"/>
          <w:sz w:val="24"/>
        </w:rPr>
        <w:t>2、本声明函必须填写完整，如有缺项漏项的，不予认可。</w:t>
      </w:r>
    </w:p>
    <w:p>
      <w:pPr>
        <w:rPr>
          <w:rFonts w:ascii="微软雅黑" w:hAnsi="微软雅黑" w:eastAsia="微软雅黑" w:cs="微软雅黑"/>
          <w:sz w:val="24"/>
        </w:rPr>
      </w:pPr>
    </w:p>
    <w:p>
      <w:pPr>
        <w:pStyle w:val="2"/>
        <w:ind w:firstLine="280"/>
        <w:rPr>
          <w:rFonts w:ascii="微软雅黑" w:hAnsi="微软雅黑" w:eastAsia="微软雅黑" w:cs="微软雅黑"/>
        </w:rPr>
      </w:pPr>
    </w:p>
    <w:p>
      <w:pPr>
        <w:tabs>
          <w:tab w:val="left" w:pos="1200"/>
        </w:tabs>
        <w:adjustRightInd w:val="0"/>
        <w:snapToGrid w:val="0"/>
        <w:spacing w:line="340" w:lineRule="exact"/>
        <w:jc w:val="center"/>
        <w:outlineLvl w:val="0"/>
        <w:rPr>
          <w:rFonts w:ascii="微软雅黑" w:hAnsi="微软雅黑" w:eastAsia="微软雅黑" w:cs="微软雅黑"/>
          <w:b/>
          <w:color w:val="000000"/>
          <w:sz w:val="30"/>
          <w:szCs w:val="30"/>
        </w:rPr>
      </w:pPr>
    </w:p>
    <w:p>
      <w:pPr>
        <w:snapToGrid w:val="0"/>
        <w:spacing w:before="50" w:after="120" w:afterLines="50" w:line="600" w:lineRule="exact"/>
        <w:jc w:val="center"/>
        <w:rPr>
          <w:rFonts w:ascii="微软雅黑" w:hAnsi="微软雅黑" w:eastAsia="微软雅黑" w:cs="微软雅黑"/>
          <w:b/>
          <w:bCs/>
          <w:color w:val="000000"/>
          <w:szCs w:val="28"/>
        </w:rPr>
      </w:pPr>
    </w:p>
    <w:p>
      <w:pPr>
        <w:snapToGrid w:val="0"/>
        <w:spacing w:before="50" w:after="120" w:afterLines="50" w:line="600" w:lineRule="exact"/>
        <w:jc w:val="center"/>
        <w:rPr>
          <w:rFonts w:ascii="微软雅黑" w:hAnsi="微软雅黑" w:eastAsia="微软雅黑" w:cs="微软雅黑"/>
          <w:b/>
          <w:bCs/>
          <w:color w:val="000000"/>
          <w:szCs w:val="28"/>
        </w:rPr>
        <w:sectPr>
          <w:pgSz w:w="11907" w:h="16840"/>
          <w:pgMar w:top="1134" w:right="1247" w:bottom="1191" w:left="1128" w:header="851" w:footer="992" w:gutter="0"/>
          <w:cols w:space="720" w:num="1"/>
          <w:docGrid w:linePitch="381" w:charSpace="0"/>
        </w:sectPr>
      </w:pPr>
    </w:p>
    <w:p>
      <w:pPr>
        <w:snapToGrid w:val="0"/>
        <w:spacing w:before="50" w:after="120" w:afterLines="50" w:line="600" w:lineRule="exact"/>
        <w:jc w:val="center"/>
        <w:rPr>
          <w:rFonts w:ascii="微软雅黑" w:hAnsi="微软雅黑" w:eastAsia="微软雅黑" w:cs="微软雅黑"/>
          <w:b/>
          <w:bCs/>
          <w:color w:val="000000"/>
          <w:szCs w:val="28"/>
        </w:rPr>
      </w:pPr>
      <w:r>
        <w:rPr>
          <w:rFonts w:hint="eastAsia" w:ascii="微软雅黑" w:hAnsi="微软雅黑" w:eastAsia="微软雅黑" w:cs="微软雅黑"/>
          <w:b/>
          <w:bCs/>
          <w:color w:val="000000"/>
          <w:szCs w:val="28"/>
        </w:rPr>
        <w:t>监狱企业声明函</w:t>
      </w:r>
    </w:p>
    <w:p>
      <w:pPr>
        <w:spacing w:line="600" w:lineRule="exact"/>
        <w:jc w:val="center"/>
        <w:rPr>
          <w:rFonts w:ascii="微软雅黑" w:hAnsi="微软雅黑" w:eastAsia="微软雅黑" w:cs="微软雅黑"/>
          <w:sz w:val="24"/>
        </w:rPr>
      </w:pPr>
      <w:r>
        <w:rPr>
          <w:rFonts w:hint="eastAsia" w:ascii="微软雅黑" w:hAnsi="微软雅黑" w:eastAsia="微软雅黑" w:cs="微软雅黑"/>
          <w:sz w:val="24"/>
        </w:rPr>
        <w:t>【非监狱企业的不用提供】</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本企业郑重声明，根据《关于政府采购支持监狱企业发展有关问题的通知》(财库[2014]68号）的规定，本企业为监狱企业。</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根据上述标准，我企业属于监狱企业的理由为:</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本企业为参加(项目名称:) (项目编号:)采购活动提供本企业的产品。</w:t>
      </w:r>
    </w:p>
    <w:p>
      <w:pPr>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本企业对上述声明的真实性负责。如有虚假，将依法承担相应责任。</w:t>
      </w:r>
    </w:p>
    <w:p>
      <w:pPr>
        <w:spacing w:line="600" w:lineRule="exact"/>
        <w:rPr>
          <w:rFonts w:ascii="微软雅黑" w:hAnsi="微软雅黑" w:eastAsia="微软雅黑" w:cs="微软雅黑"/>
          <w:sz w:val="24"/>
        </w:rPr>
      </w:pPr>
    </w:p>
    <w:p>
      <w:pPr>
        <w:spacing w:line="600" w:lineRule="exact"/>
        <w:rPr>
          <w:rFonts w:ascii="微软雅黑" w:hAnsi="微软雅黑" w:eastAsia="微软雅黑" w:cs="微软雅黑"/>
          <w:sz w:val="24"/>
        </w:rPr>
      </w:pPr>
    </w:p>
    <w:p>
      <w:pPr>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日期:  年  月   日</w:t>
      </w:r>
    </w:p>
    <w:p>
      <w:pPr>
        <w:spacing w:line="600" w:lineRule="exact"/>
        <w:rPr>
          <w:rFonts w:ascii="微软雅黑" w:hAnsi="微软雅黑" w:eastAsia="微软雅黑" w:cs="微软雅黑"/>
          <w:sz w:val="24"/>
        </w:rPr>
      </w:pPr>
    </w:p>
    <w:p>
      <w:pPr>
        <w:spacing w:line="600" w:lineRule="exact"/>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ascii="微软雅黑" w:hAnsi="微软雅黑" w:eastAsia="微软雅黑" w:cs="微软雅黑"/>
          <w:sz w:val="24"/>
        </w:rPr>
      </w:pPr>
    </w:p>
    <w:p>
      <w:pPr>
        <w:snapToGrid w:val="0"/>
        <w:spacing w:before="50" w:after="120" w:afterLines="50" w:line="600" w:lineRule="exact"/>
        <w:jc w:val="center"/>
        <w:rPr>
          <w:rFonts w:ascii="微软雅黑" w:hAnsi="微软雅黑" w:eastAsia="微软雅黑" w:cs="微软雅黑"/>
          <w:b/>
          <w:bCs/>
          <w:color w:val="000000"/>
          <w:szCs w:val="28"/>
        </w:rPr>
      </w:pPr>
    </w:p>
    <w:p>
      <w:pPr>
        <w:snapToGrid w:val="0"/>
        <w:spacing w:before="50" w:after="120" w:afterLines="50" w:line="600" w:lineRule="exact"/>
        <w:jc w:val="center"/>
        <w:rPr>
          <w:rFonts w:ascii="微软雅黑" w:hAnsi="微软雅黑" w:eastAsia="微软雅黑" w:cs="微软雅黑"/>
          <w:b/>
          <w:bCs/>
          <w:color w:val="000000"/>
          <w:szCs w:val="28"/>
        </w:rPr>
      </w:pPr>
    </w:p>
    <w:p>
      <w:pPr>
        <w:snapToGrid w:val="0"/>
        <w:spacing w:before="50" w:after="120" w:afterLines="50" w:line="600" w:lineRule="exact"/>
        <w:jc w:val="center"/>
        <w:rPr>
          <w:rFonts w:ascii="微软雅黑" w:hAnsi="微软雅黑" w:eastAsia="微软雅黑" w:cs="微软雅黑"/>
          <w:b/>
          <w:bCs/>
          <w:color w:val="000000"/>
          <w:szCs w:val="28"/>
        </w:rPr>
        <w:sectPr>
          <w:pgSz w:w="11907" w:h="16840"/>
          <w:pgMar w:top="1134" w:right="1247" w:bottom="1191" w:left="1128" w:header="851" w:footer="992" w:gutter="0"/>
          <w:cols w:space="720" w:num="1"/>
          <w:docGrid w:linePitch="381" w:charSpace="0"/>
        </w:sectPr>
      </w:pPr>
    </w:p>
    <w:p>
      <w:pPr>
        <w:snapToGrid w:val="0"/>
        <w:spacing w:before="50" w:after="120" w:afterLines="50" w:line="600" w:lineRule="exact"/>
        <w:jc w:val="center"/>
        <w:rPr>
          <w:rFonts w:ascii="微软雅黑" w:hAnsi="微软雅黑" w:eastAsia="微软雅黑" w:cs="微软雅黑"/>
          <w:b/>
          <w:bCs/>
          <w:color w:val="000000"/>
          <w:szCs w:val="28"/>
        </w:rPr>
      </w:pPr>
      <w:r>
        <w:rPr>
          <w:rFonts w:hint="eastAsia" w:ascii="微软雅黑" w:hAnsi="微软雅黑" w:eastAsia="微软雅黑" w:cs="微软雅黑"/>
          <w:b/>
          <w:bCs/>
          <w:color w:val="000000"/>
          <w:szCs w:val="28"/>
        </w:rPr>
        <w:t>残疾人福利性单位声明函</w:t>
      </w:r>
    </w:p>
    <w:p>
      <w:pPr>
        <w:spacing w:line="600" w:lineRule="exact"/>
        <w:jc w:val="center"/>
        <w:rPr>
          <w:rFonts w:ascii="微软雅黑" w:hAnsi="微软雅黑" w:eastAsia="微软雅黑" w:cs="微软雅黑"/>
          <w:sz w:val="24"/>
        </w:rPr>
      </w:pPr>
      <w:r>
        <w:rPr>
          <w:rFonts w:hint="eastAsia" w:ascii="微软雅黑" w:hAnsi="微软雅黑" w:eastAsia="微软雅黑" w:cs="微软雅黑"/>
          <w:sz w:val="24"/>
        </w:rPr>
        <w:t>【非残疾人福利性单位不用提供】</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本单位对上述声明的真实性负责，如有虚假，将依法承但相应责任。</w:t>
      </w:r>
    </w:p>
    <w:p>
      <w:pPr>
        <w:spacing w:line="600" w:lineRule="exact"/>
        <w:ind w:firstLine="480" w:firstLineChars="200"/>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日期:  年  月   日</w:t>
      </w:r>
    </w:p>
    <w:p>
      <w:pPr>
        <w:spacing w:line="600" w:lineRule="exact"/>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ind w:firstLine="480" w:firstLineChars="200"/>
        <w:rPr>
          <w:rFonts w:ascii="微软雅黑" w:hAnsi="微软雅黑" w:eastAsia="微软雅黑" w:cs="微软雅黑"/>
          <w:sz w:val="24"/>
        </w:rPr>
      </w:pPr>
    </w:p>
    <w:p>
      <w:pPr>
        <w:spacing w:line="600" w:lineRule="exact"/>
        <w:rPr>
          <w:rFonts w:ascii="微软雅黑" w:hAnsi="微软雅黑" w:eastAsia="微软雅黑" w:cs="微软雅黑"/>
          <w:sz w:val="24"/>
        </w:rPr>
      </w:pPr>
    </w:p>
    <w:p>
      <w:pPr>
        <w:spacing w:line="600" w:lineRule="exact"/>
        <w:rPr>
          <w:rFonts w:ascii="微软雅黑" w:hAnsi="微软雅黑" w:eastAsia="微软雅黑" w:cs="微软雅黑"/>
          <w:sz w:val="24"/>
        </w:rPr>
      </w:pPr>
    </w:p>
    <w:p>
      <w:pPr>
        <w:spacing w:line="600" w:lineRule="exact"/>
        <w:rPr>
          <w:rFonts w:ascii="微软雅黑" w:hAnsi="微软雅黑" w:eastAsia="微软雅黑" w:cs="微软雅黑"/>
          <w:sz w:val="24"/>
        </w:rPr>
      </w:pPr>
    </w:p>
    <w:p>
      <w:pPr>
        <w:spacing w:line="600" w:lineRule="exact"/>
        <w:rPr>
          <w:rFonts w:ascii="微软雅黑" w:hAnsi="微软雅黑" w:eastAsia="微软雅黑" w:cs="微软雅黑"/>
          <w:sz w:val="24"/>
        </w:rPr>
      </w:pPr>
    </w:p>
    <w:p>
      <w:pPr>
        <w:pStyle w:val="11"/>
        <w:ind w:left="560" w:firstLine="480"/>
        <w:rPr>
          <w:rFonts w:ascii="微软雅黑" w:hAnsi="微软雅黑" w:eastAsia="微软雅黑" w:cs="微软雅黑"/>
          <w:sz w:val="24"/>
        </w:rPr>
      </w:pPr>
    </w:p>
    <w:p>
      <w:pPr>
        <w:rPr>
          <w:rFonts w:ascii="微软雅黑" w:hAnsi="微软雅黑" w:eastAsia="微软雅黑" w:cs="微软雅黑"/>
        </w:rPr>
      </w:pPr>
    </w:p>
    <w:p>
      <w:pPr>
        <w:tabs>
          <w:tab w:val="left" w:pos="1200"/>
        </w:tabs>
        <w:adjustRightInd w:val="0"/>
        <w:snapToGrid w:val="0"/>
        <w:spacing w:line="340" w:lineRule="exact"/>
        <w:jc w:val="center"/>
        <w:outlineLvl w:val="0"/>
        <w:rPr>
          <w:rFonts w:ascii="微软雅黑" w:hAnsi="微软雅黑" w:eastAsia="微软雅黑" w:cs="微软雅黑"/>
          <w:b/>
          <w:color w:val="000000"/>
          <w:sz w:val="30"/>
          <w:szCs w:val="30"/>
        </w:rPr>
      </w:pPr>
    </w:p>
    <w:p>
      <w:pPr>
        <w:tabs>
          <w:tab w:val="left" w:pos="1200"/>
        </w:tabs>
        <w:adjustRightInd w:val="0"/>
        <w:snapToGrid w:val="0"/>
        <w:spacing w:line="340" w:lineRule="exact"/>
        <w:jc w:val="center"/>
        <w:outlineLvl w:val="0"/>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自评表</w:t>
      </w:r>
    </w:p>
    <w:p>
      <w:pPr>
        <w:tabs>
          <w:tab w:val="left" w:pos="1200"/>
        </w:tabs>
        <w:adjustRightInd w:val="0"/>
        <w:snapToGrid w:val="0"/>
        <w:spacing w:line="340" w:lineRule="exact"/>
        <w:jc w:val="center"/>
        <w:outlineLvl w:val="0"/>
        <w:rPr>
          <w:rFonts w:ascii="微软雅黑" w:hAnsi="微软雅黑" w:eastAsia="微软雅黑" w:cs="微软雅黑"/>
          <w:color w:val="000000"/>
          <w:sz w:val="30"/>
          <w:szCs w:val="30"/>
        </w:rPr>
      </w:pPr>
    </w:p>
    <w:p>
      <w:pPr>
        <w:pStyle w:val="11"/>
        <w:ind w:left="560"/>
        <w:rPr>
          <w:rFonts w:ascii="微软雅黑" w:hAnsi="微软雅黑" w:eastAsia="微软雅黑" w:cs="微软雅黑"/>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序号</w:t>
            </w:r>
          </w:p>
        </w:tc>
        <w:tc>
          <w:tcPr>
            <w:tcW w:w="2968"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评分内容</w:t>
            </w:r>
          </w:p>
        </w:tc>
        <w:tc>
          <w:tcPr>
            <w:tcW w:w="1701"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标准分</w:t>
            </w:r>
          </w:p>
        </w:tc>
        <w:tc>
          <w:tcPr>
            <w:tcW w:w="1276"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自评分</w:t>
            </w:r>
          </w:p>
        </w:tc>
        <w:tc>
          <w:tcPr>
            <w:tcW w:w="930"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自评</w:t>
            </w:r>
          </w:p>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依据</w:t>
            </w:r>
          </w:p>
        </w:tc>
        <w:tc>
          <w:tcPr>
            <w:tcW w:w="1154" w:type="dxa"/>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2</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3</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4</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5</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6</w:t>
            </w:r>
          </w:p>
        </w:tc>
        <w:tc>
          <w:tcPr>
            <w:tcW w:w="2968" w:type="dxa"/>
            <w:vAlign w:val="center"/>
          </w:tcPr>
          <w:p>
            <w:pPr>
              <w:spacing w:line="300" w:lineRule="exact"/>
              <w:jc w:val="center"/>
              <w:rPr>
                <w:rFonts w:ascii="微软雅黑" w:hAnsi="微软雅黑" w:eastAsia="微软雅黑" w:cs="微软雅黑"/>
                <w:b/>
                <w:color w:val="000000"/>
                <w:kern w:val="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7</w:t>
            </w:r>
          </w:p>
        </w:tc>
        <w:tc>
          <w:tcPr>
            <w:tcW w:w="2968" w:type="dxa"/>
            <w:vAlign w:val="center"/>
          </w:tcPr>
          <w:p>
            <w:pPr>
              <w:spacing w:line="300" w:lineRule="exact"/>
              <w:jc w:val="center"/>
              <w:rPr>
                <w:rFonts w:ascii="微软雅黑" w:hAnsi="微软雅黑" w:eastAsia="微软雅黑" w:cs="微软雅黑"/>
                <w:b/>
                <w:snapToGrid w:val="0"/>
                <w:color w:val="000000"/>
                <w:szCs w:val="21"/>
              </w:rPr>
            </w:pPr>
          </w:p>
        </w:tc>
        <w:tc>
          <w:tcPr>
            <w:tcW w:w="1701" w:type="dxa"/>
            <w:vAlign w:val="center"/>
          </w:tcPr>
          <w:p>
            <w:pPr>
              <w:spacing w:line="300" w:lineRule="exact"/>
              <w:jc w:val="center"/>
              <w:rPr>
                <w:rFonts w:ascii="微软雅黑" w:hAnsi="微软雅黑" w:eastAsia="微软雅黑" w:cs="微软雅黑"/>
                <w:snapToGrid w:val="0"/>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8</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snapToGrid w:val="0"/>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9</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10</w:t>
            </w:r>
          </w:p>
        </w:tc>
        <w:tc>
          <w:tcPr>
            <w:tcW w:w="2968" w:type="dxa"/>
            <w:vAlign w:val="center"/>
          </w:tcPr>
          <w:p>
            <w:pPr>
              <w:spacing w:line="300" w:lineRule="exact"/>
              <w:jc w:val="center"/>
              <w:rPr>
                <w:rFonts w:ascii="微软雅黑" w:hAnsi="微软雅黑" w:eastAsia="微软雅黑" w:cs="微软雅黑"/>
                <w:b/>
                <w:color w:val="000000"/>
                <w:szCs w:val="21"/>
              </w:rPr>
            </w:pPr>
          </w:p>
        </w:tc>
        <w:tc>
          <w:tcPr>
            <w:tcW w:w="1701" w:type="dxa"/>
            <w:vAlign w:val="center"/>
          </w:tcPr>
          <w:p>
            <w:pPr>
              <w:spacing w:line="30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微软雅黑" w:hAnsi="微软雅黑" w:eastAsia="微软雅黑" w:cs="微软雅黑"/>
                <w:color w:val="000000"/>
                <w:szCs w:val="21"/>
              </w:rPr>
            </w:pPr>
          </w:p>
        </w:tc>
        <w:tc>
          <w:tcPr>
            <w:tcW w:w="2968" w:type="dxa"/>
            <w:vAlign w:val="center"/>
          </w:tcPr>
          <w:p>
            <w:pPr>
              <w:spacing w:line="360" w:lineRule="exact"/>
              <w:jc w:val="center"/>
              <w:rPr>
                <w:rFonts w:ascii="微软雅黑" w:hAnsi="微软雅黑" w:eastAsia="微软雅黑" w:cs="微软雅黑"/>
                <w:color w:val="000000"/>
                <w:szCs w:val="21"/>
              </w:rPr>
            </w:pPr>
          </w:p>
        </w:tc>
        <w:tc>
          <w:tcPr>
            <w:tcW w:w="1701" w:type="dxa"/>
            <w:vAlign w:val="center"/>
          </w:tcPr>
          <w:p>
            <w:pPr>
              <w:spacing w:line="360" w:lineRule="exact"/>
              <w:jc w:val="center"/>
              <w:rPr>
                <w:rFonts w:ascii="微软雅黑" w:hAnsi="微软雅黑" w:eastAsia="微软雅黑" w:cs="微软雅黑"/>
                <w:color w:val="000000"/>
                <w:szCs w:val="21"/>
              </w:rPr>
            </w:pPr>
          </w:p>
        </w:tc>
        <w:tc>
          <w:tcPr>
            <w:tcW w:w="1276" w:type="dxa"/>
            <w:vAlign w:val="center"/>
          </w:tcPr>
          <w:p>
            <w:pPr>
              <w:spacing w:line="360" w:lineRule="exact"/>
              <w:rPr>
                <w:rFonts w:ascii="微软雅黑" w:hAnsi="微软雅黑" w:eastAsia="微软雅黑" w:cs="微软雅黑"/>
                <w:color w:val="000000"/>
                <w:szCs w:val="21"/>
              </w:rPr>
            </w:pPr>
          </w:p>
        </w:tc>
        <w:tc>
          <w:tcPr>
            <w:tcW w:w="930" w:type="dxa"/>
            <w:vAlign w:val="center"/>
          </w:tcPr>
          <w:p>
            <w:pPr>
              <w:spacing w:line="360" w:lineRule="exact"/>
              <w:rPr>
                <w:rFonts w:ascii="微软雅黑" w:hAnsi="微软雅黑" w:eastAsia="微软雅黑" w:cs="微软雅黑"/>
                <w:color w:val="000000"/>
                <w:szCs w:val="21"/>
              </w:rPr>
            </w:pPr>
          </w:p>
        </w:tc>
        <w:tc>
          <w:tcPr>
            <w:tcW w:w="1154" w:type="dxa"/>
            <w:vAlign w:val="center"/>
          </w:tcPr>
          <w:p>
            <w:pPr>
              <w:spacing w:line="360" w:lineRule="exact"/>
              <w:rPr>
                <w:rFonts w:ascii="微软雅黑" w:hAnsi="微软雅黑" w:eastAsia="微软雅黑" w:cs="微软雅黑"/>
                <w:color w:val="000000"/>
                <w:szCs w:val="21"/>
              </w:rPr>
            </w:pPr>
          </w:p>
        </w:tc>
      </w:tr>
    </w:tbl>
    <w:p>
      <w:pPr>
        <w:spacing w:line="400" w:lineRule="exact"/>
        <w:ind w:left="546" w:leftChars="195"/>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注：“自评表”装订在技术商务文件首页。投标供应商应认真填写相关内容在投标文件中所对应的页码。</w:t>
      </w:r>
    </w:p>
    <w:p>
      <w:pPr>
        <w:spacing w:before="120" w:beforeLines="50" w:after="120" w:afterLines="50"/>
        <w:outlineLvl w:val="0"/>
        <w:rPr>
          <w:rFonts w:ascii="微软雅黑" w:hAnsi="微软雅黑" w:eastAsia="微软雅黑" w:cs="微软雅黑"/>
          <w:b/>
          <w:color w:val="000000"/>
          <w:szCs w:val="21"/>
        </w:rPr>
      </w:pPr>
    </w:p>
    <w:p>
      <w:pPr>
        <w:rPr>
          <w:rFonts w:ascii="微软雅黑" w:hAnsi="微软雅黑" w:eastAsia="微软雅黑" w:cs="微软雅黑"/>
        </w:rPr>
      </w:pPr>
    </w:p>
    <w:p>
      <w:pPr>
        <w:spacing w:line="360" w:lineRule="auto"/>
        <w:jc w:val="center"/>
        <w:rPr>
          <w:rFonts w:ascii="微软雅黑" w:hAnsi="微软雅黑" w:eastAsia="微软雅黑" w:cs="微软雅黑"/>
          <w:b/>
          <w:bCs/>
          <w:szCs w:val="28"/>
        </w:rPr>
        <w:sectPr>
          <w:pgSz w:w="11906" w:h="16838"/>
          <w:pgMar w:top="1531" w:right="779" w:bottom="1134" w:left="1134" w:header="851" w:footer="427" w:gutter="0"/>
          <w:cols w:space="720" w:num="1"/>
          <w:docGrid w:linePitch="312" w:charSpace="0"/>
        </w:sectPr>
      </w:pPr>
    </w:p>
    <w:p>
      <w:pPr>
        <w:spacing w:line="480" w:lineRule="exact"/>
        <w:jc w:val="center"/>
        <w:rPr>
          <w:rFonts w:ascii="微软雅黑" w:hAnsi="微软雅黑" w:eastAsia="微软雅黑" w:cs="微软雅黑"/>
          <w:b/>
          <w:bCs/>
          <w:szCs w:val="28"/>
        </w:rPr>
      </w:pPr>
      <w:r>
        <w:rPr>
          <w:rFonts w:hint="eastAsia" w:ascii="微软雅黑" w:hAnsi="微软雅黑" w:eastAsia="微软雅黑" w:cs="微软雅黑"/>
          <w:b/>
          <w:bCs/>
          <w:szCs w:val="28"/>
        </w:rPr>
        <w:t>企业业绩</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9"/>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94"/>
        <w:gridCol w:w="1594"/>
        <w:gridCol w:w="1347"/>
        <w:gridCol w:w="1347"/>
        <w:gridCol w:w="190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序号</w:t>
            </w:r>
          </w:p>
        </w:tc>
        <w:tc>
          <w:tcPr>
            <w:tcW w:w="1594"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项目名称</w:t>
            </w:r>
          </w:p>
        </w:tc>
        <w:tc>
          <w:tcPr>
            <w:tcW w:w="1594"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使用方</w:t>
            </w:r>
          </w:p>
        </w:tc>
        <w:tc>
          <w:tcPr>
            <w:tcW w:w="1347"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合同金额</w:t>
            </w:r>
          </w:p>
        </w:tc>
        <w:tc>
          <w:tcPr>
            <w:tcW w:w="1347"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签订时间</w:t>
            </w:r>
          </w:p>
        </w:tc>
        <w:tc>
          <w:tcPr>
            <w:tcW w:w="1909"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使用方联系人</w:t>
            </w:r>
          </w:p>
        </w:tc>
        <w:tc>
          <w:tcPr>
            <w:tcW w:w="1460" w:type="dxa"/>
          </w:tcPr>
          <w:p>
            <w:pPr>
              <w:spacing w:line="480" w:lineRule="exact"/>
              <w:jc w:val="center"/>
              <w:rPr>
                <w:rFonts w:ascii="微软雅黑" w:hAnsi="微软雅黑" w:eastAsia="微软雅黑" w:cs="微软雅黑"/>
                <w:bCs/>
                <w:sz w:val="24"/>
              </w:rPr>
            </w:pPr>
            <w:r>
              <w:rPr>
                <w:rFonts w:hint="eastAsia" w:ascii="微软雅黑" w:hAnsi="微软雅黑" w:eastAsia="微软雅黑" w:cs="微软雅黑"/>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594"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347" w:type="dxa"/>
          </w:tcPr>
          <w:p>
            <w:pPr>
              <w:spacing w:line="480" w:lineRule="exact"/>
              <w:rPr>
                <w:rFonts w:ascii="微软雅黑" w:hAnsi="微软雅黑" w:eastAsia="微软雅黑" w:cs="微软雅黑"/>
                <w:bCs/>
                <w:sz w:val="24"/>
              </w:rPr>
            </w:pPr>
          </w:p>
        </w:tc>
        <w:tc>
          <w:tcPr>
            <w:tcW w:w="1909" w:type="dxa"/>
          </w:tcPr>
          <w:p>
            <w:pPr>
              <w:spacing w:line="480" w:lineRule="exact"/>
              <w:rPr>
                <w:rFonts w:ascii="微软雅黑" w:hAnsi="微软雅黑" w:eastAsia="微软雅黑" w:cs="微软雅黑"/>
                <w:bCs/>
                <w:sz w:val="24"/>
              </w:rPr>
            </w:pPr>
          </w:p>
        </w:tc>
        <w:tc>
          <w:tcPr>
            <w:tcW w:w="1460" w:type="dxa"/>
          </w:tcPr>
          <w:p>
            <w:pPr>
              <w:spacing w:line="480" w:lineRule="exact"/>
              <w:rPr>
                <w:rFonts w:ascii="微软雅黑" w:hAnsi="微软雅黑" w:eastAsia="微软雅黑" w:cs="微软雅黑"/>
                <w:bCs/>
                <w:sz w:val="24"/>
              </w:rPr>
            </w:pPr>
          </w:p>
        </w:tc>
      </w:tr>
    </w:tbl>
    <w:p>
      <w:pPr>
        <w:spacing w:line="480" w:lineRule="exact"/>
        <w:rPr>
          <w:rFonts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ind w:firstLine="480" w:firstLineChars="200"/>
        <w:rPr>
          <w:rFonts w:ascii="微软雅黑" w:hAnsi="微软雅黑" w:eastAsia="微软雅黑" w:cs="微软雅黑"/>
          <w:sz w:val="24"/>
        </w:rPr>
      </w:pPr>
    </w:p>
    <w:p>
      <w:pPr>
        <w:kinsoku w:val="0"/>
        <w:overflowPunct w:val="0"/>
        <w:spacing w:before="75" w:line="400" w:lineRule="exact"/>
        <w:rPr>
          <w:rFonts w:ascii="微软雅黑" w:hAnsi="微软雅黑" w:eastAsia="微软雅黑" w:cs="微软雅黑"/>
          <w:sz w:val="24"/>
        </w:rPr>
      </w:pPr>
      <w:r>
        <w:rPr>
          <w:rFonts w:hint="eastAsia" w:ascii="微软雅黑" w:hAnsi="微软雅黑" w:eastAsia="微软雅黑" w:cs="微软雅黑"/>
          <w:sz w:val="24"/>
        </w:rPr>
        <w:t>注：1、</w:t>
      </w:r>
      <w:r>
        <w:rPr>
          <w:rFonts w:hint="eastAsia" w:ascii="微软雅黑" w:hAnsi="微软雅黑" w:eastAsia="微软雅黑" w:cs="微软雅黑"/>
          <w:sz w:val="24"/>
          <w:szCs w:val="21"/>
          <w:lang w:bidi="zh-CN"/>
        </w:rPr>
        <w:t>投标供应商提供的201</w:t>
      </w:r>
      <w:r>
        <w:rPr>
          <w:rFonts w:hint="eastAsia" w:ascii="微软雅黑" w:hAnsi="微软雅黑" w:eastAsia="微软雅黑" w:cs="微软雅黑"/>
          <w:sz w:val="24"/>
          <w:szCs w:val="21"/>
          <w:lang w:val="en-US" w:bidi="zh-CN"/>
        </w:rPr>
        <w:t>9</w:t>
      </w:r>
      <w:r>
        <w:rPr>
          <w:rFonts w:hint="eastAsia" w:ascii="微软雅黑" w:hAnsi="微软雅黑" w:eastAsia="微软雅黑" w:cs="微软雅黑"/>
          <w:sz w:val="24"/>
          <w:szCs w:val="21"/>
          <w:lang w:bidi="zh-CN"/>
        </w:rPr>
        <w:t>年 1 月 1 日至今花卉栽植（含补植）项目业绩、绿化养护项目业绩。</w:t>
      </w:r>
      <w:r>
        <w:rPr>
          <w:rFonts w:hint="eastAsia" w:ascii="微软雅黑" w:hAnsi="微软雅黑" w:eastAsia="微软雅黑" w:cs="微软雅黑"/>
          <w:spacing w:val="14"/>
          <w:sz w:val="24"/>
        </w:rPr>
        <w:t>提供中标通知书及合同复印件并加盖投标供应商公章。</w:t>
      </w:r>
    </w:p>
    <w:p>
      <w:pPr>
        <w:spacing w:line="48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pPr>
        <w:spacing w:line="480" w:lineRule="exact"/>
        <w:ind w:firstLine="360" w:firstLineChars="150"/>
        <w:rPr>
          <w:rFonts w:ascii="微软雅黑" w:hAnsi="微软雅黑" w:eastAsia="微软雅黑" w:cs="微软雅黑"/>
          <w:sz w:val="24"/>
        </w:rPr>
      </w:pPr>
    </w:p>
    <w:p>
      <w:pPr>
        <w:spacing w:line="360" w:lineRule="auto"/>
        <w:ind w:firstLine="450" w:firstLineChars="150"/>
        <w:rPr>
          <w:rFonts w:ascii="微软雅黑" w:hAnsi="微软雅黑" w:eastAsia="微软雅黑" w:cs="微软雅黑"/>
          <w:bCs/>
          <w:sz w:val="30"/>
        </w:rPr>
      </w:pPr>
    </w:p>
    <w:p>
      <w:pPr>
        <w:spacing w:line="360" w:lineRule="auto"/>
        <w:rPr>
          <w:rFonts w:ascii="微软雅黑" w:hAnsi="微软雅黑" w:eastAsia="微软雅黑" w:cs="微软雅黑"/>
          <w:b/>
          <w:bCs/>
          <w:spacing w:val="14"/>
          <w:szCs w:val="28"/>
        </w:rPr>
      </w:pPr>
    </w:p>
    <w:p>
      <w:pPr>
        <w:spacing w:line="360" w:lineRule="auto"/>
        <w:rPr>
          <w:rFonts w:ascii="微软雅黑" w:hAnsi="微软雅黑" w:eastAsia="微软雅黑" w:cs="微软雅黑"/>
          <w:b/>
          <w:bCs/>
          <w:spacing w:val="14"/>
          <w:szCs w:val="28"/>
        </w:rPr>
      </w:pPr>
    </w:p>
    <w:p>
      <w:pPr>
        <w:spacing w:line="360" w:lineRule="auto"/>
        <w:rPr>
          <w:rFonts w:ascii="微软雅黑" w:hAnsi="微软雅黑" w:eastAsia="微软雅黑" w:cs="微软雅黑"/>
          <w:b/>
          <w:bCs/>
          <w:szCs w:val="28"/>
        </w:rPr>
      </w:pPr>
    </w:p>
    <w:p>
      <w:pPr>
        <w:tabs>
          <w:tab w:val="left" w:pos="3654"/>
        </w:tabs>
        <w:spacing w:line="360" w:lineRule="auto"/>
        <w:jc w:val="center"/>
        <w:rPr>
          <w:rFonts w:ascii="微软雅黑" w:hAnsi="微软雅黑" w:eastAsia="微软雅黑" w:cs="微软雅黑"/>
          <w:b/>
          <w:bCs/>
          <w:szCs w:val="28"/>
        </w:rPr>
      </w:pPr>
    </w:p>
    <w:p>
      <w:pPr>
        <w:pStyle w:val="2"/>
        <w:ind w:firstLine="280"/>
      </w:pPr>
    </w:p>
    <w:p>
      <w:pPr>
        <w:tabs>
          <w:tab w:val="left" w:pos="3654"/>
        </w:tabs>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商务条款偏离表</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 xml:space="preserve">投标供应商全称（加盖公章）：             项目编号：  </w:t>
      </w:r>
    </w:p>
    <w:tbl>
      <w:tblPr>
        <w:tblStyle w:val="19"/>
        <w:tblW w:w="9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2799"/>
        <w:gridCol w:w="1845"/>
        <w:gridCol w:w="2475"/>
        <w:gridCol w:w="2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ascii="微软雅黑" w:hAnsi="微软雅黑" w:eastAsia="微软雅黑" w:cs="微软雅黑"/>
                <w:sz w:val="24"/>
              </w:rPr>
            </w:pPr>
            <w:r>
              <w:rPr>
                <w:rFonts w:hint="eastAsia" w:ascii="微软雅黑" w:hAnsi="微软雅黑" w:eastAsia="微软雅黑" w:cs="微软雅黑"/>
                <w:sz w:val="24"/>
              </w:rPr>
              <w:t>招标文件的商务条款</w:t>
            </w:r>
          </w:p>
        </w:tc>
        <w:tc>
          <w:tcPr>
            <w:tcW w:w="184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ascii="微软雅黑" w:hAnsi="微软雅黑" w:eastAsia="微软雅黑" w:cs="微软雅黑"/>
                <w:sz w:val="24"/>
              </w:rPr>
            </w:pPr>
            <w:r>
              <w:rPr>
                <w:rFonts w:hint="eastAsia" w:ascii="微软雅黑" w:hAnsi="微软雅黑" w:eastAsia="微软雅黑" w:cs="微软雅黑"/>
                <w:sz w:val="24"/>
              </w:rPr>
              <w:t>投标文件的商务条款</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偏离情况</w:t>
            </w:r>
          </w:p>
        </w:tc>
        <w:tc>
          <w:tcPr>
            <w:tcW w:w="2017"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spacing w:line="480" w:lineRule="exact"/>
              <w:rPr>
                <w:rFonts w:ascii="微软雅黑" w:hAnsi="微软雅黑" w:eastAsia="微软雅黑" w:cs="微软雅黑"/>
                <w:sz w:val="24"/>
              </w:rPr>
            </w:pPr>
            <w:r>
              <w:rPr>
                <w:rFonts w:hint="eastAsia" w:ascii="微软雅黑" w:hAnsi="微软雅黑" w:eastAsia="微软雅黑" w:cs="微软雅黑"/>
                <w:sz w:val="24"/>
              </w:rPr>
              <w:t>1</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2</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3</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4</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ascii="微软雅黑" w:hAnsi="微软雅黑" w:eastAsia="微软雅黑" w:cs="微软雅黑"/>
                <w:sz w:val="24"/>
              </w:rPr>
            </w:pPr>
          </w:p>
        </w:tc>
      </w:tr>
    </w:tbl>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tabs>
          <w:tab w:val="left" w:pos="3654"/>
        </w:tabs>
        <w:spacing w:line="480" w:lineRule="exact"/>
        <w:rPr>
          <w:rFonts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注：1.此表仅提供了表格形式，投标供应商应根据需要准备足够数量的表格来填写。</w:t>
      </w:r>
    </w:p>
    <w:p>
      <w:pPr>
        <w:spacing w:line="480" w:lineRule="exact"/>
        <w:rPr>
          <w:rFonts w:ascii="微软雅黑" w:hAnsi="微软雅黑" w:eastAsia="微软雅黑" w:cs="微软雅黑"/>
          <w:sz w:val="24"/>
        </w:rPr>
      </w:pPr>
      <w:r>
        <w:rPr>
          <w:rFonts w:hint="eastAsia" w:ascii="微软雅黑" w:hAnsi="微软雅黑" w:eastAsia="微软雅黑" w:cs="微软雅黑"/>
          <w:sz w:val="24"/>
        </w:rPr>
        <w:t>2.投标人应对照招标文件要求在“偏离情况”栏注明“正偏离”、“负偏离”或“无偏离”。行数可视情况自行添加。不填写视同完全响应招标文件要求。</w:t>
      </w:r>
    </w:p>
    <w:p>
      <w:pPr>
        <w:spacing w:line="480" w:lineRule="exact"/>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rPr>
          <w:rFonts w:ascii="微软雅黑" w:hAnsi="微软雅黑" w:eastAsia="微软雅黑" w:cs="微软雅黑"/>
          <w:b/>
          <w:szCs w:val="28"/>
        </w:rPr>
      </w:pPr>
    </w:p>
    <w:p>
      <w:pPr>
        <w:spacing w:line="360" w:lineRule="auto"/>
        <w:jc w:val="center"/>
        <w:rPr>
          <w:rFonts w:ascii="微软雅黑" w:hAnsi="微软雅黑" w:eastAsia="微软雅黑" w:cs="微软雅黑"/>
          <w:b/>
          <w:szCs w:val="28"/>
        </w:rPr>
        <w:sectPr>
          <w:pgSz w:w="11906" w:h="16838"/>
          <w:pgMar w:top="1531" w:right="779" w:bottom="1134" w:left="1134" w:header="851" w:footer="427" w:gutter="0"/>
          <w:cols w:space="720" w:num="1"/>
          <w:docGrid w:linePitch="312" w:charSpace="0"/>
        </w:sectPr>
      </w:pPr>
    </w:p>
    <w:p>
      <w:pPr>
        <w:spacing w:line="360" w:lineRule="auto"/>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技术偏离表</w:t>
      </w:r>
    </w:p>
    <w:p>
      <w:pPr>
        <w:spacing w:line="360" w:lineRule="auto"/>
        <w:rPr>
          <w:rFonts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2299"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招标文件要求</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2108" w:type="dxa"/>
            <w:vAlign w:val="center"/>
          </w:tcPr>
          <w:p>
            <w:pPr>
              <w:spacing w:line="400" w:lineRule="exact"/>
              <w:rPr>
                <w:rFonts w:ascii="微软雅黑" w:hAnsi="微软雅黑" w:eastAsia="微软雅黑" w:cs="微软雅黑"/>
                <w:sz w:val="24"/>
              </w:rPr>
            </w:pPr>
            <w:r>
              <w:rPr>
                <w:rFonts w:hint="eastAsia" w:ascii="微软雅黑" w:hAnsi="微软雅黑" w:eastAsia="微软雅黑" w:cs="微软雅黑"/>
                <w:sz w:val="24"/>
              </w:rPr>
              <w:t>实际</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1916"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偏离情况</w:t>
            </w:r>
          </w:p>
        </w:tc>
        <w:tc>
          <w:tcPr>
            <w:tcW w:w="172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ascii="微软雅黑" w:hAnsi="微软雅黑" w:eastAsia="微软雅黑" w:cs="微软雅黑"/>
                <w:b/>
                <w:bCs/>
                <w:sz w:val="24"/>
              </w:rPr>
            </w:pPr>
          </w:p>
        </w:tc>
        <w:tc>
          <w:tcPr>
            <w:tcW w:w="2299" w:type="dxa"/>
          </w:tcPr>
          <w:p>
            <w:pPr>
              <w:spacing w:line="360" w:lineRule="auto"/>
              <w:jc w:val="center"/>
              <w:rPr>
                <w:rFonts w:ascii="微软雅黑" w:hAnsi="微软雅黑" w:eastAsia="微软雅黑" w:cs="微软雅黑"/>
                <w:b/>
                <w:bCs/>
                <w:sz w:val="24"/>
              </w:rPr>
            </w:pPr>
          </w:p>
        </w:tc>
        <w:tc>
          <w:tcPr>
            <w:tcW w:w="2108" w:type="dxa"/>
          </w:tcPr>
          <w:p>
            <w:pPr>
              <w:spacing w:line="360" w:lineRule="auto"/>
              <w:jc w:val="center"/>
              <w:rPr>
                <w:rFonts w:ascii="微软雅黑" w:hAnsi="微软雅黑" w:eastAsia="微软雅黑" w:cs="微软雅黑"/>
                <w:b/>
                <w:bCs/>
                <w:sz w:val="24"/>
              </w:rPr>
            </w:pPr>
          </w:p>
        </w:tc>
        <w:tc>
          <w:tcPr>
            <w:tcW w:w="1916" w:type="dxa"/>
          </w:tcPr>
          <w:p>
            <w:pPr>
              <w:spacing w:line="360" w:lineRule="auto"/>
              <w:jc w:val="center"/>
              <w:rPr>
                <w:rFonts w:ascii="微软雅黑" w:hAnsi="微软雅黑" w:eastAsia="微软雅黑" w:cs="微软雅黑"/>
                <w:b/>
                <w:bCs/>
                <w:sz w:val="24"/>
              </w:rPr>
            </w:pPr>
          </w:p>
        </w:tc>
        <w:tc>
          <w:tcPr>
            <w:tcW w:w="1725" w:type="dxa"/>
          </w:tcPr>
          <w:p>
            <w:pPr>
              <w:spacing w:line="360" w:lineRule="auto"/>
              <w:jc w:val="center"/>
              <w:rPr>
                <w:rFonts w:ascii="微软雅黑" w:hAnsi="微软雅黑" w:eastAsia="微软雅黑" w:cs="微软雅黑"/>
                <w:b/>
                <w:bCs/>
                <w:sz w:val="24"/>
              </w:rPr>
            </w:pPr>
          </w:p>
        </w:tc>
      </w:tr>
    </w:tbl>
    <w:p>
      <w:pPr>
        <w:spacing w:line="360" w:lineRule="auto"/>
        <w:rPr>
          <w:rFonts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360" w:lineRule="auto"/>
        <w:rPr>
          <w:rFonts w:ascii="微软雅黑" w:hAnsi="微软雅黑" w:eastAsia="微软雅黑" w:cs="微软雅黑"/>
          <w:sz w:val="24"/>
        </w:rPr>
      </w:pPr>
      <w:r>
        <w:rPr>
          <w:rFonts w:hint="eastAsia" w:ascii="微软雅黑" w:hAnsi="微软雅黑" w:eastAsia="微软雅黑" w:cs="微软雅黑"/>
          <w:sz w:val="24"/>
        </w:rPr>
        <w:t xml:space="preserve">                                日期：     年  月   日</w:t>
      </w:r>
    </w:p>
    <w:p>
      <w:pPr>
        <w:spacing w:line="360" w:lineRule="auto"/>
        <w:rPr>
          <w:rFonts w:ascii="微软雅黑" w:hAnsi="微软雅黑" w:eastAsia="微软雅黑" w:cs="微软雅黑"/>
          <w:sz w:val="24"/>
        </w:rPr>
      </w:pPr>
      <w:r>
        <w:rPr>
          <w:rFonts w:hint="eastAsia" w:ascii="微软雅黑" w:hAnsi="微软雅黑" w:eastAsia="微软雅黑" w:cs="微软雅黑"/>
          <w:sz w:val="24"/>
        </w:rPr>
        <w:t>注：1.此表仅提供了表格形式，投标供应商应根据需要准备足够数量的表格来填写。</w:t>
      </w:r>
    </w:p>
    <w:p>
      <w:pPr>
        <w:spacing w:line="360" w:lineRule="auto"/>
        <w:rPr>
          <w:rFonts w:ascii="微软雅黑" w:hAnsi="微软雅黑" w:eastAsia="微软雅黑" w:cs="微软雅黑"/>
          <w:sz w:val="24"/>
        </w:rPr>
      </w:pPr>
      <w:r>
        <w:rPr>
          <w:rFonts w:hint="eastAsia" w:ascii="微软雅黑" w:hAnsi="微软雅黑" w:eastAsia="微软雅黑" w:cs="微软雅黑"/>
          <w:sz w:val="24"/>
        </w:rPr>
        <w:t>2.投标人应对照招标文件要求在“偏离情况”栏注明“正偏离”、“负偏离”或“无偏离”。行数可视情况自行添加。不填写视同完全响应招标文件要求。</w:t>
      </w:r>
    </w:p>
    <w:p>
      <w:pPr>
        <w:spacing w:line="360" w:lineRule="auto"/>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项目专职负责人简历表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姓   名</w:t>
            </w:r>
          </w:p>
        </w:tc>
        <w:tc>
          <w:tcPr>
            <w:tcW w:w="1838" w:type="dxa"/>
            <w:noWrap/>
            <w:vAlign w:val="center"/>
          </w:tcPr>
          <w:p>
            <w:pPr>
              <w:spacing w:line="360" w:lineRule="exact"/>
              <w:jc w:val="center"/>
              <w:rPr>
                <w:rFonts w:ascii="微软雅黑" w:hAnsi="微软雅黑" w:eastAsia="微软雅黑" w:cs="微软雅黑"/>
                <w:szCs w:val="21"/>
              </w:rPr>
            </w:pPr>
          </w:p>
        </w:tc>
        <w:tc>
          <w:tcPr>
            <w:tcW w:w="1601"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年  龄</w:t>
            </w:r>
          </w:p>
        </w:tc>
        <w:tc>
          <w:tcPr>
            <w:tcW w:w="1742" w:type="dxa"/>
            <w:noWrap/>
            <w:vAlign w:val="center"/>
          </w:tcPr>
          <w:p>
            <w:pPr>
              <w:spacing w:line="360" w:lineRule="exact"/>
              <w:jc w:val="center"/>
              <w:rPr>
                <w:rFonts w:ascii="微软雅黑" w:hAnsi="微软雅黑" w:eastAsia="微软雅黑" w:cs="微软雅黑"/>
                <w:szCs w:val="21"/>
              </w:rPr>
            </w:pPr>
          </w:p>
        </w:tc>
        <w:tc>
          <w:tcPr>
            <w:tcW w:w="1462"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学  历</w:t>
            </w:r>
          </w:p>
        </w:tc>
        <w:tc>
          <w:tcPr>
            <w:tcW w:w="1602" w:type="dxa"/>
            <w:noWrap/>
            <w:vAlign w:val="center"/>
          </w:tcPr>
          <w:p>
            <w:pPr>
              <w:spacing w:line="36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毕业学校</w:t>
            </w:r>
          </w:p>
        </w:tc>
        <w:tc>
          <w:tcPr>
            <w:tcW w:w="1838" w:type="dxa"/>
            <w:noWrap/>
            <w:vAlign w:val="center"/>
          </w:tcPr>
          <w:p>
            <w:pPr>
              <w:spacing w:line="360" w:lineRule="exact"/>
              <w:rPr>
                <w:rFonts w:ascii="微软雅黑" w:hAnsi="微软雅黑" w:eastAsia="微软雅黑" w:cs="微软雅黑"/>
                <w:szCs w:val="21"/>
              </w:rPr>
            </w:pPr>
          </w:p>
        </w:tc>
        <w:tc>
          <w:tcPr>
            <w:tcW w:w="1601"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专  业</w:t>
            </w:r>
          </w:p>
        </w:tc>
        <w:tc>
          <w:tcPr>
            <w:tcW w:w="1742" w:type="dxa"/>
            <w:noWrap/>
            <w:vAlign w:val="center"/>
          </w:tcPr>
          <w:p>
            <w:pPr>
              <w:spacing w:line="360" w:lineRule="exact"/>
              <w:jc w:val="center"/>
              <w:rPr>
                <w:rFonts w:ascii="微软雅黑" w:hAnsi="微软雅黑" w:eastAsia="微软雅黑" w:cs="微软雅黑"/>
                <w:szCs w:val="21"/>
              </w:rPr>
            </w:pPr>
          </w:p>
        </w:tc>
        <w:tc>
          <w:tcPr>
            <w:tcW w:w="1462"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职  务</w:t>
            </w:r>
          </w:p>
        </w:tc>
        <w:tc>
          <w:tcPr>
            <w:tcW w:w="1602" w:type="dxa"/>
            <w:noWrap/>
            <w:vAlign w:val="center"/>
          </w:tcPr>
          <w:p>
            <w:pPr>
              <w:spacing w:line="36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职  称</w:t>
            </w:r>
          </w:p>
        </w:tc>
        <w:tc>
          <w:tcPr>
            <w:tcW w:w="1838" w:type="dxa"/>
            <w:noWrap/>
            <w:vAlign w:val="center"/>
          </w:tcPr>
          <w:p>
            <w:pPr>
              <w:spacing w:line="360" w:lineRule="exact"/>
              <w:rPr>
                <w:rFonts w:ascii="微软雅黑" w:hAnsi="微软雅黑" w:eastAsia="微软雅黑" w:cs="微软雅黑"/>
                <w:szCs w:val="21"/>
              </w:rPr>
            </w:pPr>
          </w:p>
        </w:tc>
        <w:tc>
          <w:tcPr>
            <w:tcW w:w="1601"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拟任何职</w:t>
            </w:r>
          </w:p>
        </w:tc>
        <w:tc>
          <w:tcPr>
            <w:tcW w:w="1742" w:type="dxa"/>
            <w:noWrap/>
            <w:vAlign w:val="center"/>
          </w:tcPr>
          <w:p>
            <w:pPr>
              <w:spacing w:line="360" w:lineRule="exact"/>
              <w:jc w:val="center"/>
              <w:rPr>
                <w:rFonts w:ascii="微软雅黑" w:hAnsi="微软雅黑" w:eastAsia="微软雅黑" w:cs="微软雅黑"/>
                <w:szCs w:val="21"/>
              </w:rPr>
            </w:pPr>
          </w:p>
        </w:tc>
        <w:tc>
          <w:tcPr>
            <w:tcW w:w="1462"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参加工作</w:t>
            </w:r>
          </w:p>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时间</w:t>
            </w:r>
          </w:p>
        </w:tc>
        <w:tc>
          <w:tcPr>
            <w:tcW w:w="1602" w:type="dxa"/>
            <w:noWrap/>
            <w:vAlign w:val="center"/>
          </w:tcPr>
          <w:p>
            <w:pPr>
              <w:spacing w:line="360" w:lineRule="exact"/>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时  间</w:t>
            </w:r>
          </w:p>
        </w:tc>
        <w:tc>
          <w:tcPr>
            <w:tcW w:w="8245" w:type="dxa"/>
            <w:gridSpan w:val="5"/>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rPr>
                <w:rFonts w:ascii="微软雅黑" w:hAnsi="微软雅黑" w:eastAsia="微软雅黑" w:cs="微软雅黑"/>
                <w:szCs w:val="21"/>
              </w:rPr>
            </w:pPr>
          </w:p>
        </w:tc>
        <w:tc>
          <w:tcPr>
            <w:tcW w:w="8245" w:type="dxa"/>
            <w:gridSpan w:val="5"/>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ign w:val="center"/>
          </w:tcPr>
          <w:p>
            <w:pPr>
              <w:spacing w:line="360" w:lineRule="exact"/>
              <w:rPr>
                <w:rFonts w:ascii="微软雅黑" w:hAnsi="微软雅黑" w:eastAsia="微软雅黑" w:cs="微软雅黑"/>
                <w:szCs w:val="21"/>
              </w:rPr>
            </w:pPr>
          </w:p>
        </w:tc>
        <w:tc>
          <w:tcPr>
            <w:tcW w:w="8245" w:type="dxa"/>
            <w:gridSpan w:val="5"/>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3、负责人相关项目业绩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5630" w:type="dxa"/>
            <w:gridSpan w:val="4"/>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项  目  名  称</w:t>
            </w:r>
          </w:p>
        </w:tc>
        <w:tc>
          <w:tcPr>
            <w:tcW w:w="3064" w:type="dxa"/>
            <w:gridSpan w:val="2"/>
            <w:noWrap/>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ign w:val="center"/>
          </w:tcPr>
          <w:p>
            <w:pPr>
              <w:spacing w:line="360" w:lineRule="exact"/>
              <w:rPr>
                <w:rFonts w:ascii="微软雅黑" w:hAnsi="微软雅黑" w:eastAsia="微软雅黑" w:cs="微软雅黑"/>
                <w:szCs w:val="21"/>
              </w:rPr>
            </w:pPr>
          </w:p>
        </w:tc>
        <w:tc>
          <w:tcPr>
            <w:tcW w:w="5630" w:type="dxa"/>
            <w:gridSpan w:val="4"/>
            <w:noWrap/>
            <w:vAlign w:val="center"/>
          </w:tcPr>
          <w:p>
            <w:pPr>
              <w:spacing w:line="360" w:lineRule="exact"/>
              <w:rPr>
                <w:rFonts w:ascii="微软雅黑" w:hAnsi="微软雅黑" w:eastAsia="微软雅黑" w:cs="微软雅黑"/>
                <w:szCs w:val="21"/>
              </w:rPr>
            </w:pPr>
          </w:p>
        </w:tc>
        <w:tc>
          <w:tcPr>
            <w:tcW w:w="3064" w:type="dxa"/>
            <w:gridSpan w:val="2"/>
            <w:noWrap/>
            <w:vAlign w:val="center"/>
          </w:tcPr>
          <w:p>
            <w:pPr>
              <w:spacing w:line="360" w:lineRule="exact"/>
              <w:rPr>
                <w:rFonts w:ascii="微软雅黑" w:hAnsi="微软雅黑" w:eastAsia="微软雅黑" w:cs="微软雅黑"/>
                <w:szCs w:val="21"/>
              </w:rPr>
            </w:pPr>
          </w:p>
        </w:tc>
      </w:tr>
    </w:tbl>
    <w:p>
      <w:pPr>
        <w:spacing w:line="380" w:lineRule="exact"/>
        <w:rPr>
          <w:rFonts w:ascii="微软雅黑" w:hAnsi="微软雅黑" w:eastAsia="微软雅黑" w:cs="微软雅黑"/>
          <w:szCs w:val="21"/>
        </w:rPr>
      </w:pPr>
      <w:r>
        <w:rPr>
          <w:rFonts w:hint="eastAsia" w:ascii="微软雅黑" w:hAnsi="微软雅黑" w:eastAsia="微软雅黑" w:cs="微软雅黑"/>
          <w:szCs w:val="21"/>
        </w:rPr>
        <w:t>注：</w:t>
      </w:r>
    </w:p>
    <w:p>
      <w:pPr>
        <w:spacing w:line="380" w:lineRule="exact"/>
        <w:rPr>
          <w:rFonts w:ascii="微软雅黑" w:hAnsi="微软雅黑" w:eastAsia="微软雅黑" w:cs="微软雅黑"/>
          <w:szCs w:val="21"/>
        </w:rPr>
      </w:pPr>
      <w:r>
        <w:rPr>
          <w:rFonts w:hint="eastAsia" w:ascii="微软雅黑" w:hAnsi="微软雅黑" w:eastAsia="微软雅黑" w:cs="微软雅黑"/>
          <w:szCs w:val="21"/>
        </w:rPr>
        <w:t>1、本表可在不改变格式的情况下根据具体需要自行增减。</w:t>
      </w:r>
    </w:p>
    <w:p>
      <w:pPr>
        <w:pStyle w:val="12"/>
        <w:spacing w:line="400" w:lineRule="atLeast"/>
        <w:ind w:left="1"/>
        <w:jc w:val="center"/>
        <w:rPr>
          <w:rFonts w:ascii="微软雅黑" w:hAnsi="微软雅黑" w:eastAsia="微软雅黑" w:cs="微软雅黑"/>
          <w:b/>
        </w:rPr>
      </w:pPr>
    </w:p>
    <w:p>
      <w:pPr>
        <w:spacing w:line="380" w:lineRule="exact"/>
        <w:ind w:firstLine="5600" w:firstLineChars="2000"/>
        <w:rPr>
          <w:rFonts w:ascii="微软雅黑" w:hAnsi="微软雅黑" w:eastAsia="微软雅黑" w:cs="微软雅黑"/>
          <w:szCs w:val="21"/>
        </w:rPr>
      </w:pPr>
      <w:r>
        <w:rPr>
          <w:rFonts w:hint="eastAsia" w:ascii="微软雅黑" w:hAnsi="微软雅黑" w:eastAsia="微软雅黑" w:cs="微软雅黑"/>
          <w:szCs w:val="21"/>
        </w:rPr>
        <w:t>供应商全称（盖章）：</w:t>
      </w:r>
    </w:p>
    <w:p>
      <w:pPr>
        <w:spacing w:line="380" w:lineRule="exact"/>
        <w:ind w:firstLine="5600" w:firstLineChars="2000"/>
        <w:rPr>
          <w:rFonts w:ascii="微软雅黑" w:hAnsi="微软雅黑" w:eastAsia="微软雅黑" w:cs="微软雅黑"/>
          <w:szCs w:val="21"/>
        </w:rPr>
      </w:pPr>
      <w:r>
        <w:rPr>
          <w:rFonts w:hint="eastAsia" w:ascii="微软雅黑" w:hAnsi="微软雅黑" w:eastAsia="微软雅黑" w:cs="微软雅黑"/>
          <w:szCs w:val="21"/>
        </w:rPr>
        <w:t>法定代表人或授权代表（签字）：</w:t>
      </w:r>
    </w:p>
    <w:p>
      <w:pPr>
        <w:spacing w:line="380" w:lineRule="exact"/>
        <w:ind w:firstLine="5600" w:firstLineChars="2000"/>
        <w:rPr>
          <w:rFonts w:ascii="微软雅黑" w:hAnsi="微软雅黑" w:eastAsia="微软雅黑" w:cs="微软雅黑"/>
          <w:szCs w:val="21"/>
        </w:rPr>
      </w:pPr>
      <w:r>
        <w:rPr>
          <w:rFonts w:hint="eastAsia" w:ascii="微软雅黑" w:hAnsi="微软雅黑" w:eastAsia="微软雅黑" w:cs="微软雅黑"/>
          <w:szCs w:val="21"/>
        </w:rPr>
        <w:t>日期：  年   月  日</w:t>
      </w:r>
    </w:p>
    <w:p>
      <w:pPr>
        <w:spacing w:line="360" w:lineRule="auto"/>
        <w:jc w:val="center"/>
        <w:rPr>
          <w:rFonts w:ascii="微软雅黑" w:hAnsi="微软雅黑" w:eastAsia="微软雅黑" w:cs="微软雅黑"/>
          <w:b/>
          <w:bCs/>
          <w:szCs w:val="28"/>
        </w:rPr>
        <w:sectPr>
          <w:pgSz w:w="11906" w:h="16838"/>
          <w:pgMar w:top="1531" w:right="779" w:bottom="1134" w:left="1134" w:header="851" w:footer="427" w:gutter="0"/>
          <w:cols w:space="720" w:num="1"/>
          <w:docGrid w:linePitch="312" w:charSpace="0"/>
        </w:sectPr>
      </w:pPr>
    </w:p>
    <w:p>
      <w:pPr>
        <w:pStyle w:val="6"/>
        <w:snapToGrid w:val="0"/>
        <w:spacing w:before="0" w:after="0" w:line="600" w:lineRule="exact"/>
        <w:jc w:val="center"/>
        <w:rPr>
          <w:rFonts w:ascii="微软雅黑" w:hAnsi="微软雅黑" w:eastAsia="微软雅黑" w:cs="微软雅黑"/>
          <w:sz w:val="28"/>
          <w:szCs w:val="28"/>
        </w:rPr>
      </w:pPr>
      <w:r>
        <w:rPr>
          <w:rFonts w:hint="eastAsia" w:ascii="微软雅黑" w:hAnsi="微软雅黑" w:eastAsia="微软雅黑" w:cs="微软雅黑"/>
          <w:sz w:val="28"/>
          <w:szCs w:val="28"/>
        </w:rPr>
        <w:t>项目组管理人员配备一栏表</w:t>
      </w:r>
    </w:p>
    <w:p>
      <w:pPr>
        <w:spacing w:line="480" w:lineRule="exact"/>
        <w:rPr>
          <w:rFonts w:ascii="微软雅黑" w:hAnsi="微软雅黑" w:eastAsia="微软雅黑" w:cs="微软雅黑"/>
          <w:b/>
          <w:sz w:val="24"/>
        </w:rPr>
      </w:pPr>
      <w:r>
        <w:rPr>
          <w:rFonts w:hint="eastAsia" w:ascii="微软雅黑" w:hAnsi="微软雅黑" w:eastAsia="微软雅黑" w:cs="微软雅黑"/>
          <w:sz w:val="24"/>
        </w:rPr>
        <w:t>投标供应商全称（加盖公章）：             项目编号：</w:t>
      </w:r>
    </w:p>
    <w:p>
      <w:pPr>
        <w:spacing w:line="480" w:lineRule="exact"/>
        <w:jc w:val="center"/>
        <w:rPr>
          <w:rFonts w:ascii="微软雅黑" w:hAnsi="微软雅黑" w:eastAsia="微软雅黑" w:cs="微软雅黑"/>
          <w:b/>
          <w:bCs/>
          <w:szCs w:val="28"/>
        </w:rPr>
      </w:pPr>
    </w:p>
    <w:tbl>
      <w:tblPr>
        <w:tblStyle w:val="1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1"/>
        <w:gridCol w:w="2301"/>
        <w:gridCol w:w="267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序号</w:t>
            </w:r>
          </w:p>
        </w:tc>
        <w:tc>
          <w:tcPr>
            <w:tcW w:w="971"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姓名</w:t>
            </w:r>
          </w:p>
        </w:tc>
        <w:tc>
          <w:tcPr>
            <w:tcW w:w="2301"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在本次项目中担任的岗位</w:t>
            </w:r>
          </w:p>
        </w:tc>
        <w:tc>
          <w:tcPr>
            <w:tcW w:w="2674"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身份证号码</w:t>
            </w:r>
          </w:p>
        </w:tc>
        <w:tc>
          <w:tcPr>
            <w:tcW w:w="3005" w:type="dxa"/>
            <w:noWrap/>
            <w:vAlign w:val="center"/>
          </w:tcPr>
          <w:p>
            <w:pPr>
              <w:adjustRightInd w:val="0"/>
              <w:snapToGrid w:val="0"/>
              <w:spacing w:before="120" w:beforeLines="50" w:after="120" w:afterLines="50" w:line="400" w:lineRule="exact"/>
              <w:jc w:val="center"/>
              <w:rPr>
                <w:rFonts w:ascii="微软雅黑" w:hAnsi="微软雅黑" w:eastAsia="微软雅黑" w:cs="微软雅黑"/>
                <w:b/>
                <w:sz w:val="24"/>
              </w:rPr>
            </w:pPr>
            <w:r>
              <w:rPr>
                <w:rFonts w:hint="eastAsia" w:ascii="微软雅黑" w:hAnsi="微软雅黑" w:eastAsia="微软雅黑" w:cs="微软雅黑"/>
                <w:b/>
                <w:sz w:val="24"/>
              </w:rPr>
              <w:t>相应岗位</w:t>
            </w:r>
          </w:p>
          <w:p>
            <w:pPr>
              <w:adjustRightInd w:val="0"/>
              <w:snapToGrid w:val="0"/>
              <w:spacing w:before="120" w:beforeLines="50" w:after="120" w:afterLines="50" w:line="400" w:lineRule="exact"/>
              <w:jc w:val="center"/>
              <w:rPr>
                <w:rFonts w:ascii="微软雅黑" w:hAnsi="微软雅黑" w:eastAsia="微软雅黑" w:cs="微软雅黑"/>
                <w:b/>
                <w:sz w:val="24"/>
              </w:rPr>
            </w:pPr>
            <w:r>
              <w:rPr>
                <w:rFonts w:hint="eastAsia" w:ascii="微软雅黑" w:hAnsi="微软雅黑" w:eastAsia="微软雅黑" w:cs="微软雅黑"/>
                <w:b/>
                <w:sz w:val="24"/>
              </w:rPr>
              <w:t>资质证书要求（如有）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1</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2</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3</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4</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5</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6</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7</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27" w:type="dxa"/>
            <w:noWrap/>
            <w:vAlign w:val="center"/>
          </w:tcPr>
          <w:p>
            <w:pPr>
              <w:adjustRightInd w:val="0"/>
              <w:snapToGrid w:val="0"/>
              <w:spacing w:before="120" w:beforeLines="50" w:after="120" w:afterLines="50" w:line="360" w:lineRule="auto"/>
              <w:jc w:val="center"/>
              <w:rPr>
                <w:rFonts w:ascii="微软雅黑" w:hAnsi="微软雅黑" w:eastAsia="微软雅黑" w:cs="微软雅黑"/>
                <w:b/>
                <w:sz w:val="24"/>
              </w:rPr>
            </w:pPr>
            <w:r>
              <w:rPr>
                <w:rFonts w:hint="eastAsia" w:ascii="微软雅黑" w:hAnsi="微软雅黑" w:eastAsia="微软雅黑" w:cs="微软雅黑"/>
                <w:b/>
                <w:sz w:val="24"/>
              </w:rPr>
              <w:t>8</w:t>
            </w:r>
          </w:p>
        </w:tc>
        <w:tc>
          <w:tcPr>
            <w:tcW w:w="97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301"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2674"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c>
          <w:tcPr>
            <w:tcW w:w="3005" w:type="dxa"/>
            <w:noWrap/>
            <w:vAlign w:val="center"/>
          </w:tcPr>
          <w:p>
            <w:pPr>
              <w:adjustRightInd w:val="0"/>
              <w:snapToGrid w:val="0"/>
              <w:spacing w:before="120" w:beforeLines="50" w:after="120" w:afterLines="50" w:line="360" w:lineRule="auto"/>
              <w:ind w:firstLine="480" w:firstLineChars="200"/>
              <w:jc w:val="center"/>
              <w:rPr>
                <w:rFonts w:ascii="微软雅黑" w:hAnsi="微软雅黑" w:eastAsia="微软雅黑" w:cs="微软雅黑"/>
                <w:b/>
                <w:sz w:val="24"/>
              </w:rPr>
            </w:pPr>
          </w:p>
        </w:tc>
      </w:tr>
    </w:tbl>
    <w:p>
      <w:pPr>
        <w:adjustRightInd w:val="0"/>
        <w:snapToGrid w:val="0"/>
        <w:spacing w:line="360" w:lineRule="auto"/>
        <w:ind w:left="900"/>
        <w:jc w:val="left"/>
        <w:rPr>
          <w:rFonts w:ascii="仿宋" w:hAnsi="仿宋" w:eastAsia="仿宋"/>
          <w:sz w:val="24"/>
        </w:rPr>
      </w:pPr>
    </w:p>
    <w:p>
      <w:pPr>
        <w:pStyle w:val="12"/>
        <w:spacing w:before="120" w:after="120"/>
        <w:ind w:left="266"/>
        <w:rPr>
          <w:rFonts w:ascii="微软雅黑" w:hAnsi="微软雅黑" w:eastAsia="微软雅黑" w:cs="微软雅黑"/>
          <w:sz w:val="28"/>
          <w:szCs w:val="28"/>
        </w:rPr>
      </w:pPr>
      <w:r>
        <w:rPr>
          <w:rFonts w:hint="eastAsia" w:ascii="微软雅黑" w:hAnsi="微软雅黑" w:eastAsia="微软雅黑" w:cs="微软雅黑"/>
          <w:sz w:val="28"/>
          <w:szCs w:val="28"/>
        </w:rPr>
        <w:t>注：1、此表仅提供了表格形式，投标供应商应根据需要准备足够数量的表格来填写，上表中行数不够可自行添加</w:t>
      </w:r>
    </w:p>
    <w:p>
      <w:pPr>
        <w:spacing w:line="360" w:lineRule="auto"/>
        <w:ind w:firstLine="280" w:firstLineChars="100"/>
        <w:rPr>
          <w:rFonts w:ascii="微软雅黑" w:hAnsi="微软雅黑" w:eastAsia="微软雅黑" w:cs="微软雅黑"/>
          <w:b/>
          <w:bCs/>
          <w:szCs w:val="28"/>
        </w:rPr>
      </w:pPr>
      <w:r>
        <w:rPr>
          <w:rFonts w:hint="eastAsia" w:ascii="微软雅黑" w:hAnsi="微软雅黑" w:eastAsia="微软雅黑" w:cs="微软雅黑"/>
          <w:szCs w:val="28"/>
        </w:rPr>
        <w:t>2、需按招标文件要求提供相关人员证书复印件及社保证明。</w:t>
      </w:r>
    </w:p>
    <w:p>
      <w:pPr>
        <w:pStyle w:val="8"/>
        <w:jc w:val="left"/>
        <w:rPr>
          <w:rFonts w:ascii="微软雅黑" w:hAnsi="微软雅黑" w:eastAsia="微软雅黑" w:cs="微软雅黑"/>
          <w:sz w:val="28"/>
          <w:szCs w:val="28"/>
        </w:rPr>
      </w:pPr>
      <w:r>
        <w:rPr>
          <w:rFonts w:hint="eastAsia" w:ascii="微软雅黑" w:hAnsi="微软雅黑" w:eastAsia="微软雅黑" w:cs="微软雅黑"/>
          <w:sz w:val="28"/>
          <w:szCs w:val="28"/>
        </w:rPr>
        <w:t xml:space="preserve">投标人全称（电子签章）： </w:t>
      </w:r>
    </w:p>
    <w:p>
      <w:pPr>
        <w:pStyle w:val="8"/>
        <w:jc w:val="left"/>
        <w:rPr>
          <w:rFonts w:ascii="宋体" w:hAnsi="宋体" w:cs="宋体"/>
          <w:sz w:val="28"/>
          <w:szCs w:val="28"/>
        </w:rPr>
      </w:pPr>
      <w:r>
        <w:rPr>
          <w:rFonts w:hint="eastAsia" w:ascii="微软雅黑" w:hAnsi="微软雅黑" w:eastAsia="微软雅黑" w:cs="微软雅黑"/>
          <w:sz w:val="28"/>
          <w:szCs w:val="28"/>
        </w:rPr>
        <w:t xml:space="preserve">法定代表人或其授权代理人（签名或盖章）    </w:t>
      </w:r>
    </w:p>
    <w:p>
      <w:pPr>
        <w:spacing w:line="360" w:lineRule="auto"/>
        <w:jc w:val="center"/>
        <w:rPr>
          <w:rFonts w:ascii="微软雅黑" w:hAnsi="微软雅黑" w:eastAsia="微软雅黑" w:cs="微软雅黑"/>
          <w:b/>
          <w:bCs/>
          <w:szCs w:val="28"/>
        </w:rPr>
      </w:pPr>
      <w:r>
        <w:rPr>
          <w:rFonts w:hint="eastAsia" w:ascii="宋体" w:hAnsi="宋体" w:cs="宋体"/>
          <w:szCs w:val="28"/>
        </w:rPr>
        <w:t xml:space="preserve">                                          年    月    日</w:t>
      </w: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rPr>
          <w:rFonts w:ascii="微软雅黑" w:hAnsi="微软雅黑" w:eastAsia="微软雅黑" w:cs="微软雅黑"/>
          <w:b/>
          <w:bCs/>
          <w:sz w:val="24"/>
        </w:rPr>
      </w:pPr>
    </w:p>
    <w:p>
      <w:pPr>
        <w:pStyle w:val="2"/>
        <w:ind w:firstLine="280"/>
        <w:rPr>
          <w:rFonts w:ascii="微软雅黑" w:hAnsi="微软雅黑" w:eastAsia="微软雅黑" w:cs="微软雅黑"/>
        </w:rPr>
      </w:pPr>
    </w:p>
    <w:p>
      <w:pPr>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管理作业方案</w:t>
      </w:r>
    </w:p>
    <w:p>
      <w:pPr>
        <w:spacing w:line="360" w:lineRule="auto"/>
        <w:jc w:val="center"/>
        <w:rPr>
          <w:rFonts w:ascii="微软雅黑" w:hAnsi="微软雅黑" w:eastAsia="微软雅黑" w:cs="微软雅黑"/>
          <w:b/>
          <w:bCs/>
          <w:sz w:val="24"/>
        </w:rPr>
      </w:pPr>
    </w:p>
    <w:p>
      <w:pPr>
        <w:spacing w:line="360" w:lineRule="auto"/>
        <w:jc w:val="center"/>
        <w:rPr>
          <w:rFonts w:ascii="微软雅黑" w:hAnsi="微软雅黑" w:eastAsia="微软雅黑" w:cs="微软雅黑"/>
          <w:b/>
          <w:bCs/>
          <w:sz w:val="24"/>
        </w:rPr>
      </w:pPr>
    </w:p>
    <w:p>
      <w:pPr>
        <w:spacing w:line="360" w:lineRule="auto"/>
        <w:jc w:val="center"/>
        <w:rPr>
          <w:rFonts w:ascii="微软雅黑" w:hAnsi="微软雅黑" w:eastAsia="微软雅黑" w:cs="微软雅黑"/>
          <w:b/>
          <w:bCs/>
          <w:sz w:val="24"/>
        </w:rPr>
      </w:pPr>
    </w:p>
    <w:p>
      <w:pPr>
        <w:spacing w:line="360" w:lineRule="auto"/>
        <w:jc w:val="center"/>
        <w:rPr>
          <w:rFonts w:ascii="微软雅黑" w:hAnsi="微软雅黑" w:eastAsia="微软雅黑" w:cs="微软雅黑"/>
          <w:b/>
          <w:bCs/>
          <w:sz w:val="24"/>
        </w:rPr>
      </w:pP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投标供应商：（盖章）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8"/>
        <w:spacing w:line="500" w:lineRule="exact"/>
        <w:ind w:firstLine="374" w:firstLineChars="156"/>
        <w:jc w:val="center"/>
        <w:rPr>
          <w:rFonts w:ascii="微软雅黑" w:hAnsi="微软雅黑" w:eastAsia="微软雅黑" w:cs="微软雅黑"/>
          <w:sz w:val="24"/>
          <w:szCs w:val="24"/>
        </w:rPr>
      </w:pPr>
    </w:p>
    <w:p>
      <w:pPr>
        <w:spacing w:line="360" w:lineRule="auto"/>
        <w:rPr>
          <w:rFonts w:ascii="微软雅黑" w:hAnsi="微软雅黑" w:eastAsia="微软雅黑" w:cs="微软雅黑"/>
          <w:b/>
          <w:bCs/>
          <w:sz w:val="24"/>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pStyle w:val="2"/>
        <w:ind w:firstLine="280"/>
        <w:rPr>
          <w:rFonts w:ascii="微软雅黑" w:hAnsi="微软雅黑" w:eastAsia="微软雅黑" w:cs="微软雅黑"/>
        </w:rPr>
      </w:pPr>
    </w:p>
    <w:p>
      <w:pPr>
        <w:spacing w:line="360" w:lineRule="auto"/>
        <w:jc w:val="center"/>
        <w:rPr>
          <w:rFonts w:ascii="微软雅黑" w:hAnsi="微软雅黑" w:eastAsia="微软雅黑" w:cs="微软雅黑"/>
          <w:b/>
          <w:bCs/>
          <w:sz w:val="24"/>
        </w:rPr>
      </w:pPr>
    </w:p>
    <w:p>
      <w:pPr>
        <w:ind w:right="-1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拟投入车辆设备一览表</w:t>
      </w:r>
    </w:p>
    <w:p>
      <w:pPr>
        <w:spacing w:after="120" w:afterLines="50" w:line="400" w:lineRule="exact"/>
        <w:rPr>
          <w:rFonts w:ascii="微软雅黑" w:hAnsi="微软雅黑" w:eastAsia="微软雅黑" w:cs="微软雅黑"/>
          <w:sz w:val="22"/>
          <w:szCs w:val="22"/>
        </w:rPr>
      </w:pPr>
      <w:r>
        <w:rPr>
          <w:rFonts w:hint="eastAsia" w:ascii="微软雅黑" w:hAnsi="微软雅黑" w:eastAsia="微软雅黑" w:cs="微软雅黑"/>
          <w:sz w:val="22"/>
          <w:szCs w:val="22"/>
        </w:rPr>
        <w:t>项目名称（标段）：                                                  采购编号：</w:t>
      </w:r>
    </w:p>
    <w:tbl>
      <w:tblPr>
        <w:tblStyle w:val="19"/>
        <w:tblW w:w="10156" w:type="dxa"/>
        <w:tblInd w:w="0" w:type="dxa"/>
        <w:tblLayout w:type="fixed"/>
        <w:tblCellMar>
          <w:top w:w="0" w:type="dxa"/>
          <w:left w:w="108" w:type="dxa"/>
          <w:bottom w:w="0" w:type="dxa"/>
          <w:right w:w="108" w:type="dxa"/>
        </w:tblCellMar>
      </w:tblPr>
      <w:tblGrid>
        <w:gridCol w:w="494"/>
        <w:gridCol w:w="1532"/>
        <w:gridCol w:w="1221"/>
        <w:gridCol w:w="1087"/>
        <w:gridCol w:w="1154"/>
        <w:gridCol w:w="1262"/>
        <w:gridCol w:w="1080"/>
        <w:gridCol w:w="1096"/>
        <w:gridCol w:w="1230"/>
      </w:tblGrid>
      <w:tr>
        <w:tblPrEx>
          <w:tblCellMar>
            <w:top w:w="0" w:type="dxa"/>
            <w:left w:w="108" w:type="dxa"/>
            <w:bottom w:w="0" w:type="dxa"/>
            <w:right w:w="108" w:type="dxa"/>
          </w:tblCellMar>
        </w:tblPrEx>
        <w:trPr>
          <w:cantSplit/>
          <w:trHeight w:val="970" w:hRule="atLeast"/>
        </w:trPr>
        <w:tc>
          <w:tcPr>
            <w:tcW w:w="494" w:type="dxa"/>
            <w:tcBorders>
              <w:top w:val="single" w:color="auto" w:sz="12" w:space="0"/>
              <w:left w:val="single" w:color="auto" w:sz="12"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1532" w:type="dxa"/>
            <w:tcBorders>
              <w:top w:val="single" w:color="auto" w:sz="12"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设备名称</w:t>
            </w:r>
          </w:p>
        </w:tc>
        <w:tc>
          <w:tcPr>
            <w:tcW w:w="1221" w:type="dxa"/>
            <w:tcBorders>
              <w:top w:val="single" w:color="auto" w:sz="12"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数量</w:t>
            </w:r>
          </w:p>
        </w:tc>
        <w:tc>
          <w:tcPr>
            <w:tcW w:w="1087" w:type="dxa"/>
            <w:tcBorders>
              <w:top w:val="single" w:color="auto" w:sz="12"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购置时间</w:t>
            </w:r>
          </w:p>
        </w:tc>
        <w:tc>
          <w:tcPr>
            <w:tcW w:w="1154" w:type="dxa"/>
            <w:tcBorders>
              <w:top w:val="single" w:color="auto" w:sz="12"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规格型号</w:t>
            </w:r>
          </w:p>
        </w:tc>
        <w:tc>
          <w:tcPr>
            <w:tcW w:w="1262" w:type="dxa"/>
            <w:tcBorders>
              <w:top w:val="single" w:color="auto" w:sz="12"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总质量、核定载质量</w:t>
            </w:r>
          </w:p>
        </w:tc>
        <w:tc>
          <w:tcPr>
            <w:tcW w:w="1080" w:type="dxa"/>
            <w:tcBorders>
              <w:top w:val="single" w:color="auto" w:sz="12"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品牌/产地</w:t>
            </w:r>
          </w:p>
        </w:tc>
        <w:tc>
          <w:tcPr>
            <w:tcW w:w="1096" w:type="dxa"/>
            <w:tcBorders>
              <w:top w:val="single" w:color="auto" w:sz="12"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车牌号</w:t>
            </w:r>
          </w:p>
        </w:tc>
        <w:tc>
          <w:tcPr>
            <w:tcW w:w="1230" w:type="dxa"/>
            <w:tcBorders>
              <w:top w:val="single" w:color="auto" w:sz="12"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备注</w:t>
            </w: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532" w:type="dxa"/>
            <w:tcBorders>
              <w:top w:val="single" w:color="auto" w:sz="6" w:space="0"/>
              <w:left w:val="single" w:color="auto" w:sz="6" w:space="0"/>
              <w:bottom w:val="single" w:color="auto" w:sz="6" w:space="0"/>
              <w:right w:val="single" w:color="auto" w:sz="6" w:space="0"/>
            </w:tcBorders>
            <w:noWrap/>
          </w:tcPr>
          <w:p>
            <w:pPr>
              <w:widowControl/>
              <w:autoSpaceDE w:val="0"/>
              <w:autoSpaceDN w:val="0"/>
              <w:adjustRightInd w:val="0"/>
              <w:spacing w:line="440" w:lineRule="exact"/>
              <w:jc w:val="center"/>
              <w:textAlignment w:val="bottom"/>
              <w:rPr>
                <w:rFonts w:ascii="微软雅黑" w:hAnsi="微软雅黑" w:eastAsia="微软雅黑" w:cs="微软雅黑"/>
                <w:sz w:val="18"/>
                <w:szCs w:val="18"/>
              </w:rPr>
            </w:pPr>
            <w:r>
              <w:rPr>
                <w:rFonts w:hint="eastAsia" w:ascii="微软雅黑" w:hAnsi="微软雅黑" w:eastAsia="微软雅黑" w:cs="微软雅黑"/>
                <w:kern w:val="0"/>
                <w:sz w:val="22"/>
                <w:szCs w:val="22"/>
              </w:rPr>
              <w:t>.........</w:t>
            </w: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自有/租赁</w:t>
            </w:r>
          </w:p>
        </w:tc>
      </w:tr>
      <w:tr>
        <w:tblPrEx>
          <w:tblCellMar>
            <w:top w:w="0" w:type="dxa"/>
            <w:left w:w="108" w:type="dxa"/>
            <w:bottom w:w="0" w:type="dxa"/>
            <w:right w:w="108" w:type="dxa"/>
          </w:tblCellMar>
        </w:tblPrEx>
        <w:trPr>
          <w:cantSplit/>
          <w:trHeight w:val="577"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532" w:type="dxa"/>
            <w:tcBorders>
              <w:top w:val="single" w:color="auto" w:sz="6" w:space="0"/>
              <w:left w:val="single" w:color="auto" w:sz="6" w:space="0"/>
              <w:bottom w:val="single" w:color="auto" w:sz="6" w:space="0"/>
              <w:right w:val="single" w:color="auto" w:sz="6" w:space="0"/>
            </w:tcBorders>
            <w:noWrap/>
          </w:tcPr>
          <w:p>
            <w:pPr>
              <w:widowControl/>
              <w:autoSpaceDE w:val="0"/>
              <w:autoSpaceDN w:val="0"/>
              <w:adjustRightInd w:val="0"/>
              <w:spacing w:line="440" w:lineRule="exact"/>
              <w:jc w:val="center"/>
              <w:textAlignment w:val="bottom"/>
              <w:rPr>
                <w:rFonts w:ascii="微软雅黑" w:hAnsi="微软雅黑" w:eastAsia="微软雅黑" w:cs="微软雅黑"/>
                <w:sz w:val="18"/>
                <w:szCs w:val="18"/>
              </w:rPr>
            </w:pPr>
            <w:r>
              <w:rPr>
                <w:rFonts w:hint="eastAsia" w:ascii="微软雅黑" w:hAnsi="微软雅黑" w:eastAsia="微软雅黑" w:cs="微软雅黑"/>
                <w:kern w:val="0"/>
                <w:sz w:val="22"/>
                <w:szCs w:val="22"/>
              </w:rPr>
              <w:t>.........</w:t>
            </w: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795"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3</w:t>
            </w:r>
          </w:p>
        </w:tc>
        <w:tc>
          <w:tcPr>
            <w:tcW w:w="1532" w:type="dxa"/>
            <w:tcBorders>
              <w:top w:val="single" w:color="auto" w:sz="6" w:space="0"/>
              <w:left w:val="single" w:color="auto" w:sz="6" w:space="0"/>
              <w:bottom w:val="single" w:color="auto" w:sz="6" w:space="0"/>
              <w:right w:val="single" w:color="auto" w:sz="6" w:space="0"/>
            </w:tcBorders>
            <w:noWrap/>
          </w:tcPr>
          <w:p>
            <w:pPr>
              <w:widowControl/>
              <w:autoSpaceDE w:val="0"/>
              <w:autoSpaceDN w:val="0"/>
              <w:adjustRightInd w:val="0"/>
              <w:spacing w:line="440" w:lineRule="exact"/>
              <w:jc w:val="center"/>
              <w:textAlignment w:val="bottom"/>
              <w:rPr>
                <w:rFonts w:ascii="微软雅黑" w:hAnsi="微软雅黑" w:eastAsia="微软雅黑" w:cs="微软雅黑"/>
                <w:sz w:val="18"/>
                <w:szCs w:val="18"/>
              </w:rPr>
            </w:pPr>
            <w:r>
              <w:rPr>
                <w:rFonts w:hint="eastAsia" w:ascii="微软雅黑" w:hAnsi="微软雅黑" w:eastAsia="微软雅黑" w:cs="微软雅黑"/>
                <w:kern w:val="0"/>
                <w:sz w:val="22"/>
                <w:szCs w:val="22"/>
              </w:rPr>
              <w:t>.........</w:t>
            </w: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4</w:t>
            </w:r>
          </w:p>
        </w:tc>
        <w:tc>
          <w:tcPr>
            <w:tcW w:w="1532" w:type="dxa"/>
            <w:tcBorders>
              <w:top w:val="single" w:color="auto" w:sz="6" w:space="0"/>
              <w:left w:val="single" w:color="auto" w:sz="6" w:space="0"/>
              <w:bottom w:val="single" w:color="auto" w:sz="6" w:space="0"/>
              <w:right w:val="single" w:color="auto" w:sz="6" w:space="0"/>
            </w:tcBorders>
            <w:noWrap/>
          </w:tcPr>
          <w:p>
            <w:pPr>
              <w:widowControl/>
              <w:autoSpaceDE w:val="0"/>
              <w:autoSpaceDN w:val="0"/>
              <w:adjustRightInd w:val="0"/>
              <w:spacing w:line="440" w:lineRule="exact"/>
              <w:jc w:val="center"/>
              <w:textAlignment w:val="bottom"/>
              <w:rPr>
                <w:rFonts w:ascii="微软雅黑" w:hAnsi="微软雅黑" w:eastAsia="微软雅黑" w:cs="微软雅黑"/>
                <w:kern w:val="0"/>
                <w:sz w:val="18"/>
                <w:szCs w:val="18"/>
              </w:rPr>
            </w:pPr>
            <w:r>
              <w:rPr>
                <w:rFonts w:hint="eastAsia" w:ascii="微软雅黑" w:hAnsi="微软雅黑" w:eastAsia="微软雅黑" w:cs="微软雅黑"/>
                <w:kern w:val="0"/>
                <w:sz w:val="22"/>
                <w:szCs w:val="22"/>
              </w:rPr>
              <w:t>.........</w:t>
            </w: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5</w:t>
            </w:r>
          </w:p>
        </w:tc>
        <w:tc>
          <w:tcPr>
            <w:tcW w:w="1532" w:type="dxa"/>
            <w:tcBorders>
              <w:top w:val="single" w:color="auto" w:sz="6" w:space="0"/>
              <w:left w:val="single" w:color="auto" w:sz="6" w:space="0"/>
              <w:bottom w:val="single" w:color="auto" w:sz="6" w:space="0"/>
              <w:right w:val="single" w:color="auto" w:sz="6" w:space="0"/>
            </w:tcBorders>
            <w:noWrap/>
          </w:tcPr>
          <w:p>
            <w:pPr>
              <w:widowControl/>
              <w:jc w:val="center"/>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w:t>
            </w: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sz w:val="22"/>
                <w:szCs w:val="22"/>
              </w:rPr>
            </w:pPr>
            <w:r>
              <w:rPr>
                <w:rFonts w:hint="eastAsia" w:ascii="微软雅黑" w:hAnsi="微软雅黑" w:eastAsia="微软雅黑" w:cs="微软雅黑"/>
                <w:kern w:val="0"/>
                <w:sz w:val="22"/>
                <w:szCs w:val="22"/>
              </w:rPr>
              <w:t>6</w:t>
            </w:r>
          </w:p>
        </w:tc>
        <w:tc>
          <w:tcPr>
            <w:tcW w:w="1532" w:type="dxa"/>
            <w:tcBorders>
              <w:top w:val="single" w:color="auto" w:sz="6" w:space="0"/>
              <w:left w:val="single" w:color="auto" w:sz="6" w:space="0"/>
              <w:bottom w:val="single" w:color="auto" w:sz="6" w:space="0"/>
              <w:right w:val="single" w:color="auto" w:sz="6" w:space="0"/>
            </w:tcBorders>
            <w:noWrap/>
          </w:tcPr>
          <w:p>
            <w:pPr>
              <w:widowControl/>
              <w:jc w:val="center"/>
              <w:rPr>
                <w:rFonts w:ascii="微软雅黑" w:hAnsi="微软雅黑" w:eastAsia="微软雅黑" w:cs="微软雅黑"/>
                <w:kern w:val="0"/>
                <w:sz w:val="22"/>
                <w:szCs w:val="22"/>
              </w:rPr>
            </w:pP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98" w:hRule="atLeast"/>
        </w:trPr>
        <w:tc>
          <w:tcPr>
            <w:tcW w:w="494"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微软雅黑" w:hAnsi="微软雅黑" w:eastAsia="微软雅黑" w:cs="微软雅黑"/>
                <w:kern w:val="0"/>
                <w:sz w:val="22"/>
                <w:szCs w:val="22"/>
              </w:rPr>
            </w:pPr>
            <w:r>
              <w:rPr>
                <w:rFonts w:hint="eastAsia" w:ascii="微软雅黑" w:hAnsi="微软雅黑" w:eastAsia="微软雅黑" w:cs="微软雅黑"/>
                <w:kern w:val="0"/>
                <w:sz w:val="22"/>
                <w:szCs w:val="22"/>
              </w:rPr>
              <w:t>7</w:t>
            </w:r>
          </w:p>
        </w:tc>
        <w:tc>
          <w:tcPr>
            <w:tcW w:w="1532" w:type="dxa"/>
            <w:tcBorders>
              <w:top w:val="single" w:color="auto" w:sz="6" w:space="0"/>
              <w:left w:val="single" w:color="auto" w:sz="6" w:space="0"/>
              <w:bottom w:val="single" w:color="auto" w:sz="6" w:space="0"/>
              <w:right w:val="single" w:color="auto" w:sz="6" w:space="0"/>
            </w:tcBorders>
            <w:noWrap/>
          </w:tcPr>
          <w:p>
            <w:pPr>
              <w:widowControl/>
              <w:jc w:val="center"/>
              <w:rPr>
                <w:rFonts w:ascii="微软雅黑" w:hAnsi="微软雅黑" w:eastAsia="微软雅黑" w:cs="微软雅黑"/>
                <w:kern w:val="0"/>
                <w:sz w:val="22"/>
                <w:szCs w:val="22"/>
              </w:rPr>
            </w:pPr>
          </w:p>
        </w:tc>
        <w:tc>
          <w:tcPr>
            <w:tcW w:w="1221" w:type="dxa"/>
            <w:tcBorders>
              <w:top w:val="single" w:color="auto" w:sz="6" w:space="0"/>
              <w:left w:val="single" w:color="auto" w:sz="6" w:space="0"/>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ign w:val="center"/>
          </w:tcPr>
          <w:p>
            <w:pPr>
              <w:jc w:val="center"/>
              <w:rPr>
                <w:rFonts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ign w:val="center"/>
          </w:tcPr>
          <w:p>
            <w:pPr>
              <w:jc w:val="center"/>
              <w:rPr>
                <w:rFonts w:ascii="微软雅黑" w:hAnsi="微软雅黑" w:eastAsia="微软雅黑" w:cs="微软雅黑"/>
                <w:b/>
                <w:bCs/>
                <w:sz w:val="22"/>
                <w:szCs w:val="22"/>
              </w:rPr>
            </w:pPr>
          </w:p>
        </w:tc>
        <w:tc>
          <w:tcPr>
            <w:tcW w:w="1096"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c>
          <w:tcPr>
            <w:tcW w:w="1230" w:type="dxa"/>
            <w:tcBorders>
              <w:top w:val="single" w:color="auto" w:sz="6" w:space="0"/>
              <w:left w:val="single" w:color="auto" w:sz="6" w:space="0"/>
              <w:bottom w:val="single" w:color="auto" w:sz="6" w:space="0"/>
              <w:right w:val="single" w:color="auto" w:sz="12" w:space="0"/>
            </w:tcBorders>
            <w:noWrap/>
            <w:vAlign w:val="center"/>
          </w:tcPr>
          <w:p>
            <w:pPr>
              <w:jc w:val="center"/>
              <w:rPr>
                <w:rFonts w:ascii="微软雅黑" w:hAnsi="微软雅黑" w:eastAsia="微软雅黑" w:cs="微软雅黑"/>
                <w:sz w:val="22"/>
                <w:szCs w:val="22"/>
              </w:rPr>
            </w:pPr>
          </w:p>
        </w:tc>
      </w:tr>
    </w:tbl>
    <w:p>
      <w:pPr>
        <w:pStyle w:val="8"/>
        <w:spacing w:line="334" w:lineRule="exact"/>
        <w:ind w:firstLine="0"/>
        <w:jc w:val="left"/>
        <w:rPr>
          <w:rFonts w:ascii="微软雅黑" w:hAnsi="微软雅黑" w:eastAsia="微软雅黑" w:cs="微软雅黑"/>
          <w:sz w:val="22"/>
          <w:szCs w:val="22"/>
        </w:rPr>
      </w:pPr>
      <w:r>
        <w:rPr>
          <w:rFonts w:hint="eastAsia" w:ascii="微软雅黑" w:hAnsi="微软雅黑" w:eastAsia="微软雅黑" w:cs="微软雅黑"/>
          <w:sz w:val="22"/>
          <w:szCs w:val="22"/>
        </w:rPr>
        <w:t>注： 1、本表所列为投标人拟投入的已有车辆设备，附设备照片、发票、车辆行驶证等证明材料加盖公章）及项目实施所需要的设备及工具。</w:t>
      </w:r>
    </w:p>
    <w:p>
      <w:pPr>
        <w:pStyle w:val="8"/>
        <w:spacing w:line="334" w:lineRule="exact"/>
        <w:ind w:firstLine="0"/>
        <w:jc w:val="left"/>
        <w:rPr>
          <w:rFonts w:ascii="微软雅黑" w:hAnsi="微软雅黑" w:eastAsia="微软雅黑" w:cs="微软雅黑"/>
          <w:sz w:val="22"/>
          <w:szCs w:val="22"/>
        </w:rPr>
      </w:pPr>
      <w:r>
        <w:rPr>
          <w:rFonts w:hint="eastAsia" w:ascii="微软雅黑" w:hAnsi="微软雅黑" w:eastAsia="微软雅黑" w:cs="微软雅黑"/>
          <w:sz w:val="22"/>
          <w:szCs w:val="22"/>
        </w:rPr>
        <w:t>2、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pPr>
        <w:pStyle w:val="8"/>
        <w:spacing w:line="334" w:lineRule="exact"/>
        <w:ind w:firstLine="0"/>
        <w:jc w:val="left"/>
        <w:rPr>
          <w:rFonts w:ascii="微软雅黑" w:hAnsi="微软雅黑" w:eastAsia="微软雅黑" w:cs="微软雅黑"/>
          <w:sz w:val="22"/>
          <w:szCs w:val="22"/>
        </w:rPr>
      </w:pPr>
      <w:r>
        <w:rPr>
          <w:rFonts w:hint="eastAsia" w:ascii="微软雅黑" w:hAnsi="微软雅黑" w:eastAsia="微软雅黑" w:cs="微软雅黑"/>
          <w:sz w:val="22"/>
          <w:szCs w:val="22"/>
        </w:rPr>
        <w:t>3、此表仅提供了表格形式，投标人应根据需要准备足够数量的表格来填写。</w:t>
      </w:r>
    </w:p>
    <w:p>
      <w:pPr>
        <w:pStyle w:val="8"/>
        <w:spacing w:line="334" w:lineRule="exact"/>
        <w:ind w:firstLine="0"/>
        <w:jc w:val="left"/>
        <w:rPr>
          <w:rFonts w:ascii="微软雅黑" w:hAnsi="微软雅黑" w:eastAsia="微软雅黑" w:cs="微软雅黑"/>
          <w:sz w:val="22"/>
          <w:szCs w:val="22"/>
        </w:rPr>
      </w:pPr>
      <w:r>
        <w:rPr>
          <w:rFonts w:hint="eastAsia" w:ascii="微软雅黑" w:hAnsi="微软雅黑" w:eastAsia="微软雅黑" w:cs="微软雅黑"/>
          <w:sz w:val="22"/>
          <w:szCs w:val="22"/>
        </w:rPr>
        <w:t>4、中标后必须按要求时间全部到位。</w:t>
      </w:r>
    </w:p>
    <w:p>
      <w:pPr>
        <w:adjustRightInd w:val="0"/>
        <w:snapToGrid w:val="0"/>
        <w:spacing w:line="360" w:lineRule="auto"/>
        <w:ind w:left="560" w:leftChars="200" w:firstLine="330" w:firstLineChars="150"/>
        <w:jc w:val="right"/>
        <w:rPr>
          <w:rFonts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ascii="微软雅黑" w:hAnsi="微软雅黑" w:eastAsia="微软雅黑" w:cs="微软雅黑"/>
          <w:sz w:val="22"/>
          <w:szCs w:val="22"/>
        </w:rPr>
      </w:pPr>
      <w:r>
        <w:rPr>
          <w:rFonts w:hint="eastAsia" w:ascii="微软雅黑" w:hAnsi="微软雅黑" w:eastAsia="微软雅黑" w:cs="微软雅黑"/>
          <w:sz w:val="22"/>
          <w:szCs w:val="22"/>
        </w:rPr>
        <w:t xml:space="preserve">投标人全称（盖章）：                  </w:t>
      </w:r>
    </w:p>
    <w:p>
      <w:pPr>
        <w:adjustRightInd w:val="0"/>
        <w:snapToGrid w:val="0"/>
        <w:spacing w:line="360" w:lineRule="auto"/>
        <w:ind w:left="560" w:leftChars="200" w:firstLine="330" w:firstLineChars="150"/>
        <w:jc w:val="right"/>
        <w:rPr>
          <w:rFonts w:ascii="微软雅黑" w:hAnsi="微软雅黑" w:eastAsia="微软雅黑" w:cs="微软雅黑"/>
          <w:sz w:val="22"/>
          <w:szCs w:val="22"/>
        </w:rPr>
      </w:pPr>
      <w:r>
        <w:rPr>
          <w:rFonts w:hint="eastAsia" w:ascii="微软雅黑" w:hAnsi="微软雅黑" w:eastAsia="微软雅黑" w:cs="微软雅黑"/>
          <w:sz w:val="22"/>
          <w:szCs w:val="22"/>
        </w:rPr>
        <w:t>法定代表人或授权代表（签字或盖章）：</w:t>
      </w:r>
    </w:p>
    <w:p>
      <w:pPr>
        <w:adjustRightInd w:val="0"/>
        <w:snapToGrid w:val="0"/>
        <w:spacing w:line="360" w:lineRule="auto"/>
        <w:ind w:left="560" w:leftChars="200" w:firstLine="4730" w:firstLineChars="2150"/>
        <w:rPr>
          <w:rFonts w:ascii="微软雅黑" w:hAnsi="微软雅黑" w:eastAsia="微软雅黑" w:cs="微软雅黑"/>
          <w:sz w:val="22"/>
          <w:szCs w:val="22"/>
        </w:rPr>
      </w:pPr>
      <w:r>
        <w:rPr>
          <w:rFonts w:hint="eastAsia" w:ascii="微软雅黑" w:hAnsi="微软雅黑" w:eastAsia="微软雅黑" w:cs="微软雅黑"/>
          <w:sz w:val="22"/>
          <w:szCs w:val="22"/>
        </w:rPr>
        <w:t>日          期：  年  月  日</w:t>
      </w:r>
    </w:p>
    <w:p>
      <w:pPr>
        <w:spacing w:line="380" w:lineRule="exact"/>
        <w:rPr>
          <w:rFonts w:ascii="微软雅黑" w:hAnsi="微软雅黑" w:eastAsia="微软雅黑" w:cs="微软雅黑"/>
          <w:b/>
          <w:bCs/>
          <w:sz w:val="22"/>
          <w:szCs w:val="22"/>
        </w:rPr>
        <w:sectPr>
          <w:pgSz w:w="11906" w:h="16838"/>
          <w:pgMar w:top="1531" w:right="779" w:bottom="1134" w:left="1134" w:header="851" w:footer="427" w:gutter="0"/>
          <w:cols w:space="720" w:num="1"/>
          <w:docGrid w:linePitch="312" w:charSpace="0"/>
        </w:sect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作业管理各项制度措施</w:t>
      </w:r>
    </w:p>
    <w:p>
      <w:pPr>
        <w:spacing w:line="360" w:lineRule="auto"/>
        <w:jc w:val="center"/>
        <w:rPr>
          <w:rFonts w:ascii="微软雅黑" w:hAnsi="微软雅黑" w:eastAsia="微软雅黑" w:cs="微软雅黑"/>
          <w:b/>
          <w:bCs/>
          <w:sz w:val="24"/>
        </w:rPr>
      </w:pPr>
    </w:p>
    <w:p>
      <w:pPr>
        <w:spacing w:line="360" w:lineRule="auto"/>
        <w:jc w:val="center"/>
        <w:rPr>
          <w:rFonts w:ascii="微软雅黑" w:hAnsi="微软雅黑" w:eastAsia="微软雅黑" w:cs="微软雅黑"/>
          <w:b/>
          <w:bCs/>
          <w:sz w:val="24"/>
        </w:rPr>
      </w:pPr>
    </w:p>
    <w:p>
      <w:pPr>
        <w:pStyle w:val="8"/>
        <w:spacing w:line="500" w:lineRule="exact"/>
        <w:ind w:firstLine="1574" w:firstLineChars="656"/>
        <w:rPr>
          <w:rFonts w:ascii="微软雅黑" w:hAnsi="微软雅黑" w:eastAsia="微软雅黑" w:cs="微软雅黑"/>
          <w:sz w:val="24"/>
          <w:szCs w:val="24"/>
        </w:rPr>
      </w:pPr>
    </w:p>
    <w:p>
      <w:pPr>
        <w:pStyle w:val="8"/>
        <w:spacing w:line="500" w:lineRule="exact"/>
        <w:ind w:firstLine="1574" w:firstLineChars="656"/>
        <w:rPr>
          <w:rFonts w:ascii="微软雅黑" w:hAnsi="微软雅黑" w:eastAsia="微软雅黑" w:cs="微软雅黑"/>
          <w:sz w:val="24"/>
          <w:szCs w:val="24"/>
        </w:rPr>
      </w:pP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投标供应商：（盖章）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8"/>
        <w:spacing w:line="500" w:lineRule="exact"/>
        <w:ind w:firstLine="0"/>
        <w:rPr>
          <w:rFonts w:ascii="微软雅黑" w:hAnsi="微软雅黑" w:eastAsia="微软雅黑" w:cs="微软雅黑"/>
          <w:sz w:val="24"/>
          <w:szCs w:val="24"/>
        </w:rPr>
      </w:pPr>
    </w:p>
    <w:p>
      <w:pPr>
        <w:pStyle w:val="8"/>
        <w:spacing w:line="500" w:lineRule="exact"/>
        <w:ind w:firstLine="0"/>
        <w:rPr>
          <w:rFonts w:ascii="微软雅黑" w:hAnsi="微软雅黑" w:eastAsia="微软雅黑" w:cs="微软雅黑"/>
          <w:sz w:val="24"/>
          <w:szCs w:val="24"/>
        </w:rPr>
      </w:pPr>
    </w:p>
    <w:p>
      <w:pPr>
        <w:spacing w:line="480" w:lineRule="exact"/>
        <w:jc w:val="center"/>
        <w:rPr>
          <w:rFonts w:ascii="微软雅黑" w:hAnsi="微软雅黑" w:eastAsia="微软雅黑" w:cs="微软雅黑"/>
          <w:b/>
          <w:bCs/>
          <w:szCs w:val="28"/>
        </w:rPr>
        <w:sectPr>
          <w:footerReference r:id="rId16" w:type="default"/>
          <w:pgSz w:w="11907" w:h="16840"/>
          <w:pgMar w:top="1134" w:right="1247" w:bottom="1191" w:left="1128" w:header="851" w:footer="992" w:gutter="0"/>
          <w:cols w:space="720" w:num="1"/>
          <w:docGrid w:linePitch="381" w:charSpace="0"/>
        </w:sectPr>
      </w:pPr>
    </w:p>
    <w:p>
      <w:pPr>
        <w:spacing w:line="480" w:lineRule="exact"/>
        <w:jc w:val="center"/>
        <w:rPr>
          <w:rFonts w:ascii="微软雅黑" w:hAnsi="微软雅黑" w:eastAsia="微软雅黑" w:cs="微软雅黑"/>
          <w:b/>
          <w:bCs/>
          <w:szCs w:val="28"/>
        </w:rPr>
      </w:pPr>
      <w:r>
        <w:rPr>
          <w:rFonts w:hint="eastAsia" w:ascii="微软雅黑" w:hAnsi="微软雅黑" w:eastAsia="微软雅黑" w:cs="微软雅黑"/>
          <w:b/>
          <w:bCs/>
          <w:szCs w:val="28"/>
        </w:rPr>
        <w:t>人员配置承诺函</w:t>
      </w:r>
    </w:p>
    <w:p>
      <w:pPr>
        <w:pStyle w:val="29"/>
        <w:spacing w:line="480" w:lineRule="exact"/>
        <w:ind w:firstLine="0" w:firstLineChars="0"/>
        <w:rPr>
          <w:rFonts w:ascii="微软雅黑" w:hAnsi="微软雅黑" w:eastAsia="微软雅黑" w:cs="微软雅黑"/>
          <w:sz w:val="24"/>
          <w:szCs w:val="24"/>
        </w:rPr>
      </w:pPr>
    </w:p>
    <w:p>
      <w:pPr>
        <w:pStyle w:val="29"/>
        <w:spacing w:line="480" w:lineRule="exact"/>
        <w:ind w:firstLine="0" w:firstLineChars="0"/>
        <w:rPr>
          <w:rFonts w:hint="eastAsia" w:ascii="微软雅黑" w:hAnsi="微软雅黑" w:eastAsia="微软雅黑" w:cs="微软雅黑"/>
          <w:color w:val="auto"/>
          <w:sz w:val="28"/>
          <w:szCs w:val="28"/>
          <w:u w:val="single"/>
          <w:lang w:eastAsia="zh-CN"/>
        </w:rPr>
      </w:pPr>
      <w:r>
        <w:rPr>
          <w:rFonts w:hint="eastAsia" w:ascii="微软雅黑" w:hAnsi="微软雅黑" w:eastAsia="微软雅黑" w:cs="微软雅黑"/>
          <w:sz w:val="28"/>
          <w:szCs w:val="28"/>
        </w:rPr>
        <w:t>致：</w:t>
      </w:r>
      <w:r>
        <w:rPr>
          <w:rFonts w:hint="eastAsia" w:ascii="微软雅黑" w:hAnsi="微软雅黑" w:eastAsia="微软雅黑" w:cs="微软雅黑"/>
          <w:color w:val="auto"/>
          <w:sz w:val="28"/>
          <w:szCs w:val="28"/>
          <w:u w:val="single"/>
          <w:lang w:eastAsia="zh-CN"/>
        </w:rPr>
        <w:t xml:space="preserve">南浔区住房和城乡建设局 </w:t>
      </w:r>
    </w:p>
    <w:p>
      <w:pPr>
        <w:pStyle w:val="29"/>
        <w:spacing w:line="480" w:lineRule="exact"/>
        <w:ind w:firstLine="560"/>
        <w:rPr>
          <w:rFonts w:ascii="微软雅黑" w:hAnsi="微软雅黑" w:eastAsia="微软雅黑" w:cs="微软雅黑"/>
          <w:sz w:val="28"/>
          <w:szCs w:val="28"/>
        </w:rPr>
      </w:pPr>
      <w:r>
        <w:rPr>
          <w:rFonts w:hint="eastAsia" w:ascii="微软雅黑" w:hAnsi="微软雅黑" w:eastAsia="微软雅黑" w:cs="微软雅黑"/>
          <w:sz w:val="28"/>
          <w:szCs w:val="28"/>
          <w:u w:val="single"/>
        </w:rPr>
        <w:t>（供应商名称）</w:t>
      </w:r>
      <w:r>
        <w:rPr>
          <w:rFonts w:hint="eastAsia" w:ascii="微软雅黑" w:hAnsi="微软雅黑" w:eastAsia="微软雅黑" w:cs="微软雅黑"/>
          <w:sz w:val="28"/>
          <w:szCs w:val="28"/>
        </w:rPr>
        <w:t xml:space="preserve">自愿参与 </w:t>
      </w:r>
      <w:r>
        <w:rPr>
          <w:rFonts w:hint="eastAsia" w:ascii="微软雅黑" w:hAnsi="微软雅黑" w:eastAsia="微软雅黑" w:cs="微软雅黑"/>
          <w:sz w:val="28"/>
          <w:szCs w:val="28"/>
          <w:u w:val="single"/>
        </w:rPr>
        <w:t>（项目名称）</w:t>
      </w:r>
      <w:r>
        <w:rPr>
          <w:rFonts w:hint="eastAsia" w:ascii="微软雅黑" w:hAnsi="微软雅黑" w:eastAsia="微软雅黑" w:cs="微软雅黑"/>
          <w:sz w:val="28"/>
          <w:szCs w:val="28"/>
        </w:rPr>
        <w:t>采购活动，根据招标文件要求，我公司承诺如中标后，按招标文件要求配备作业人员，同时作业时间保证满足采购人的要求。</w:t>
      </w:r>
    </w:p>
    <w:p>
      <w:pPr>
        <w:pStyle w:val="29"/>
        <w:spacing w:line="480" w:lineRule="exact"/>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 xml:space="preserve"> 特此承诺。 </w:t>
      </w:r>
    </w:p>
    <w:p>
      <w:pPr>
        <w:spacing w:line="480" w:lineRule="exact"/>
        <w:rPr>
          <w:rFonts w:ascii="微软雅黑" w:hAnsi="微软雅黑" w:eastAsia="微软雅黑" w:cs="微软雅黑"/>
          <w:szCs w:val="28"/>
        </w:rPr>
      </w:pPr>
    </w:p>
    <w:p>
      <w:pPr>
        <w:spacing w:line="480" w:lineRule="exact"/>
        <w:rPr>
          <w:rFonts w:ascii="微软雅黑" w:hAnsi="微软雅黑" w:eastAsia="微软雅黑" w:cs="微软雅黑"/>
          <w:b/>
          <w:bCs/>
          <w:szCs w:val="28"/>
        </w:rPr>
      </w:pPr>
    </w:p>
    <w:p>
      <w:pPr>
        <w:pStyle w:val="8"/>
        <w:spacing w:line="480" w:lineRule="exact"/>
        <w:ind w:firstLine="0"/>
        <w:rPr>
          <w:rFonts w:ascii="微软雅黑" w:hAnsi="微软雅黑" w:eastAsia="微软雅黑" w:cs="微软雅黑"/>
          <w:sz w:val="28"/>
          <w:szCs w:val="28"/>
        </w:rPr>
      </w:pPr>
    </w:p>
    <w:p>
      <w:pPr>
        <w:pStyle w:val="8"/>
        <w:spacing w:line="480" w:lineRule="exact"/>
        <w:ind w:firstLine="0"/>
        <w:rPr>
          <w:rFonts w:ascii="微软雅黑" w:hAnsi="微软雅黑" w:eastAsia="微软雅黑" w:cs="微软雅黑"/>
          <w:sz w:val="28"/>
          <w:szCs w:val="28"/>
        </w:rPr>
      </w:pPr>
      <w:r>
        <w:rPr>
          <w:rFonts w:hint="eastAsia" w:ascii="微软雅黑" w:hAnsi="微软雅黑" w:eastAsia="微软雅黑" w:cs="微软雅黑"/>
          <w:sz w:val="28"/>
          <w:szCs w:val="28"/>
        </w:rPr>
        <w:t>投标供应商：（盖章）</w:t>
      </w:r>
    </w:p>
    <w:p>
      <w:pPr>
        <w:pStyle w:val="8"/>
        <w:spacing w:line="480" w:lineRule="exact"/>
        <w:ind w:firstLine="0"/>
        <w:rPr>
          <w:rFonts w:ascii="微软雅黑" w:hAnsi="微软雅黑" w:eastAsia="微软雅黑" w:cs="微软雅黑"/>
          <w:sz w:val="28"/>
          <w:szCs w:val="28"/>
        </w:rPr>
      </w:pPr>
      <w:r>
        <w:rPr>
          <w:rFonts w:hint="eastAsia" w:ascii="微软雅黑" w:hAnsi="微软雅黑" w:eastAsia="微软雅黑" w:cs="微软雅黑"/>
          <w:sz w:val="28"/>
          <w:szCs w:val="28"/>
        </w:rPr>
        <w:t>法定代表人或其授权代理人（签名或盖章）</w:t>
      </w:r>
    </w:p>
    <w:p>
      <w:pPr>
        <w:pStyle w:val="8"/>
        <w:spacing w:line="480" w:lineRule="exact"/>
        <w:ind w:firstLine="0"/>
        <w:rPr>
          <w:rFonts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pPr>
      <w:r>
        <w:rPr>
          <w:rFonts w:hint="eastAsia" w:ascii="微软雅黑" w:hAnsi="微软雅黑" w:eastAsia="微软雅黑" w:cs="微软雅黑"/>
          <w:b/>
          <w:bCs/>
          <w:szCs w:val="28"/>
        </w:rPr>
        <w:t>作业机具配置清单</w:t>
      </w:r>
    </w:p>
    <w:p>
      <w:pPr>
        <w:spacing w:line="360" w:lineRule="auto"/>
        <w:rPr>
          <w:rFonts w:ascii="微软雅黑" w:hAnsi="微软雅黑" w:eastAsia="微软雅黑" w:cs="微软雅黑"/>
          <w:b/>
          <w:bCs/>
          <w:szCs w:val="28"/>
        </w:rPr>
      </w:pPr>
    </w:p>
    <w:p>
      <w:pPr>
        <w:spacing w:line="360" w:lineRule="auto"/>
        <w:rPr>
          <w:rFonts w:ascii="微软雅黑" w:hAnsi="微软雅黑" w:eastAsia="微软雅黑" w:cs="微软雅黑"/>
          <w:b/>
          <w:bCs/>
          <w:szCs w:val="28"/>
        </w:rPr>
      </w:pPr>
    </w:p>
    <w:p>
      <w:pPr>
        <w:spacing w:line="360" w:lineRule="auto"/>
        <w:rPr>
          <w:rFonts w:ascii="微软雅黑" w:hAnsi="微软雅黑" w:eastAsia="微软雅黑" w:cs="微软雅黑"/>
          <w:b/>
          <w:bCs/>
          <w:szCs w:val="28"/>
        </w:rPr>
      </w:pPr>
    </w:p>
    <w:p>
      <w:pPr>
        <w:pStyle w:val="8"/>
        <w:spacing w:line="500" w:lineRule="exact"/>
        <w:ind w:firstLine="0"/>
        <w:rPr>
          <w:rFonts w:ascii="微软雅黑" w:hAnsi="微软雅黑" w:eastAsia="微软雅黑" w:cs="微软雅黑"/>
          <w:sz w:val="24"/>
          <w:szCs w:val="24"/>
        </w:rPr>
      </w:pP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投标供应商：（盖章）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rPr>
          <w:rFonts w:ascii="微软雅黑" w:hAnsi="微软雅黑" w:eastAsia="微软雅黑" w:cs="微软雅黑"/>
          <w:b/>
          <w:szCs w:val="28"/>
        </w:rPr>
      </w:pPr>
    </w:p>
    <w:p>
      <w:pPr>
        <w:spacing w:line="360" w:lineRule="auto"/>
        <w:rPr>
          <w:rFonts w:ascii="微软雅黑" w:hAnsi="微软雅黑" w:eastAsia="微软雅黑" w:cs="微软雅黑"/>
          <w:b/>
          <w:szCs w:val="28"/>
        </w:rPr>
        <w:sectPr>
          <w:pgSz w:w="11907" w:h="16840"/>
          <w:pgMar w:top="1134" w:right="1247" w:bottom="1191" w:left="1128" w:header="851" w:footer="992" w:gutter="0"/>
          <w:cols w:space="720" w:num="1"/>
          <w:docGrid w:linePitch="381" w:charSpace="0"/>
        </w:sectPr>
      </w:pPr>
    </w:p>
    <w:p>
      <w:pPr>
        <w:spacing w:line="360" w:lineRule="auto"/>
        <w:jc w:val="center"/>
        <w:rPr>
          <w:rFonts w:ascii="微软雅黑" w:hAnsi="微软雅黑" w:eastAsia="微软雅黑" w:cs="微软雅黑"/>
          <w:b/>
          <w:szCs w:val="28"/>
        </w:rPr>
      </w:pPr>
      <w:r>
        <w:rPr>
          <w:rFonts w:hint="eastAsia" w:ascii="微软雅黑" w:hAnsi="微软雅黑" w:eastAsia="微软雅黑" w:cs="微软雅黑"/>
          <w:b/>
          <w:szCs w:val="28"/>
        </w:rPr>
        <w:t>交接方案</w:t>
      </w:r>
    </w:p>
    <w:p>
      <w:pPr>
        <w:spacing w:line="360" w:lineRule="auto"/>
        <w:rPr>
          <w:rFonts w:ascii="微软雅黑" w:hAnsi="微软雅黑" w:eastAsia="微软雅黑" w:cs="微软雅黑"/>
          <w:b/>
          <w:bCs/>
          <w:color w:val="0000FF"/>
          <w:szCs w:val="28"/>
        </w:rPr>
      </w:pPr>
    </w:p>
    <w:p>
      <w:pPr>
        <w:spacing w:line="360" w:lineRule="auto"/>
        <w:rPr>
          <w:rFonts w:ascii="微软雅黑" w:hAnsi="微软雅黑" w:eastAsia="微软雅黑" w:cs="微软雅黑"/>
          <w:b/>
          <w:bCs/>
          <w:color w:val="0000FF"/>
          <w:szCs w:val="28"/>
        </w:rPr>
      </w:pPr>
    </w:p>
    <w:p>
      <w:pPr>
        <w:pStyle w:val="8"/>
        <w:spacing w:line="500" w:lineRule="exact"/>
        <w:ind w:firstLine="0"/>
        <w:rPr>
          <w:rFonts w:ascii="微软雅黑" w:hAnsi="微软雅黑" w:eastAsia="微软雅黑" w:cs="微软雅黑"/>
          <w:color w:val="0000FF"/>
          <w:sz w:val="24"/>
          <w:szCs w:val="24"/>
        </w:rPr>
      </w:pPr>
    </w:p>
    <w:p>
      <w:pPr>
        <w:pStyle w:val="8"/>
        <w:spacing w:line="500" w:lineRule="exact"/>
        <w:ind w:firstLine="0"/>
        <w:rPr>
          <w:rFonts w:ascii="微软雅黑" w:hAnsi="微软雅黑" w:eastAsia="微软雅黑" w:cs="微软雅黑"/>
          <w:sz w:val="24"/>
          <w:szCs w:val="24"/>
          <w:u w:val="single"/>
        </w:rPr>
      </w:pPr>
      <w:r>
        <w:rPr>
          <w:rFonts w:hint="eastAsia" w:ascii="微软雅黑" w:hAnsi="微软雅黑" w:eastAsia="微软雅黑" w:cs="微软雅黑"/>
          <w:sz w:val="24"/>
          <w:szCs w:val="24"/>
        </w:rPr>
        <w:t xml:space="preserve">投标供应商：  </w:t>
      </w:r>
      <w:r>
        <w:rPr>
          <w:rFonts w:hint="eastAsia" w:ascii="微软雅黑" w:hAnsi="微软雅黑" w:eastAsia="微软雅黑" w:cs="微软雅黑"/>
          <w:sz w:val="24"/>
          <w:szCs w:val="24"/>
          <w:u w:val="single"/>
        </w:rPr>
        <w:t xml:space="preserve">                （盖章）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8"/>
        <w:spacing w:line="500" w:lineRule="exact"/>
        <w:ind w:firstLine="0"/>
        <w:rPr>
          <w:rFonts w:ascii="微软雅黑" w:hAnsi="微软雅黑" w:eastAsia="微软雅黑" w:cs="微软雅黑"/>
          <w:sz w:val="24"/>
          <w:szCs w:val="24"/>
        </w:rPr>
      </w:pPr>
    </w:p>
    <w:p>
      <w:pPr>
        <w:pStyle w:val="8"/>
        <w:spacing w:line="500" w:lineRule="exact"/>
        <w:ind w:firstLine="374" w:firstLineChars="156"/>
        <w:jc w:val="center"/>
        <w:rPr>
          <w:rFonts w:ascii="微软雅黑" w:hAnsi="微软雅黑" w:eastAsia="微软雅黑" w:cs="微软雅黑"/>
          <w:sz w:val="24"/>
          <w:szCs w:val="24"/>
        </w:rPr>
      </w:pPr>
    </w:p>
    <w:p>
      <w:pPr>
        <w:spacing w:line="360" w:lineRule="auto"/>
        <w:jc w:val="center"/>
        <w:rPr>
          <w:rFonts w:ascii="微软雅黑" w:hAnsi="微软雅黑" w:eastAsia="微软雅黑" w:cs="微软雅黑"/>
          <w:b/>
          <w:szCs w:val="28"/>
        </w:rPr>
      </w:pPr>
    </w:p>
    <w:p>
      <w:pPr>
        <w:spacing w:line="360" w:lineRule="auto"/>
        <w:jc w:val="center"/>
        <w:rPr>
          <w:rFonts w:ascii="微软雅黑" w:hAnsi="微软雅黑" w:eastAsia="微软雅黑" w:cs="微软雅黑"/>
          <w:b/>
          <w:szCs w:val="28"/>
        </w:rPr>
      </w:pPr>
      <w:r>
        <w:rPr>
          <w:rFonts w:hint="eastAsia" w:ascii="微软雅黑" w:hAnsi="微软雅黑" w:eastAsia="微软雅黑" w:cs="微软雅黑"/>
          <w:b/>
          <w:szCs w:val="28"/>
        </w:rPr>
        <w:t>对突击保障任务和突发问题或纠纷的响应时间及处理方案</w:t>
      </w:r>
    </w:p>
    <w:p>
      <w:pPr>
        <w:pStyle w:val="8"/>
        <w:spacing w:line="500" w:lineRule="exact"/>
        <w:ind w:firstLine="0"/>
        <w:rPr>
          <w:rFonts w:ascii="微软雅黑" w:hAnsi="微软雅黑" w:eastAsia="微软雅黑" w:cs="微软雅黑"/>
          <w:sz w:val="28"/>
          <w:szCs w:val="28"/>
        </w:rPr>
      </w:pPr>
    </w:p>
    <w:p>
      <w:pPr>
        <w:pStyle w:val="8"/>
        <w:spacing w:line="500" w:lineRule="exact"/>
        <w:ind w:firstLine="0"/>
        <w:rPr>
          <w:rFonts w:ascii="微软雅黑" w:hAnsi="微软雅黑" w:eastAsia="微软雅黑" w:cs="微软雅黑"/>
          <w:sz w:val="28"/>
          <w:szCs w:val="28"/>
        </w:rPr>
      </w:pP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投标供应商：（盖章）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8"/>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jc w:val="center"/>
        <w:rPr>
          <w:rFonts w:ascii="微软雅黑" w:hAnsi="微软雅黑" w:eastAsia="微软雅黑" w:cs="微软雅黑"/>
          <w:b/>
          <w:bCs/>
          <w:szCs w:val="28"/>
        </w:rPr>
      </w:pPr>
    </w:p>
    <w:p>
      <w:pPr>
        <w:spacing w:line="360" w:lineRule="auto"/>
        <w:rPr>
          <w:rFonts w:ascii="微软雅黑" w:hAnsi="微软雅黑" w:eastAsia="微软雅黑" w:cs="微软雅黑"/>
          <w:b/>
          <w:bCs/>
          <w:szCs w:val="28"/>
        </w:rPr>
      </w:pPr>
    </w:p>
    <w:p>
      <w:pPr>
        <w:spacing w:line="360" w:lineRule="auto"/>
        <w:jc w:val="center"/>
        <w:rPr>
          <w:rFonts w:ascii="微软雅黑" w:hAnsi="微软雅黑" w:eastAsia="微软雅黑" w:cs="微软雅黑"/>
          <w:b/>
          <w:bCs/>
          <w:szCs w:val="28"/>
        </w:rPr>
        <w:sectPr>
          <w:pgSz w:w="11907" w:h="16840"/>
          <w:pgMar w:top="1134" w:right="1247" w:bottom="1191" w:left="1128" w:header="851" w:footer="992" w:gutter="0"/>
          <w:cols w:space="720" w:num="1"/>
          <w:docGrid w:linePitch="381" w:charSpace="0"/>
        </w:sectPr>
      </w:pPr>
    </w:p>
    <w:p>
      <w:pPr>
        <w:spacing w:line="520" w:lineRule="exact"/>
        <w:jc w:val="center"/>
        <w:rPr>
          <w:rFonts w:ascii="微软雅黑" w:hAnsi="微软雅黑" w:eastAsia="微软雅黑" w:cs="微软雅黑"/>
          <w:b/>
          <w:szCs w:val="28"/>
        </w:rPr>
      </w:pPr>
      <w:r>
        <w:rPr>
          <w:rFonts w:hint="eastAsia" w:ascii="微软雅黑" w:hAnsi="微软雅黑" w:eastAsia="微软雅黑" w:cs="微软雅黑"/>
          <w:b/>
          <w:szCs w:val="28"/>
        </w:rPr>
        <w:t>投标函</w:t>
      </w:r>
    </w:p>
    <w:p>
      <w:pPr>
        <w:autoSpaceDE w:val="0"/>
        <w:autoSpaceDN w:val="0"/>
        <w:adjustRightInd w:val="0"/>
        <w:spacing w:line="500" w:lineRule="exact"/>
        <w:ind w:firstLine="482" w:firstLineChars="201"/>
        <w:rPr>
          <w:rFonts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（招标采购单位）</w:t>
      </w:r>
      <w:r>
        <w:rPr>
          <w:rFonts w:hint="eastAsia" w:ascii="微软雅黑" w:hAnsi="微软雅黑" w:eastAsia="微软雅黑" w:cs="微软雅黑"/>
          <w:sz w:val="24"/>
        </w:rPr>
        <w:t>：</w:t>
      </w:r>
    </w:p>
    <w:p>
      <w:pPr>
        <w:autoSpaceDE w:val="0"/>
        <w:autoSpaceDN w:val="0"/>
        <w:adjustRightInd w:val="0"/>
        <w:spacing w:line="500" w:lineRule="exact"/>
        <w:ind w:firstLine="482" w:firstLineChars="201"/>
        <w:rPr>
          <w:rFonts w:ascii="微软雅黑" w:hAnsi="微软雅黑" w:eastAsia="微软雅黑" w:cs="微软雅黑"/>
          <w:sz w:val="24"/>
          <w:lang w:val="zh-CN"/>
        </w:rPr>
      </w:pPr>
      <w:r>
        <w:rPr>
          <w:rFonts w:hint="eastAsia" w:ascii="微软雅黑" w:hAnsi="微软雅黑" w:eastAsia="微软雅黑" w:cs="微软雅黑"/>
          <w:sz w:val="24"/>
          <w:lang w:val="zh-CN"/>
        </w:rPr>
        <w:t>（投标供应商全称）授权 （授权代表名称）（职务、职称）为授权代表，参加贵方组织的（采购项目名称、标段号）（括号内填项目编号）采购的有关活动，并对项目（采购项目名称、标段号）进行投标。提供投标供应商须知规定的全部投标文件：“资格文件</w:t>
      </w:r>
      <w:r>
        <w:rPr>
          <w:rFonts w:hint="eastAsia" w:ascii="微软雅黑" w:hAnsi="微软雅黑" w:eastAsia="微软雅黑" w:cs="微软雅黑"/>
          <w:sz w:val="24"/>
        </w:rPr>
        <w:t>”、“技术文件、商务文件、资信及其他文件”、“报价文件”各一份。</w:t>
      </w:r>
    </w:p>
    <w:p>
      <w:pPr>
        <w:numPr>
          <w:ilvl w:val="0"/>
          <w:numId w:val="31"/>
        </w:numPr>
        <w:autoSpaceDE w:val="0"/>
        <w:autoSpaceDN w:val="0"/>
        <w:adjustRightInd w:val="0"/>
        <w:spacing w:line="500" w:lineRule="exact"/>
        <w:ind w:firstLine="482"/>
        <w:rPr>
          <w:rFonts w:ascii="微软雅黑" w:hAnsi="微软雅黑" w:eastAsia="微软雅黑" w:cs="微软雅黑"/>
          <w:sz w:val="24"/>
        </w:rPr>
      </w:pPr>
      <w:r>
        <w:rPr>
          <w:rFonts w:hint="eastAsia" w:ascii="微软雅黑" w:hAnsi="微软雅黑" w:eastAsia="微软雅黑" w:cs="微软雅黑"/>
          <w:sz w:val="24"/>
        </w:rPr>
        <w:t xml:space="preserve">供应商须提供须知规定的全部投标文件（电子投标文件包括《资格文件》、《技术、商务、资信及其他文件》、《报价文件》），电子投标文件确认已上传。 </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保证遵守招标文件中的有关规定和收费标准。 </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保证诚信地执行采购人、供应商双方所签的合同，并承担合同规定的责任义务。</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 供应商已详细审查全部招标文件，包括招标文件补充文件（如果有的话）。我方完全理解并同意放弃对这方面有不明及误解的权力。如果招标文件有相互矛盾之处，我方同意按采购人的理解处理。</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 利益冲突：近三年内直至目前，我公司与本项目的采购人、采购机构没有任何的隶属关系。</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 我公司没有被本项目所在地的政府采购管理部门限制参加报价。 </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愿意向贵方提供任何与该项报价有关的数据、情况和技术资料，完全理解贵方不一定接受最低价的报价或收到的任何报价。</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 本投标文件自开标之日起90天内有效。</w:t>
      </w:r>
    </w:p>
    <w:p>
      <w:pPr>
        <w:numPr>
          <w:ilvl w:val="0"/>
          <w:numId w:val="31"/>
        </w:numPr>
        <w:autoSpaceDE w:val="0"/>
        <w:autoSpaceDN w:val="0"/>
        <w:adjustRightInd w:val="0"/>
        <w:spacing w:line="500" w:lineRule="exact"/>
        <w:ind w:firstLine="482"/>
        <w:rPr>
          <w:rFonts w:ascii="微软雅黑" w:hAnsi="微软雅黑" w:eastAsia="微软雅黑" w:cs="微软雅黑"/>
          <w:sz w:val="24"/>
          <w:lang w:val="zh-CN"/>
        </w:rPr>
      </w:pPr>
      <w:r>
        <w:rPr>
          <w:rFonts w:hint="eastAsia" w:ascii="微软雅黑" w:hAnsi="微软雅黑" w:eastAsia="微软雅黑" w:cs="微软雅黑"/>
          <w:sz w:val="24"/>
        </w:rPr>
        <w:t xml:space="preserve"> 兹证明上述声明是真实的、正确的，并提供了全部能提供的资料和数据，我们同意遵照贵方要求出示有关证明文件。 以上事项如有虚假或隐瞒，我方愿意承担一切后果，并不再寻求任何旨在减轻或免除法律责任的辩解</w:t>
      </w:r>
      <w:r>
        <w:rPr>
          <w:rFonts w:hint="eastAsia" w:ascii="微软雅黑" w:hAnsi="微软雅黑" w:eastAsia="微软雅黑" w:cs="微软雅黑"/>
          <w:sz w:val="24"/>
          <w:lang w:val="zh-CN"/>
        </w:rPr>
        <w:t>投标</w:t>
      </w:r>
    </w:p>
    <w:p>
      <w:pPr>
        <w:autoSpaceDE w:val="0"/>
        <w:autoSpaceDN w:val="0"/>
        <w:adjustRightInd w:val="0"/>
        <w:spacing w:line="500" w:lineRule="exact"/>
        <w:ind w:left="560"/>
        <w:rPr>
          <w:rFonts w:ascii="微软雅黑" w:hAnsi="微软雅黑" w:eastAsia="微软雅黑" w:cs="微软雅黑"/>
          <w:sz w:val="24"/>
          <w:lang w:val="zh-CN"/>
        </w:rPr>
      </w:pPr>
    </w:p>
    <w:p>
      <w:pPr>
        <w:autoSpaceDE w:val="0"/>
        <w:autoSpaceDN w:val="0"/>
        <w:adjustRightInd w:val="0"/>
        <w:spacing w:line="500" w:lineRule="exact"/>
        <w:ind w:left="560"/>
        <w:rPr>
          <w:rFonts w:ascii="微软雅黑" w:hAnsi="微软雅黑" w:eastAsia="微软雅黑" w:cs="微软雅黑"/>
          <w:sz w:val="24"/>
          <w:lang w:val="zh-CN"/>
        </w:rPr>
      </w:pPr>
      <w:r>
        <w:rPr>
          <w:rFonts w:hint="eastAsia" w:ascii="微软雅黑" w:hAnsi="微软雅黑" w:eastAsia="微软雅黑" w:cs="微软雅黑"/>
          <w:sz w:val="24"/>
          <w:lang w:val="zh-CN"/>
        </w:rPr>
        <w:t>供应商全称（盖章）：</w:t>
      </w:r>
    </w:p>
    <w:p>
      <w:pPr>
        <w:autoSpaceDE w:val="0"/>
        <w:autoSpaceDN w:val="0"/>
        <w:adjustRightInd w:val="0"/>
        <w:spacing w:line="500" w:lineRule="exact"/>
        <w:ind w:firstLine="482" w:firstLineChars="201"/>
        <w:rPr>
          <w:rFonts w:ascii="微软雅黑" w:hAnsi="微软雅黑" w:eastAsia="微软雅黑" w:cs="微软雅黑"/>
          <w:sz w:val="24"/>
        </w:rPr>
      </w:pPr>
      <w:r>
        <w:rPr>
          <w:rFonts w:hint="eastAsia" w:ascii="微软雅黑" w:hAnsi="微软雅黑" w:eastAsia="微软雅黑" w:cs="微软雅黑"/>
          <w:sz w:val="24"/>
        </w:rPr>
        <w:t xml:space="preserve">法定代表人或其授权代理人（签字或盖章）：         </w:t>
      </w:r>
    </w:p>
    <w:p>
      <w:pPr>
        <w:autoSpaceDE w:val="0"/>
        <w:autoSpaceDN w:val="0"/>
        <w:adjustRightInd w:val="0"/>
        <w:spacing w:line="500" w:lineRule="exact"/>
        <w:ind w:firstLine="482" w:firstLineChars="201"/>
        <w:rPr>
          <w:rFonts w:ascii="微软雅黑" w:hAnsi="微软雅黑" w:eastAsia="微软雅黑" w:cs="微软雅黑"/>
          <w:b/>
          <w:bCs/>
          <w:spacing w:val="24"/>
          <w:szCs w:val="28"/>
        </w:rPr>
      </w:pPr>
      <w:r>
        <w:rPr>
          <w:rFonts w:hint="eastAsia" w:ascii="微软雅黑" w:hAnsi="微软雅黑" w:eastAsia="微软雅黑" w:cs="微软雅黑"/>
          <w:sz w:val="24"/>
          <w:lang w:val="zh-CN"/>
        </w:rPr>
        <w:t>日   期：</w:t>
      </w:r>
    </w:p>
    <w:p>
      <w:pPr>
        <w:rPr>
          <w:rFonts w:ascii="微软雅黑" w:hAnsi="微软雅黑" w:eastAsia="微软雅黑" w:cs="微软雅黑"/>
        </w:rPr>
      </w:pPr>
    </w:p>
    <w:p>
      <w:pPr>
        <w:pStyle w:val="2"/>
        <w:ind w:firstLine="280"/>
      </w:pPr>
    </w:p>
    <w:p>
      <w:pPr>
        <w:adjustRightInd w:val="0"/>
        <w:snapToGrid w:val="0"/>
        <w:spacing w:before="240" w:beforeLines="100" w:after="240" w:afterLines="100" w:line="360" w:lineRule="auto"/>
        <w:ind w:right="140" w:rightChars="50"/>
        <w:jc w:val="center"/>
        <w:rPr>
          <w:rFonts w:ascii="微软雅黑" w:hAnsi="微软雅黑" w:eastAsia="微软雅黑" w:cs="微软雅黑"/>
          <w:b/>
          <w:bCs/>
          <w:sz w:val="32"/>
          <w:szCs w:val="32"/>
        </w:rPr>
      </w:pPr>
      <w:bookmarkStart w:id="74" w:name="_Toc11267_WPSOffice_Level2"/>
      <w:bookmarkStart w:id="75" w:name="_Toc2673_WPSOffice_Level2"/>
      <w:r>
        <w:rPr>
          <w:rFonts w:hint="eastAsia" w:ascii="微软雅黑" w:hAnsi="微软雅黑" w:eastAsia="微软雅黑" w:cs="微软雅黑"/>
          <w:b/>
          <w:bCs/>
          <w:sz w:val="32"/>
          <w:szCs w:val="32"/>
        </w:rPr>
        <w:t>开标一览表</w:t>
      </w:r>
      <w:bookmarkEnd w:id="74"/>
      <w:bookmarkEnd w:id="75"/>
    </w:p>
    <w:p>
      <w:pPr>
        <w:pStyle w:val="2"/>
        <w:ind w:firstLine="240"/>
        <w:rPr>
          <w:rFonts w:ascii="微软雅黑" w:hAnsi="微软雅黑" w:eastAsia="微软雅黑" w:cs="微软雅黑"/>
          <w:sz w:val="24"/>
          <w:szCs w:val="18"/>
        </w:rPr>
      </w:pPr>
      <w:r>
        <w:rPr>
          <w:rFonts w:hint="eastAsia" w:ascii="微软雅黑" w:hAnsi="微软雅黑" w:eastAsia="微软雅黑" w:cs="微软雅黑"/>
          <w:sz w:val="24"/>
          <w:szCs w:val="24"/>
        </w:rPr>
        <w:t>投标人全称（电子签章）：           招标文件编号：</w:t>
      </w:r>
    </w:p>
    <w:p>
      <w:pPr>
        <w:adjustRightInd w:val="0"/>
        <w:snapToGrid w:val="0"/>
        <w:spacing w:line="360" w:lineRule="auto"/>
        <w:ind w:right="140" w:rightChars="50"/>
        <w:jc w:val="left"/>
        <w:rPr>
          <w:rFonts w:ascii="仿宋_GB2312" w:hAnsi="仿宋_GB2312" w:eastAsia="仿宋_GB2312" w:cs="仿宋_GB2312"/>
          <w:b/>
          <w:bCs/>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2182"/>
        <w:gridCol w:w="1673"/>
        <w:gridCol w:w="174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806"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rPr>
              <w:t>服务名称</w:t>
            </w:r>
          </w:p>
        </w:tc>
        <w:tc>
          <w:tcPr>
            <w:tcW w:w="2182"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rPr>
              <w:t>投标总价</w:t>
            </w:r>
          </w:p>
        </w:tc>
        <w:tc>
          <w:tcPr>
            <w:tcW w:w="1673" w:type="dxa"/>
            <w:vAlign w:val="center"/>
          </w:tcPr>
          <w:p>
            <w:pPr>
              <w:adjustRightInd w:val="0"/>
              <w:snapToGrid w:val="0"/>
              <w:ind w:right="-45" w:rightChars="-16"/>
              <w:jc w:val="center"/>
              <w:rPr>
                <w:rFonts w:ascii="微软雅黑" w:hAnsi="微软雅黑" w:eastAsia="微软雅黑" w:cs="微软雅黑"/>
                <w:sz w:val="24"/>
              </w:rPr>
            </w:pPr>
            <w:r>
              <w:rPr>
                <w:rFonts w:hint="eastAsia" w:ascii="微软雅黑" w:hAnsi="微软雅黑" w:eastAsia="微软雅黑" w:cs="微软雅黑"/>
                <w:sz w:val="24"/>
              </w:rPr>
              <w:t>履约期限</w:t>
            </w:r>
          </w:p>
        </w:tc>
        <w:tc>
          <w:tcPr>
            <w:tcW w:w="1740" w:type="dxa"/>
            <w:vAlign w:val="center"/>
          </w:tcPr>
          <w:p>
            <w:pPr>
              <w:adjustRightInd w:val="0"/>
              <w:snapToGrid w:val="0"/>
              <w:ind w:right="-56" w:rightChars="-20"/>
              <w:jc w:val="center"/>
              <w:rPr>
                <w:rFonts w:ascii="微软雅黑" w:hAnsi="微软雅黑" w:eastAsia="微软雅黑" w:cs="微软雅黑"/>
                <w:sz w:val="24"/>
              </w:rPr>
            </w:pPr>
            <w:r>
              <w:rPr>
                <w:rFonts w:hint="eastAsia" w:ascii="微软雅黑" w:hAnsi="微软雅黑" w:eastAsia="微软雅黑" w:cs="微软雅黑"/>
                <w:sz w:val="24"/>
              </w:rPr>
              <w:t>履约地点</w:t>
            </w:r>
          </w:p>
        </w:tc>
        <w:tc>
          <w:tcPr>
            <w:tcW w:w="796"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2806"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lang w:eastAsia="zh-CN"/>
              </w:rPr>
              <w:t>湖州市南浔区住房和城乡建设局年度（2022-2025）绿化养护服务采购</w:t>
            </w:r>
            <w:r>
              <w:rPr>
                <w:rFonts w:hint="eastAsia" w:ascii="微软雅黑" w:hAnsi="微软雅黑" w:eastAsia="微软雅黑" w:cs="微软雅黑"/>
                <w:sz w:val="24"/>
              </w:rPr>
              <w:t xml:space="preserve">   </w:t>
            </w:r>
          </w:p>
        </w:tc>
        <w:tc>
          <w:tcPr>
            <w:tcW w:w="2182" w:type="dxa"/>
            <w:vAlign w:val="center"/>
          </w:tcPr>
          <w:p>
            <w:pPr>
              <w:adjustRightInd w:val="0"/>
              <w:snapToGrid w:val="0"/>
              <w:ind w:left="-73" w:leftChars="-26" w:right="-62" w:rightChars="-22"/>
              <w:jc w:val="left"/>
              <w:rPr>
                <w:rFonts w:ascii="微软雅黑" w:hAnsi="微软雅黑" w:eastAsia="微软雅黑" w:cs="微软雅黑"/>
                <w:sz w:val="24"/>
              </w:rPr>
            </w:pPr>
            <w:r>
              <w:rPr>
                <w:rFonts w:hint="eastAsia" w:ascii="微软雅黑" w:hAnsi="微软雅黑" w:eastAsia="微软雅黑" w:cs="微软雅黑"/>
                <w:sz w:val="24"/>
              </w:rPr>
              <w:t>小写：</w:t>
            </w:r>
          </w:p>
          <w:p>
            <w:pPr>
              <w:adjustRightInd w:val="0"/>
              <w:snapToGrid w:val="0"/>
              <w:ind w:left="-73" w:leftChars="-26" w:right="-62" w:rightChars="-22"/>
              <w:jc w:val="left"/>
              <w:rPr>
                <w:rFonts w:ascii="微软雅黑" w:hAnsi="微软雅黑" w:eastAsia="微软雅黑" w:cs="微软雅黑"/>
                <w:sz w:val="24"/>
              </w:rPr>
            </w:pPr>
            <w:r>
              <w:rPr>
                <w:rFonts w:hint="eastAsia" w:ascii="微软雅黑" w:hAnsi="微软雅黑" w:eastAsia="微软雅黑" w:cs="微软雅黑"/>
                <w:sz w:val="24"/>
              </w:rPr>
              <w:t>大写：</w:t>
            </w:r>
          </w:p>
        </w:tc>
        <w:tc>
          <w:tcPr>
            <w:tcW w:w="1673"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rPr>
              <w:t>3年</w:t>
            </w:r>
          </w:p>
        </w:tc>
        <w:tc>
          <w:tcPr>
            <w:tcW w:w="1740" w:type="dxa"/>
            <w:vAlign w:val="center"/>
          </w:tcPr>
          <w:p>
            <w:pPr>
              <w:adjustRightInd w:val="0"/>
              <w:snapToGrid w:val="0"/>
              <w:ind w:left="-73" w:leftChars="-26" w:right="-62" w:rightChars="-22"/>
              <w:jc w:val="center"/>
              <w:rPr>
                <w:rFonts w:ascii="微软雅黑" w:hAnsi="微软雅黑" w:eastAsia="微软雅黑" w:cs="微软雅黑"/>
                <w:sz w:val="24"/>
              </w:rPr>
            </w:pPr>
            <w:r>
              <w:rPr>
                <w:rFonts w:hint="eastAsia" w:ascii="微软雅黑" w:hAnsi="微软雅黑" w:eastAsia="微软雅黑" w:cs="微软雅黑"/>
                <w:sz w:val="24"/>
              </w:rPr>
              <w:t>业主指定</w:t>
            </w:r>
          </w:p>
        </w:tc>
        <w:tc>
          <w:tcPr>
            <w:tcW w:w="796" w:type="dxa"/>
            <w:vAlign w:val="center"/>
          </w:tcPr>
          <w:p>
            <w:pPr>
              <w:adjustRightInd w:val="0"/>
              <w:snapToGrid w:val="0"/>
              <w:ind w:left="-73" w:leftChars="-26" w:right="-62" w:rightChars="-22"/>
              <w:jc w:val="center"/>
              <w:rPr>
                <w:rFonts w:ascii="微软雅黑" w:hAnsi="微软雅黑" w:eastAsia="微软雅黑" w:cs="微软雅黑"/>
                <w:sz w:val="24"/>
              </w:rPr>
            </w:pPr>
          </w:p>
        </w:tc>
      </w:tr>
    </w:tbl>
    <w:p>
      <w:pPr>
        <w:adjustRightInd w:val="0"/>
        <w:snapToGrid w:val="0"/>
        <w:spacing w:line="360" w:lineRule="auto"/>
        <w:ind w:right="140" w:rightChars="50" w:firstLine="560" w:firstLineChars="200"/>
        <w:jc w:val="left"/>
        <w:rPr>
          <w:rFonts w:ascii="仿宋_GB2312" w:hAnsi="仿宋_GB2312" w:eastAsia="仿宋_GB2312" w:cs="仿宋_GB2312"/>
          <w:szCs w:val="21"/>
        </w:rPr>
      </w:pPr>
    </w:p>
    <w:p>
      <w:pPr>
        <w:adjustRightInd w:val="0"/>
        <w:snapToGrid w:val="0"/>
        <w:ind w:left="-73" w:leftChars="-26" w:right="-62" w:rightChars="-22"/>
        <w:jc w:val="left"/>
        <w:rPr>
          <w:rFonts w:ascii="微软雅黑" w:hAnsi="微软雅黑" w:eastAsia="微软雅黑" w:cs="微软雅黑"/>
          <w:sz w:val="24"/>
        </w:rPr>
      </w:pPr>
      <w:r>
        <w:rPr>
          <w:rFonts w:hint="eastAsia" w:ascii="微软雅黑" w:hAnsi="微软雅黑" w:eastAsia="微软雅黑" w:cs="微软雅黑"/>
          <w:sz w:val="24"/>
        </w:rPr>
        <w:t>注：此表中，投标总价应和服务价格明细表的总价相一致。</w:t>
      </w:r>
    </w:p>
    <w:p>
      <w:pPr>
        <w:adjustRightInd w:val="0"/>
        <w:snapToGrid w:val="0"/>
        <w:spacing w:line="360" w:lineRule="auto"/>
        <w:ind w:right="140" w:rightChars="50"/>
        <w:jc w:val="left"/>
        <w:rPr>
          <w:rFonts w:ascii="仿宋_GB2312" w:hAnsi="仿宋_GB2312" w:eastAsia="仿宋_GB2312" w:cs="仿宋_GB2312"/>
          <w:szCs w:val="21"/>
        </w:rPr>
      </w:pPr>
    </w:p>
    <w:p>
      <w:pPr>
        <w:adjustRightInd w:val="0"/>
        <w:snapToGrid w:val="0"/>
        <w:spacing w:line="360" w:lineRule="auto"/>
        <w:ind w:right="140" w:rightChars="50"/>
        <w:jc w:val="left"/>
        <w:rPr>
          <w:rFonts w:ascii="仿宋_GB2312" w:hAnsi="仿宋_GB2312" w:eastAsia="仿宋_GB2312" w:cs="仿宋_GB2312"/>
          <w:szCs w:val="21"/>
        </w:rPr>
      </w:pPr>
    </w:p>
    <w:p>
      <w:pPr>
        <w:adjustRightInd w:val="0"/>
        <w:snapToGrid w:val="0"/>
        <w:spacing w:line="360" w:lineRule="auto"/>
        <w:ind w:right="140" w:rightChars="50"/>
        <w:jc w:val="left"/>
        <w:rPr>
          <w:rFonts w:ascii="仿宋_GB2312" w:hAnsi="仿宋_GB2312" w:eastAsia="仿宋_GB2312" w:cs="仿宋_GB2312"/>
          <w:szCs w:val="21"/>
        </w:rPr>
      </w:pPr>
    </w:p>
    <w:p>
      <w:pPr>
        <w:adjustRightInd w:val="0"/>
        <w:snapToGrid w:val="0"/>
        <w:spacing w:line="360" w:lineRule="auto"/>
        <w:ind w:right="140" w:rightChars="50"/>
        <w:jc w:val="left"/>
        <w:rPr>
          <w:rFonts w:ascii="仿宋_GB2312" w:hAnsi="仿宋_GB2312" w:eastAsia="仿宋_GB2312" w:cs="仿宋_GB2312"/>
          <w:szCs w:val="21"/>
        </w:rPr>
      </w:pPr>
    </w:p>
    <w:p>
      <w:pPr>
        <w:snapToGrid w:val="0"/>
        <w:spacing w:line="440" w:lineRule="exact"/>
        <w:rPr>
          <w:rFonts w:ascii="微软雅黑" w:hAnsi="微软雅黑" w:eastAsia="微软雅黑" w:cs="微软雅黑"/>
          <w:color w:val="000000"/>
          <w:sz w:val="24"/>
        </w:rPr>
      </w:pPr>
      <w:bookmarkStart w:id="76" w:name="_Toc293916984"/>
      <w:r>
        <w:rPr>
          <w:rFonts w:hint="eastAsia" w:ascii="微软雅黑" w:hAnsi="微软雅黑" w:eastAsia="微软雅黑" w:cs="微软雅黑"/>
          <w:color w:val="000000"/>
          <w:sz w:val="24"/>
        </w:rPr>
        <w:t>法定代表人（签字或盖章）：</w:t>
      </w:r>
    </w:p>
    <w:p>
      <w:pPr>
        <w:snapToGrid w:val="0"/>
        <w:spacing w:line="440" w:lineRule="exact"/>
        <w:rPr>
          <w:rFonts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p>
    <w:p>
      <w:pPr>
        <w:snapToGrid w:val="0"/>
        <w:spacing w:line="440" w:lineRule="exact"/>
        <w:rPr>
          <w:rFonts w:ascii="微软雅黑" w:hAnsi="微软雅黑" w:eastAsia="微软雅黑" w:cs="微软雅黑"/>
          <w:b/>
          <w:bCs/>
          <w:sz w:val="32"/>
          <w:szCs w:val="32"/>
        </w:rPr>
        <w:sectPr>
          <w:pgSz w:w="11907" w:h="16840"/>
          <w:pgMar w:top="1134" w:right="1247" w:bottom="1191" w:left="1128" w:header="851" w:footer="992" w:gutter="0"/>
          <w:cols w:space="720" w:num="1"/>
          <w:docGrid w:linePitch="381" w:charSpace="0"/>
        </w:sectPr>
      </w:pPr>
      <w:r>
        <w:rPr>
          <w:rFonts w:hint="eastAsia" w:ascii="微软雅黑" w:hAnsi="微软雅黑" w:eastAsia="微软雅黑" w:cs="微软雅黑"/>
          <w:color w:val="000000"/>
          <w:sz w:val="24"/>
        </w:rPr>
        <w:t>日期：年月日</w:t>
      </w:r>
    </w:p>
    <w:p>
      <w:pPr>
        <w:jc w:val="center"/>
        <w:rPr>
          <w:rFonts w:ascii="宋体" w:hAnsi="宋体"/>
          <w:b/>
          <w:bCs/>
          <w:sz w:val="32"/>
          <w:szCs w:val="32"/>
        </w:rPr>
      </w:pPr>
      <w:r>
        <w:rPr>
          <w:rFonts w:hint="eastAsia" w:ascii="微软雅黑" w:hAnsi="微软雅黑" w:eastAsia="微软雅黑" w:cs="微软雅黑"/>
          <w:b/>
          <w:bCs/>
          <w:sz w:val="32"/>
          <w:szCs w:val="32"/>
        </w:rPr>
        <w:t>服务价格明细表</w:t>
      </w:r>
    </w:p>
    <w:p>
      <w:pPr>
        <w:pStyle w:val="2"/>
        <w:ind w:firstLine="240"/>
        <w:rPr>
          <w:rFonts w:ascii="微软雅黑" w:hAnsi="微软雅黑" w:eastAsia="微软雅黑" w:cs="微软雅黑"/>
          <w:sz w:val="24"/>
          <w:szCs w:val="18"/>
        </w:rPr>
      </w:pPr>
      <w:r>
        <w:rPr>
          <w:rFonts w:hint="eastAsia" w:ascii="微软雅黑" w:hAnsi="微软雅黑" w:eastAsia="微软雅黑" w:cs="微软雅黑"/>
          <w:sz w:val="24"/>
          <w:szCs w:val="24"/>
        </w:rPr>
        <w:t>投标人全称（电子签章）：           招标文件编号：</w:t>
      </w:r>
    </w:p>
    <w:tbl>
      <w:tblPr>
        <w:tblStyle w:val="19"/>
        <w:tblW w:w="5373"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577"/>
        <w:gridCol w:w="909"/>
        <w:gridCol w:w="1577"/>
        <w:gridCol w:w="1577"/>
        <w:gridCol w:w="1200"/>
        <w:gridCol w:w="168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200"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186" w:type="pct"/>
            <w:gridSpan w:val="2"/>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报价内容</w:t>
            </w:r>
          </w:p>
        </w:tc>
        <w:tc>
          <w:tcPr>
            <w:tcW w:w="752" w:type="pct"/>
            <w:vAlign w:val="center"/>
          </w:tcPr>
          <w:p>
            <w:pPr>
              <w:jc w:val="center"/>
              <w:rPr>
                <w:rFonts w:hint="eastAsia" w:ascii="微软雅黑" w:hAnsi="微软雅黑" w:eastAsia="微软雅黑" w:cs="微软雅黑"/>
                <w:sz w:val="24"/>
                <w:lang w:eastAsia="zh-CN"/>
              </w:rPr>
            </w:pPr>
          </w:p>
        </w:tc>
        <w:tc>
          <w:tcPr>
            <w:tcW w:w="752"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lang w:eastAsia="zh-CN"/>
              </w:rPr>
              <w:t>单价</w:t>
            </w:r>
            <w:r>
              <w:rPr>
                <w:rFonts w:hint="eastAsia" w:ascii="微软雅黑" w:hAnsi="微软雅黑" w:eastAsia="微软雅黑" w:cs="微软雅黑"/>
                <w:sz w:val="24"/>
              </w:rPr>
              <w:t>最高限价</w:t>
            </w:r>
          </w:p>
        </w:tc>
        <w:tc>
          <w:tcPr>
            <w:tcW w:w="572"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投标单价</w:t>
            </w:r>
          </w:p>
        </w:tc>
        <w:tc>
          <w:tcPr>
            <w:tcW w:w="801"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rPr>
              <w:t>面积</w:t>
            </w:r>
            <w:r>
              <w:rPr>
                <w:rFonts w:hint="eastAsia" w:ascii="微软雅黑" w:hAnsi="微软雅黑" w:eastAsia="微软雅黑" w:cs="微软雅黑"/>
                <w:sz w:val="24"/>
                <w:lang w:val="en-US" w:eastAsia="zh-CN"/>
              </w:rPr>
              <w:t>/数量</w:t>
            </w:r>
          </w:p>
        </w:tc>
        <w:tc>
          <w:tcPr>
            <w:tcW w:w="733"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单年总价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trPr>
        <w:tc>
          <w:tcPr>
            <w:tcW w:w="200" w:type="pct"/>
            <w:vMerge w:val="restar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752" w:type="pct"/>
            <w:vMerge w:val="restar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绿地养护</w:t>
            </w:r>
          </w:p>
        </w:tc>
        <w:tc>
          <w:tcPr>
            <w:tcW w:w="1186" w:type="pct"/>
            <w:gridSpan w:val="2"/>
            <w:vAlign w:val="center"/>
          </w:tcPr>
          <w:p>
            <w:pPr>
              <w:keepNext w:val="0"/>
              <w:keepLines w:val="0"/>
              <w:widowControl/>
              <w:suppressLineNumbers w:val="0"/>
              <w:jc w:val="center"/>
              <w:textAlignment w:val="center"/>
              <w:rPr>
                <w:rFonts w:hint="eastAsia"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1.1 Ⅰ级绿化养护</w:t>
            </w:r>
          </w:p>
        </w:tc>
        <w:tc>
          <w:tcPr>
            <w:tcW w:w="752" w:type="pct"/>
            <w:vAlign w:val="center"/>
          </w:tcPr>
          <w:p>
            <w:pPr>
              <w:keepNext w:val="0"/>
              <w:keepLines w:val="0"/>
              <w:widowControl/>
              <w:suppressLineNumbers w:val="0"/>
              <w:jc w:val="center"/>
              <w:textAlignment w:val="center"/>
              <w:rPr>
                <w:rFonts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6.2元/</w:t>
            </w:r>
            <w:r>
              <w:rPr>
                <w:rStyle w:val="32"/>
                <w:lang w:val="en-US" w:eastAsia="zh-CN" w:bidi="ar"/>
              </w:rPr>
              <w:t>㎡</w:t>
            </w:r>
            <w:r>
              <w:rPr>
                <w:rStyle w:val="33"/>
                <w:lang w:val="en-US" w:eastAsia="zh-CN" w:bidi="ar"/>
              </w:rPr>
              <w:t>/年</w:t>
            </w:r>
          </w:p>
        </w:tc>
        <w:tc>
          <w:tcPr>
            <w:tcW w:w="572" w:type="pct"/>
            <w:vAlign w:val="center"/>
          </w:tcPr>
          <w:p>
            <w:pPr>
              <w:jc w:val="center"/>
              <w:rPr>
                <w:rFonts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元/</w:t>
            </w:r>
            <w:r>
              <w:rPr>
                <w:rStyle w:val="32"/>
                <w:lang w:val="en-US" w:eastAsia="zh-CN" w:bidi="ar"/>
              </w:rPr>
              <w:t>㎡</w:t>
            </w:r>
            <w:r>
              <w:rPr>
                <w:rStyle w:val="33"/>
                <w:lang w:val="en-US" w:eastAsia="zh-CN" w:bidi="ar"/>
              </w:rPr>
              <w:t>/年</w:t>
            </w:r>
          </w:p>
        </w:tc>
        <w:tc>
          <w:tcPr>
            <w:tcW w:w="801" w:type="pct"/>
            <w:vAlign w:val="center"/>
          </w:tcPr>
          <w:p>
            <w:pPr>
              <w:keepNext w:val="0"/>
              <w:keepLines w:val="0"/>
              <w:widowControl/>
              <w:suppressLineNumbers w:val="0"/>
              <w:jc w:val="center"/>
              <w:textAlignment w:val="center"/>
              <w:rPr>
                <w:rFonts w:hint="eastAsia" w:ascii="微软雅黑" w:hAnsi="微软雅黑" w:eastAsia="微软雅黑" w:cs="微软雅黑"/>
                <w:sz w:val="24"/>
                <w:lang w:eastAsia="zh-CN"/>
              </w:rPr>
            </w:pPr>
            <w:r>
              <w:rPr>
                <w:rFonts w:hint="eastAsia" w:ascii="微软雅黑" w:hAnsi="微软雅黑" w:eastAsia="微软雅黑" w:cs="微软雅黑"/>
                <w:i w:val="0"/>
                <w:iCs w:val="0"/>
                <w:color w:val="000000"/>
                <w:kern w:val="0"/>
                <w:sz w:val="22"/>
                <w:szCs w:val="22"/>
                <w:u w:val="none"/>
                <w:lang w:val="en-US" w:eastAsia="zh-CN" w:bidi="ar"/>
              </w:rPr>
              <w:t>116064平方米</w:t>
            </w:r>
          </w:p>
        </w:tc>
        <w:tc>
          <w:tcPr>
            <w:tcW w:w="733"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trPr>
        <w:tc>
          <w:tcPr>
            <w:tcW w:w="200" w:type="pct"/>
            <w:vMerge w:val="continue"/>
            <w:vAlign w:val="center"/>
          </w:tcPr>
          <w:p>
            <w:pPr>
              <w:jc w:val="center"/>
              <w:rPr>
                <w:rFonts w:hint="eastAsia" w:ascii="微软雅黑" w:hAnsi="微软雅黑" w:eastAsia="微软雅黑" w:cs="微软雅黑"/>
                <w:sz w:val="24"/>
              </w:rPr>
            </w:pPr>
          </w:p>
        </w:tc>
        <w:tc>
          <w:tcPr>
            <w:tcW w:w="752" w:type="pct"/>
            <w:vMerge w:val="continue"/>
            <w:vAlign w:val="center"/>
          </w:tcPr>
          <w:p>
            <w:pPr>
              <w:jc w:val="center"/>
              <w:rPr>
                <w:rFonts w:hint="eastAsia" w:ascii="微软雅黑" w:hAnsi="微软雅黑" w:eastAsia="微软雅黑" w:cs="微软雅黑"/>
                <w:sz w:val="24"/>
              </w:rPr>
            </w:pPr>
          </w:p>
        </w:tc>
        <w:tc>
          <w:tcPr>
            <w:tcW w:w="1186" w:type="pct"/>
            <w:gridSpan w:val="2"/>
            <w:vAlign w:val="center"/>
          </w:tcPr>
          <w:p>
            <w:pPr>
              <w:keepNext w:val="0"/>
              <w:keepLines w:val="0"/>
              <w:widowControl/>
              <w:suppressLineNumbers w:val="0"/>
              <w:jc w:val="center"/>
              <w:textAlignment w:val="center"/>
              <w:rPr>
                <w:rFonts w:hint="eastAsia"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1.2 Ⅱ级绿化养护</w:t>
            </w:r>
          </w:p>
        </w:tc>
        <w:tc>
          <w:tcPr>
            <w:tcW w:w="752" w:type="pct"/>
            <w:vAlign w:val="center"/>
          </w:tcPr>
          <w:p>
            <w:pPr>
              <w:keepNext w:val="0"/>
              <w:keepLines w:val="0"/>
              <w:widowControl/>
              <w:suppressLineNumbers w:val="0"/>
              <w:jc w:val="center"/>
              <w:textAlignment w:val="center"/>
              <w:rPr>
                <w:rFonts w:hint="eastAsia"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5元/</w:t>
            </w:r>
            <w:r>
              <w:rPr>
                <w:rStyle w:val="32"/>
                <w:lang w:val="en-US" w:eastAsia="zh-CN" w:bidi="ar"/>
              </w:rPr>
              <w:t>㎡</w:t>
            </w:r>
            <w:r>
              <w:rPr>
                <w:rStyle w:val="33"/>
                <w:lang w:val="en-US" w:eastAsia="zh-CN" w:bidi="ar"/>
              </w:rPr>
              <w:t>/年</w:t>
            </w:r>
          </w:p>
        </w:tc>
        <w:tc>
          <w:tcPr>
            <w:tcW w:w="572"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i w:val="0"/>
                <w:iCs w:val="0"/>
                <w:color w:val="000000"/>
                <w:kern w:val="0"/>
                <w:sz w:val="22"/>
                <w:szCs w:val="22"/>
                <w:u w:val="none"/>
                <w:lang w:val="en-US" w:eastAsia="zh-CN" w:bidi="ar"/>
              </w:rPr>
              <w:t>元/</w:t>
            </w:r>
            <w:r>
              <w:rPr>
                <w:rStyle w:val="32"/>
                <w:lang w:val="en-US" w:eastAsia="zh-CN" w:bidi="ar"/>
              </w:rPr>
              <w:t>㎡</w:t>
            </w:r>
            <w:r>
              <w:rPr>
                <w:rStyle w:val="33"/>
                <w:lang w:val="en-US" w:eastAsia="zh-CN" w:bidi="ar"/>
              </w:rPr>
              <w:t>/年</w:t>
            </w:r>
          </w:p>
        </w:tc>
        <w:tc>
          <w:tcPr>
            <w:tcW w:w="801" w:type="pct"/>
            <w:vAlign w:val="center"/>
          </w:tcPr>
          <w:p>
            <w:pPr>
              <w:keepNext w:val="0"/>
              <w:keepLines w:val="0"/>
              <w:widowControl/>
              <w:suppressLineNumbers w:val="0"/>
              <w:jc w:val="center"/>
              <w:textAlignment w:val="center"/>
              <w:rPr>
                <w:rFonts w:hint="eastAsia" w:ascii="微软雅黑" w:hAnsi="微软雅黑" w:eastAsia="微软雅黑" w:cs="微软雅黑"/>
                <w:sz w:val="24"/>
                <w:lang w:val="en-US" w:eastAsia="zh-CN"/>
              </w:rPr>
            </w:pPr>
            <w:r>
              <w:rPr>
                <w:rFonts w:hint="eastAsia" w:ascii="微软雅黑" w:hAnsi="微软雅黑" w:eastAsia="微软雅黑" w:cs="微软雅黑"/>
                <w:i w:val="0"/>
                <w:iCs w:val="0"/>
                <w:color w:val="000000"/>
                <w:kern w:val="0"/>
                <w:sz w:val="22"/>
                <w:szCs w:val="22"/>
                <w:u w:val="none"/>
                <w:lang w:val="en-US" w:eastAsia="zh-CN" w:bidi="ar"/>
              </w:rPr>
              <w:t>67809平方米</w:t>
            </w:r>
          </w:p>
        </w:tc>
        <w:tc>
          <w:tcPr>
            <w:tcW w:w="733" w:type="pct"/>
            <w:vAlign w:val="center"/>
          </w:tcPr>
          <w:p>
            <w:pPr>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trPr>
        <w:tc>
          <w:tcPr>
            <w:tcW w:w="200" w:type="pct"/>
            <w:vAlign w:val="center"/>
          </w:tcPr>
          <w:p>
            <w:pPr>
              <w:jc w:val="center"/>
              <w:rPr>
                <w:rFonts w:hint="eastAsia" w:ascii="微软雅黑" w:hAnsi="微软雅黑" w:eastAsia="微软雅黑" w:cs="微软雅黑"/>
                <w:sz w:val="24"/>
              </w:rPr>
            </w:pPr>
          </w:p>
        </w:tc>
        <w:tc>
          <w:tcPr>
            <w:tcW w:w="1939" w:type="pct"/>
            <w:gridSpan w:val="3"/>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1.3</w:t>
            </w:r>
            <w:r>
              <w:rPr>
                <w:rFonts w:hint="eastAsia" w:ascii="微软雅黑" w:hAnsi="微软雅黑" w:eastAsia="微软雅黑" w:cs="微软雅黑"/>
                <w:sz w:val="24"/>
                <w:lang w:eastAsia="zh-CN"/>
              </w:rPr>
              <w:t>行道树</w:t>
            </w:r>
            <w:r>
              <w:rPr>
                <w:rFonts w:hint="eastAsia" w:ascii="微软雅黑" w:hAnsi="微软雅黑" w:eastAsia="微软雅黑" w:cs="微软雅黑"/>
                <w:sz w:val="24"/>
              </w:rPr>
              <w:t>（此项为不可竞争费用）</w:t>
            </w:r>
          </w:p>
        </w:tc>
        <w:tc>
          <w:tcPr>
            <w:tcW w:w="752"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60/棵/年</w:t>
            </w:r>
          </w:p>
        </w:tc>
        <w:tc>
          <w:tcPr>
            <w:tcW w:w="572"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60/棵/年</w:t>
            </w:r>
          </w:p>
        </w:tc>
        <w:tc>
          <w:tcPr>
            <w:tcW w:w="801" w:type="pct"/>
            <w:vAlign w:val="center"/>
          </w:tcPr>
          <w:p>
            <w:pPr>
              <w:keepNext w:val="0"/>
              <w:keepLines w:val="0"/>
              <w:widowControl/>
              <w:suppressLineNumbers w:val="0"/>
              <w:jc w:val="center"/>
              <w:textAlignment w:val="center"/>
              <w:rPr>
                <w:rFonts w:hint="default" w:ascii="微软雅黑" w:hAnsi="微软雅黑" w:eastAsia="微软雅黑" w:cs="微软雅黑"/>
                <w:sz w:val="24"/>
                <w:lang w:val="en-US" w:eastAsia="zh-CN"/>
              </w:rPr>
            </w:pPr>
            <w:r>
              <w:rPr>
                <w:rFonts w:hint="eastAsia" w:ascii="微软雅黑" w:hAnsi="微软雅黑" w:eastAsia="微软雅黑" w:cs="微软雅黑"/>
                <w:i w:val="0"/>
                <w:iCs w:val="0"/>
                <w:color w:val="000000"/>
                <w:kern w:val="0"/>
                <w:sz w:val="22"/>
                <w:szCs w:val="22"/>
                <w:u w:val="none"/>
                <w:lang w:val="en-US" w:eastAsia="zh-CN" w:bidi="ar"/>
              </w:rPr>
              <w:t>1113棵</w:t>
            </w:r>
          </w:p>
        </w:tc>
        <w:tc>
          <w:tcPr>
            <w:tcW w:w="733"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66780元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exact"/>
        </w:trPr>
        <w:tc>
          <w:tcPr>
            <w:tcW w:w="200"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1939" w:type="pct"/>
            <w:gridSpan w:val="3"/>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rPr>
              <w:t>草花种植及养护</w:t>
            </w:r>
          </w:p>
        </w:tc>
        <w:tc>
          <w:tcPr>
            <w:tcW w:w="2127" w:type="pct"/>
            <w:gridSpan w:val="3"/>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774578元/年</w:t>
            </w:r>
          </w:p>
          <w:p>
            <w:pPr>
              <w:jc w:val="center"/>
              <w:rPr>
                <w:rFonts w:ascii="微软雅黑" w:hAnsi="微软雅黑" w:eastAsia="微软雅黑" w:cs="微软雅黑"/>
                <w:sz w:val="24"/>
              </w:rPr>
            </w:pPr>
          </w:p>
        </w:tc>
        <w:tc>
          <w:tcPr>
            <w:tcW w:w="733"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00"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752" w:type="pct"/>
            <w:vAlign w:val="center"/>
          </w:tcPr>
          <w:p>
            <w:pPr>
              <w:jc w:val="center"/>
              <w:rPr>
                <w:rFonts w:hint="eastAsia" w:ascii="微软雅黑" w:hAnsi="微软雅黑" w:eastAsia="微软雅黑" w:cs="微软雅黑"/>
                <w:sz w:val="24"/>
              </w:rPr>
            </w:pPr>
          </w:p>
        </w:tc>
        <w:tc>
          <w:tcPr>
            <w:tcW w:w="3313" w:type="pct"/>
            <w:gridSpan w:val="5"/>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应急整治费用（此项为不可竞争费用）</w:t>
            </w:r>
          </w:p>
        </w:tc>
        <w:tc>
          <w:tcPr>
            <w:tcW w:w="733" w:type="pc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2</w:t>
            </w:r>
            <w:r>
              <w:rPr>
                <w:rFonts w:hint="eastAsia" w:ascii="微软雅黑" w:hAnsi="微软雅黑" w:eastAsia="微软雅黑" w:cs="微软雅黑"/>
                <w:sz w:val="24"/>
                <w:lang w:val="en-US" w:eastAsia="zh-CN"/>
              </w:rPr>
              <w:t>00000</w:t>
            </w:r>
            <w:r>
              <w:rPr>
                <w:rFonts w:hint="eastAsia" w:ascii="微软雅黑" w:hAnsi="微软雅黑" w:eastAsia="微软雅黑" w:cs="微软雅黑"/>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266" w:type="pct"/>
            <w:gridSpan w:val="7"/>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合计（1+2+3）</w:t>
            </w:r>
          </w:p>
        </w:tc>
        <w:tc>
          <w:tcPr>
            <w:tcW w:w="733" w:type="pct"/>
            <w:vAlign w:val="center"/>
          </w:tcPr>
          <w:p>
            <w:pPr>
              <w:jc w:val="righ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trPr>
        <w:tc>
          <w:tcPr>
            <w:tcW w:w="2892" w:type="pct"/>
            <w:gridSpan w:val="5"/>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服务期限</w:t>
            </w:r>
          </w:p>
        </w:tc>
        <w:tc>
          <w:tcPr>
            <w:tcW w:w="2107" w:type="pct"/>
            <w:gridSpan w:val="3"/>
            <w:tcBorders>
              <w:top w:val="single" w:color="auto" w:sz="4" w:space="0"/>
            </w:tcBorders>
            <w:vAlign w:val="center"/>
          </w:tcPr>
          <w:p>
            <w:pPr>
              <w:jc w:val="left"/>
              <w:rPr>
                <w:rFonts w:ascii="微软雅黑" w:hAnsi="微软雅黑" w:eastAsia="微软雅黑" w:cs="微软雅黑"/>
                <w:sz w:val="24"/>
              </w:rPr>
            </w:pPr>
            <w:r>
              <w:rPr>
                <w:rFonts w:hint="eastAsia" w:ascii="微软雅黑" w:hAnsi="微软雅黑" w:eastAsia="微软雅黑" w:cs="微软雅黑"/>
                <w:sz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2892" w:type="pct"/>
            <w:gridSpan w:val="5"/>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项目负责人</w:t>
            </w:r>
          </w:p>
        </w:tc>
        <w:tc>
          <w:tcPr>
            <w:tcW w:w="2107" w:type="pct"/>
            <w:gridSpan w:val="3"/>
            <w:tcBorders>
              <w:top w:val="single" w:color="auto" w:sz="4" w:space="0"/>
            </w:tcBorders>
            <w:vAlign w:val="center"/>
          </w:tcPr>
          <w:p>
            <w:pPr>
              <w:jc w:val="left"/>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trPr>
        <w:tc>
          <w:tcPr>
            <w:tcW w:w="2892" w:type="pct"/>
            <w:gridSpan w:val="5"/>
            <w:vMerge w:val="restart"/>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投标总价</w:t>
            </w:r>
          </w:p>
          <w:p>
            <w:pPr>
              <w:jc w:val="center"/>
              <w:rPr>
                <w:rFonts w:ascii="微软雅黑" w:hAnsi="微软雅黑" w:eastAsia="微软雅黑" w:cs="微软雅黑"/>
                <w:sz w:val="24"/>
              </w:rPr>
            </w:pPr>
            <w:r>
              <w:rPr>
                <w:rFonts w:hint="eastAsia" w:ascii="微软雅黑" w:hAnsi="微软雅黑" w:eastAsia="微软雅黑" w:cs="微软雅黑"/>
                <w:sz w:val="24"/>
              </w:rPr>
              <w:t>（人民币：元）</w:t>
            </w:r>
          </w:p>
        </w:tc>
        <w:tc>
          <w:tcPr>
            <w:tcW w:w="2107" w:type="pct"/>
            <w:gridSpan w:val="3"/>
            <w:vAlign w:val="center"/>
          </w:tcPr>
          <w:p>
            <w:pPr>
              <w:jc w:val="left"/>
              <w:rPr>
                <w:rFonts w:ascii="微软雅黑" w:hAnsi="微软雅黑" w:eastAsia="微软雅黑" w:cs="微软雅黑"/>
                <w:sz w:val="24"/>
              </w:rPr>
            </w:pPr>
            <w:r>
              <w:rPr>
                <w:rFonts w:hint="eastAsia" w:ascii="微软雅黑" w:hAnsi="微软雅黑" w:eastAsia="微软雅黑" w:cs="微软雅黑"/>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2892" w:type="pct"/>
            <w:gridSpan w:val="5"/>
            <w:vMerge w:val="continue"/>
          </w:tcPr>
          <w:p>
            <w:pPr>
              <w:jc w:val="left"/>
              <w:rPr>
                <w:rFonts w:ascii="微软雅黑" w:hAnsi="微软雅黑" w:eastAsia="微软雅黑" w:cs="微软雅黑"/>
                <w:sz w:val="24"/>
              </w:rPr>
            </w:pPr>
          </w:p>
        </w:tc>
        <w:tc>
          <w:tcPr>
            <w:tcW w:w="2107" w:type="pct"/>
            <w:gridSpan w:val="3"/>
            <w:vAlign w:val="center"/>
          </w:tcPr>
          <w:p>
            <w:pPr>
              <w:jc w:val="left"/>
              <w:rPr>
                <w:rFonts w:ascii="微软雅黑" w:hAnsi="微软雅黑" w:eastAsia="微软雅黑" w:cs="微软雅黑"/>
                <w:sz w:val="24"/>
              </w:rPr>
            </w:pPr>
            <w:r>
              <w:rPr>
                <w:rFonts w:hint="eastAsia" w:ascii="微软雅黑" w:hAnsi="微软雅黑" w:eastAsia="微软雅黑" w:cs="微软雅黑"/>
                <w:sz w:val="24"/>
              </w:rPr>
              <w:t>大写：</w:t>
            </w:r>
          </w:p>
        </w:tc>
      </w:tr>
    </w:tbl>
    <w:p>
      <w:pPr>
        <w:snapToGrid w:val="0"/>
        <w:spacing w:before="50" w:after="50"/>
        <w:ind w:right="-823" w:rightChars="-294"/>
        <w:jc w:val="left"/>
        <w:rPr>
          <w:rFonts w:ascii="微软雅黑" w:hAnsi="微软雅黑" w:eastAsia="微软雅黑" w:cs="微软雅黑"/>
          <w:sz w:val="24"/>
        </w:rPr>
      </w:pPr>
      <w:r>
        <w:rPr>
          <w:rFonts w:hint="eastAsia" w:ascii="微软雅黑" w:hAnsi="微软雅黑" w:eastAsia="微软雅黑" w:cs="微软雅黑"/>
          <w:sz w:val="24"/>
        </w:rPr>
        <w:t>注: 1、报价一经涂改，应在涂改处加盖单位公章或者由法定代表人或授权委托人签字或盖章，否则其投标作无效标处理。</w:t>
      </w:r>
    </w:p>
    <w:p>
      <w:pPr>
        <w:snapToGrid w:val="0"/>
        <w:spacing w:before="50" w:after="50"/>
        <w:ind w:right="-823" w:rightChars="-294"/>
        <w:jc w:val="left"/>
        <w:rPr>
          <w:rFonts w:ascii="微软雅黑" w:hAnsi="微软雅黑" w:eastAsia="微软雅黑" w:cs="微软雅黑"/>
          <w:sz w:val="24"/>
        </w:rPr>
      </w:pPr>
      <w:r>
        <w:rPr>
          <w:rFonts w:hint="eastAsia" w:ascii="微软雅黑" w:hAnsi="微软雅黑" w:eastAsia="微软雅黑" w:cs="微软雅黑"/>
          <w:sz w:val="24"/>
        </w:rPr>
        <w:t>2、项目费用包括项目实施所需的工程费、工时费、服务费、运输费、购买及制作标书费、税费及其他一切费用。</w:t>
      </w:r>
    </w:p>
    <w:p>
      <w:pPr>
        <w:snapToGrid w:val="0"/>
        <w:spacing w:before="50" w:after="50"/>
        <w:ind w:right="-823" w:rightChars="-294"/>
        <w:jc w:val="left"/>
        <w:rPr>
          <w:rFonts w:ascii="微软雅黑" w:hAnsi="微软雅黑" w:eastAsia="微软雅黑" w:cs="微软雅黑"/>
          <w:b/>
          <w:bCs/>
          <w:sz w:val="24"/>
        </w:rPr>
      </w:pPr>
      <w:r>
        <w:rPr>
          <w:rFonts w:hint="eastAsia" w:ascii="微软雅黑" w:hAnsi="微软雅黑" w:eastAsia="微软雅黑" w:cs="微软雅黑"/>
          <w:sz w:val="24"/>
        </w:rPr>
        <w:t>3、</w:t>
      </w:r>
      <w:r>
        <w:rPr>
          <w:rFonts w:hint="eastAsia" w:ascii="微软雅黑" w:hAnsi="微软雅黑" w:eastAsia="微软雅黑" w:cs="微软雅黑"/>
          <w:b/>
          <w:bCs/>
          <w:sz w:val="24"/>
        </w:rPr>
        <w:t>行道树</w:t>
      </w:r>
      <w:r>
        <w:rPr>
          <w:rFonts w:hint="eastAsia" w:ascii="微软雅黑" w:hAnsi="微软雅黑" w:eastAsia="微软雅黑" w:cs="微软雅黑"/>
          <w:sz w:val="24"/>
          <w:lang w:eastAsia="zh-CN"/>
        </w:rPr>
        <w:t>、</w:t>
      </w:r>
      <w:r>
        <w:rPr>
          <w:rFonts w:hint="eastAsia" w:ascii="微软雅黑" w:hAnsi="微软雅黑" w:eastAsia="微软雅黑" w:cs="微软雅黑"/>
          <w:b/>
          <w:bCs/>
          <w:sz w:val="24"/>
        </w:rPr>
        <w:t>应急整治费用用于合同履行过程中的按实结算，不参与投标报价评审。</w:t>
      </w:r>
    </w:p>
    <w:p>
      <w:pPr>
        <w:snapToGrid w:val="0"/>
        <w:spacing w:before="50" w:after="50"/>
        <w:ind w:right="-823" w:rightChars="-294"/>
        <w:jc w:val="left"/>
        <w:rPr>
          <w:rFonts w:ascii="微软雅黑" w:hAnsi="微软雅黑" w:eastAsia="微软雅黑" w:cs="微软雅黑"/>
          <w:sz w:val="24"/>
        </w:rPr>
      </w:pPr>
      <w:r>
        <w:rPr>
          <w:rFonts w:hint="eastAsia" w:ascii="微软雅黑" w:hAnsi="微软雅黑" w:eastAsia="微软雅黑" w:cs="微软雅黑"/>
          <w:sz w:val="24"/>
        </w:rPr>
        <w:t>4、投标报价及分项报价部分超最高限价均为无效。</w:t>
      </w:r>
    </w:p>
    <w:bookmarkEnd w:id="76"/>
    <w:p>
      <w:pPr>
        <w:snapToGrid w:val="0"/>
        <w:spacing w:line="440" w:lineRule="exact"/>
        <w:rPr>
          <w:rFonts w:ascii="微软雅黑" w:hAnsi="微软雅黑" w:eastAsia="微软雅黑" w:cs="微软雅黑"/>
          <w:color w:val="000000"/>
          <w:sz w:val="24"/>
        </w:rPr>
      </w:pPr>
      <w:r>
        <w:rPr>
          <w:rFonts w:hint="eastAsia" w:ascii="微软雅黑" w:hAnsi="微软雅黑" w:eastAsia="微软雅黑" w:cs="微软雅黑"/>
          <w:color w:val="000000"/>
          <w:sz w:val="24"/>
        </w:rPr>
        <w:t>法定代表人（签字或盖章）：</w:t>
      </w:r>
    </w:p>
    <w:p>
      <w:pPr>
        <w:snapToGrid w:val="0"/>
        <w:spacing w:line="440" w:lineRule="exact"/>
        <w:rPr>
          <w:rFonts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p>
    <w:p>
      <w:pPr>
        <w:snapToGrid w:val="0"/>
        <w:spacing w:line="440" w:lineRule="exact"/>
        <w:rPr>
          <w:rFonts w:ascii="微软雅黑" w:hAnsi="微软雅黑" w:eastAsia="微软雅黑" w:cs="微软雅黑"/>
          <w:b/>
          <w:bCs/>
          <w:spacing w:val="11"/>
          <w:kern w:val="0"/>
          <w:sz w:val="24"/>
        </w:rPr>
        <w:sectPr>
          <w:pgSz w:w="11907" w:h="16840"/>
          <w:pgMar w:top="1134" w:right="1247" w:bottom="1191" w:left="1128" w:header="851" w:footer="992" w:gutter="0"/>
          <w:cols w:space="720" w:num="1"/>
          <w:docGrid w:linePitch="381" w:charSpace="0"/>
        </w:sectPr>
      </w:pPr>
      <w:r>
        <w:rPr>
          <w:rFonts w:hint="eastAsia" w:ascii="微软雅黑" w:hAnsi="微软雅黑" w:eastAsia="微软雅黑" w:cs="微软雅黑"/>
          <w:color w:val="000000"/>
          <w:sz w:val="24"/>
        </w:rPr>
        <w:t>日期：年月日</w:t>
      </w:r>
    </w:p>
    <w:p>
      <w:pPr>
        <w:jc w:val="center"/>
        <w:rPr>
          <w:rFonts w:ascii="微软雅黑" w:hAnsi="微软雅黑" w:eastAsia="微软雅黑" w:cs="微软雅黑"/>
          <w:sz w:val="32"/>
          <w:szCs w:val="28"/>
          <w:lang w:val="zh-CN"/>
        </w:rPr>
      </w:pPr>
      <w:r>
        <w:rPr>
          <w:rFonts w:hint="eastAsia" w:ascii="微软雅黑" w:hAnsi="微软雅黑" w:eastAsia="微软雅黑" w:cs="微软雅黑"/>
          <w:b/>
          <w:bCs/>
          <w:spacing w:val="11"/>
          <w:kern w:val="0"/>
          <w:szCs w:val="28"/>
          <w:lang w:val="zh-CN"/>
        </w:rPr>
        <w:t>草花种植养护服务报价</w:t>
      </w:r>
      <w:r>
        <w:rPr>
          <w:rFonts w:hint="eastAsia" w:ascii="微软雅黑" w:hAnsi="微软雅黑" w:eastAsia="微软雅黑" w:cs="微软雅黑"/>
          <w:b/>
          <w:bCs/>
          <w:szCs w:val="28"/>
          <w:lang w:val="zh-CN"/>
        </w:rPr>
        <w:t>明细表</w:t>
      </w:r>
    </w:p>
    <w:tbl>
      <w:tblPr>
        <w:tblStyle w:val="19"/>
        <w:tblW w:w="9696" w:type="dxa"/>
        <w:tblInd w:w="93" w:type="dxa"/>
        <w:tblLayout w:type="fixed"/>
        <w:tblCellMar>
          <w:top w:w="0" w:type="dxa"/>
          <w:left w:w="108" w:type="dxa"/>
          <w:bottom w:w="0" w:type="dxa"/>
          <w:right w:w="108" w:type="dxa"/>
        </w:tblCellMar>
      </w:tblPr>
      <w:tblGrid>
        <w:gridCol w:w="1832"/>
        <w:gridCol w:w="2403"/>
        <w:gridCol w:w="897"/>
        <w:gridCol w:w="1137"/>
        <w:gridCol w:w="943"/>
        <w:gridCol w:w="883"/>
        <w:gridCol w:w="961"/>
        <w:gridCol w:w="640"/>
      </w:tblGrid>
      <w:tr>
        <w:tblPrEx>
          <w:tblCellMar>
            <w:top w:w="0" w:type="dxa"/>
            <w:left w:w="108" w:type="dxa"/>
            <w:bottom w:w="0" w:type="dxa"/>
            <w:right w:w="108" w:type="dxa"/>
          </w:tblCellMar>
        </w:tblPrEx>
        <w:trPr>
          <w:trHeight w:val="93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项目名称</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项目特征（规格型号）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面积</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（m²）</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密度</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（株/m²）</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数量（株）</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单价（元）</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总价（元）</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976"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第一次：4-7月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草花品种：百日草、孔雀草、夏堇、一串红、矮牵牛、洋凤仙、金鱼草、太阳花等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bidi="ar"/>
              </w:rPr>
              <w:t xml:space="preserve">                                                                                                                                                                                                                                                                                                           </w:t>
            </w: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240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897"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1137"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94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883"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961"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color w:val="000000"/>
                <w:sz w:val="21"/>
                <w:szCs w:val="21"/>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18" w:hRule="atLeast"/>
        </w:trPr>
        <w:tc>
          <w:tcPr>
            <w:tcW w:w="18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第二次：7-9月</w:t>
            </w:r>
          </w:p>
        </w:tc>
        <w:tc>
          <w:tcPr>
            <w:tcW w:w="24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草花品种：太阳花、孔雀草、夏堇、美女樱、百日草、硫华菊、长春花、彩叶草等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auto"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240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9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113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4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8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61"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640"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57"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第三次：9-11月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草花品种：一串红、百日草、孔雀草、石竹、矮牵牛、长春花、彩叶草、石竹等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240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9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1137"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4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883"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961"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c>
          <w:tcPr>
            <w:tcW w:w="640" w:type="dxa"/>
            <w:tcBorders>
              <w:top w:val="nil"/>
              <w:left w:val="nil"/>
              <w:bottom w:val="nil"/>
              <w:right w:val="nil"/>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57"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第四次：11-3月</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 xml:space="preserve">草花品种：三色堇、角堇、石竹、报春花、雏菊、金盏菊、羽衣甘蓝、欧石竹等         </w:t>
            </w:r>
          </w:p>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规格：120杯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2013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kern w:val="0"/>
                <w:sz w:val="21"/>
                <w:szCs w:val="21"/>
                <w:lang w:val="en-US" w:eastAsia="zh-CN" w:bidi="ar"/>
              </w:rPr>
              <w:t>128832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向阳西路（风顺路-南浔大道）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713</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45632</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南浔大道（向阳路-湖浔大道）</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1300</w:t>
            </w:r>
          </w:p>
        </w:tc>
        <w:tc>
          <w:tcPr>
            <w:tcW w:w="1137"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83200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543" w:hRule="atLeast"/>
        </w:trPr>
        <w:tc>
          <w:tcPr>
            <w:tcW w:w="80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合计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szCs w:val="21"/>
              </w:rPr>
            </w:pPr>
          </w:p>
        </w:tc>
      </w:tr>
    </w:tbl>
    <w:p>
      <w:pPr>
        <w:rPr>
          <w:rFonts w:ascii="微软雅黑" w:hAnsi="微软雅黑" w:eastAsia="微软雅黑" w:cs="微软雅黑"/>
          <w:b/>
          <w:bCs/>
          <w:sz w:val="24"/>
          <w:szCs w:val="22"/>
        </w:rPr>
      </w:pPr>
      <w:r>
        <w:rPr>
          <w:rFonts w:hint="eastAsia" w:ascii="微软雅黑" w:hAnsi="微软雅黑" w:eastAsia="微软雅黑" w:cs="微软雅黑"/>
          <w:b/>
          <w:bCs/>
          <w:sz w:val="24"/>
          <w:szCs w:val="22"/>
        </w:rPr>
        <w:t>注：草花种植养护服务报价明细表中的最终汇总金额应与“开标一览表”中的“草花种植及养护投标报价”相一致。</w:t>
      </w:r>
    </w:p>
    <w:p>
      <w:pPr>
        <w:pStyle w:val="2"/>
        <w:ind w:firstLine="240"/>
        <w:rPr>
          <w:rFonts w:ascii="微软雅黑" w:hAnsi="微软雅黑" w:eastAsia="微软雅黑" w:cs="微软雅黑"/>
          <w:b/>
          <w:bCs/>
          <w:sz w:val="24"/>
          <w:szCs w:val="22"/>
        </w:rPr>
      </w:pPr>
    </w:p>
    <w:p>
      <w:pPr>
        <w:snapToGrid w:val="0"/>
        <w:spacing w:line="440" w:lineRule="exact"/>
        <w:rPr>
          <w:rFonts w:ascii="微软雅黑" w:hAnsi="微软雅黑" w:eastAsia="微软雅黑" w:cs="微软雅黑"/>
          <w:color w:val="000000"/>
          <w:sz w:val="24"/>
        </w:rPr>
      </w:pPr>
      <w:r>
        <w:rPr>
          <w:rFonts w:hint="eastAsia" w:ascii="微软雅黑" w:hAnsi="微软雅黑" w:eastAsia="微软雅黑" w:cs="微软雅黑"/>
          <w:color w:val="000000"/>
          <w:sz w:val="24"/>
        </w:rPr>
        <w:t>法定代表人（签字或盖章）：</w:t>
      </w:r>
    </w:p>
    <w:p>
      <w:pPr>
        <w:snapToGrid w:val="0"/>
        <w:spacing w:line="440" w:lineRule="exact"/>
        <w:rPr>
          <w:rFonts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p>
    <w:p>
      <w:pPr>
        <w:snapToGrid w:val="0"/>
        <w:spacing w:line="440" w:lineRule="exact"/>
        <w:rPr>
          <w:rFonts w:hint="eastAsia" w:ascii="微软雅黑" w:hAnsi="微软雅黑" w:eastAsia="微软雅黑" w:cs="微软雅黑"/>
          <w:b/>
          <w:bCs/>
          <w:spacing w:val="11"/>
          <w:kern w:val="0"/>
          <w:sz w:val="24"/>
          <w:lang w:val="en-US" w:eastAsia="zh-CN"/>
        </w:rPr>
        <w:sectPr>
          <w:pgSz w:w="11907" w:h="16840"/>
          <w:pgMar w:top="1134" w:right="1247" w:bottom="1191" w:left="1128" w:header="851" w:footer="992" w:gutter="0"/>
          <w:cols w:space="720" w:num="1"/>
          <w:docGrid w:linePitch="381" w:charSpace="0"/>
        </w:sectPr>
      </w:pPr>
      <w:r>
        <w:rPr>
          <w:rFonts w:hint="eastAsia" w:ascii="微软雅黑" w:hAnsi="微软雅黑" w:eastAsia="微软雅黑" w:cs="微软雅黑"/>
          <w:color w:val="000000"/>
          <w:sz w:val="24"/>
        </w:rPr>
        <w:t xml:space="preserve">日期：年 月 </w:t>
      </w:r>
      <w:r>
        <w:rPr>
          <w:rFonts w:hint="eastAsia" w:ascii="微软雅黑" w:hAnsi="微软雅黑" w:eastAsia="微软雅黑" w:cs="微软雅黑"/>
          <w:color w:val="000000"/>
          <w:sz w:val="24"/>
          <w:lang w:val="en-US" w:eastAsia="zh-CN"/>
        </w:rPr>
        <w:t xml:space="preserve"> 日</w:t>
      </w:r>
    </w:p>
    <w:p>
      <w:pPr>
        <w:pStyle w:val="4"/>
        <w:ind w:left="0" w:leftChars="0"/>
      </w:pPr>
    </w:p>
    <w:sectPr>
      <w:pgSz w:w="11907" w:h="16840"/>
      <w:pgMar w:top="1134" w:right="1247" w:bottom="1191" w:left="112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黑体" w:hAnsi="MS PGothic" w:eastAsia="黑体"/>
        <w:kern w:val="0"/>
        <w:szCs w:val="21"/>
      </w:rPr>
      <w:t xml:space="preserve">浙江华夏工程管理有限公司        0572-2567837                                       </w:t>
    </w:r>
  </w:p>
  <w:p>
    <w:pPr>
      <w:pStyle w:val="14"/>
      <w:rPr>
        <w:rFonts w:ascii="黑体" w:hAnsi="MS PGothic"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2584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58435" cy="147955"/>
                      </a:xfrm>
                      <a:prstGeom prst="rect">
                        <a:avLst/>
                      </a:prstGeom>
                      <a:noFill/>
                      <a:ln w="6350">
                        <a:noFill/>
                      </a:ln>
                    </wps:spPr>
                    <wps:txbx>
                      <w:txbxContent>
                        <w:p>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7</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14.05pt;mso-position-horizontal:left;mso-position-horizontal-relative:margin;mso-wrap-style:none;z-index:251660288;mso-width-relative:page;mso-height-relative:page;" filled="f" stroked="f" coordsize="21600,21600" o:gfxdata="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3vBg0wAAAAQBAAAPAAAAAAAAAAEAIAAAACIAAABkcnMvZG93bnJldi54bWxQSwEC&#10;FAAUAAAACACHTuJAe9T3UjICAABUBAAADgAAAAAAAAABACAAAAAiAQAAZHJzL2Uyb0RvYy54bWxQ&#10;SwUGAAAAAAYABgBZAQAAxgUAAAAA&#10;">
              <v:fill on="f" focussize="0,0"/>
              <v:stroke on="f" weight="0.5pt"/>
              <v:imagedata o:title=""/>
              <o:lock v:ext="edit" aspectratio="f"/>
              <v:textbox inset="0mm,0mm,0mm,0mm" style="mso-fit-shape-to-text:t;">
                <w:txbxContent>
                  <w:p>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7</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p>
    <w:pPr>
      <w:pStyle w:val="14"/>
      <w:rPr>
        <w:rFonts w:ascii="黑体" w:hAnsi="MS PGothic"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7435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3585" cy="147955"/>
                      </a:xfrm>
                      <a:prstGeom prst="rect">
                        <a:avLst/>
                      </a:prstGeom>
                      <a:noFill/>
                      <a:ln w="6350">
                        <a:noFill/>
                      </a:ln>
                      <a:effectLst/>
                    </wps:spPr>
                    <wps:txbx>
                      <w:txbxContent>
                        <w:p>
                          <w:pPr>
                            <w:pStyle w:val="14"/>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25</w:t>
                          </w:r>
                          <w:r>
                            <w:rPr>
                              <w:rFonts w:ascii="宋体" w:hAnsi="宋体"/>
                              <w:bCs/>
                            </w:rPr>
                            <w:fldChar w:fldCharType="end"/>
                          </w:r>
                          <w:r>
                            <w:rPr>
                              <w:rFonts w:hint="eastAsia" w:ascii="宋体" w:hAnsi="宋体"/>
                              <w:bCs/>
                            </w:rPr>
                            <w:t>页，共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88</w:t>
                          </w:r>
                          <w:r>
                            <w:rPr>
                              <w:rFonts w:ascii="宋体" w:hAnsi="宋体"/>
                              <w:bCs/>
                            </w:rPr>
                            <w:fldChar w:fldCharType="end"/>
                          </w:r>
                          <w:r>
                            <w:rPr>
                              <w:rFonts w:hint="eastAsia" w:ascii="宋体" w:hAnsi="宋体"/>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58.55pt;mso-position-horizontal:left;mso-position-horizontal-relative:margin;mso-wrap-style:none;z-index:251661312;mso-width-relative:page;mso-height-relative:page;" filled="f" stroked="f" coordsize="21600,21600" o:gfxdata="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TSMjSAAAABAEAAA8AAAAAAAAAAQAgAAAAIgAAAGRycy9kb3ducmV2Lnht&#10;bFBLAQIUABQAAAAIAIdO4kDn7ZtFOAIAAGEEAAAOAAAAAAAAAAEAIAAAACEBAABkcnMvZTJvRG9j&#10;LnhtbFBLBQYAAAAABgAGAFkBAADLBQAAAAA=&#10;">
              <v:fill on="f" focussize="0,0"/>
              <v:stroke on="f" weight="0.5pt"/>
              <v:imagedata o:title=""/>
              <o:lock v:ext="edit" aspectratio="f"/>
              <v:textbox inset="0mm,0mm,0mm,0mm" style="mso-fit-shape-to-text:t;">
                <w:txbxContent>
                  <w:p>
                    <w:pPr>
                      <w:pStyle w:val="14"/>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25</w:t>
                    </w:r>
                    <w:r>
                      <w:rPr>
                        <w:rFonts w:ascii="宋体" w:hAnsi="宋体"/>
                        <w:bCs/>
                      </w:rPr>
                      <w:fldChar w:fldCharType="end"/>
                    </w:r>
                    <w:r>
                      <w:rPr>
                        <w:rFonts w:hint="eastAsia" w:ascii="宋体" w:hAnsi="宋体"/>
                        <w:bCs/>
                      </w:rPr>
                      <w:t>页，共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88</w:t>
                    </w:r>
                    <w:r>
                      <w:rPr>
                        <w:rFonts w:ascii="宋体" w:hAnsi="宋体"/>
                        <w:bCs/>
                      </w:rPr>
                      <w:fldChar w:fldCharType="end"/>
                    </w:r>
                    <w:r>
                      <w:rPr>
                        <w:rFonts w:hint="eastAsia" w:ascii="宋体" w:hAnsi="宋体"/>
                        <w:bCs/>
                      </w:rPr>
                      <w:t>页</w:t>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eastAsia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80073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735" cy="147955"/>
                      </a:xfrm>
                      <a:prstGeom prst="rect">
                        <a:avLst/>
                      </a:prstGeom>
                      <a:noFill/>
                      <a:ln w="6350">
                        <a:noFill/>
                      </a:ln>
                    </wps:spPr>
                    <wps:txbx>
                      <w:txbxContent>
                        <w:p>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43</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88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3.05pt;mso-position-horizontal:left;mso-position-horizontal-relative:margin;mso-wrap-style:none;z-index:251662336;mso-width-relative:page;mso-height-relative:page;" filled="f" stroked="f" coordsize="21600,21600" o:gfxdata="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xfVs0wAAAAQBAAAPAAAAAAAAAAEAIAAAACIAAABkcnMvZG93bnJldi54bWxQSwECFAAU&#10;AAAACACHTuJAHlMolS8CAABTBAAADgAAAAAAAAABACAAAAAiAQAAZHJzL2Uyb0RvYy54bWxQSwUG&#10;AAAAAAYABgBZAQAAwwUAAAAA&#10;">
              <v:fill on="f" focussize="0,0"/>
              <v:stroke on="f" weight="0.5pt"/>
              <v:imagedata o:title=""/>
              <o:lock v:ext="edit" aspectratio="f"/>
              <v:textbox inset="0mm,0mm,0mm,0mm" style="mso-fit-shape-to-text:t;">
                <w:txbxContent>
                  <w:p>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43</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88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v:textbox>
            </v:shape>
          </w:pict>
        </mc:Fallback>
      </mc:AlternateContent>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eastAsia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8007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00735" cy="147955"/>
                      </a:xfrm>
                      <a:prstGeom prst="rect">
                        <a:avLst/>
                      </a:prstGeom>
                      <a:noFill/>
                      <a:ln w="6350">
                        <a:noFill/>
                      </a:ln>
                    </wps:spPr>
                    <wps:txbx>
                      <w:txbxContent>
                        <w:p>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43</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88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63.05pt;mso-position-horizontal:left;mso-position-horizontal-relative:margin;mso-wrap-style:none;z-index:251662336;mso-width-relative:page;mso-height-relative:page;" filled="f" stroked="f" coordsize="21600,21600" o:gfxdata="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xfVs0wAAAAQBAAAPAAAAAAAAAAEAIAAAACIAAABkcnMvZG93bnJldi54bWxQSwEC&#10;FAAUAAAACACHTuJAYpxLEzICAABTBAAADgAAAAAAAAABACAAAAAiAQAAZHJzL2Uyb0RvYy54bWxQ&#10;SwUGAAAAAAYABgBZAQAAxgUAAAAA&#10;">
              <v:fill on="f" focussize="0,0"/>
              <v:stroke on="f" weight="0.5pt"/>
              <v:imagedata o:title=""/>
              <o:lock v:ext="edit" aspectratio="f"/>
              <v:textbox inset="0mm,0mm,0mm,0mm" style="mso-fit-shape-to-text:t;">
                <w:txbxContent>
                  <w:p>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43</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88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6013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601335" cy="147955"/>
                      </a:xfrm>
                      <a:prstGeom prst="rect">
                        <a:avLst/>
                      </a:prstGeom>
                      <a:noFill/>
                      <a:ln>
                        <a:noFill/>
                      </a:ln>
                    </wps:spPr>
                    <wps:txbx>
                      <w:txbxContent>
                        <w:p>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86</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441.05pt;mso-position-horizontal:left;mso-position-horizontal-relative:margin;mso-wrap-style:none;z-index:251659264;mso-width-relative:page;mso-height-relative:page;" filled="f" stroked="f" coordsize="21600,21600" o:gfxdata="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fjsk/SAAAABAEAAA8AAAAAAAAAAQAgAAAAIgAAAGRy&#10;cy9kb3ducmV2LnhtbFBLAQIUABQAAAAIAIdO4kBjpyGQ0gEAAJsDAAAOAAAAAAAAAAEAIAAAACEB&#10;AABkcnMvZTJvRG9jLnhtbFBLBQYAAAAABgAGAFkBAABlBQAAAAA=&#10;">
              <v:fill on="f" focussize="0,0"/>
              <v:stroke on="f"/>
              <v:imagedata o:title=""/>
              <o:lock v:ext="edit" aspectratio="f"/>
              <v:textbox inset="0mm,0mm,0mm,0mm" style="mso-fit-shape-to-text:t;">
                <w:txbxContent>
                  <w:p>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86</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微软雅黑" w:hAnsi="微软雅黑" w:eastAsia="微软雅黑" w:cs="微软雅黑"/>
      </w:rPr>
    </w:pPr>
    <w:r>
      <w:rPr>
        <w:rFonts w:hint="eastAsia" w:ascii="微软雅黑" w:hAnsi="微软雅黑" w:eastAsia="微软雅黑" w:cs="微软雅黑"/>
        <w:lang w:eastAsia="zh-CN"/>
      </w:rPr>
      <w:t>湖州市南浔区住房和城乡建设局年度（2022-2025）绿化养护服务采购</w:t>
    </w:r>
    <w:r>
      <w:rPr>
        <w:rFonts w:hint="eastAsia" w:ascii="微软雅黑" w:hAnsi="微软雅黑" w:eastAsia="微软雅黑" w:cs="微软雅黑"/>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微软雅黑" w:hAnsi="微软雅黑" w:eastAsia="微软雅黑" w:cs="微软雅黑"/>
        <w:lang w:eastAsia="zh-CN"/>
      </w:rPr>
      <w:t>湖州市南浔区住房和城乡建设局年度（2022-2025）绿化养护服务采购</w:t>
    </w:r>
    <w:r>
      <w:rPr>
        <w:rFonts w:hint="eastAsia" w:ascii="微软雅黑" w:hAnsi="微软雅黑" w:eastAsia="微软雅黑" w:cs="微软雅黑"/>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微软雅黑" w:hAnsi="微软雅黑" w:eastAsia="微软雅黑" w:cs="微软雅黑"/>
      </w:rPr>
    </w:pPr>
    <w:r>
      <w:rPr>
        <w:rFonts w:hint="eastAsia" w:ascii="微软雅黑" w:hAnsi="微软雅黑" w:eastAsia="微软雅黑" w:cs="微软雅黑"/>
        <w:lang w:eastAsia="zh-CN"/>
      </w:rPr>
      <w:t>湖州市南浔区住房和城乡建设局年度（2022-2025）绿化养护服务采购</w:t>
    </w:r>
    <w:r>
      <w:rPr>
        <w:rFonts w:hint="eastAsia" w:ascii="微软雅黑" w:hAnsi="微软雅黑" w:eastAsia="微软雅黑" w:cs="微软雅黑"/>
      </w:rPr>
      <w:t xml:space="preserve">              招标文件</w:t>
    </w:r>
  </w:p>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微软雅黑" w:hAnsi="微软雅黑" w:eastAsia="微软雅黑" w:cs="微软雅黑"/>
        <w:lang w:eastAsia="zh-CN"/>
      </w:rPr>
      <w:t>湖州市南浔区住房和城乡建设局年度（2022-2025）绿化养护服务采购</w:t>
    </w:r>
    <w:r>
      <w:rPr>
        <w:rFonts w:hint="eastAsia" w:ascii="微软雅黑" w:hAnsi="微软雅黑" w:eastAsia="微软雅黑" w:cs="微软雅黑"/>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微软雅黑" w:hAnsi="微软雅黑" w:eastAsia="微软雅黑" w:cs="微软雅黑"/>
        <w:lang w:eastAsia="zh-CN"/>
      </w:rPr>
      <w:t>湖州市南浔区住房和城乡建设局年度（2022-2025）绿化养护服务采购</w:t>
    </w:r>
    <w:r>
      <w:rPr>
        <w:rFonts w:hint="eastAsia" w:ascii="微软雅黑" w:hAnsi="微软雅黑" w:eastAsia="微软雅黑" w:cs="微软雅黑"/>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3ABEC"/>
    <w:multiLevelType w:val="multilevel"/>
    <w:tmpl w:val="8273ABE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5264B99"/>
    <w:multiLevelType w:val="singleLevel"/>
    <w:tmpl w:val="85264B99"/>
    <w:lvl w:ilvl="0" w:tentative="0">
      <w:start w:val="2"/>
      <w:numFmt w:val="decimal"/>
      <w:suff w:val="nothing"/>
      <w:lvlText w:val="%1、"/>
      <w:lvlJc w:val="left"/>
    </w:lvl>
  </w:abstractNum>
  <w:abstractNum w:abstractNumId="2">
    <w:nsid w:val="8BFA2F29"/>
    <w:multiLevelType w:val="singleLevel"/>
    <w:tmpl w:val="8BFA2F29"/>
    <w:lvl w:ilvl="0" w:tentative="0">
      <w:start w:val="1"/>
      <w:numFmt w:val="decimal"/>
      <w:suff w:val="nothing"/>
      <w:lvlText w:val="%1．"/>
      <w:lvlJc w:val="left"/>
      <w:pPr>
        <w:ind w:left="0" w:firstLine="400"/>
      </w:pPr>
      <w:rPr>
        <w:rFonts w:hint="default"/>
      </w:rPr>
    </w:lvl>
  </w:abstractNum>
  <w:abstractNum w:abstractNumId="3">
    <w:nsid w:val="8D7800A4"/>
    <w:multiLevelType w:val="singleLevel"/>
    <w:tmpl w:val="8D7800A4"/>
    <w:lvl w:ilvl="0" w:tentative="0">
      <w:start w:val="1"/>
      <w:numFmt w:val="chineseCounting"/>
      <w:suff w:val="space"/>
      <w:lvlText w:val="第%1章"/>
      <w:lvlJc w:val="left"/>
      <w:rPr>
        <w:rFonts w:hint="eastAsia"/>
      </w:rPr>
    </w:lvl>
  </w:abstractNum>
  <w:abstractNum w:abstractNumId="4">
    <w:nsid w:val="B2834FC1"/>
    <w:multiLevelType w:val="singleLevel"/>
    <w:tmpl w:val="B2834FC1"/>
    <w:lvl w:ilvl="0" w:tentative="0">
      <w:start w:val="1"/>
      <w:numFmt w:val="decimal"/>
      <w:suff w:val="nothing"/>
      <w:lvlText w:val="%1、"/>
      <w:lvlJc w:val="left"/>
      <w:pPr>
        <w:ind w:left="78"/>
      </w:pPr>
    </w:lvl>
  </w:abstractNum>
  <w:abstractNum w:abstractNumId="5">
    <w:nsid w:val="B7DE6712"/>
    <w:multiLevelType w:val="singleLevel"/>
    <w:tmpl w:val="B7DE6712"/>
    <w:lvl w:ilvl="0" w:tentative="0">
      <w:start w:val="1"/>
      <w:numFmt w:val="decimal"/>
      <w:lvlText w:val="%1."/>
      <w:lvlJc w:val="left"/>
      <w:pPr>
        <w:ind w:left="425" w:hanging="425"/>
      </w:pPr>
      <w:rPr>
        <w:rFonts w:hint="default"/>
      </w:rPr>
    </w:lvl>
  </w:abstractNum>
  <w:abstractNum w:abstractNumId="6">
    <w:nsid w:val="B8665092"/>
    <w:multiLevelType w:val="singleLevel"/>
    <w:tmpl w:val="B8665092"/>
    <w:lvl w:ilvl="0" w:tentative="0">
      <w:start w:val="2"/>
      <w:numFmt w:val="chineseCounting"/>
      <w:suff w:val="nothing"/>
      <w:lvlText w:val="%1、"/>
      <w:lvlJc w:val="left"/>
      <w:rPr>
        <w:rFonts w:hint="eastAsia"/>
      </w:rPr>
    </w:lvl>
  </w:abstractNum>
  <w:abstractNum w:abstractNumId="7">
    <w:nsid w:val="D08713D1"/>
    <w:multiLevelType w:val="singleLevel"/>
    <w:tmpl w:val="D08713D1"/>
    <w:lvl w:ilvl="0" w:tentative="0">
      <w:start w:val="1"/>
      <w:numFmt w:val="decimal"/>
      <w:suff w:val="nothing"/>
      <w:lvlText w:val="%1．"/>
      <w:lvlJc w:val="left"/>
      <w:pPr>
        <w:ind w:left="157" w:firstLine="403"/>
      </w:pPr>
      <w:rPr>
        <w:rFonts w:hint="default" w:ascii="微软雅黑" w:hAnsi="微软雅黑" w:eastAsia="微软雅黑" w:cs="微软雅黑"/>
        <w:sz w:val="24"/>
        <w:szCs w:val="24"/>
      </w:rPr>
    </w:lvl>
  </w:abstractNum>
  <w:abstractNum w:abstractNumId="8">
    <w:nsid w:val="D1EC8E2E"/>
    <w:multiLevelType w:val="multilevel"/>
    <w:tmpl w:val="D1EC8E2E"/>
    <w:lvl w:ilvl="0" w:tentative="0">
      <w:start w:val="1"/>
      <w:numFmt w:val="chineseCounting"/>
      <w:suff w:val="nothing"/>
      <w:lvlText w:val="（%1）"/>
      <w:lvlJc w:val="left"/>
      <w:pPr>
        <w:ind w:left="440" w:firstLine="400"/>
      </w:pPr>
      <w:rPr>
        <w:rFonts w:hint="eastAsia"/>
      </w:rPr>
    </w:lvl>
    <w:lvl w:ilvl="1" w:tentative="0">
      <w:start w:val="1"/>
      <w:numFmt w:val="decimal"/>
      <w:suff w:val="nothing"/>
      <w:lvlText w:val="%2．"/>
      <w:lvlJc w:val="left"/>
      <w:pPr>
        <w:ind w:left="160" w:firstLine="400"/>
      </w:pPr>
      <w:rPr>
        <w:rFonts w:hint="eastAsia"/>
      </w:rPr>
    </w:lvl>
    <w:lvl w:ilvl="2" w:tentative="0">
      <w:start w:val="1"/>
      <w:numFmt w:val="decimal"/>
      <w:suff w:val="nothing"/>
      <w:lvlText w:val="（%3）"/>
      <w:lvlJc w:val="left"/>
      <w:pPr>
        <w:ind w:left="160" w:firstLine="402"/>
      </w:pPr>
      <w:rPr>
        <w:rFonts w:hint="eastAsia"/>
      </w:rPr>
    </w:lvl>
    <w:lvl w:ilvl="3" w:tentative="0">
      <w:start w:val="1"/>
      <w:numFmt w:val="decimalEnclosedCircleChinese"/>
      <w:suff w:val="nothing"/>
      <w:lvlText w:val="%4 "/>
      <w:lvlJc w:val="left"/>
      <w:pPr>
        <w:ind w:left="160" w:firstLine="402"/>
      </w:pPr>
      <w:rPr>
        <w:rFonts w:hint="eastAsia"/>
      </w:rPr>
    </w:lvl>
    <w:lvl w:ilvl="4" w:tentative="0">
      <w:start w:val="1"/>
      <w:numFmt w:val="decimal"/>
      <w:suff w:val="nothing"/>
      <w:lvlText w:val="%5）"/>
      <w:lvlJc w:val="left"/>
      <w:pPr>
        <w:ind w:left="160" w:firstLine="402"/>
      </w:pPr>
      <w:rPr>
        <w:rFonts w:hint="eastAsia"/>
      </w:rPr>
    </w:lvl>
    <w:lvl w:ilvl="5" w:tentative="0">
      <w:start w:val="1"/>
      <w:numFmt w:val="upperLetter"/>
      <w:suff w:val="nothing"/>
      <w:lvlText w:val="%6．"/>
      <w:lvlJc w:val="left"/>
      <w:pPr>
        <w:ind w:left="160" w:firstLine="402"/>
      </w:pPr>
      <w:rPr>
        <w:rFonts w:hint="eastAsia"/>
      </w:rPr>
    </w:lvl>
    <w:lvl w:ilvl="6" w:tentative="0">
      <w:start w:val="1"/>
      <w:numFmt w:val="lowerLetter"/>
      <w:suff w:val="nothing"/>
      <w:lvlText w:val="%7．"/>
      <w:lvlJc w:val="left"/>
      <w:pPr>
        <w:ind w:left="160" w:firstLine="402"/>
      </w:pPr>
      <w:rPr>
        <w:rFonts w:hint="eastAsia"/>
      </w:rPr>
    </w:lvl>
    <w:lvl w:ilvl="7" w:tentative="0">
      <w:start w:val="1"/>
      <w:numFmt w:val="lowerLetter"/>
      <w:suff w:val="nothing"/>
      <w:lvlText w:val="%8）"/>
      <w:lvlJc w:val="left"/>
      <w:pPr>
        <w:ind w:left="160" w:firstLine="402"/>
      </w:pPr>
      <w:rPr>
        <w:rFonts w:hint="eastAsia"/>
      </w:rPr>
    </w:lvl>
    <w:lvl w:ilvl="8" w:tentative="0">
      <w:start w:val="1"/>
      <w:numFmt w:val="lowerRoman"/>
      <w:suff w:val="nothing"/>
      <w:lvlText w:val="%9．"/>
      <w:lvlJc w:val="left"/>
      <w:pPr>
        <w:ind w:left="160" w:firstLine="402"/>
      </w:pPr>
      <w:rPr>
        <w:rFonts w:hint="eastAsia"/>
      </w:rPr>
    </w:lvl>
  </w:abstractNum>
  <w:abstractNum w:abstractNumId="9">
    <w:nsid w:val="D2515E9E"/>
    <w:multiLevelType w:val="singleLevel"/>
    <w:tmpl w:val="D2515E9E"/>
    <w:lvl w:ilvl="0" w:tentative="0">
      <w:start w:val="1"/>
      <w:numFmt w:val="decimal"/>
      <w:suff w:val="nothing"/>
      <w:lvlText w:val="%1．"/>
      <w:lvlJc w:val="left"/>
      <w:pPr>
        <w:ind w:firstLine="400"/>
      </w:pPr>
      <w:rPr>
        <w:rFonts w:hint="default" w:cs="Times New Roman"/>
      </w:rPr>
    </w:lvl>
  </w:abstractNum>
  <w:abstractNum w:abstractNumId="10">
    <w:nsid w:val="D85CEF28"/>
    <w:multiLevelType w:val="singleLevel"/>
    <w:tmpl w:val="D85CEF28"/>
    <w:lvl w:ilvl="0" w:tentative="0">
      <w:start w:val="1"/>
      <w:numFmt w:val="decimal"/>
      <w:suff w:val="nothing"/>
      <w:lvlText w:val="%1．"/>
      <w:lvlJc w:val="left"/>
      <w:pPr>
        <w:ind w:left="0" w:firstLine="400"/>
      </w:pPr>
      <w:rPr>
        <w:rFonts w:hint="default"/>
      </w:rPr>
    </w:lvl>
  </w:abstractNum>
  <w:abstractNum w:abstractNumId="11">
    <w:nsid w:val="DB4FE3DD"/>
    <w:multiLevelType w:val="singleLevel"/>
    <w:tmpl w:val="DB4FE3DD"/>
    <w:lvl w:ilvl="0" w:tentative="0">
      <w:start w:val="1"/>
      <w:numFmt w:val="decimal"/>
      <w:suff w:val="nothing"/>
      <w:lvlText w:val="%1．"/>
      <w:lvlJc w:val="left"/>
      <w:pPr>
        <w:ind w:left="0" w:firstLine="400"/>
      </w:pPr>
      <w:rPr>
        <w:rFonts w:hint="default"/>
      </w:rPr>
    </w:lvl>
  </w:abstractNum>
  <w:abstractNum w:abstractNumId="12">
    <w:nsid w:val="E012708B"/>
    <w:multiLevelType w:val="singleLevel"/>
    <w:tmpl w:val="E012708B"/>
    <w:lvl w:ilvl="0" w:tentative="0">
      <w:start w:val="1"/>
      <w:numFmt w:val="chineseCounting"/>
      <w:suff w:val="nothing"/>
      <w:lvlText w:val="%1、"/>
      <w:lvlJc w:val="left"/>
      <w:pPr>
        <w:ind w:left="0" w:firstLine="420"/>
      </w:pPr>
      <w:rPr>
        <w:rFonts w:hint="eastAsia"/>
      </w:rPr>
    </w:lvl>
  </w:abstractNum>
  <w:abstractNum w:abstractNumId="13">
    <w:nsid w:val="E8E29B5B"/>
    <w:multiLevelType w:val="multilevel"/>
    <w:tmpl w:val="E8E29B5B"/>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微软雅黑" w:hAnsi="微软雅黑" w:eastAsia="微软雅黑" w:cs="微软雅黑"/>
        <w:sz w:val="24"/>
        <w:szCs w:val="24"/>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EB419B3E"/>
    <w:multiLevelType w:val="singleLevel"/>
    <w:tmpl w:val="EB419B3E"/>
    <w:lvl w:ilvl="0" w:tentative="0">
      <w:start w:val="1"/>
      <w:numFmt w:val="chineseCounting"/>
      <w:suff w:val="nothing"/>
      <w:lvlText w:val="%1、"/>
      <w:lvlJc w:val="left"/>
      <w:pPr>
        <w:ind w:left="0" w:firstLine="420"/>
      </w:pPr>
      <w:rPr>
        <w:rFonts w:hint="eastAsia"/>
        <w:b/>
        <w:bCs/>
      </w:rPr>
    </w:lvl>
  </w:abstractNum>
  <w:abstractNum w:abstractNumId="15">
    <w:nsid w:val="FCA5D852"/>
    <w:multiLevelType w:val="singleLevel"/>
    <w:tmpl w:val="FCA5D852"/>
    <w:lvl w:ilvl="0" w:tentative="0">
      <w:start w:val="1"/>
      <w:numFmt w:val="decimal"/>
      <w:lvlText w:val="%1."/>
      <w:lvlJc w:val="left"/>
      <w:pPr>
        <w:ind w:left="425" w:hanging="425"/>
      </w:pPr>
      <w:rPr>
        <w:rFonts w:hint="default" w:cs="Times New Roman"/>
        <w:color w:val="auto"/>
      </w:rPr>
    </w:lvl>
  </w:abstractNum>
  <w:abstractNum w:abstractNumId="16">
    <w:nsid w:val="FF7961FC"/>
    <w:multiLevelType w:val="singleLevel"/>
    <w:tmpl w:val="FF7961FC"/>
    <w:lvl w:ilvl="0" w:tentative="0">
      <w:start w:val="1"/>
      <w:numFmt w:val="decimal"/>
      <w:lvlText w:val="(%1)"/>
      <w:lvlJc w:val="left"/>
      <w:pPr>
        <w:ind w:left="1265" w:hanging="425"/>
      </w:pPr>
      <w:rPr>
        <w:rFonts w:hint="default"/>
      </w:rPr>
    </w:lvl>
  </w:abstractNum>
  <w:abstractNum w:abstractNumId="17">
    <w:nsid w:val="00000003"/>
    <w:multiLevelType w:val="singleLevel"/>
    <w:tmpl w:val="00000003"/>
    <w:lvl w:ilvl="0" w:tentative="0">
      <w:start w:val="1"/>
      <w:numFmt w:val="decimal"/>
      <w:lvlText w:val="(%1)"/>
      <w:lvlJc w:val="left"/>
      <w:pPr>
        <w:ind w:left="425" w:hanging="425"/>
      </w:pPr>
      <w:rPr>
        <w:rFonts w:hint="default" w:cs="Times New Roman"/>
      </w:rPr>
    </w:lvl>
  </w:abstractNum>
  <w:abstractNum w:abstractNumId="18">
    <w:nsid w:val="00000011"/>
    <w:multiLevelType w:val="singleLevel"/>
    <w:tmpl w:val="00000011"/>
    <w:lvl w:ilvl="0" w:tentative="0">
      <w:start w:val="1"/>
      <w:numFmt w:val="decimal"/>
      <w:lvlText w:val="(%1)"/>
      <w:lvlJc w:val="left"/>
      <w:pPr>
        <w:ind w:left="425" w:hanging="425"/>
      </w:pPr>
      <w:rPr>
        <w:rFonts w:hint="default" w:cs="Times New Roman"/>
      </w:rPr>
    </w:lvl>
  </w:abstractNum>
  <w:abstractNum w:abstractNumId="19">
    <w:nsid w:val="00000017"/>
    <w:multiLevelType w:val="singleLevel"/>
    <w:tmpl w:val="00000017"/>
    <w:lvl w:ilvl="0" w:tentative="0">
      <w:start w:val="1"/>
      <w:numFmt w:val="chineseCounting"/>
      <w:suff w:val="nothing"/>
      <w:lvlText w:val="（%1）"/>
      <w:lvlJc w:val="left"/>
      <w:pPr>
        <w:ind w:firstLine="420"/>
      </w:pPr>
      <w:rPr>
        <w:rFonts w:hint="eastAsia" w:cs="Times New Roman"/>
      </w:rPr>
    </w:lvl>
  </w:abstractNum>
  <w:abstractNum w:abstractNumId="20">
    <w:nsid w:val="00000024"/>
    <w:multiLevelType w:val="singleLevel"/>
    <w:tmpl w:val="00000024"/>
    <w:lvl w:ilvl="0" w:tentative="0">
      <w:start w:val="1"/>
      <w:numFmt w:val="decimal"/>
      <w:suff w:val="nothing"/>
      <w:lvlText w:val="%1．"/>
      <w:lvlJc w:val="left"/>
      <w:pPr>
        <w:ind w:firstLine="400"/>
      </w:pPr>
      <w:rPr>
        <w:rFonts w:hint="default" w:cs="Times New Roman"/>
      </w:rPr>
    </w:lvl>
  </w:abstractNum>
  <w:abstractNum w:abstractNumId="21">
    <w:nsid w:val="0F1F72AD"/>
    <w:multiLevelType w:val="singleLevel"/>
    <w:tmpl w:val="0F1F72AD"/>
    <w:lvl w:ilvl="0" w:tentative="0">
      <w:start w:val="1"/>
      <w:numFmt w:val="decimal"/>
      <w:suff w:val="nothing"/>
      <w:lvlText w:val="（%1）"/>
      <w:lvlJc w:val="left"/>
    </w:lvl>
  </w:abstractNum>
  <w:abstractNum w:abstractNumId="22">
    <w:nsid w:val="163864BE"/>
    <w:multiLevelType w:val="multilevel"/>
    <w:tmpl w:val="163864B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3">
    <w:nsid w:val="1FB9EBDB"/>
    <w:multiLevelType w:val="singleLevel"/>
    <w:tmpl w:val="1FB9EBDB"/>
    <w:lvl w:ilvl="0" w:tentative="0">
      <w:start w:val="2"/>
      <w:numFmt w:val="chineseCounting"/>
      <w:suff w:val="nothing"/>
      <w:lvlText w:val="（%1）"/>
      <w:lvlJc w:val="left"/>
      <w:rPr>
        <w:rFonts w:hint="eastAsia"/>
      </w:rPr>
    </w:lvl>
  </w:abstractNum>
  <w:abstractNum w:abstractNumId="24">
    <w:nsid w:val="412DCDC8"/>
    <w:multiLevelType w:val="multilevel"/>
    <w:tmpl w:val="412DCDC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428BB4CE"/>
    <w:multiLevelType w:val="singleLevel"/>
    <w:tmpl w:val="428BB4CE"/>
    <w:lvl w:ilvl="0" w:tentative="0">
      <w:start w:val="1"/>
      <w:numFmt w:val="decimal"/>
      <w:suff w:val="nothing"/>
      <w:lvlText w:val="%1．"/>
      <w:lvlJc w:val="left"/>
      <w:pPr>
        <w:ind w:left="0" w:firstLine="400"/>
      </w:pPr>
      <w:rPr>
        <w:rFonts w:hint="default"/>
      </w:rPr>
    </w:lvl>
  </w:abstractNum>
  <w:abstractNum w:abstractNumId="26">
    <w:nsid w:val="46DCC730"/>
    <w:multiLevelType w:val="singleLevel"/>
    <w:tmpl w:val="46DCC730"/>
    <w:lvl w:ilvl="0" w:tentative="0">
      <w:start w:val="1"/>
      <w:numFmt w:val="decimal"/>
      <w:lvlText w:val="(%1)"/>
      <w:lvlJc w:val="left"/>
      <w:pPr>
        <w:ind w:left="425" w:hanging="425"/>
      </w:pPr>
      <w:rPr>
        <w:rFonts w:hint="default"/>
      </w:rPr>
    </w:lvl>
  </w:abstractNum>
  <w:abstractNum w:abstractNumId="27">
    <w:nsid w:val="5FB3633A"/>
    <w:multiLevelType w:val="singleLevel"/>
    <w:tmpl w:val="5FB3633A"/>
    <w:lvl w:ilvl="0" w:tentative="0">
      <w:start w:val="1"/>
      <w:numFmt w:val="decimal"/>
      <w:lvlText w:val="%1."/>
      <w:lvlJc w:val="left"/>
      <w:pPr>
        <w:tabs>
          <w:tab w:val="left" w:pos="312"/>
        </w:tabs>
      </w:pPr>
    </w:lvl>
  </w:abstractNum>
  <w:abstractNum w:abstractNumId="28">
    <w:nsid w:val="6D0043AC"/>
    <w:multiLevelType w:val="multilevel"/>
    <w:tmpl w:val="6D0043A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9">
    <w:nsid w:val="7978524E"/>
    <w:multiLevelType w:val="multilevel"/>
    <w:tmpl w:val="7978524E"/>
    <w:lvl w:ilvl="0" w:tentative="0">
      <w:start w:val="1"/>
      <w:numFmt w:val="decimal"/>
      <w:lvlText w:val="%1."/>
      <w:lvlJc w:val="left"/>
      <w:pPr>
        <w:ind w:left="70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0">
    <w:nsid w:val="7DF3F1B9"/>
    <w:multiLevelType w:val="singleLevel"/>
    <w:tmpl w:val="7DF3F1B9"/>
    <w:lvl w:ilvl="0" w:tentative="0">
      <w:start w:val="1"/>
      <w:numFmt w:val="decimal"/>
      <w:lvlText w:val="(%1)"/>
      <w:lvlJc w:val="left"/>
      <w:pPr>
        <w:ind w:left="425" w:hanging="425"/>
      </w:pPr>
      <w:rPr>
        <w:rFonts w:hint="default"/>
      </w:rPr>
    </w:lvl>
  </w:abstractNum>
  <w:num w:numId="1">
    <w:abstractNumId w:val="14"/>
  </w:num>
  <w:num w:numId="2">
    <w:abstractNumId w:val="7"/>
  </w:num>
  <w:num w:numId="3">
    <w:abstractNumId w:val="9"/>
  </w:num>
  <w:num w:numId="4">
    <w:abstractNumId w:val="19"/>
  </w:num>
  <w:num w:numId="5">
    <w:abstractNumId w:val="20"/>
  </w:num>
  <w:num w:numId="6">
    <w:abstractNumId w:val="17"/>
  </w:num>
  <w:num w:numId="7">
    <w:abstractNumId w:val="18"/>
  </w:num>
  <w:num w:numId="8">
    <w:abstractNumId w:val="25"/>
  </w:num>
  <w:num w:numId="9">
    <w:abstractNumId w:val="15"/>
  </w:num>
  <w:num w:numId="10">
    <w:abstractNumId w:val="22"/>
  </w:num>
  <w:num w:numId="11">
    <w:abstractNumId w:val="12"/>
  </w:num>
  <w:num w:numId="12">
    <w:abstractNumId w:val="5"/>
  </w:num>
  <w:num w:numId="13">
    <w:abstractNumId w:val="3"/>
  </w:num>
  <w:num w:numId="14">
    <w:abstractNumId w:val="6"/>
  </w:num>
  <w:num w:numId="15">
    <w:abstractNumId w:val="8"/>
  </w:num>
  <w:num w:numId="16">
    <w:abstractNumId w:val="1"/>
  </w:num>
  <w:num w:numId="17">
    <w:abstractNumId w:val="28"/>
  </w:num>
  <w:num w:numId="18">
    <w:abstractNumId w:val="26"/>
  </w:num>
  <w:num w:numId="19">
    <w:abstractNumId w:val="30"/>
  </w:num>
  <w:num w:numId="20">
    <w:abstractNumId w:val="16"/>
  </w:num>
  <w:num w:numId="21">
    <w:abstractNumId w:val="10"/>
  </w:num>
  <w:num w:numId="22">
    <w:abstractNumId w:val="2"/>
  </w:num>
  <w:num w:numId="23">
    <w:abstractNumId w:val="29"/>
  </w:num>
  <w:num w:numId="24">
    <w:abstractNumId w:val="24"/>
  </w:num>
  <w:num w:numId="25">
    <w:abstractNumId w:val="11"/>
  </w:num>
  <w:num w:numId="26">
    <w:abstractNumId w:val="13"/>
  </w:num>
  <w:num w:numId="27">
    <w:abstractNumId w:val="0"/>
  </w:num>
  <w:num w:numId="28">
    <w:abstractNumId w:val="23"/>
  </w:num>
  <w:num w:numId="29">
    <w:abstractNumId w:val="27"/>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Y2Q1NmY1NzgzMWU0MWZjMDY4OWE2NGVlMTU2YmIifQ=="/>
  </w:docVars>
  <w:rsids>
    <w:rsidRoot w:val="08AB3E0E"/>
    <w:rsid w:val="00090A26"/>
    <w:rsid w:val="0011031D"/>
    <w:rsid w:val="0015570E"/>
    <w:rsid w:val="002254AE"/>
    <w:rsid w:val="00236E28"/>
    <w:rsid w:val="00281FAD"/>
    <w:rsid w:val="002E2ED4"/>
    <w:rsid w:val="003D5D0A"/>
    <w:rsid w:val="004619F6"/>
    <w:rsid w:val="004635A9"/>
    <w:rsid w:val="004D566C"/>
    <w:rsid w:val="00503DA1"/>
    <w:rsid w:val="00540BDF"/>
    <w:rsid w:val="00592485"/>
    <w:rsid w:val="005D1BB0"/>
    <w:rsid w:val="00630B96"/>
    <w:rsid w:val="00681CDA"/>
    <w:rsid w:val="00683E46"/>
    <w:rsid w:val="006C449B"/>
    <w:rsid w:val="007C5182"/>
    <w:rsid w:val="007D3439"/>
    <w:rsid w:val="007F3720"/>
    <w:rsid w:val="008A1A6D"/>
    <w:rsid w:val="008C47A0"/>
    <w:rsid w:val="00AD2DAC"/>
    <w:rsid w:val="00B92447"/>
    <w:rsid w:val="00C10639"/>
    <w:rsid w:val="00CD3CC8"/>
    <w:rsid w:val="00D10E66"/>
    <w:rsid w:val="00D8392F"/>
    <w:rsid w:val="00F35A5A"/>
    <w:rsid w:val="00FE2BF1"/>
    <w:rsid w:val="01B33D4E"/>
    <w:rsid w:val="041A00DE"/>
    <w:rsid w:val="048A1C43"/>
    <w:rsid w:val="064F49ED"/>
    <w:rsid w:val="065316C4"/>
    <w:rsid w:val="0690433D"/>
    <w:rsid w:val="077371F7"/>
    <w:rsid w:val="08AB3E0E"/>
    <w:rsid w:val="0924329B"/>
    <w:rsid w:val="096F2D13"/>
    <w:rsid w:val="09EF799D"/>
    <w:rsid w:val="0A4A3389"/>
    <w:rsid w:val="0B8521ED"/>
    <w:rsid w:val="10141182"/>
    <w:rsid w:val="11471196"/>
    <w:rsid w:val="11BB77DD"/>
    <w:rsid w:val="12DC6943"/>
    <w:rsid w:val="189729C7"/>
    <w:rsid w:val="1D2D2220"/>
    <w:rsid w:val="1F901E47"/>
    <w:rsid w:val="205B328A"/>
    <w:rsid w:val="27861E3C"/>
    <w:rsid w:val="27AC540E"/>
    <w:rsid w:val="28956E5F"/>
    <w:rsid w:val="294B735C"/>
    <w:rsid w:val="2A686A25"/>
    <w:rsid w:val="2E782DF7"/>
    <w:rsid w:val="2F0A7929"/>
    <w:rsid w:val="2F945CAA"/>
    <w:rsid w:val="2FD9285E"/>
    <w:rsid w:val="300E5A91"/>
    <w:rsid w:val="307172BF"/>
    <w:rsid w:val="31080E7B"/>
    <w:rsid w:val="311B38D4"/>
    <w:rsid w:val="32FD3DF6"/>
    <w:rsid w:val="33293763"/>
    <w:rsid w:val="34040DC3"/>
    <w:rsid w:val="36B116E8"/>
    <w:rsid w:val="37A74989"/>
    <w:rsid w:val="3C8F108D"/>
    <w:rsid w:val="44F84E9E"/>
    <w:rsid w:val="465867F3"/>
    <w:rsid w:val="47837CF2"/>
    <w:rsid w:val="47D24C90"/>
    <w:rsid w:val="483E0A57"/>
    <w:rsid w:val="4A5A69F0"/>
    <w:rsid w:val="4BB8782E"/>
    <w:rsid w:val="4CCB7020"/>
    <w:rsid w:val="4DE72FED"/>
    <w:rsid w:val="4E73301F"/>
    <w:rsid w:val="531A5B34"/>
    <w:rsid w:val="53713CC5"/>
    <w:rsid w:val="559A14E9"/>
    <w:rsid w:val="59090442"/>
    <w:rsid w:val="5A5C249F"/>
    <w:rsid w:val="5AD36A91"/>
    <w:rsid w:val="5C1D1EE6"/>
    <w:rsid w:val="5CF629EC"/>
    <w:rsid w:val="5DCA1B79"/>
    <w:rsid w:val="60824F0D"/>
    <w:rsid w:val="61AD5C02"/>
    <w:rsid w:val="61CA50FC"/>
    <w:rsid w:val="62BF3809"/>
    <w:rsid w:val="64451569"/>
    <w:rsid w:val="64733FF2"/>
    <w:rsid w:val="65792884"/>
    <w:rsid w:val="65F909DE"/>
    <w:rsid w:val="675A06D5"/>
    <w:rsid w:val="6A6F7F69"/>
    <w:rsid w:val="6AB02DAA"/>
    <w:rsid w:val="6B280173"/>
    <w:rsid w:val="6B827F4D"/>
    <w:rsid w:val="6C84532B"/>
    <w:rsid w:val="6D785F20"/>
    <w:rsid w:val="6EE234EA"/>
    <w:rsid w:val="6F4339F0"/>
    <w:rsid w:val="71893E52"/>
    <w:rsid w:val="73214D71"/>
    <w:rsid w:val="73F369D7"/>
    <w:rsid w:val="74972494"/>
    <w:rsid w:val="764A71B8"/>
    <w:rsid w:val="770B6625"/>
    <w:rsid w:val="78656FDB"/>
    <w:rsid w:val="7A671F16"/>
    <w:rsid w:val="7C03171B"/>
    <w:rsid w:val="7C332F4C"/>
    <w:rsid w:val="7EAD4F71"/>
    <w:rsid w:val="7F9470BF"/>
    <w:rsid w:val="7FFC0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firstLine="420" w:firstLineChars="100"/>
    </w:pPr>
    <w:rPr>
      <w:sz w:val="28"/>
    </w:rPr>
  </w:style>
  <w:style w:type="paragraph" w:styleId="3">
    <w:name w:val="Body Text"/>
    <w:basedOn w:val="1"/>
    <w:next w:val="2"/>
    <w:qFormat/>
    <w:uiPriority w:val="0"/>
    <w:pPr>
      <w:spacing w:line="0" w:lineRule="atLeast"/>
    </w:pPr>
    <w:rPr>
      <w:sz w:val="30"/>
      <w:szCs w:val="20"/>
    </w:rPr>
  </w:style>
  <w:style w:type="paragraph" w:styleId="4">
    <w:name w:val="toc 6"/>
    <w:basedOn w:val="1"/>
    <w:next w:val="1"/>
    <w:qFormat/>
    <w:uiPriority w:val="99"/>
    <w:pPr>
      <w:ind w:left="2100" w:leftChars="1000"/>
    </w:pPr>
    <w:rPr>
      <w:rFonts w:ascii="Calibri" w:hAnsi="Calibri"/>
      <w:szCs w:val="22"/>
    </w:rPr>
  </w:style>
  <w:style w:type="paragraph" w:styleId="8">
    <w:name w:val="Normal Indent"/>
    <w:basedOn w:val="1"/>
    <w:qFormat/>
    <w:uiPriority w:val="0"/>
    <w:pPr>
      <w:ind w:firstLine="420"/>
    </w:pPr>
    <w:rPr>
      <w:sz w:val="21"/>
      <w:szCs w:val="20"/>
    </w:rPr>
  </w:style>
  <w:style w:type="paragraph" w:styleId="9">
    <w:name w:val="annotation text"/>
    <w:basedOn w:val="1"/>
    <w:semiHidden/>
    <w:qFormat/>
    <w:uiPriority w:val="0"/>
    <w:pPr>
      <w:adjustRightInd w:val="0"/>
      <w:spacing w:line="360" w:lineRule="atLeast"/>
      <w:jc w:val="left"/>
      <w:textAlignment w:val="baseline"/>
    </w:pPr>
    <w:rPr>
      <w:kern w:val="0"/>
      <w:sz w:val="24"/>
      <w:szCs w:val="20"/>
    </w:rPr>
  </w:style>
  <w:style w:type="paragraph" w:styleId="10">
    <w:name w:val="Body Text Indent"/>
    <w:basedOn w:val="1"/>
    <w:next w:val="11"/>
    <w:qFormat/>
    <w:uiPriority w:val="0"/>
    <w:pPr>
      <w:widowControl/>
      <w:tabs>
        <w:tab w:val="left" w:pos="0"/>
        <w:tab w:val="left" w:pos="993"/>
        <w:tab w:val="left" w:pos="1134"/>
      </w:tabs>
      <w:spacing w:line="500" w:lineRule="exact"/>
      <w:ind w:firstLine="567"/>
    </w:pPr>
    <w:rPr>
      <w:rFonts w:ascii="宋体"/>
      <w:kern w:val="0"/>
      <w:szCs w:val="20"/>
    </w:rPr>
  </w:style>
  <w:style w:type="paragraph" w:styleId="11">
    <w:name w:val="Body Text First Indent 2"/>
    <w:basedOn w:val="10"/>
    <w:qFormat/>
    <w:uiPriority w:val="0"/>
    <w:pPr>
      <w:spacing w:after="120" w:line="240" w:lineRule="auto"/>
      <w:ind w:left="420" w:leftChars="200" w:firstLine="420" w:firstLineChars="200"/>
    </w:pPr>
    <w:rPr>
      <w:rFonts w:ascii="Times New Roman"/>
      <w:sz w:val="21"/>
      <w:szCs w:val="24"/>
    </w:rPr>
  </w:style>
  <w:style w:type="paragraph" w:styleId="12">
    <w:name w:val="Plain Text"/>
    <w:basedOn w:val="1"/>
    <w:qFormat/>
    <w:uiPriority w:val="0"/>
    <w:pPr>
      <w:adjustRightInd w:val="0"/>
      <w:snapToGrid w:val="0"/>
    </w:pPr>
    <w:rPr>
      <w:rFonts w:ascii="宋体" w:hAnsi="Courier New" w:cs="Courier New"/>
      <w:sz w:val="21"/>
      <w:szCs w:val="21"/>
    </w:rPr>
  </w:style>
  <w:style w:type="paragraph" w:styleId="13">
    <w:name w:val="Body Text Indent 2"/>
    <w:basedOn w:val="1"/>
    <w:qFormat/>
    <w:uiPriority w:val="0"/>
    <w:pPr>
      <w:ind w:firstLine="560" w:firstLineChars="200"/>
    </w:pPr>
    <w:rPr>
      <w:rFonts w:ascii="宋体" w:hAnsi="宋体"/>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99"/>
    <w:rPr>
      <w:color w:val="333333"/>
      <w:sz w:val="21"/>
      <w:u w:val="none"/>
    </w:rPr>
  </w:style>
  <w:style w:type="character" w:customStyle="1" w:styleId="25">
    <w:name w:val="ptb181"/>
    <w:qFormat/>
    <w:uiPriority w:val="0"/>
    <w:rPr>
      <w:rFonts w:hint="default" w:ascii="Verdana" w:hAnsi="Verdana"/>
      <w:b/>
      <w:bCs/>
      <w:color w:val="000000"/>
      <w:sz w:val="26"/>
      <w:szCs w:val="26"/>
    </w:rPr>
  </w:style>
  <w:style w:type="paragraph" w:customStyle="1" w:styleId="26">
    <w:name w:val="表格文字"/>
    <w:basedOn w:val="1"/>
    <w:next w:val="3"/>
    <w:qFormat/>
    <w:uiPriority w:val="0"/>
    <w:pPr>
      <w:adjustRightInd w:val="0"/>
      <w:spacing w:line="420" w:lineRule="atLeast"/>
      <w:jc w:val="left"/>
      <w:textAlignment w:val="baseline"/>
    </w:pPr>
    <w:rPr>
      <w:kern w:val="0"/>
    </w:rPr>
  </w:style>
  <w:style w:type="paragraph" w:customStyle="1" w:styleId="27">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28">
    <w:name w:val="_Style 1"/>
    <w:basedOn w:val="1"/>
    <w:qFormat/>
    <w:uiPriority w:val="34"/>
    <w:pPr>
      <w:ind w:firstLine="420" w:firstLineChars="200"/>
    </w:pPr>
    <w:rPr>
      <w:sz w:val="21"/>
    </w:rPr>
  </w:style>
  <w:style w:type="paragraph" w:customStyle="1" w:styleId="29">
    <w:name w:val="列出段落1"/>
    <w:basedOn w:val="1"/>
    <w:qFormat/>
    <w:uiPriority w:val="34"/>
    <w:pPr>
      <w:ind w:firstLine="420" w:firstLineChars="200"/>
    </w:pPr>
    <w:rPr>
      <w:rFonts w:ascii="Calibri" w:hAnsi="Calibri"/>
      <w:sz w:val="21"/>
      <w:szCs w:val="22"/>
    </w:rPr>
  </w:style>
  <w:style w:type="paragraph" w:styleId="30">
    <w:name w:val="List Paragraph"/>
    <w:basedOn w:val="1"/>
    <w:qFormat/>
    <w:uiPriority w:val="99"/>
    <w:pPr>
      <w:ind w:firstLine="420" w:firstLineChars="200"/>
    </w:pPr>
  </w:style>
  <w:style w:type="character" w:customStyle="1" w:styleId="31">
    <w:name w:val="font01"/>
    <w:basedOn w:val="21"/>
    <w:qFormat/>
    <w:uiPriority w:val="0"/>
    <w:rPr>
      <w:rFonts w:hint="eastAsia" w:ascii="宋体" w:hAnsi="宋体" w:eastAsia="宋体" w:cs="宋体"/>
      <w:color w:val="000000"/>
      <w:sz w:val="22"/>
      <w:szCs w:val="22"/>
      <w:u w:val="none"/>
    </w:rPr>
  </w:style>
  <w:style w:type="character" w:customStyle="1" w:styleId="32">
    <w:name w:val="font21"/>
    <w:basedOn w:val="21"/>
    <w:qFormat/>
    <w:uiPriority w:val="0"/>
    <w:rPr>
      <w:rFonts w:hint="eastAsia" w:ascii="宋体" w:hAnsi="宋体" w:eastAsia="宋体" w:cs="宋体"/>
      <w:color w:val="000000"/>
      <w:sz w:val="22"/>
      <w:szCs w:val="22"/>
      <w:u w:val="none"/>
    </w:rPr>
  </w:style>
  <w:style w:type="character" w:customStyle="1" w:styleId="33">
    <w:name w:val="font11"/>
    <w:basedOn w:val="21"/>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36252</Words>
  <Characters>39195</Characters>
  <Lines>317</Lines>
  <Paragraphs>89</Paragraphs>
  <TotalTime>94</TotalTime>
  <ScaleCrop>false</ScaleCrop>
  <LinksUpToDate>false</LinksUpToDate>
  <CharactersWithSpaces>40875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2022-04-04T01:14:00Z</dcterms:created>
  <dc:creator>VIVI</dc:creator>
  <cp:lastModifiedBy>VIVI</cp:lastModifiedBy>
  <cp:lastPrinted>2021-12-16T01:38:00Z</cp:lastPrinted>
  <dcterms:modified xsi:type="dcterms:W3CDTF">2022-08-17T02:17:51Z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0268A3B9B8FC412AB7C5237CE2705718</vt:lpwstr>
  </property>
</Properties>
</file>