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napToGrid w:val="0"/>
        <w:spacing w:line="360" w:lineRule="auto"/>
        <w:jc w:val="center"/>
        <w:textAlignment w:val="baseline"/>
        <w:rPr>
          <w:rFonts w:ascii="宋体" w:cs="宋体"/>
          <w:bCs/>
          <w:sz w:val="32"/>
        </w:rPr>
      </w:pPr>
    </w:p>
    <w:p>
      <w:pPr>
        <w:snapToGrid w:val="0"/>
        <w:spacing w:line="360" w:lineRule="auto"/>
        <w:jc w:val="center"/>
        <w:textAlignment w:val="baseline"/>
        <w:rPr>
          <w:rFonts w:ascii="宋体" w:cs="宋体"/>
          <w:bCs/>
          <w:sz w:val="32"/>
        </w:rPr>
      </w:pPr>
    </w:p>
    <w:p>
      <w:pPr>
        <w:snapToGrid w:val="0"/>
        <w:spacing w:line="360" w:lineRule="auto"/>
        <w:jc w:val="center"/>
        <w:textAlignment w:val="baseline"/>
        <w:rPr>
          <w:rFonts w:ascii="微软雅黑" w:hAnsi="微软雅黑" w:eastAsia="微软雅黑" w:cs="微软雅黑"/>
          <w:bCs/>
          <w:sz w:val="48"/>
          <w:szCs w:val="48"/>
        </w:rPr>
      </w:pPr>
      <w:r>
        <w:rPr>
          <w:rFonts w:hint="eastAsia" w:ascii="微软雅黑" w:hAnsi="微软雅黑" w:eastAsia="微软雅黑" w:cs="微软雅黑"/>
          <w:bCs/>
          <w:sz w:val="48"/>
          <w:szCs w:val="48"/>
        </w:rPr>
        <w:t>浙江省环境质量自动监测智能化建设项目</w:t>
      </w:r>
    </w:p>
    <w:p>
      <w:pPr>
        <w:snapToGrid w:val="0"/>
        <w:spacing w:line="360" w:lineRule="auto"/>
        <w:jc w:val="center"/>
        <w:textAlignment w:val="baseline"/>
        <w:rPr>
          <w:rFonts w:ascii="微软雅黑" w:hAnsi="微软雅黑" w:eastAsia="微软雅黑" w:cs="微软雅黑"/>
          <w:b/>
          <w:sz w:val="52"/>
        </w:rPr>
      </w:pPr>
    </w:p>
    <w:p>
      <w:pPr>
        <w:snapToGrid w:val="0"/>
        <w:jc w:val="center"/>
        <w:textAlignment w:val="baseline"/>
        <w:rPr>
          <w:rFonts w:ascii="微软雅黑" w:hAnsi="微软雅黑" w:eastAsia="微软雅黑" w:cs="微软雅黑"/>
          <w:sz w:val="72"/>
          <w:szCs w:val="72"/>
        </w:rPr>
      </w:pPr>
      <w:r>
        <w:rPr>
          <w:rFonts w:hint="eastAsia" w:ascii="微软雅黑" w:hAnsi="微软雅黑" w:eastAsia="微软雅黑" w:cs="微软雅黑"/>
          <w:b/>
          <w:sz w:val="72"/>
          <w:szCs w:val="72"/>
        </w:rPr>
        <w:t>公开招标采购文件</w:t>
      </w:r>
    </w:p>
    <w:p>
      <w:pPr>
        <w:snapToGrid w:val="0"/>
        <w:spacing w:line="360" w:lineRule="auto"/>
        <w:jc w:val="center"/>
        <w:textAlignment w:val="baseline"/>
        <w:rPr>
          <w:rFonts w:ascii="微软雅黑" w:hAnsi="微软雅黑" w:eastAsia="微软雅黑" w:cs="微软雅黑"/>
          <w:bCs/>
          <w:sz w:val="30"/>
        </w:rPr>
      </w:pPr>
    </w:p>
    <w:p>
      <w:pPr>
        <w:snapToGrid w:val="0"/>
        <w:spacing w:line="360" w:lineRule="auto"/>
        <w:jc w:val="center"/>
        <w:textAlignment w:val="baseline"/>
        <w:rPr>
          <w:rFonts w:ascii="微软雅黑" w:hAnsi="微软雅黑" w:eastAsia="微软雅黑" w:cs="微软雅黑"/>
          <w:bCs/>
          <w:sz w:val="30"/>
        </w:rPr>
      </w:pPr>
      <w:r>
        <w:rPr>
          <w:rFonts w:hint="eastAsia" w:ascii="微软雅黑" w:hAnsi="微软雅黑" w:eastAsia="微软雅黑" w:cs="微软雅黑"/>
          <w:bCs/>
          <w:sz w:val="30"/>
        </w:rPr>
        <w:t xml:space="preserve">招标文件编号：浙华采字【2022】hzf-7077号 </w:t>
      </w:r>
    </w:p>
    <w:p>
      <w:pPr>
        <w:snapToGrid w:val="0"/>
        <w:spacing w:line="360" w:lineRule="auto"/>
        <w:textAlignment w:val="baseline"/>
        <w:rPr>
          <w:rFonts w:ascii="微软雅黑" w:hAnsi="微软雅黑" w:eastAsia="微软雅黑" w:cs="微软雅黑"/>
          <w:bCs/>
          <w:sz w:val="32"/>
        </w:rPr>
      </w:pPr>
    </w:p>
    <w:p>
      <w:pPr>
        <w:snapToGrid w:val="0"/>
        <w:spacing w:line="360" w:lineRule="auto"/>
        <w:textAlignment w:val="baseline"/>
        <w:rPr>
          <w:rFonts w:ascii="微软雅黑" w:hAnsi="微软雅黑" w:eastAsia="微软雅黑" w:cs="微软雅黑"/>
          <w:bCs/>
          <w:sz w:val="32"/>
        </w:rPr>
      </w:pPr>
      <w:r>
        <w:rPr>
          <w:rFonts w:hint="eastAsia" w:ascii="微软雅黑" w:hAnsi="微软雅黑" w:eastAsia="微软雅黑" w:cs="微软雅黑"/>
          <w:bCs/>
          <w:sz w:val="32"/>
        </w:rPr>
        <w:t>项目名称：</w:t>
      </w:r>
      <w:r>
        <w:rPr>
          <w:rFonts w:hint="eastAsia" w:ascii="微软雅黑" w:hAnsi="微软雅黑" w:eastAsia="微软雅黑" w:cs="微软雅黑"/>
          <w:bCs/>
          <w:sz w:val="32"/>
          <w:u w:val="single" w:color="000000"/>
        </w:rPr>
        <w:t>浙江省环境质量自动监测智能化建设项目</w:t>
      </w:r>
    </w:p>
    <w:p>
      <w:pPr>
        <w:snapToGrid w:val="0"/>
        <w:spacing w:line="360" w:lineRule="auto"/>
        <w:textAlignment w:val="baseline"/>
        <w:rPr>
          <w:rFonts w:ascii="微软雅黑" w:hAnsi="微软雅黑" w:eastAsia="微软雅黑" w:cs="微软雅黑"/>
          <w:bCs/>
          <w:sz w:val="32"/>
        </w:rPr>
      </w:pPr>
      <w:r>
        <w:rPr>
          <w:rFonts w:hint="eastAsia" w:ascii="微软雅黑" w:hAnsi="微软雅黑" w:eastAsia="微软雅黑" w:cs="微软雅黑"/>
          <w:bCs/>
          <w:spacing w:val="60"/>
          <w:sz w:val="32"/>
        </w:rPr>
        <w:t>采购单位</w:t>
      </w:r>
      <w:r>
        <w:rPr>
          <w:rFonts w:hint="eastAsia" w:ascii="微软雅黑" w:hAnsi="微软雅黑" w:eastAsia="微软雅黑" w:cs="微软雅黑"/>
          <w:bCs/>
          <w:sz w:val="32"/>
        </w:rPr>
        <w:t>：</w:t>
      </w:r>
      <w:r>
        <w:rPr>
          <w:rFonts w:hint="eastAsia" w:ascii="微软雅黑" w:hAnsi="微软雅黑" w:eastAsia="微软雅黑" w:cs="微软雅黑"/>
          <w:bCs/>
          <w:sz w:val="32"/>
          <w:u w:val="single" w:color="000000"/>
        </w:rPr>
        <w:t>浙江省湖州生态环境监测中心</w:t>
      </w:r>
    </w:p>
    <w:p>
      <w:pPr>
        <w:snapToGrid w:val="0"/>
        <w:spacing w:line="360" w:lineRule="auto"/>
        <w:textAlignment w:val="baseline"/>
        <w:rPr>
          <w:rFonts w:ascii="微软雅黑" w:hAnsi="微软雅黑" w:eastAsia="微软雅黑" w:cs="微软雅黑"/>
          <w:bCs/>
          <w:sz w:val="32"/>
        </w:rPr>
      </w:pPr>
      <w:r>
        <w:rPr>
          <w:rFonts w:hint="eastAsia" w:ascii="微软雅黑" w:hAnsi="微软雅黑" w:eastAsia="微软雅黑" w:cs="微软雅黑"/>
          <w:bCs/>
          <w:sz w:val="32"/>
        </w:rPr>
        <w:t>招标代理机构：</w:t>
      </w:r>
      <w:r>
        <w:rPr>
          <w:rFonts w:hint="eastAsia" w:ascii="微软雅黑" w:hAnsi="微软雅黑" w:eastAsia="微软雅黑" w:cs="微软雅黑"/>
          <w:bCs/>
          <w:sz w:val="32"/>
          <w:u w:val="single" w:color="000000"/>
        </w:rPr>
        <w:t>浙江华夏工程管理有限公司</w:t>
      </w:r>
    </w:p>
    <w:p>
      <w:pPr>
        <w:snapToGrid w:val="0"/>
        <w:spacing w:line="360" w:lineRule="auto"/>
        <w:ind w:firstLine="839" w:firstLineChars="262"/>
        <w:textAlignment w:val="baseline"/>
        <w:rPr>
          <w:rFonts w:ascii="微软雅黑" w:hAnsi="微软雅黑" w:eastAsia="微软雅黑" w:cs="微软雅黑"/>
          <w:b/>
          <w:sz w:val="32"/>
        </w:rPr>
      </w:pPr>
    </w:p>
    <w:p>
      <w:pPr>
        <w:snapToGrid w:val="0"/>
        <w:spacing w:line="360" w:lineRule="auto"/>
        <w:jc w:val="center"/>
        <w:textAlignment w:val="baseline"/>
        <w:rPr>
          <w:rFonts w:ascii="微软雅黑" w:hAnsi="微软雅黑" w:eastAsia="微软雅黑" w:cs="微软雅黑"/>
          <w:bCs/>
          <w:sz w:val="32"/>
        </w:rPr>
      </w:pPr>
      <w:r>
        <w:rPr>
          <w:rFonts w:hint="eastAsia" w:ascii="微软雅黑" w:hAnsi="微软雅黑" w:eastAsia="微软雅黑" w:cs="微软雅黑"/>
          <w:bCs/>
          <w:sz w:val="32"/>
        </w:rPr>
        <w:t>2022年10月</w:t>
      </w:r>
    </w:p>
    <w:p>
      <w:pPr>
        <w:snapToGrid w:val="0"/>
        <w:spacing w:line="360" w:lineRule="auto"/>
        <w:jc w:val="center"/>
        <w:textAlignment w:val="baseline"/>
        <w:rPr>
          <w:rFonts w:ascii="微软雅黑" w:hAnsi="微软雅黑" w:eastAsia="微软雅黑" w:cs="微软雅黑"/>
          <w:b/>
          <w:sz w:val="44"/>
          <w:szCs w:val="44"/>
        </w:rPr>
        <w:sectPr>
          <w:headerReference r:id="rId4" w:type="first"/>
          <w:footerReference r:id="rId6" w:type="first"/>
          <w:headerReference r:id="rId3" w:type="default"/>
          <w:footerReference r:id="rId5" w:type="default"/>
          <w:pgSz w:w="11907" w:h="16840"/>
          <w:pgMar w:top="1134" w:right="1247" w:bottom="1191" w:left="1128" w:header="851" w:footer="992" w:gutter="0"/>
          <w:pgNumType w:fmt="decimal"/>
          <w:cols w:space="720" w:num="1"/>
          <w:docGrid w:linePitch="381" w:charSpace="0"/>
        </w:sectPr>
      </w:pPr>
      <w:bookmarkStart w:id="0" w:name="_Toc20907"/>
    </w:p>
    <w:p>
      <w:pPr>
        <w:snapToGrid w:val="0"/>
        <w:spacing w:line="360" w:lineRule="auto"/>
        <w:jc w:val="center"/>
        <w:textAlignment w:val="baseline"/>
        <w:rPr>
          <w:rFonts w:ascii="微软雅黑" w:hAnsi="微软雅黑" w:eastAsia="微软雅黑" w:cs="微软雅黑"/>
          <w:sz w:val="20"/>
        </w:rPr>
      </w:pPr>
      <w:r>
        <w:rPr>
          <w:rFonts w:hint="eastAsia" w:ascii="微软雅黑" w:hAnsi="微软雅黑" w:eastAsia="微软雅黑" w:cs="微软雅黑"/>
          <w:b/>
          <w:sz w:val="44"/>
          <w:szCs w:val="44"/>
        </w:rPr>
        <w:t>目录</w:t>
      </w:r>
      <w:bookmarkEnd w:id="0"/>
    </w:p>
    <w:p>
      <w:pPr>
        <w:pStyle w:val="77"/>
        <w:tabs>
          <w:tab w:val="right" w:leader="dot" w:pos="9532"/>
        </w:tabs>
        <w:snapToGrid w:val="0"/>
        <w:spacing w:line="360" w:lineRule="auto"/>
        <w:textAlignment w:val="baseline"/>
        <w:rPr>
          <w:rFonts w:ascii="微软雅黑" w:hAnsi="微软雅黑" w:eastAsia="微软雅黑" w:cs="微软雅黑"/>
          <w:szCs w:val="28"/>
        </w:rPr>
      </w:pPr>
      <w:r>
        <w:rPr>
          <w:rFonts w:ascii="微软雅黑" w:hAnsi="微软雅黑" w:eastAsia="微软雅黑" w:cs="微软雅黑"/>
          <w:sz w:val="30"/>
          <w:szCs w:val="30"/>
        </w:rPr>
        <w:fldChar w:fldCharType="begin"/>
      </w:r>
      <w:r>
        <w:rPr>
          <w:rFonts w:ascii="微软雅黑" w:hAnsi="微软雅黑" w:eastAsia="微软雅黑" w:cs="微软雅黑"/>
          <w:sz w:val="30"/>
          <w:szCs w:val="30"/>
        </w:rPr>
        <w:instrText xml:space="preserve">TOC \o "1-2" \h \u </w:instrText>
      </w:r>
      <w:r>
        <w:rPr>
          <w:rFonts w:ascii="微软雅黑" w:hAnsi="微软雅黑" w:eastAsia="微软雅黑" w:cs="微软雅黑"/>
          <w:sz w:val="30"/>
          <w:szCs w:val="30"/>
        </w:rPr>
        <w:fldChar w:fldCharType="separate"/>
      </w:r>
      <w:r>
        <w:fldChar w:fldCharType="begin"/>
      </w:r>
      <w:r>
        <w:instrText xml:space="preserve"> HYPERLINK \l "_Toc20907" </w:instrText>
      </w:r>
      <w:r>
        <w:fldChar w:fldCharType="separate"/>
      </w:r>
      <w:r>
        <w:rPr>
          <w:rFonts w:hint="eastAsia" w:ascii="微软雅黑" w:hAnsi="微软雅黑" w:eastAsia="微软雅黑" w:cs="微软雅黑"/>
          <w:szCs w:val="28"/>
        </w:rPr>
        <w:t>目录</w:t>
      </w:r>
      <w:r>
        <w:rPr>
          <w:rFonts w:ascii="微软雅黑" w:hAnsi="微软雅黑" w:eastAsia="微软雅黑" w:cs="微软雅黑"/>
          <w:szCs w:val="28"/>
        </w:rPr>
        <w:tab/>
      </w:r>
      <w:r>
        <w:rPr>
          <w:rFonts w:ascii="微软雅黑" w:hAnsi="微软雅黑" w:eastAsia="微软雅黑" w:cs="微软雅黑"/>
          <w:szCs w:val="28"/>
        </w:rPr>
        <w:fldChar w:fldCharType="begin"/>
      </w:r>
      <w:r>
        <w:rPr>
          <w:rFonts w:ascii="微软雅黑" w:hAnsi="微软雅黑" w:eastAsia="微软雅黑" w:cs="微软雅黑"/>
          <w:szCs w:val="28"/>
        </w:rPr>
        <w:instrText xml:space="preserve"> PAGEREF _Toc20907 </w:instrText>
      </w:r>
      <w:r>
        <w:rPr>
          <w:rFonts w:ascii="微软雅黑" w:hAnsi="微软雅黑" w:eastAsia="微软雅黑" w:cs="微软雅黑"/>
          <w:szCs w:val="28"/>
        </w:rPr>
        <w:fldChar w:fldCharType="separate"/>
      </w:r>
      <w:r>
        <w:rPr>
          <w:rFonts w:ascii="微软雅黑" w:hAnsi="微软雅黑" w:eastAsia="微软雅黑" w:cs="微软雅黑"/>
          <w:szCs w:val="28"/>
        </w:rPr>
        <w:t>2</w:t>
      </w:r>
      <w:r>
        <w:rPr>
          <w:rFonts w:ascii="微软雅黑" w:hAnsi="微软雅黑" w:eastAsia="微软雅黑" w:cs="微软雅黑"/>
          <w:szCs w:val="28"/>
        </w:rPr>
        <w:fldChar w:fldCharType="end"/>
      </w:r>
      <w:r>
        <w:rPr>
          <w:rFonts w:ascii="微软雅黑" w:hAnsi="微软雅黑" w:eastAsia="微软雅黑" w:cs="微软雅黑"/>
          <w:szCs w:val="28"/>
        </w:rPr>
        <w:fldChar w:fldCharType="end"/>
      </w:r>
    </w:p>
    <w:p>
      <w:pPr>
        <w:pStyle w:val="77"/>
        <w:tabs>
          <w:tab w:val="right" w:leader="dot" w:pos="9532"/>
        </w:tabs>
        <w:snapToGrid w:val="0"/>
        <w:spacing w:line="360" w:lineRule="auto"/>
        <w:textAlignment w:val="baseline"/>
        <w:rPr>
          <w:rFonts w:ascii="微软雅黑" w:hAnsi="微软雅黑" w:eastAsia="微软雅黑" w:cs="微软雅黑"/>
          <w:szCs w:val="28"/>
        </w:rPr>
      </w:pPr>
      <w:r>
        <w:fldChar w:fldCharType="begin"/>
      </w:r>
      <w:r>
        <w:instrText xml:space="preserve"> HYPERLINK \l "_Toc28990" </w:instrText>
      </w:r>
      <w:r>
        <w:fldChar w:fldCharType="separate"/>
      </w:r>
      <w:r>
        <w:rPr>
          <w:rFonts w:hint="eastAsia" w:ascii="微软雅黑" w:hAnsi="微软雅黑" w:eastAsia="微软雅黑" w:cs="微软雅黑"/>
          <w:szCs w:val="28"/>
        </w:rPr>
        <w:t>第一章公开招标采购公告</w:t>
      </w:r>
      <w:r>
        <w:rPr>
          <w:rFonts w:ascii="微软雅黑" w:hAnsi="微软雅黑" w:eastAsia="微软雅黑" w:cs="微软雅黑"/>
          <w:szCs w:val="28"/>
        </w:rPr>
        <w:tab/>
      </w:r>
      <w:r>
        <w:rPr>
          <w:rFonts w:ascii="微软雅黑" w:hAnsi="微软雅黑" w:eastAsia="微软雅黑" w:cs="微软雅黑"/>
          <w:szCs w:val="28"/>
        </w:rPr>
        <w:fldChar w:fldCharType="begin"/>
      </w:r>
      <w:r>
        <w:rPr>
          <w:rFonts w:ascii="微软雅黑" w:hAnsi="微软雅黑" w:eastAsia="微软雅黑" w:cs="微软雅黑"/>
          <w:szCs w:val="28"/>
        </w:rPr>
        <w:instrText xml:space="preserve"> PAGEREF _Toc28990 </w:instrText>
      </w:r>
      <w:r>
        <w:rPr>
          <w:rFonts w:ascii="微软雅黑" w:hAnsi="微软雅黑" w:eastAsia="微软雅黑" w:cs="微软雅黑"/>
          <w:szCs w:val="28"/>
        </w:rPr>
        <w:fldChar w:fldCharType="separate"/>
      </w:r>
      <w:r>
        <w:rPr>
          <w:rFonts w:ascii="微软雅黑" w:hAnsi="微软雅黑" w:eastAsia="微软雅黑" w:cs="微软雅黑"/>
          <w:szCs w:val="28"/>
        </w:rPr>
        <w:t>3</w:t>
      </w:r>
      <w:r>
        <w:rPr>
          <w:rFonts w:ascii="微软雅黑" w:hAnsi="微软雅黑" w:eastAsia="微软雅黑" w:cs="微软雅黑"/>
          <w:szCs w:val="28"/>
        </w:rPr>
        <w:fldChar w:fldCharType="end"/>
      </w:r>
      <w:r>
        <w:rPr>
          <w:rFonts w:ascii="微软雅黑" w:hAnsi="微软雅黑" w:eastAsia="微软雅黑" w:cs="微软雅黑"/>
          <w:szCs w:val="28"/>
        </w:rPr>
        <w:fldChar w:fldCharType="end"/>
      </w:r>
    </w:p>
    <w:p>
      <w:pPr>
        <w:pStyle w:val="77"/>
        <w:tabs>
          <w:tab w:val="right" w:leader="dot" w:pos="9532"/>
        </w:tabs>
        <w:snapToGrid w:val="0"/>
        <w:spacing w:line="360" w:lineRule="auto"/>
        <w:textAlignment w:val="baseline"/>
        <w:rPr>
          <w:rFonts w:ascii="微软雅黑" w:hAnsi="微软雅黑" w:eastAsia="微软雅黑" w:cs="微软雅黑"/>
          <w:szCs w:val="28"/>
        </w:rPr>
      </w:pPr>
      <w:r>
        <w:fldChar w:fldCharType="begin"/>
      </w:r>
      <w:r>
        <w:instrText xml:space="preserve"> HYPERLINK \l "_Toc27574" </w:instrText>
      </w:r>
      <w:r>
        <w:fldChar w:fldCharType="separate"/>
      </w:r>
      <w:r>
        <w:rPr>
          <w:rFonts w:hint="eastAsia" w:ascii="微软雅黑" w:hAnsi="微软雅黑" w:eastAsia="微软雅黑" w:cs="微软雅黑"/>
          <w:szCs w:val="28"/>
        </w:rPr>
        <w:t>第二章招标需求</w:t>
      </w:r>
      <w:r>
        <w:rPr>
          <w:rFonts w:ascii="微软雅黑" w:hAnsi="微软雅黑" w:eastAsia="微软雅黑" w:cs="微软雅黑"/>
          <w:szCs w:val="28"/>
        </w:rPr>
        <w:tab/>
      </w:r>
      <w:r>
        <w:rPr>
          <w:rFonts w:hint="eastAsia" w:ascii="微软雅黑" w:hAnsi="微软雅黑" w:eastAsia="微软雅黑" w:cs="微软雅黑"/>
          <w:szCs w:val="28"/>
        </w:rPr>
        <w:t>1</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0</w:t>
      </w:r>
    </w:p>
    <w:p>
      <w:pPr>
        <w:pStyle w:val="77"/>
        <w:tabs>
          <w:tab w:val="right" w:leader="dot" w:pos="9532"/>
        </w:tabs>
        <w:snapToGrid w:val="0"/>
        <w:spacing w:line="360" w:lineRule="auto"/>
        <w:textAlignment w:val="baseline"/>
        <w:rPr>
          <w:rFonts w:ascii="微软雅黑" w:hAnsi="微软雅黑" w:eastAsia="微软雅黑" w:cs="微软雅黑"/>
          <w:szCs w:val="28"/>
        </w:rPr>
      </w:pPr>
      <w:r>
        <w:fldChar w:fldCharType="begin"/>
      </w:r>
      <w:r>
        <w:instrText xml:space="preserve"> HYPERLINK \l "_Toc23238" </w:instrText>
      </w:r>
      <w:r>
        <w:fldChar w:fldCharType="separate"/>
      </w:r>
      <w:r>
        <w:rPr>
          <w:rFonts w:hint="eastAsia" w:ascii="微软雅黑" w:hAnsi="微软雅黑" w:eastAsia="微软雅黑" w:cs="微软雅黑"/>
          <w:szCs w:val="28"/>
        </w:rPr>
        <w:t>第三章投标人须知</w:t>
      </w:r>
      <w:r>
        <w:rPr>
          <w:rFonts w:ascii="微软雅黑" w:hAnsi="微软雅黑" w:eastAsia="微软雅黑" w:cs="微软雅黑"/>
          <w:szCs w:val="28"/>
        </w:rPr>
        <w:tab/>
      </w:r>
      <w:r>
        <w:rPr>
          <w:rFonts w:ascii="微软雅黑" w:hAnsi="微软雅黑" w:eastAsia="微软雅黑" w:cs="微软雅黑"/>
          <w:szCs w:val="28"/>
        </w:rPr>
        <w:fldChar w:fldCharType="begin"/>
      </w:r>
      <w:r>
        <w:rPr>
          <w:rFonts w:ascii="微软雅黑" w:hAnsi="微软雅黑" w:eastAsia="微软雅黑" w:cs="微软雅黑"/>
          <w:szCs w:val="28"/>
        </w:rPr>
        <w:instrText xml:space="preserve"> PAGEREF _Toc23238 </w:instrText>
      </w:r>
      <w:r>
        <w:rPr>
          <w:rFonts w:ascii="微软雅黑" w:hAnsi="微软雅黑" w:eastAsia="微软雅黑" w:cs="微软雅黑"/>
          <w:szCs w:val="28"/>
        </w:rPr>
        <w:fldChar w:fldCharType="separate"/>
      </w:r>
      <w:r>
        <w:rPr>
          <w:rFonts w:ascii="微软雅黑" w:hAnsi="微软雅黑" w:eastAsia="微软雅黑" w:cs="微软雅黑"/>
          <w:szCs w:val="28"/>
        </w:rPr>
        <w:t>37</w:t>
      </w:r>
      <w:r>
        <w:rPr>
          <w:rFonts w:ascii="微软雅黑" w:hAnsi="微软雅黑" w:eastAsia="微软雅黑" w:cs="微软雅黑"/>
          <w:szCs w:val="28"/>
        </w:rPr>
        <w:fldChar w:fldCharType="end"/>
      </w:r>
      <w:r>
        <w:rPr>
          <w:rFonts w:ascii="微软雅黑" w:hAnsi="微软雅黑" w:eastAsia="微软雅黑" w:cs="微软雅黑"/>
          <w:szCs w:val="28"/>
        </w:rPr>
        <w:fldChar w:fldCharType="end"/>
      </w:r>
    </w:p>
    <w:p>
      <w:pPr>
        <w:pStyle w:val="77"/>
        <w:tabs>
          <w:tab w:val="right" w:leader="dot" w:pos="9532"/>
        </w:tabs>
        <w:snapToGrid w:val="0"/>
        <w:spacing w:line="360" w:lineRule="auto"/>
        <w:textAlignment w:val="baseline"/>
        <w:rPr>
          <w:rFonts w:ascii="微软雅黑" w:hAnsi="微软雅黑" w:eastAsia="微软雅黑" w:cs="微软雅黑"/>
          <w:szCs w:val="28"/>
        </w:rPr>
      </w:pPr>
      <w:r>
        <w:fldChar w:fldCharType="begin"/>
      </w:r>
      <w:r>
        <w:instrText xml:space="preserve"> HYPERLINK \l "_Toc31705" </w:instrText>
      </w:r>
      <w:r>
        <w:fldChar w:fldCharType="separate"/>
      </w:r>
      <w:r>
        <w:rPr>
          <w:rFonts w:hint="eastAsia" w:ascii="微软雅黑" w:hAnsi="微软雅黑" w:eastAsia="微软雅黑" w:cs="微软雅黑"/>
          <w:szCs w:val="28"/>
        </w:rPr>
        <w:t>第四章评标办法及评分标准</w:t>
      </w:r>
      <w:r>
        <w:rPr>
          <w:rFonts w:ascii="微软雅黑" w:hAnsi="微软雅黑" w:eastAsia="微软雅黑" w:cs="微软雅黑"/>
          <w:szCs w:val="28"/>
        </w:rPr>
        <w:tab/>
      </w:r>
      <w:r>
        <w:rPr>
          <w:rFonts w:ascii="微软雅黑" w:hAnsi="微软雅黑" w:eastAsia="微软雅黑" w:cs="微软雅黑"/>
          <w:szCs w:val="28"/>
        </w:rPr>
        <w:fldChar w:fldCharType="begin"/>
      </w:r>
      <w:r>
        <w:rPr>
          <w:rFonts w:ascii="微软雅黑" w:hAnsi="微软雅黑" w:eastAsia="微软雅黑" w:cs="微软雅黑"/>
          <w:szCs w:val="28"/>
        </w:rPr>
        <w:instrText xml:space="preserve"> PAGEREF _Toc31705 </w:instrText>
      </w:r>
      <w:r>
        <w:rPr>
          <w:rFonts w:ascii="微软雅黑" w:hAnsi="微软雅黑" w:eastAsia="微软雅黑" w:cs="微软雅黑"/>
          <w:szCs w:val="28"/>
        </w:rPr>
        <w:fldChar w:fldCharType="separate"/>
      </w:r>
      <w:r>
        <w:rPr>
          <w:rFonts w:ascii="微软雅黑" w:hAnsi="微软雅黑" w:eastAsia="微软雅黑" w:cs="微软雅黑"/>
          <w:szCs w:val="28"/>
        </w:rPr>
        <w:t>48</w:t>
      </w:r>
      <w:r>
        <w:rPr>
          <w:rFonts w:ascii="微软雅黑" w:hAnsi="微软雅黑" w:eastAsia="微软雅黑" w:cs="微软雅黑"/>
          <w:szCs w:val="28"/>
        </w:rPr>
        <w:fldChar w:fldCharType="end"/>
      </w:r>
      <w:r>
        <w:rPr>
          <w:rFonts w:ascii="微软雅黑" w:hAnsi="微软雅黑" w:eastAsia="微软雅黑" w:cs="微软雅黑"/>
          <w:szCs w:val="28"/>
        </w:rPr>
        <w:fldChar w:fldCharType="end"/>
      </w:r>
    </w:p>
    <w:p>
      <w:pPr>
        <w:pStyle w:val="77"/>
        <w:tabs>
          <w:tab w:val="right" w:leader="dot" w:pos="9532"/>
        </w:tabs>
        <w:snapToGrid w:val="0"/>
        <w:spacing w:line="360" w:lineRule="auto"/>
        <w:textAlignment w:val="baseline"/>
        <w:rPr>
          <w:rFonts w:ascii="微软雅黑" w:hAnsi="微软雅黑" w:eastAsia="微软雅黑" w:cs="微软雅黑"/>
          <w:szCs w:val="28"/>
        </w:rPr>
      </w:pPr>
      <w:r>
        <w:fldChar w:fldCharType="begin"/>
      </w:r>
      <w:r>
        <w:instrText xml:space="preserve"> HYPERLINK \l "_Toc16549" </w:instrText>
      </w:r>
      <w:r>
        <w:fldChar w:fldCharType="separate"/>
      </w:r>
      <w:r>
        <w:rPr>
          <w:rFonts w:hint="eastAsia" w:ascii="微软雅黑" w:hAnsi="微软雅黑" w:eastAsia="微软雅黑" w:cs="微软雅黑"/>
          <w:szCs w:val="28"/>
        </w:rPr>
        <w:t>第五章合同主要条款</w:t>
      </w:r>
      <w:r>
        <w:rPr>
          <w:rFonts w:ascii="微软雅黑" w:hAnsi="微软雅黑" w:eastAsia="微软雅黑" w:cs="微软雅黑"/>
          <w:szCs w:val="28"/>
        </w:rPr>
        <w:tab/>
      </w:r>
      <w:r>
        <w:rPr>
          <w:rFonts w:ascii="微软雅黑" w:hAnsi="微软雅黑" w:eastAsia="微软雅黑" w:cs="微软雅黑"/>
          <w:szCs w:val="28"/>
        </w:rPr>
        <w:fldChar w:fldCharType="end"/>
      </w:r>
      <w:r>
        <w:rPr>
          <w:rFonts w:hint="eastAsia" w:ascii="微软雅黑" w:hAnsi="微软雅黑" w:eastAsia="微软雅黑" w:cs="微软雅黑"/>
          <w:szCs w:val="28"/>
        </w:rPr>
        <w:t>73</w:t>
      </w:r>
    </w:p>
    <w:p>
      <w:pPr>
        <w:pStyle w:val="77"/>
        <w:tabs>
          <w:tab w:val="right" w:leader="dot" w:pos="9532"/>
        </w:tabs>
        <w:snapToGrid w:val="0"/>
        <w:spacing w:line="360" w:lineRule="auto"/>
        <w:textAlignment w:val="baseline"/>
        <w:rPr>
          <w:rFonts w:hint="eastAsia" w:ascii="微软雅黑" w:hAnsi="微软雅黑" w:eastAsia="微软雅黑" w:cs="微软雅黑"/>
          <w:szCs w:val="28"/>
          <w:lang w:val="en-US" w:eastAsia="zh-CN"/>
        </w:rPr>
      </w:pPr>
      <w:r>
        <w:fldChar w:fldCharType="begin"/>
      </w:r>
      <w:r>
        <w:instrText xml:space="preserve"> HYPERLINK \l "_Toc11931" </w:instrText>
      </w:r>
      <w:r>
        <w:fldChar w:fldCharType="separate"/>
      </w:r>
      <w:r>
        <w:rPr>
          <w:rFonts w:hint="eastAsia" w:ascii="微软雅黑" w:hAnsi="微软雅黑" w:eastAsia="微软雅黑" w:cs="微软雅黑"/>
          <w:szCs w:val="28"/>
        </w:rPr>
        <w:t>第六章投标格式与附件（表）</w:t>
      </w:r>
      <w:r>
        <w:rPr>
          <w:rFonts w:ascii="微软雅黑" w:hAnsi="微软雅黑" w:eastAsia="微软雅黑" w:cs="微软雅黑"/>
          <w:szCs w:val="28"/>
        </w:rPr>
        <w:tab/>
      </w:r>
      <w:r>
        <w:rPr>
          <w:rFonts w:hint="eastAsia" w:ascii="微软雅黑" w:hAnsi="微软雅黑" w:eastAsia="微软雅黑" w:cs="微软雅黑"/>
          <w:szCs w:val="28"/>
          <w:lang w:val="en-US" w:eastAsia="zh-CN"/>
        </w:rPr>
        <w:t>7</w:t>
      </w:r>
      <w:r>
        <w:rPr>
          <w:rFonts w:hint="eastAsia" w:ascii="微软雅黑" w:hAnsi="微软雅黑" w:eastAsia="微软雅黑" w:cs="微软雅黑"/>
          <w:szCs w:val="28"/>
        </w:rPr>
        <w:fldChar w:fldCharType="end"/>
      </w:r>
      <w:r>
        <w:rPr>
          <w:rFonts w:hint="eastAsia" w:ascii="微软雅黑" w:hAnsi="微软雅黑" w:eastAsia="微软雅黑" w:cs="微软雅黑"/>
          <w:szCs w:val="28"/>
          <w:lang w:val="en-US" w:eastAsia="zh-CN"/>
        </w:rPr>
        <w:t>1</w:t>
      </w:r>
    </w:p>
    <w:p>
      <w:pPr>
        <w:pStyle w:val="77"/>
        <w:tabs>
          <w:tab w:val="right" w:leader="dot" w:pos="9532"/>
        </w:tabs>
        <w:snapToGrid w:val="0"/>
        <w:spacing w:line="360" w:lineRule="auto"/>
        <w:textAlignment w:val="baseline"/>
        <w:rPr>
          <w:rFonts w:hint="default" w:ascii="微软雅黑" w:hAnsi="微软雅黑" w:eastAsia="微软雅黑" w:cs="微软雅黑"/>
          <w:szCs w:val="28"/>
          <w:lang w:val="en-US" w:eastAsia="zh-CN"/>
        </w:rPr>
      </w:pPr>
      <w:r>
        <w:fldChar w:fldCharType="begin"/>
      </w:r>
      <w:r>
        <w:instrText xml:space="preserve"> HYPERLINK \l "_Toc11931" </w:instrText>
      </w:r>
      <w:r>
        <w:fldChar w:fldCharType="separate"/>
      </w:r>
      <w:r>
        <w:rPr>
          <w:rFonts w:hint="eastAsia" w:ascii="微软雅黑" w:hAnsi="微软雅黑" w:eastAsia="微软雅黑" w:cs="微软雅黑"/>
          <w:szCs w:val="28"/>
        </w:rPr>
        <w:t>第七章自评表</w:t>
      </w:r>
      <w:r>
        <w:rPr>
          <w:rFonts w:ascii="微软雅黑" w:hAnsi="微软雅黑" w:eastAsia="微软雅黑" w:cs="微软雅黑"/>
          <w:szCs w:val="28"/>
        </w:rPr>
        <w:tab/>
      </w:r>
      <w:r>
        <w:rPr>
          <w:rFonts w:ascii="微软雅黑" w:hAnsi="微软雅黑" w:eastAsia="微软雅黑" w:cs="微软雅黑"/>
          <w:szCs w:val="28"/>
        </w:rPr>
        <w:fldChar w:fldCharType="end"/>
      </w:r>
      <w:r>
        <w:rPr>
          <w:rFonts w:hint="eastAsia" w:ascii="微软雅黑" w:hAnsi="微软雅黑" w:eastAsia="微软雅黑" w:cs="微软雅黑"/>
          <w:szCs w:val="28"/>
          <w:lang w:val="en-US" w:eastAsia="zh-CN"/>
        </w:rPr>
        <w:t>98</w:t>
      </w:r>
    </w:p>
    <w:p>
      <w:pPr>
        <w:snapToGrid w:val="0"/>
        <w:textAlignment w:val="baseline"/>
        <w:rPr>
          <w:rFonts w:ascii="微软雅黑" w:hAnsi="微软雅黑" w:eastAsia="微软雅黑" w:cs="微软雅黑"/>
          <w:sz w:val="20"/>
        </w:rPr>
      </w:pPr>
    </w:p>
    <w:p>
      <w:pPr>
        <w:snapToGrid w:val="0"/>
        <w:spacing w:line="360" w:lineRule="auto"/>
        <w:ind w:firstLine="600"/>
        <w:textAlignment w:val="baseline"/>
        <w:rPr>
          <w:rFonts w:ascii="微软雅黑" w:hAnsi="微软雅黑" w:eastAsia="微软雅黑" w:cs="微软雅黑"/>
          <w:sz w:val="30"/>
          <w:szCs w:val="30"/>
        </w:rPr>
      </w:pPr>
      <w:r>
        <w:rPr>
          <w:rFonts w:ascii="微软雅黑" w:hAnsi="微软雅黑" w:eastAsia="微软雅黑" w:cs="微软雅黑"/>
          <w:sz w:val="30"/>
          <w:szCs w:val="30"/>
        </w:rPr>
        <w:fldChar w:fldCharType="end"/>
      </w:r>
    </w:p>
    <w:p>
      <w:pPr>
        <w:snapToGrid w:val="0"/>
        <w:spacing w:line="360" w:lineRule="auto"/>
        <w:ind w:firstLine="600"/>
        <w:textAlignment w:val="baseline"/>
        <w:rPr>
          <w:rFonts w:ascii="微软雅黑" w:hAnsi="微软雅黑" w:eastAsia="微软雅黑" w:cs="微软雅黑"/>
          <w:sz w:val="30"/>
          <w:szCs w:val="30"/>
        </w:rPr>
      </w:pPr>
    </w:p>
    <w:p>
      <w:pPr>
        <w:snapToGrid w:val="0"/>
        <w:spacing w:line="360" w:lineRule="auto"/>
        <w:jc w:val="center"/>
        <w:textAlignment w:val="baseline"/>
        <w:rPr>
          <w:rFonts w:ascii="微软雅黑" w:hAnsi="微软雅黑" w:eastAsia="微软雅黑" w:cs="微软雅黑"/>
          <w:b/>
          <w:sz w:val="40"/>
          <w:szCs w:val="40"/>
        </w:rPr>
        <w:sectPr>
          <w:headerReference r:id="rId7" w:type="default"/>
          <w:pgSz w:w="11910" w:h="16840"/>
          <w:pgMar w:top="1220" w:right="1280" w:bottom="1220" w:left="1280" w:header="999" w:footer="1033" w:gutter="0"/>
          <w:pgNumType w:fmt="decimal"/>
          <w:cols w:space="720" w:num="1"/>
        </w:sectPr>
      </w:pPr>
      <w:bookmarkStart w:id="1" w:name="_Toc28990"/>
    </w:p>
    <w:p>
      <w:pPr>
        <w:snapToGrid w:val="0"/>
        <w:spacing w:line="360" w:lineRule="auto"/>
        <w:jc w:val="center"/>
        <w:textAlignment w:val="baseline"/>
        <w:rPr>
          <w:rFonts w:ascii="微软雅黑" w:hAnsi="微软雅黑" w:eastAsia="微软雅黑" w:cs="微软雅黑"/>
          <w:sz w:val="20"/>
          <w:szCs w:val="20"/>
        </w:rPr>
      </w:pPr>
      <w:r>
        <w:rPr>
          <w:rFonts w:hint="eastAsia" w:ascii="微软雅黑" w:hAnsi="微软雅黑" w:eastAsia="微软雅黑" w:cs="微软雅黑"/>
          <w:b/>
          <w:sz w:val="40"/>
          <w:szCs w:val="40"/>
        </w:rPr>
        <w:t>第一章</w:t>
      </w:r>
      <w:r>
        <w:rPr>
          <w:rFonts w:hint="eastAsia" w:ascii="微软雅黑" w:hAnsi="微软雅黑" w:eastAsia="微软雅黑" w:cs="微软雅黑"/>
          <w:b/>
          <w:sz w:val="40"/>
          <w:szCs w:val="40"/>
          <w:lang w:val="en-US" w:eastAsia="zh-CN"/>
        </w:rPr>
        <w:t xml:space="preserve"> </w:t>
      </w:r>
      <w:r>
        <w:rPr>
          <w:rFonts w:hint="eastAsia" w:ascii="微软雅黑" w:hAnsi="微软雅黑" w:eastAsia="微软雅黑" w:cs="微软雅黑"/>
          <w:b/>
          <w:sz w:val="40"/>
          <w:szCs w:val="40"/>
        </w:rPr>
        <w:t>公开招标采购公告</w:t>
      </w:r>
      <w:bookmarkEnd w:id="1"/>
    </w:p>
    <w:p>
      <w:pPr>
        <w:pStyle w:val="28"/>
        <w:snapToGrid w:val="0"/>
        <w:spacing w:line="360" w:lineRule="auto"/>
        <w:ind w:firstLine="48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根据《中华人民共和国政府采购法》、《政府采购货物和服务招标投标管理办法》等规定，经</w:t>
      </w:r>
      <w:r>
        <w:rPr>
          <w:rFonts w:hint="eastAsia" w:ascii="微软雅黑" w:hAnsi="微软雅黑" w:eastAsia="微软雅黑" w:cs="微软雅黑"/>
          <w:kern w:val="0"/>
          <w:sz w:val="24"/>
        </w:rPr>
        <w:t>湖州市财政局政府采购监管处</w:t>
      </w:r>
      <w:r>
        <w:rPr>
          <w:rFonts w:hint="eastAsia" w:ascii="微软雅黑" w:hAnsi="微软雅黑" w:eastAsia="微软雅黑" w:cs="微软雅黑"/>
          <w:sz w:val="24"/>
          <w:szCs w:val="24"/>
        </w:rPr>
        <w:t>批准（财政审批编号：[2022]26454号），现就</w:t>
      </w:r>
      <w:r>
        <w:rPr>
          <w:rFonts w:hint="eastAsia" w:ascii="微软雅黑" w:hAnsi="微软雅黑" w:eastAsia="微软雅黑" w:cs="微软雅黑"/>
          <w:kern w:val="0"/>
          <w:sz w:val="24"/>
          <w:u w:val="single" w:color="000000"/>
        </w:rPr>
        <w:t>浙江省湖州生态环境监测中心</w:t>
      </w:r>
      <w:r>
        <w:rPr>
          <w:rFonts w:hint="eastAsia" w:ascii="微软雅黑" w:hAnsi="微软雅黑" w:eastAsia="微软雅黑" w:cs="微软雅黑"/>
          <w:sz w:val="24"/>
          <w:szCs w:val="24"/>
        </w:rPr>
        <w:t>的</w:t>
      </w:r>
      <w:r>
        <w:rPr>
          <w:rFonts w:hint="eastAsia" w:ascii="微软雅黑" w:hAnsi="微软雅黑" w:eastAsia="微软雅黑" w:cs="微软雅黑"/>
          <w:sz w:val="24"/>
          <w:szCs w:val="24"/>
          <w:u w:val="single" w:color="000000"/>
        </w:rPr>
        <w:t>浙江省环境质量自动监测智能化建设项目</w:t>
      </w:r>
      <w:r>
        <w:rPr>
          <w:rFonts w:hint="eastAsia" w:ascii="微软雅黑" w:hAnsi="微软雅黑" w:eastAsia="微软雅黑" w:cs="微软雅黑"/>
          <w:sz w:val="24"/>
          <w:szCs w:val="24"/>
        </w:rPr>
        <w:t>进行公开招标采购，欢迎中华人民共和国境内的合格供应商前来参加投标。</w:t>
      </w:r>
    </w:p>
    <w:p>
      <w:pPr>
        <w:pStyle w:val="28"/>
        <w:numPr>
          <w:ilvl w:val="0"/>
          <w:numId w:val="1"/>
        </w:numPr>
        <w:snapToGrid w:val="0"/>
        <w:spacing w:line="360" w:lineRule="auto"/>
        <w:ind w:left="0" w:firstLineChars="0"/>
        <w:textAlignment w:val="baseline"/>
        <w:rPr>
          <w:rFonts w:ascii="微软雅黑" w:hAnsi="微软雅黑" w:eastAsia="微软雅黑" w:cs="微软雅黑"/>
          <w:sz w:val="24"/>
          <w:szCs w:val="24"/>
        </w:rPr>
      </w:pPr>
      <w:bookmarkStart w:id="2" w:name="_Toc7519"/>
      <w:r>
        <w:rPr>
          <w:rFonts w:hint="eastAsia" w:ascii="微软雅黑" w:hAnsi="微软雅黑" w:eastAsia="微软雅黑" w:cs="微软雅黑"/>
          <w:b/>
          <w:sz w:val="24"/>
          <w:szCs w:val="24"/>
        </w:rPr>
        <w:t>项目编号：</w:t>
      </w:r>
      <w:bookmarkEnd w:id="2"/>
      <w:r>
        <w:rPr>
          <w:rFonts w:hint="eastAsia" w:ascii="微软雅黑" w:hAnsi="微软雅黑" w:eastAsia="微软雅黑" w:cs="微软雅黑"/>
          <w:sz w:val="24"/>
          <w:szCs w:val="24"/>
        </w:rPr>
        <w:t xml:space="preserve">浙华采字【2022】hzf-7077号 </w:t>
      </w:r>
    </w:p>
    <w:p>
      <w:pPr>
        <w:pStyle w:val="28"/>
        <w:numPr>
          <w:ilvl w:val="0"/>
          <w:numId w:val="1"/>
        </w:numPr>
        <w:snapToGrid w:val="0"/>
        <w:spacing w:line="360" w:lineRule="auto"/>
        <w:ind w:left="0" w:firstLineChars="0"/>
        <w:textAlignment w:val="baseline"/>
        <w:rPr>
          <w:rFonts w:ascii="微软雅黑" w:hAnsi="微软雅黑" w:eastAsia="微软雅黑" w:cs="微软雅黑"/>
          <w:sz w:val="24"/>
          <w:szCs w:val="24"/>
        </w:rPr>
      </w:pPr>
      <w:bookmarkStart w:id="3" w:name="_Toc3936"/>
      <w:r>
        <w:rPr>
          <w:rFonts w:hint="eastAsia" w:ascii="微软雅黑" w:hAnsi="微软雅黑" w:eastAsia="微软雅黑" w:cs="微软雅黑"/>
          <w:b/>
          <w:sz w:val="24"/>
          <w:szCs w:val="24"/>
        </w:rPr>
        <w:t>项目组织形式：</w:t>
      </w:r>
      <w:bookmarkEnd w:id="3"/>
      <w:r>
        <w:rPr>
          <w:rFonts w:hint="eastAsia" w:ascii="微软雅黑" w:hAnsi="微软雅黑" w:eastAsia="微软雅黑" w:cs="微软雅黑"/>
          <w:sz w:val="24"/>
          <w:szCs w:val="24"/>
        </w:rPr>
        <w:t>分散采购委托代理</w:t>
      </w:r>
    </w:p>
    <w:p>
      <w:pPr>
        <w:pStyle w:val="28"/>
        <w:numPr>
          <w:ilvl w:val="0"/>
          <w:numId w:val="1"/>
        </w:numPr>
        <w:snapToGrid w:val="0"/>
        <w:spacing w:line="360" w:lineRule="auto"/>
        <w:ind w:left="0" w:firstLineChars="0"/>
        <w:textAlignment w:val="baseline"/>
        <w:rPr>
          <w:rFonts w:ascii="微软雅黑" w:hAnsi="微软雅黑" w:eastAsia="微软雅黑" w:cs="微软雅黑"/>
          <w:sz w:val="24"/>
          <w:szCs w:val="24"/>
        </w:rPr>
      </w:pPr>
      <w:bookmarkStart w:id="4" w:name="_Toc20830"/>
      <w:r>
        <w:rPr>
          <w:rFonts w:hint="eastAsia" w:ascii="微软雅黑" w:hAnsi="微软雅黑" w:eastAsia="微软雅黑" w:cs="微软雅黑"/>
          <w:b/>
          <w:sz w:val="24"/>
          <w:szCs w:val="24"/>
        </w:rPr>
        <w:t>招标方式：</w:t>
      </w:r>
      <w:r>
        <w:rPr>
          <w:rFonts w:hint="eastAsia" w:ascii="微软雅黑" w:hAnsi="微软雅黑" w:eastAsia="微软雅黑" w:cs="微软雅黑"/>
          <w:sz w:val="24"/>
          <w:szCs w:val="24"/>
        </w:rPr>
        <w:t>公开招标</w:t>
      </w:r>
      <w:bookmarkEnd w:id="4"/>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bookmarkStart w:id="5" w:name="_Toc4561"/>
      <w:r>
        <w:rPr>
          <w:rFonts w:hint="eastAsia" w:ascii="微软雅黑" w:hAnsi="微软雅黑" w:eastAsia="微软雅黑" w:cs="微软雅黑"/>
          <w:b/>
          <w:sz w:val="24"/>
          <w:szCs w:val="24"/>
        </w:rPr>
        <w:t>采购内容：</w:t>
      </w:r>
      <w:bookmarkEnd w:id="5"/>
    </w:p>
    <w:tbl>
      <w:tblPr>
        <w:tblStyle w:val="38"/>
        <w:tblW w:w="10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6"/>
        <w:gridCol w:w="2186"/>
        <w:gridCol w:w="1095"/>
        <w:gridCol w:w="1959"/>
        <w:gridCol w:w="1686"/>
        <w:gridCol w:w="2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6" w:type="dxa"/>
            <w:tcBorders>
              <w:top w:val="single" w:color="auto" w:sz="4" w:space="0"/>
              <w:bottom w:val="single" w:color="auto" w:sz="4" w:space="0"/>
              <w:right w:val="single" w:color="auto" w:sz="4" w:space="0"/>
            </w:tcBorders>
            <w:vAlign w:val="center"/>
          </w:tcPr>
          <w:p>
            <w:pPr>
              <w:snapToGrid w:val="0"/>
              <w:spacing w:line="350" w:lineRule="exact"/>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标段</w:t>
            </w:r>
          </w:p>
        </w:tc>
        <w:tc>
          <w:tcPr>
            <w:tcW w:w="21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采购内容</w:t>
            </w:r>
          </w:p>
        </w:tc>
        <w:tc>
          <w:tcPr>
            <w:tcW w:w="1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单位及数量</w:t>
            </w: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服务期限</w:t>
            </w:r>
          </w:p>
        </w:tc>
        <w:tc>
          <w:tcPr>
            <w:tcW w:w="16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采购预算</w:t>
            </w:r>
          </w:p>
          <w:p>
            <w:pPr>
              <w:snapToGrid w:val="0"/>
              <w:spacing w:line="360" w:lineRule="auto"/>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（最高限价）</w:t>
            </w:r>
          </w:p>
        </w:tc>
        <w:tc>
          <w:tcPr>
            <w:tcW w:w="2676" w:type="dxa"/>
            <w:tcBorders>
              <w:top w:val="single" w:color="auto" w:sz="4" w:space="0"/>
              <w:left w:val="single" w:color="auto" w:sz="4" w:space="0"/>
              <w:bottom w:val="single" w:color="auto" w:sz="4" w:space="0"/>
            </w:tcBorders>
            <w:vAlign w:val="center"/>
          </w:tcPr>
          <w:p>
            <w:pPr>
              <w:snapToGrid w:val="0"/>
              <w:spacing w:line="360" w:lineRule="auto"/>
              <w:jc w:val="center"/>
              <w:textAlignment w:val="baseline"/>
              <w:rPr>
                <w:rStyle w:val="108"/>
                <w:rFonts w:ascii="微软雅黑" w:hAnsi="微软雅黑" w:eastAsia="微软雅黑" w:cs="微软雅黑"/>
                <w:bCs/>
                <w:sz w:val="24"/>
                <w:szCs w:val="26"/>
              </w:rPr>
            </w:pPr>
            <w:r>
              <w:rPr>
                <w:rStyle w:val="108"/>
                <w:rFonts w:hint="eastAsia" w:ascii="微软雅黑" w:hAnsi="微软雅黑" w:eastAsia="微软雅黑" w:cs="微软雅黑"/>
                <w:bCs/>
                <w:sz w:val="24"/>
                <w:szCs w:val="26"/>
              </w:rPr>
              <w:t>简要服务内容及要求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6" w:type="dxa"/>
            <w:tcBorders>
              <w:top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标项</w:t>
            </w:r>
            <w:r>
              <w:rPr>
                <w:rFonts w:ascii="微软雅黑" w:hAnsi="微软雅黑" w:eastAsia="微软雅黑" w:cs="微软雅黑"/>
                <w:kern w:val="0"/>
                <w:sz w:val="24"/>
              </w:rPr>
              <w:t>1</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湖州交接考核断面质控升级改造项目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ascii="微软雅黑" w:hAnsi="微软雅黑" w:eastAsia="微软雅黑" w:cs="微软雅黑"/>
                <w:kern w:val="0"/>
                <w:sz w:val="24"/>
              </w:rPr>
              <w:t>1</w:t>
            </w:r>
            <w:r>
              <w:rPr>
                <w:rFonts w:hint="eastAsia" w:ascii="微软雅黑" w:hAnsi="微软雅黑" w:eastAsia="微软雅黑" w:cs="微软雅黑"/>
                <w:kern w:val="0"/>
                <w:sz w:val="24"/>
              </w:rPr>
              <w:t>项</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具体内容详见招标需求</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128万元</w:t>
            </w:r>
          </w:p>
        </w:tc>
        <w:tc>
          <w:tcPr>
            <w:tcW w:w="2676" w:type="dxa"/>
            <w:tcBorders>
              <w:top w:val="single" w:color="auto" w:sz="4" w:space="0"/>
              <w:left w:val="single" w:color="auto" w:sz="4" w:space="0"/>
              <w:bottom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具体内容详见招标需求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6" w:type="dxa"/>
            <w:tcBorders>
              <w:top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标项</w:t>
            </w:r>
            <w:r>
              <w:rPr>
                <w:rFonts w:ascii="微软雅黑" w:hAnsi="微软雅黑" w:eastAsia="微软雅黑" w:cs="微软雅黑"/>
                <w:kern w:val="0"/>
                <w:sz w:val="24"/>
              </w:rPr>
              <w:t>2</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饮用水水源水质监测站仪器升级改造项目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ascii="微软雅黑" w:hAnsi="微软雅黑" w:eastAsia="微软雅黑" w:cs="微软雅黑"/>
                <w:kern w:val="0"/>
                <w:sz w:val="24"/>
              </w:rPr>
              <w:t>1</w:t>
            </w:r>
            <w:r>
              <w:rPr>
                <w:rFonts w:hint="eastAsia" w:ascii="微软雅黑" w:hAnsi="微软雅黑" w:eastAsia="微软雅黑" w:cs="微软雅黑"/>
                <w:kern w:val="0"/>
                <w:sz w:val="24"/>
              </w:rPr>
              <w:t>项</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具体内容详见招标需求</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247.6万元</w:t>
            </w:r>
          </w:p>
        </w:tc>
        <w:tc>
          <w:tcPr>
            <w:tcW w:w="2676" w:type="dxa"/>
            <w:tcBorders>
              <w:top w:val="single" w:color="auto" w:sz="4" w:space="0"/>
              <w:left w:val="single" w:color="auto" w:sz="4" w:space="0"/>
              <w:bottom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具体内容详见招标需求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6" w:type="dxa"/>
            <w:tcBorders>
              <w:top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标项3</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新建省控断面水质自动监测站项目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ascii="微软雅黑" w:hAnsi="微软雅黑" w:eastAsia="微软雅黑" w:cs="微软雅黑"/>
                <w:kern w:val="0"/>
                <w:sz w:val="24"/>
              </w:rPr>
              <w:t>1</w:t>
            </w:r>
            <w:r>
              <w:rPr>
                <w:rFonts w:hint="eastAsia" w:ascii="微软雅黑" w:hAnsi="微软雅黑" w:eastAsia="微软雅黑" w:cs="微软雅黑"/>
                <w:kern w:val="0"/>
                <w:sz w:val="24"/>
              </w:rPr>
              <w:t>项</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具体内容详见招标需求</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371.4 万元</w:t>
            </w:r>
          </w:p>
        </w:tc>
        <w:tc>
          <w:tcPr>
            <w:tcW w:w="2676" w:type="dxa"/>
            <w:tcBorders>
              <w:top w:val="single" w:color="auto" w:sz="4" w:space="0"/>
              <w:left w:val="single" w:color="auto" w:sz="4" w:space="0"/>
              <w:bottom w:val="single" w:color="auto" w:sz="4" w:space="0"/>
            </w:tcBorders>
            <w:vAlign w:val="center"/>
          </w:tcPr>
          <w:p>
            <w:pPr>
              <w:widowControl/>
              <w:snapToGrid w:val="0"/>
              <w:spacing w:line="350" w:lineRule="exact"/>
              <w:jc w:val="center"/>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具体内容详见招标需求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98" w:type="dxa"/>
            <w:gridSpan w:val="6"/>
            <w:tcBorders>
              <w:top w:val="single" w:color="auto" w:sz="4" w:space="0"/>
              <w:bottom w:val="single" w:color="auto" w:sz="4" w:space="0"/>
            </w:tcBorders>
            <w:vAlign w:val="center"/>
          </w:tcPr>
          <w:p>
            <w:pPr>
              <w:widowControl/>
              <w:snapToGrid w:val="0"/>
              <w:spacing w:line="360" w:lineRule="auto"/>
              <w:jc w:val="left"/>
              <w:textAlignment w:val="baseline"/>
              <w:rPr>
                <w:rFonts w:ascii="微软雅黑" w:hAnsi="微软雅黑" w:eastAsia="微软雅黑" w:cs="微软雅黑"/>
                <w:sz w:val="21"/>
                <w:szCs w:val="21"/>
              </w:rPr>
            </w:pPr>
            <w:r>
              <w:rPr>
                <w:rFonts w:hint="eastAsia" w:ascii="微软雅黑" w:hAnsi="微软雅黑" w:eastAsia="微软雅黑" w:cs="微软雅黑"/>
                <w:b/>
                <w:kern w:val="0"/>
                <w:sz w:val="24"/>
                <w:szCs w:val="21"/>
              </w:rPr>
              <w:t>▲</w:t>
            </w:r>
            <w:r>
              <w:rPr>
                <w:rFonts w:hint="eastAsia" w:ascii="微软雅黑" w:hAnsi="微软雅黑" w:eastAsia="微软雅黑" w:cs="微软雅黑"/>
                <w:b/>
                <w:bCs/>
                <w:kern w:val="0"/>
                <w:sz w:val="24"/>
                <w:szCs w:val="21"/>
              </w:rPr>
              <w:t>注：</w:t>
            </w:r>
            <w:r>
              <w:rPr>
                <w:rFonts w:ascii="微软雅黑" w:hAnsi="微软雅黑" w:eastAsia="微软雅黑" w:cs="微软雅黑"/>
                <w:b/>
                <w:bCs/>
                <w:kern w:val="0"/>
                <w:sz w:val="24"/>
                <w:szCs w:val="21"/>
              </w:rPr>
              <w:t>1</w:t>
            </w:r>
            <w:r>
              <w:rPr>
                <w:rFonts w:hint="eastAsia" w:ascii="微软雅黑" w:hAnsi="微软雅黑" w:eastAsia="微软雅黑" w:cs="微软雅黑"/>
                <w:b/>
                <w:bCs/>
                <w:kern w:val="0"/>
                <w:sz w:val="24"/>
                <w:szCs w:val="21"/>
              </w:rPr>
              <w:t>、</w:t>
            </w:r>
            <w:r>
              <w:rPr>
                <w:rFonts w:hint="eastAsia" w:ascii="微软雅黑" w:hAnsi="微软雅黑" w:eastAsia="微软雅黑" w:cs="微软雅黑"/>
                <w:b/>
                <w:bCs/>
                <w:sz w:val="24"/>
                <w:szCs w:val="21"/>
              </w:rPr>
              <w:t>投标报价超最高限价为无效，</w:t>
            </w:r>
            <w:r>
              <w:rPr>
                <w:rFonts w:ascii="微软雅黑" w:hAnsi="微软雅黑" w:eastAsia="微软雅黑" w:cs="微软雅黑"/>
                <w:b/>
                <w:bCs/>
                <w:sz w:val="24"/>
                <w:szCs w:val="21"/>
              </w:rPr>
              <w:t>2</w:t>
            </w:r>
            <w:r>
              <w:rPr>
                <w:rFonts w:hint="eastAsia" w:ascii="微软雅黑" w:hAnsi="微软雅黑" w:eastAsia="微软雅黑" w:cs="微软雅黑"/>
                <w:b/>
                <w:bCs/>
                <w:sz w:val="24"/>
                <w:szCs w:val="21"/>
              </w:rPr>
              <w:t>、本项目共分三个标段，按标项</w:t>
            </w:r>
            <w:r>
              <w:rPr>
                <w:rFonts w:ascii="微软雅黑" w:hAnsi="微软雅黑" w:eastAsia="微软雅黑" w:cs="微软雅黑"/>
                <w:b/>
                <w:bCs/>
                <w:sz w:val="24"/>
                <w:szCs w:val="21"/>
              </w:rPr>
              <w:t>1</w:t>
            </w:r>
            <w:r>
              <w:rPr>
                <w:rFonts w:hint="eastAsia" w:ascii="微软雅黑" w:hAnsi="微软雅黑" w:eastAsia="微软雅黑" w:cs="微软雅黑"/>
                <w:b/>
                <w:bCs/>
                <w:sz w:val="24"/>
                <w:szCs w:val="21"/>
              </w:rPr>
              <w:t>、标项</w:t>
            </w:r>
            <w:r>
              <w:rPr>
                <w:rFonts w:ascii="微软雅黑" w:hAnsi="微软雅黑" w:eastAsia="微软雅黑" w:cs="微软雅黑"/>
                <w:b/>
                <w:bCs/>
                <w:sz w:val="24"/>
                <w:szCs w:val="21"/>
              </w:rPr>
              <w:t>2</w:t>
            </w:r>
            <w:r>
              <w:rPr>
                <w:rFonts w:hint="eastAsia" w:ascii="微软雅黑" w:hAnsi="微软雅黑" w:eastAsia="微软雅黑" w:cs="微软雅黑"/>
                <w:b/>
                <w:bCs/>
                <w:sz w:val="24"/>
                <w:szCs w:val="21"/>
              </w:rPr>
              <w:t>、标项3标段顺序开标、评标，采取兼投不兼中原则，投标人可以参加所有标段的投标，但同一投标人不得兼中，当该投标人在多个标项中同时得分最高时，则按照标项顺序进行中标，且该投标人在其所投剩余标项中，只参加评审、不参加排序（排序为空）和推荐中标。</w:t>
            </w:r>
          </w:p>
        </w:tc>
      </w:tr>
    </w:tbl>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bookmarkStart w:id="6" w:name="_Toc4575"/>
      <w:r>
        <w:rPr>
          <w:rFonts w:hint="eastAsia" w:ascii="微软雅黑" w:hAnsi="微软雅黑" w:eastAsia="微软雅黑" w:cs="微软雅黑"/>
          <w:b/>
          <w:sz w:val="24"/>
          <w:szCs w:val="24"/>
        </w:rPr>
        <w:t>合格投标人的资格要求：</w:t>
      </w:r>
      <w:bookmarkEnd w:id="6"/>
    </w:p>
    <w:p>
      <w:pPr>
        <w:numPr>
          <w:ilvl w:val="0"/>
          <w:numId w:val="2"/>
        </w:numPr>
        <w:snapToGrid w:val="0"/>
        <w:spacing w:line="360" w:lineRule="auto"/>
        <w:ind w:firstLine="403"/>
        <w:textAlignment w:val="baseline"/>
        <w:rPr>
          <w:rFonts w:ascii="微软雅黑" w:hAnsi="微软雅黑" w:eastAsia="微软雅黑" w:cs="微软雅黑"/>
          <w:sz w:val="24"/>
        </w:rPr>
      </w:pPr>
      <w:r>
        <w:rPr>
          <w:rFonts w:hint="eastAsia" w:ascii="微软雅黑" w:hAnsi="微软雅黑" w:eastAsia="微软雅黑" w:cs="微软雅黑"/>
          <w:sz w:val="24"/>
        </w:rPr>
        <w:t>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numPr>
          <w:ilvl w:val="0"/>
          <w:numId w:val="2"/>
        </w:numPr>
        <w:snapToGrid w:val="0"/>
        <w:spacing w:line="360" w:lineRule="auto"/>
        <w:ind w:firstLine="403"/>
        <w:textAlignment w:val="baseline"/>
        <w:rPr>
          <w:rFonts w:ascii="微软雅黑" w:hAnsi="微软雅黑" w:eastAsia="微软雅黑" w:cs="微软雅黑"/>
          <w:sz w:val="24"/>
        </w:rPr>
      </w:pPr>
      <w:r>
        <w:rPr>
          <w:rFonts w:hint="eastAsia" w:ascii="微软雅黑" w:hAnsi="微软雅黑" w:eastAsia="微软雅黑" w:cs="微软雅黑"/>
          <w:sz w:val="24"/>
        </w:rPr>
        <w:t>单位负责人为同一人或者存在控股、管理关系的不同单位，不得参加同一标项投标。</w:t>
      </w:r>
    </w:p>
    <w:p>
      <w:pPr>
        <w:numPr>
          <w:ilvl w:val="0"/>
          <w:numId w:val="2"/>
        </w:numPr>
        <w:snapToGrid w:val="0"/>
        <w:spacing w:line="360" w:lineRule="auto"/>
        <w:ind w:firstLine="403"/>
        <w:textAlignment w:val="baseline"/>
        <w:rPr>
          <w:rFonts w:ascii="微软雅黑" w:hAnsi="微软雅黑" w:eastAsia="微软雅黑" w:cs="微软雅黑"/>
          <w:sz w:val="24"/>
        </w:rPr>
      </w:pPr>
      <w:r>
        <w:rPr>
          <w:rFonts w:hint="eastAsia" w:ascii="微软雅黑" w:hAnsi="微软雅黑" w:eastAsia="微软雅黑" w:cs="微软雅黑"/>
          <w:sz w:val="24"/>
        </w:rPr>
        <w:t>本项目不允许转包、不允许分包，不接受联合体投标。</w:t>
      </w:r>
    </w:p>
    <w:p>
      <w:pPr>
        <w:numPr>
          <w:ilvl w:val="0"/>
          <w:numId w:val="2"/>
        </w:numPr>
        <w:snapToGrid w:val="0"/>
        <w:spacing w:line="360" w:lineRule="auto"/>
        <w:textAlignment w:val="baseline"/>
        <w:rPr>
          <w:rFonts w:ascii="微软雅黑" w:hAnsi="微软雅黑" w:eastAsia="微软雅黑" w:cs="微软雅黑"/>
          <w:sz w:val="20"/>
        </w:rPr>
      </w:pPr>
      <w:r>
        <w:rPr>
          <w:rFonts w:hint="eastAsia" w:ascii="微软雅黑" w:hAnsi="微软雅黑" w:eastAsia="微软雅黑" w:cs="微软雅黑"/>
          <w:sz w:val="24"/>
        </w:rPr>
        <w:t>至本项目开标截止时间前，投标人未列入失信被执行人、重大税收违法案件当事人名单、政府采购严重违法失信行为记录名单的（以“信用中国”网站</w:t>
      </w:r>
      <w:r>
        <w:rPr>
          <w:rFonts w:ascii="微软雅黑" w:hAnsi="微软雅黑" w:eastAsia="微软雅黑" w:cs="微软雅黑"/>
          <w:sz w:val="24"/>
        </w:rPr>
        <w:t>www.creditchina.gov.cn</w:t>
      </w:r>
      <w:r>
        <w:rPr>
          <w:rFonts w:hint="eastAsia" w:ascii="微软雅黑" w:hAnsi="微软雅黑" w:eastAsia="微软雅黑" w:cs="微软雅黑"/>
          <w:sz w:val="24"/>
        </w:rPr>
        <w:t>、“中国政府采购网”</w:t>
      </w:r>
      <w:r>
        <w:rPr>
          <w:rFonts w:ascii="微软雅黑" w:hAnsi="微软雅黑" w:eastAsia="微软雅黑" w:cs="微软雅黑"/>
          <w:sz w:val="24"/>
        </w:rPr>
        <w:t>www.ccgp.gov.cn</w:t>
      </w:r>
      <w:r>
        <w:rPr>
          <w:rFonts w:hint="eastAsia" w:ascii="微软雅黑" w:hAnsi="微软雅黑" w:eastAsia="微软雅黑" w:cs="微软雅黑"/>
          <w:sz w:val="24"/>
        </w:rPr>
        <w:t>查询结果为准）。</w:t>
      </w:r>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采购文件的获取：</w:t>
      </w:r>
    </w:p>
    <w:p>
      <w:pPr>
        <w:widowControl/>
        <w:numPr>
          <w:ilvl w:val="0"/>
          <w:numId w:val="3"/>
        </w:numPr>
        <w:snapToGrid w:val="0"/>
        <w:spacing w:line="360" w:lineRule="auto"/>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获取文件时间：自公告发布之日起至投标截止时间（潜在供应商获取采购文件前应当在电子交易平台上注册账号并登录，截止时间后不再接受潜在供应商获取采购文件）</w:t>
      </w:r>
    </w:p>
    <w:p>
      <w:pPr>
        <w:snapToGrid w:val="0"/>
        <w:spacing w:line="360" w:lineRule="auto"/>
        <w:textAlignment w:val="baseline"/>
        <w:rPr>
          <w:rFonts w:ascii="微软雅黑" w:hAnsi="微软雅黑" w:eastAsia="微软雅黑" w:cs="微软雅黑"/>
          <w:b/>
          <w:sz w:val="24"/>
          <w:u w:val="single"/>
        </w:rPr>
      </w:pPr>
      <w:r>
        <w:rPr>
          <w:rFonts w:hint="eastAsia" w:ascii="微软雅黑" w:hAnsi="微软雅黑" w:eastAsia="微软雅黑" w:cs="微软雅黑"/>
          <w:b/>
          <w:sz w:val="24"/>
          <w:u w:val="single" w:color="000000"/>
        </w:rPr>
        <w:t>本公告自发布之日起公告期限为</w:t>
      </w:r>
      <w:r>
        <w:rPr>
          <w:rFonts w:ascii="微软雅黑" w:hAnsi="微软雅黑" w:eastAsia="微软雅黑" w:cs="微软雅黑"/>
          <w:b/>
          <w:sz w:val="24"/>
          <w:u w:val="single" w:color="000000"/>
        </w:rPr>
        <w:t>5</w:t>
      </w:r>
      <w:r>
        <w:rPr>
          <w:rFonts w:hint="eastAsia" w:ascii="微软雅黑" w:hAnsi="微软雅黑" w:eastAsia="微软雅黑" w:cs="微软雅黑"/>
          <w:b/>
          <w:sz w:val="24"/>
          <w:u w:val="single" w:color="000000"/>
        </w:rPr>
        <w:t>个工作日。</w:t>
      </w:r>
    </w:p>
    <w:p>
      <w:pPr>
        <w:widowControl/>
        <w:numPr>
          <w:ilvl w:val="0"/>
          <w:numId w:val="3"/>
        </w:numPr>
        <w:snapToGrid w:val="0"/>
        <w:spacing w:line="360" w:lineRule="auto"/>
        <w:jc w:val="left"/>
        <w:textAlignment w:val="baseline"/>
        <w:rPr>
          <w:rFonts w:ascii="微软雅黑" w:hAnsi="微软雅黑" w:eastAsia="微软雅黑" w:cs="微软雅黑"/>
          <w:kern w:val="0"/>
          <w:sz w:val="24"/>
        </w:rPr>
      </w:pPr>
      <w:bookmarkStart w:id="7" w:name="_Toc27574"/>
      <w:r>
        <w:rPr>
          <w:rFonts w:hint="eastAsia" w:ascii="微软雅黑" w:hAnsi="微软雅黑" w:eastAsia="微软雅黑" w:cs="微软雅黑"/>
          <w:kern w:val="0"/>
          <w:sz w:val="24"/>
        </w:rPr>
        <w:t>本项目采购文件实行网上在线申请，不收取工本费。</w:t>
      </w:r>
    </w:p>
    <w:p>
      <w:pPr>
        <w:widowControl/>
        <w:numPr>
          <w:ilvl w:val="0"/>
          <w:numId w:val="3"/>
        </w:numPr>
        <w:snapToGrid w:val="0"/>
        <w:spacing w:line="360" w:lineRule="auto"/>
        <w:jc w:val="left"/>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获取方式：供应商登录浙江政府采购网（</w:t>
      </w:r>
      <w:r>
        <w:rPr>
          <w:rFonts w:ascii="微软雅黑" w:hAnsi="微软雅黑" w:eastAsia="微软雅黑" w:cs="微软雅黑"/>
          <w:kern w:val="0"/>
          <w:sz w:val="24"/>
        </w:rPr>
        <w:t>http://zfcg.czt.zj.gov.cn/</w:t>
      </w:r>
      <w:r>
        <w:rPr>
          <w:rFonts w:hint="eastAsia" w:ascii="微软雅黑" w:hAnsi="微软雅黑" w:eastAsia="微软雅黑" w:cs="微软雅黑"/>
          <w:kern w:val="0"/>
          <w:sz w:val="24"/>
        </w:rPr>
        <w:t>）进入政采云系统“项目采购”模块“获取采购文件”菜单，进行网上获取招标文件。（“政采云”注册账号、密码登录系统后获取采购文件）或在湖州市公共资源交易信息网(</w:t>
      </w:r>
      <w:r>
        <w:rPr>
          <w:rFonts w:ascii="微软雅黑" w:hAnsi="微软雅黑" w:eastAsia="微软雅黑" w:cs="微软雅黑"/>
          <w:kern w:val="0"/>
          <w:sz w:val="24"/>
        </w:rPr>
        <w:t>http://ggzy.huzhou.gov.cn/hzfront/)</w:t>
      </w:r>
      <w:r>
        <w:rPr>
          <w:rFonts w:hint="eastAsia" w:ascii="微软雅黑" w:hAnsi="微软雅黑" w:eastAsia="微软雅黑" w:cs="微软雅黑"/>
          <w:kern w:val="0"/>
          <w:sz w:val="24"/>
        </w:rPr>
        <w:t>“政府采购”</w:t>
      </w:r>
      <w:r>
        <w:rPr>
          <w:rFonts w:ascii="微软雅黑" w:hAnsi="微软雅黑" w:eastAsia="微软雅黑" w:cs="微软雅黑"/>
          <w:kern w:val="0"/>
          <w:sz w:val="24"/>
        </w:rPr>
        <w:t>--</w:t>
      </w:r>
      <w:r>
        <w:rPr>
          <w:rFonts w:hint="eastAsia" w:ascii="微软雅黑" w:hAnsi="微软雅黑" w:eastAsia="微软雅黑" w:cs="微软雅黑"/>
          <w:kern w:val="0"/>
          <w:sz w:val="24"/>
        </w:rPr>
        <w:t>“分散采购”版块下载。</w:t>
      </w:r>
    </w:p>
    <w:p>
      <w:pPr>
        <w:pStyle w:val="155"/>
        <w:numPr>
          <w:ilvl w:val="0"/>
          <w:numId w:val="3"/>
        </w:numPr>
        <w:snapToGrid w:val="0"/>
        <w:spacing w:line="360" w:lineRule="auto"/>
        <w:rPr>
          <w:rFonts w:ascii="微软雅黑" w:hAnsi="微软雅黑" w:eastAsia="微软雅黑" w:cs="微软雅黑"/>
          <w:b/>
          <w:sz w:val="24"/>
        </w:rPr>
      </w:pPr>
      <w:r>
        <w:rPr>
          <w:rFonts w:hint="eastAsia" w:ascii="微软雅黑" w:hAnsi="微软雅黑" w:eastAsia="微软雅黑" w:cs="微软雅黑"/>
          <w:color w:val="000000"/>
          <w:sz w:val="24"/>
        </w:rPr>
        <w:t>免费注册网址：浙江政府采购网（供应商注册页面）：</w:t>
      </w:r>
      <w:r>
        <w:rPr>
          <w:rFonts w:ascii="微软雅黑" w:hAnsi="微软雅黑" w:eastAsia="微软雅黑" w:cs="微软雅黑"/>
          <w:color w:val="000000"/>
          <w:sz w:val="24"/>
        </w:rPr>
        <w:t>https://middle.zcygov.cn/settle-front/#/registry</w:t>
      </w:r>
      <w:r>
        <w:rPr>
          <w:rFonts w:hint="eastAsia" w:ascii="微软雅黑" w:hAnsi="微软雅黑" w:eastAsia="微软雅黑" w:cs="微软雅黑"/>
          <w:color w:val="000000"/>
          <w:sz w:val="24"/>
        </w:rPr>
        <w:t>“政采云”，咨询电话：</w:t>
      </w:r>
      <w:r>
        <w:rPr>
          <w:rFonts w:ascii="微软雅黑" w:hAnsi="微软雅黑" w:eastAsia="微软雅黑" w:cs="微软雅黑"/>
          <w:color w:val="000000"/>
          <w:sz w:val="24"/>
        </w:rPr>
        <w:t>400-881-7190</w:t>
      </w:r>
      <w:r>
        <w:rPr>
          <w:rFonts w:hint="eastAsia" w:ascii="微软雅黑" w:hAnsi="微软雅黑" w:eastAsia="微软雅黑" w:cs="微软雅黑"/>
          <w:color w:val="000000"/>
          <w:sz w:val="24"/>
        </w:rPr>
        <w:t>。已经注册成功的供应商无需重复注册。</w:t>
      </w:r>
    </w:p>
    <w:p>
      <w:pPr>
        <w:pStyle w:val="28"/>
        <w:numPr>
          <w:ilvl w:val="0"/>
          <w:numId w:val="3"/>
        </w:numPr>
        <w:snapToGrid w:val="0"/>
        <w:spacing w:line="360" w:lineRule="auto"/>
        <w:ind w:firstLineChars="0"/>
        <w:textAlignment w:val="baseline"/>
        <w:rPr>
          <w:rFonts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投标保证金：不缴纳</w:t>
      </w:r>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投标文件的递交及相关事宜</w:t>
      </w:r>
    </w:p>
    <w:p>
      <w:pPr>
        <w:pStyle w:val="36"/>
        <w:numPr>
          <w:ilvl w:val="0"/>
          <w:numId w:val="4"/>
        </w:numPr>
        <w:shd w:val="clear" w:color="auto" w:fill="FFFFFF"/>
        <w:snapToGrid w:val="0"/>
        <w:spacing w:before="0" w:beforeAutospacing="0" w:after="0" w:afterAutospacing="0" w:line="360" w:lineRule="auto"/>
        <w:jc w:val="both"/>
        <w:textAlignment w:val="baseline"/>
        <w:rPr>
          <w:rFonts w:ascii="微软雅黑" w:hAnsi="微软雅黑" w:eastAsia="微软雅黑" w:cs="微软雅黑"/>
          <w:color w:val="000000"/>
        </w:rPr>
      </w:pPr>
      <w:r>
        <w:rPr>
          <w:rFonts w:hint="eastAsia" w:ascii="微软雅黑" w:hAnsi="微软雅黑" w:eastAsia="微软雅黑" w:cs="微软雅黑"/>
          <w:b/>
          <w:bCs/>
          <w:color w:val="000000"/>
        </w:rPr>
        <w:t>投标文件递交的截止时间</w:t>
      </w:r>
      <w:r>
        <w:rPr>
          <w:rFonts w:hint="eastAsia" w:ascii="微软雅黑" w:hAnsi="微软雅黑" w:eastAsia="微软雅黑" w:cs="微软雅黑"/>
          <w:color w:val="000000"/>
        </w:rPr>
        <w:t>（投标截止时间，下同）为</w:t>
      </w:r>
      <w:r>
        <w:rPr>
          <w:rFonts w:ascii="微软雅黑" w:hAnsi="微软雅黑" w:eastAsia="微软雅黑" w:cs="微软雅黑"/>
          <w:color w:val="000000"/>
        </w:rPr>
        <w:t>202</w:t>
      </w:r>
      <w:r>
        <w:rPr>
          <w:rFonts w:hint="eastAsia" w:ascii="微软雅黑" w:hAnsi="微软雅黑" w:eastAsia="微软雅黑" w:cs="微软雅黑"/>
          <w:color w:val="000000"/>
        </w:rPr>
        <w:t>2年</w:t>
      </w:r>
      <w:r>
        <w:rPr>
          <w:rFonts w:ascii="微软雅黑" w:hAnsi="微软雅黑" w:eastAsia="微软雅黑" w:cs="微软雅黑"/>
          <w:color w:val="000000"/>
        </w:rPr>
        <w:t>1</w:t>
      </w:r>
      <w:r>
        <w:rPr>
          <w:rFonts w:hint="eastAsia" w:ascii="微软雅黑" w:hAnsi="微软雅黑" w:eastAsia="微软雅黑" w:cs="微软雅黑"/>
          <w:color w:val="000000"/>
        </w:rPr>
        <w:t>1月</w:t>
      </w:r>
      <w:r>
        <w:rPr>
          <w:rFonts w:hint="eastAsia" w:ascii="微软雅黑" w:hAnsi="微软雅黑" w:eastAsia="微软雅黑" w:cs="微软雅黑"/>
          <w:color w:val="000000"/>
          <w:lang w:val="en-US" w:eastAsia="zh-CN"/>
        </w:rPr>
        <w:t>25</w:t>
      </w:r>
      <w:r>
        <w:rPr>
          <w:rFonts w:hint="eastAsia" w:ascii="微软雅黑" w:hAnsi="微软雅黑" w:eastAsia="微软雅黑" w:cs="微软雅黑"/>
          <w:color w:val="000000"/>
        </w:rPr>
        <w:t>日</w:t>
      </w:r>
      <w:r>
        <w:rPr>
          <w:rFonts w:ascii="微软雅黑" w:hAnsi="微软雅黑" w:eastAsia="微软雅黑" w:cs="微软雅黑"/>
          <w:color w:val="000000"/>
        </w:rPr>
        <w:t>09</w:t>
      </w:r>
      <w:r>
        <w:rPr>
          <w:rFonts w:hint="eastAsia" w:ascii="微软雅黑" w:hAnsi="微软雅黑" w:eastAsia="微软雅黑" w:cs="微软雅黑"/>
          <w:color w:val="000000"/>
        </w:rPr>
        <w:t>：3</w:t>
      </w:r>
      <w:r>
        <w:rPr>
          <w:rFonts w:ascii="微软雅黑" w:hAnsi="微软雅黑" w:eastAsia="微软雅黑" w:cs="微软雅黑"/>
          <w:color w:val="000000"/>
        </w:rPr>
        <w:t>0</w:t>
      </w:r>
      <w:r>
        <w:rPr>
          <w:rFonts w:hint="eastAsia" w:ascii="微软雅黑" w:hAnsi="微软雅黑" w:eastAsia="微软雅黑" w:cs="微软雅黑"/>
          <w:color w:val="000000"/>
        </w:rPr>
        <w:t>。</w:t>
      </w:r>
    </w:p>
    <w:p>
      <w:pPr>
        <w:pStyle w:val="36"/>
        <w:numPr>
          <w:ilvl w:val="0"/>
          <w:numId w:val="4"/>
        </w:numPr>
        <w:shd w:val="clear" w:color="auto" w:fill="FFFFFF"/>
        <w:snapToGrid w:val="0"/>
        <w:spacing w:before="0" w:beforeAutospacing="0" w:after="0" w:afterAutospacing="0" w:line="360" w:lineRule="auto"/>
        <w:textAlignment w:val="baseline"/>
        <w:rPr>
          <w:rFonts w:ascii="微软雅黑" w:hAnsi="微软雅黑" w:eastAsia="微软雅黑" w:cs="微软雅黑"/>
          <w:b/>
          <w:bCs/>
          <w:color w:val="000000"/>
        </w:rPr>
      </w:pPr>
      <w:r>
        <w:rPr>
          <w:rFonts w:hint="eastAsia" w:ascii="微软雅黑" w:hAnsi="微软雅黑" w:eastAsia="微软雅黑" w:cs="微软雅黑"/>
          <w:b/>
          <w:bCs/>
          <w:color w:val="000000"/>
        </w:rPr>
        <w:t>投标文件递交方式：</w:t>
      </w:r>
    </w:p>
    <w:p>
      <w:pPr>
        <w:pStyle w:val="36"/>
        <w:numPr>
          <w:ilvl w:val="0"/>
          <w:numId w:val="5"/>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b/>
          <w:bCs/>
          <w:color w:val="000000"/>
        </w:rPr>
        <w:t>电子投标文件：</w:t>
      </w:r>
      <w:r>
        <w:rPr>
          <w:rFonts w:hint="eastAsia" w:ascii="微软雅黑" w:hAnsi="微软雅黑" w:eastAsia="微软雅黑" w:cs="微软雅黑"/>
          <w:color w:val="000000"/>
        </w:rPr>
        <w:t>按政采云平台项目采购－电子交易操作指南及本招标文件要求递交。投标人应于</w:t>
      </w:r>
      <w:r>
        <w:rPr>
          <w:rFonts w:ascii="微软雅黑" w:hAnsi="微软雅黑" w:eastAsia="微软雅黑" w:cs="微软雅黑"/>
          <w:color w:val="000000"/>
        </w:rPr>
        <w:t>202</w:t>
      </w:r>
      <w:r>
        <w:rPr>
          <w:rFonts w:hint="eastAsia" w:ascii="微软雅黑" w:hAnsi="微软雅黑" w:eastAsia="微软雅黑" w:cs="微软雅黑"/>
          <w:color w:val="000000"/>
        </w:rPr>
        <w:t>2年</w:t>
      </w:r>
      <w:r>
        <w:rPr>
          <w:rFonts w:ascii="微软雅黑" w:hAnsi="微软雅黑" w:eastAsia="微软雅黑" w:cs="微软雅黑"/>
          <w:color w:val="000000"/>
        </w:rPr>
        <w:t>1</w:t>
      </w:r>
      <w:r>
        <w:rPr>
          <w:rFonts w:hint="eastAsia" w:ascii="微软雅黑" w:hAnsi="微软雅黑" w:eastAsia="微软雅黑" w:cs="微软雅黑"/>
          <w:color w:val="000000"/>
        </w:rPr>
        <w:t>1月</w:t>
      </w:r>
      <w:r>
        <w:rPr>
          <w:rFonts w:hint="eastAsia" w:ascii="微软雅黑" w:hAnsi="微软雅黑" w:eastAsia="微软雅黑" w:cs="微软雅黑"/>
          <w:color w:val="000000"/>
          <w:lang w:val="en-US" w:eastAsia="zh-CN"/>
        </w:rPr>
        <w:t>25</w:t>
      </w:r>
      <w:r>
        <w:rPr>
          <w:rFonts w:hint="eastAsia" w:ascii="微软雅黑" w:hAnsi="微软雅黑" w:eastAsia="微软雅黑" w:cs="微软雅黑"/>
          <w:color w:val="000000"/>
        </w:rPr>
        <w:t>日</w:t>
      </w:r>
      <w:r>
        <w:rPr>
          <w:rFonts w:ascii="微软雅黑" w:hAnsi="微软雅黑" w:eastAsia="微软雅黑" w:cs="微软雅黑"/>
          <w:color w:val="000000"/>
        </w:rPr>
        <w:t>09</w:t>
      </w:r>
      <w:r>
        <w:rPr>
          <w:rFonts w:hint="eastAsia" w:ascii="微软雅黑" w:hAnsi="微软雅黑" w:eastAsia="微软雅黑" w:cs="微软雅黑"/>
          <w:color w:val="000000"/>
        </w:rPr>
        <w:t>：3</w:t>
      </w:r>
      <w:r>
        <w:rPr>
          <w:rFonts w:ascii="微软雅黑" w:hAnsi="微软雅黑" w:eastAsia="微软雅黑" w:cs="微软雅黑"/>
          <w:color w:val="000000"/>
        </w:rPr>
        <w:t>0</w:t>
      </w:r>
      <w:r>
        <w:rPr>
          <w:rFonts w:hint="eastAsia" w:ascii="微软雅黑" w:hAnsi="微软雅黑" w:eastAsia="微软雅黑" w:cs="微软雅黑"/>
          <w:color w:val="000000"/>
        </w:rPr>
        <w:t>（北京时间）前将加密的电子版投标文件上传到政采云系统中（不准时上传视为不参加）。</w:t>
      </w:r>
    </w:p>
    <w:p>
      <w:pPr>
        <w:pStyle w:val="36"/>
        <w:numPr>
          <w:ilvl w:val="0"/>
          <w:numId w:val="6"/>
        </w:numPr>
        <w:shd w:val="clear" w:color="auto" w:fill="FFFFFF"/>
        <w:snapToGrid w:val="0"/>
        <w:spacing w:before="0" w:beforeAutospacing="0" w:after="0" w:afterAutospacing="0" w:line="360" w:lineRule="auto"/>
        <w:jc w:val="both"/>
        <w:textAlignment w:val="baseline"/>
        <w:rPr>
          <w:rFonts w:ascii="微软雅黑" w:hAnsi="微软雅黑" w:eastAsia="微软雅黑" w:cs="微软雅黑"/>
          <w:color w:val="000000"/>
        </w:rPr>
      </w:pPr>
      <w:r>
        <w:rPr>
          <w:rFonts w:hint="eastAsia" w:ascii="微软雅黑" w:hAnsi="微软雅黑" w:eastAsia="微软雅黑" w:cs="微软雅黑"/>
          <w:color w:val="000000"/>
        </w:rPr>
        <w:t>供应商须在线获取</w:t>
      </w:r>
      <w:r>
        <w:rPr>
          <w:rFonts w:ascii="微软雅黑" w:hAnsi="微软雅黑" w:eastAsia="微软雅黑" w:cs="微软雅黑"/>
          <w:color w:val="000000"/>
        </w:rPr>
        <w:t>CA</w:t>
      </w:r>
      <w:r>
        <w:rPr>
          <w:rFonts w:hint="eastAsia" w:ascii="微软雅黑" w:hAnsi="微软雅黑" w:eastAsia="微软雅黑" w:cs="微软雅黑"/>
          <w:color w:val="000000"/>
        </w:rPr>
        <w:t>数字证书（完成</w:t>
      </w:r>
      <w:r>
        <w:rPr>
          <w:rFonts w:ascii="微软雅黑" w:hAnsi="微软雅黑" w:eastAsia="微软雅黑" w:cs="微软雅黑"/>
          <w:color w:val="000000"/>
        </w:rPr>
        <w:t>CA</w:t>
      </w:r>
      <w:r>
        <w:rPr>
          <w:rFonts w:hint="eastAsia" w:ascii="微软雅黑" w:hAnsi="微软雅黑" w:eastAsia="微软雅黑" w:cs="微软雅黑"/>
          <w:color w:val="000000"/>
        </w:rPr>
        <w:t>数字证书办理预计一周左右，建议各投标人自行把握时间），并登录“浙江省政府采购网”</w:t>
      </w:r>
      <w:r>
        <w:rPr>
          <w:rFonts w:ascii="微软雅黑" w:hAnsi="微软雅黑" w:eastAsia="微软雅黑" w:cs="微软雅黑"/>
          <w:color w:val="000000"/>
        </w:rPr>
        <w:t>(https://zfcg.czt.zj.gov.cn/)</w:t>
      </w:r>
      <w:r>
        <w:rPr>
          <w:rFonts w:hint="eastAsia" w:ascii="微软雅黑" w:hAnsi="微软雅黑" w:eastAsia="微软雅黑" w:cs="微软雅黑"/>
          <w:color w:val="000000"/>
        </w:rPr>
        <w:t>，进入“下载专区”下载“电子交易客户端”，制作投标文件。</w:t>
      </w:r>
    </w:p>
    <w:p>
      <w:pPr>
        <w:pStyle w:val="36"/>
        <w:numPr>
          <w:ilvl w:val="0"/>
          <w:numId w:val="6"/>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color w:val="000000"/>
        </w:rPr>
        <w:t>投标人将加密的电子版投标文件于投标截止时间前上传到政采云系统中。具体的投标文件加密上传等操作详见政采云平台操作指南。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微软雅黑" w:hAnsi="微软雅黑" w:eastAsia="微软雅黑" w:cs="微软雅黑"/>
          <w:color w:val="000000"/>
        </w:rPr>
        <w:t>https://edu.zcygov.cn/luban/e-biding?utm=a0004.2ef5001f.0001.0109.da8b35e0da8611e98d8937b7ef8a3544</w:t>
      </w:r>
      <w:r>
        <w:rPr>
          <w:rFonts w:ascii="微软雅黑" w:hAnsi="微软雅黑" w:eastAsia="微软雅黑" w:cs="微软雅黑"/>
          <w:color w:val="000000"/>
        </w:rPr>
        <w:fldChar w:fldCharType="end"/>
      </w:r>
    </w:p>
    <w:p>
      <w:pPr>
        <w:pStyle w:val="36"/>
        <w:numPr>
          <w:ilvl w:val="0"/>
          <w:numId w:val="5"/>
        </w:numPr>
        <w:shd w:val="clear" w:color="auto" w:fill="FFFFFF"/>
        <w:snapToGrid w:val="0"/>
        <w:spacing w:before="0" w:beforeAutospacing="0" w:after="0" w:afterAutospacing="0" w:line="360" w:lineRule="auto"/>
        <w:textAlignment w:val="baseline"/>
        <w:rPr>
          <w:rFonts w:ascii="微软雅黑" w:hAnsi="微软雅黑" w:eastAsia="微软雅黑" w:cs="微软雅黑"/>
        </w:rPr>
      </w:pPr>
      <w:r>
        <w:rPr>
          <w:rFonts w:hint="eastAsia" w:ascii="微软雅黑" w:hAnsi="微软雅黑" w:eastAsia="微软雅黑" w:cs="微软雅黑"/>
          <w:b/>
          <w:bCs/>
        </w:rPr>
        <w:t>备份投标文件</w:t>
      </w:r>
    </w:p>
    <w:p>
      <w:pPr>
        <w:pStyle w:val="36"/>
        <w:numPr>
          <w:ilvl w:val="0"/>
          <w:numId w:val="7"/>
        </w:numPr>
        <w:shd w:val="clear" w:color="auto" w:fill="FFFFFF"/>
        <w:snapToGrid w:val="0"/>
        <w:spacing w:before="0" w:beforeAutospacing="0" w:after="0" w:afterAutospacing="0" w:line="360" w:lineRule="auto"/>
        <w:textAlignment w:val="baseline"/>
        <w:rPr>
          <w:rFonts w:ascii="微软雅黑" w:hAnsi="微软雅黑" w:eastAsia="微软雅黑" w:cs="微软雅黑"/>
        </w:rPr>
      </w:pPr>
      <w:r>
        <w:rPr>
          <w:rFonts w:hint="eastAsia" w:ascii="微软雅黑" w:hAnsi="微软雅黑" w:eastAsia="微软雅黑" w:cs="微软雅黑"/>
        </w:rPr>
        <w:t>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pStyle w:val="36"/>
        <w:numPr>
          <w:ilvl w:val="0"/>
          <w:numId w:val="7"/>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rPr>
        <w:t>备份投标文件：</w:t>
      </w:r>
      <w:r>
        <w:rPr>
          <w:rFonts w:hint="eastAsia" w:ascii="微软雅黑" w:hAnsi="微软雅黑" w:eastAsia="微软雅黑" w:cs="微软雅黑"/>
          <w:color w:val="000000"/>
        </w:rPr>
        <w:t>以介质存储的数据电文形式的备份投标文件（</w:t>
      </w:r>
      <w:r>
        <w:rPr>
          <w:rFonts w:ascii="微软雅黑" w:hAnsi="微软雅黑" w:eastAsia="微软雅黑" w:cs="微软雅黑"/>
          <w:color w:val="000000"/>
        </w:rPr>
        <w:t>bfbs</w:t>
      </w:r>
      <w:r>
        <w:rPr>
          <w:rFonts w:hint="eastAsia" w:ascii="微软雅黑" w:hAnsi="微软雅黑" w:eastAsia="微软雅黑" w:cs="微软雅黑"/>
          <w:color w:val="000000"/>
        </w:rPr>
        <w:t>格式），按政采云平台项目采购－电子交易操作指南中上传的电子投标文件格式，以</w:t>
      </w:r>
      <w:r>
        <w:rPr>
          <w:rFonts w:ascii="微软雅黑" w:hAnsi="微软雅黑" w:eastAsia="微软雅黑" w:cs="微软雅黑"/>
          <w:color w:val="000000"/>
        </w:rPr>
        <w:t>U</w:t>
      </w:r>
      <w:r>
        <w:rPr>
          <w:rFonts w:hint="eastAsia" w:ascii="微软雅黑" w:hAnsi="微软雅黑" w:eastAsia="微软雅黑" w:cs="微软雅黑"/>
          <w:color w:val="000000"/>
        </w:rPr>
        <w:t>盘形式存储提供。数量为</w:t>
      </w:r>
      <w:r>
        <w:rPr>
          <w:rFonts w:ascii="微软雅黑" w:hAnsi="微软雅黑" w:eastAsia="微软雅黑" w:cs="微软雅黑"/>
          <w:color w:val="000000"/>
        </w:rPr>
        <w:t>1</w:t>
      </w:r>
      <w:r>
        <w:rPr>
          <w:rFonts w:hint="eastAsia" w:ascii="微软雅黑" w:hAnsi="微软雅黑" w:eastAsia="微软雅黑" w:cs="微软雅黑"/>
          <w:color w:val="000000"/>
        </w:rPr>
        <w:t>份。</w:t>
      </w:r>
      <w:r>
        <w:rPr>
          <w:rFonts w:ascii="微软雅黑" w:hAnsi="微软雅黑" w:eastAsia="微软雅黑" w:cs="微软雅黑"/>
          <w:color w:val="000000"/>
        </w:rPr>
        <w:t>U</w:t>
      </w:r>
      <w:r>
        <w:rPr>
          <w:rFonts w:hint="eastAsia" w:ascii="微软雅黑" w:hAnsi="微软雅黑" w:eastAsia="微软雅黑" w:cs="微软雅黑"/>
          <w:color w:val="000000"/>
        </w:rPr>
        <w:t>盘盘面上粘贴标签，标注单位名称，</w:t>
      </w:r>
      <w:r>
        <w:rPr>
          <w:rFonts w:hint="eastAsia" w:ascii="微软雅黑" w:hAnsi="微软雅黑" w:eastAsia="微软雅黑" w:cs="微软雅黑"/>
        </w:rPr>
        <w:t>装入一个外包封袋中进行邮寄。邮寄时，总的外包封袋上可不注明投标单位名称，但应注明投标单位的联系人、联系电话及投标项目名称。</w:t>
      </w:r>
    </w:p>
    <w:p>
      <w:pPr>
        <w:pStyle w:val="36"/>
        <w:numPr>
          <w:ilvl w:val="0"/>
          <w:numId w:val="7"/>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rPr>
        <w:t>备份投标文件通过邮寄方式递交，电子流程正常进行时，备份投标文件不予开启。备份投标文件邮寄地址：湖州市吴兴区星洲国际</w:t>
      </w:r>
      <w:r>
        <w:rPr>
          <w:rFonts w:ascii="微软雅黑" w:hAnsi="微软雅黑" w:eastAsia="微软雅黑" w:cs="微软雅黑"/>
        </w:rPr>
        <w:t>10</w:t>
      </w:r>
      <w:r>
        <w:rPr>
          <w:rFonts w:hint="eastAsia" w:ascii="微软雅黑" w:hAnsi="微软雅黑" w:eastAsia="微软雅黑" w:cs="微软雅黑"/>
        </w:rPr>
        <w:t>幢</w:t>
      </w:r>
      <w:r>
        <w:rPr>
          <w:rFonts w:ascii="微软雅黑" w:hAnsi="微软雅黑" w:eastAsia="微软雅黑" w:cs="微软雅黑"/>
        </w:rPr>
        <w:t>5</w:t>
      </w:r>
      <w:r>
        <w:rPr>
          <w:rFonts w:hint="eastAsia" w:ascii="微软雅黑" w:hAnsi="微软雅黑" w:eastAsia="微软雅黑" w:cs="微软雅黑"/>
        </w:rPr>
        <w:t>楼，浙江华夏工程管理有限公司，联系人：采购部；联系电话：</w:t>
      </w:r>
      <w:r>
        <w:rPr>
          <w:rFonts w:ascii="微软雅黑" w:hAnsi="微软雅黑" w:eastAsia="微软雅黑" w:cs="微软雅黑"/>
        </w:rPr>
        <w:t xml:space="preserve">0572-2567837 </w:t>
      </w:r>
      <w:r>
        <w:rPr>
          <w:rFonts w:hint="eastAsia" w:ascii="微软雅黑" w:hAnsi="微软雅黑" w:eastAsia="微软雅黑" w:cs="微软雅黑"/>
        </w:rPr>
        <w:t>，采购人由二名人员（一名接收人、一名监督人员）统一负责接收投标文件至专门的存放室，二人均在接收记录单上对投标文件快递包裹的相关情况签字确认，与投标资料一并归档，接收文件全过程将录音录像。</w:t>
      </w:r>
    </w:p>
    <w:p>
      <w:pPr>
        <w:pStyle w:val="36"/>
        <w:numPr>
          <w:ilvl w:val="0"/>
          <w:numId w:val="4"/>
        </w:numPr>
        <w:shd w:val="clear" w:color="auto" w:fill="FFFFFF"/>
        <w:snapToGrid w:val="0"/>
        <w:spacing w:before="0" w:beforeAutospacing="0" w:after="0" w:afterAutospacing="0" w:line="360" w:lineRule="auto"/>
        <w:textAlignment w:val="baseline"/>
        <w:rPr>
          <w:rFonts w:ascii="微软雅黑" w:hAnsi="微软雅黑" w:eastAsia="微软雅黑" w:cs="微软雅黑"/>
        </w:rPr>
      </w:pPr>
      <w:bookmarkStart w:id="8" w:name="_Toc1896"/>
      <w:bookmarkStart w:id="9" w:name="_Toc25948"/>
      <w:r>
        <w:rPr>
          <w:rFonts w:hint="eastAsia" w:ascii="微软雅黑" w:hAnsi="微软雅黑" w:eastAsia="微软雅黑" w:cs="微软雅黑"/>
          <w:b/>
          <w:bCs/>
          <w:color w:val="000000"/>
        </w:rPr>
        <w:t>投标文件的标前准备</w:t>
      </w:r>
    </w:p>
    <w:p>
      <w:pPr>
        <w:pStyle w:val="36"/>
        <w:shd w:val="clear" w:color="auto" w:fill="FFFFFF"/>
        <w:snapToGrid w:val="0"/>
        <w:spacing w:before="0" w:beforeAutospacing="0" w:after="0" w:afterAutospacing="0" w:line="360" w:lineRule="auto"/>
        <w:ind w:firstLine="480" w:firstLineChars="200"/>
        <w:textAlignment w:val="baseline"/>
        <w:rPr>
          <w:rFonts w:ascii="微软雅黑" w:hAnsi="微软雅黑" w:eastAsia="微软雅黑" w:cs="微软雅黑"/>
        </w:rPr>
      </w:pPr>
      <w:r>
        <w:rPr>
          <w:rFonts w:hint="eastAsia" w:ascii="微软雅黑" w:hAnsi="微软雅黑" w:eastAsia="微软雅黑" w:cs="微软雅黑"/>
        </w:rPr>
        <w:t>标前投标人必须完成以下操作：政府采购云平台正式供应商注册</w:t>
      </w:r>
      <w:r>
        <w:rPr>
          <w:rFonts w:ascii="微软雅黑" w:hAnsi="微软雅黑" w:eastAsia="微软雅黑" w:cs="微软雅黑"/>
        </w:rPr>
        <w:t>-CA</w:t>
      </w:r>
      <w:r>
        <w:rPr>
          <w:rFonts w:hint="eastAsia" w:ascii="微软雅黑" w:hAnsi="微软雅黑" w:eastAsia="微软雅黑" w:cs="微软雅黑"/>
        </w:rPr>
        <w:t>数字证书申领</w:t>
      </w:r>
      <w:r>
        <w:rPr>
          <w:rFonts w:ascii="微软雅黑" w:hAnsi="微软雅黑" w:eastAsia="微软雅黑" w:cs="微软雅黑"/>
        </w:rPr>
        <w:t>-CA</w:t>
      </w:r>
      <w:r>
        <w:rPr>
          <w:rFonts w:hint="eastAsia" w:ascii="微软雅黑" w:hAnsi="微软雅黑" w:eastAsia="微软雅黑" w:cs="微软雅黑"/>
        </w:rPr>
        <w:t>锁绑定</w:t>
      </w:r>
      <w:r>
        <w:rPr>
          <w:rFonts w:ascii="微软雅黑" w:hAnsi="微软雅黑" w:eastAsia="微软雅黑" w:cs="微软雅黑"/>
        </w:rPr>
        <w:t>-</w:t>
      </w:r>
      <w:r>
        <w:rPr>
          <w:rFonts w:hint="eastAsia" w:ascii="微软雅黑" w:hAnsi="微软雅黑" w:eastAsia="微软雅黑" w:cs="微软雅黑"/>
        </w:rPr>
        <w:t>电子交易客户端的下载。完成</w:t>
      </w:r>
      <w:r>
        <w:rPr>
          <w:rFonts w:ascii="微软雅黑" w:hAnsi="微软雅黑" w:eastAsia="微软雅黑" w:cs="微软雅黑"/>
        </w:rPr>
        <w:t>CA</w:t>
      </w:r>
      <w:r>
        <w:rPr>
          <w:rFonts w:hint="eastAsia" w:ascii="微软雅黑" w:hAnsi="微软雅黑" w:eastAsia="微软雅黑" w:cs="微软雅黑"/>
        </w:rPr>
        <w:t>数字证书办理在资料齐全的情况下预计</w:t>
      </w:r>
      <w:r>
        <w:rPr>
          <w:rFonts w:ascii="微软雅黑" w:hAnsi="微软雅黑" w:eastAsia="微软雅黑" w:cs="微软雅黑"/>
        </w:rPr>
        <w:t>7</w:t>
      </w:r>
      <w:r>
        <w:rPr>
          <w:rFonts w:hint="eastAsia" w:ascii="微软雅黑" w:hAnsi="微软雅黑" w:eastAsia="微软雅黑" w:cs="微软雅黑"/>
        </w:rPr>
        <w:t>个工作日左右，建议供应商获取招标文件后立即办理。</w:t>
      </w:r>
    </w:p>
    <w:p>
      <w:pPr>
        <w:pStyle w:val="36"/>
        <w:snapToGrid w:val="0"/>
        <w:spacing w:before="0" w:beforeAutospacing="0" w:after="0" w:afterAutospacing="0" w:line="360" w:lineRule="auto"/>
        <w:ind w:firstLine="420"/>
        <w:textAlignment w:val="baseline"/>
        <w:rPr>
          <w:rFonts w:ascii="微软雅黑" w:hAnsi="微软雅黑" w:eastAsia="微软雅黑" w:cs="微软雅黑"/>
        </w:rPr>
      </w:pPr>
      <w:r>
        <w:rPr>
          <w:rFonts w:hint="eastAsia" w:ascii="微软雅黑" w:hAnsi="微软雅黑" w:eastAsia="微软雅黑" w:cs="微软雅黑"/>
        </w:rPr>
        <w:t>①《注册入驻操作指南【通用版】-供应商》：</w:t>
      </w:r>
      <w:r>
        <w:rPr>
          <w:rFonts w:hint="eastAsia" w:ascii="微软雅黑" w:hAnsi="微软雅黑" w:eastAsia="微软雅黑" w:cs="微软雅黑"/>
          <w:u w:val="single"/>
        </w:rPr>
        <w:t>https://service.zcygov.cn/#/knowledges/cm2eqWwBFdiHxlNd_otq/w3Cd3GwBFdiHxlNd-BRD?keyword=%E4%BE%9B%E5%BA%94%E5%95%86%E5%85%A5%E9%A9%BB</w:t>
      </w:r>
      <w:r>
        <w:rPr>
          <w:rFonts w:hint="eastAsia" w:ascii="微软雅黑" w:hAnsi="微软雅黑" w:eastAsia="微软雅黑" w:cs="微软雅黑"/>
        </w:rPr>
        <w:t>；</w:t>
      </w:r>
    </w:p>
    <w:p>
      <w:pPr>
        <w:pStyle w:val="36"/>
        <w:snapToGrid w:val="0"/>
        <w:spacing w:before="0" w:beforeAutospacing="0" w:after="0" w:afterAutospacing="0" w:line="360" w:lineRule="auto"/>
        <w:ind w:firstLine="420"/>
        <w:textAlignment w:val="baseline"/>
        <w:rPr>
          <w:rFonts w:ascii="微软雅黑" w:hAnsi="微软雅黑" w:eastAsia="微软雅黑" w:cs="微软雅黑"/>
        </w:rPr>
      </w:pPr>
      <w:r>
        <w:rPr>
          <w:rFonts w:hint="eastAsia" w:ascii="微软雅黑" w:hAnsi="微软雅黑" w:eastAsia="微软雅黑" w:cs="微软雅黑"/>
        </w:rPr>
        <w:t>②《CA热点问题汇总》：</w:t>
      </w:r>
      <w:r>
        <w:rPr>
          <w:rFonts w:hint="eastAsia" w:ascii="微软雅黑" w:hAnsi="微软雅黑" w:eastAsia="微软雅黑" w:cs="微软雅黑"/>
          <w:u w:val="single"/>
        </w:rPr>
        <w:t>https://service.zcygov.cn/#/knowledges/depk120BkjoVoiMyPhAJ/8QejCnEBiyELHE-ohzp-</w:t>
      </w:r>
      <w:r>
        <w:rPr>
          <w:rFonts w:hint="eastAsia" w:ascii="微软雅黑" w:hAnsi="微软雅黑" w:eastAsia="微软雅黑" w:cs="微软雅黑"/>
        </w:rPr>
        <w:t>；</w:t>
      </w:r>
    </w:p>
    <w:p>
      <w:pPr>
        <w:pStyle w:val="36"/>
        <w:snapToGrid w:val="0"/>
        <w:spacing w:before="0" w:beforeAutospacing="0" w:after="0" w:afterAutospacing="0" w:line="360" w:lineRule="auto"/>
        <w:ind w:firstLine="405"/>
        <w:textAlignment w:val="baseline"/>
        <w:rPr>
          <w:rFonts w:ascii="微软雅黑" w:hAnsi="微软雅黑" w:eastAsia="微软雅黑" w:cs="微软雅黑"/>
          <w:b/>
          <w:bCs/>
        </w:rPr>
      </w:pPr>
      <w:r>
        <w:rPr>
          <w:rFonts w:hint="eastAsia" w:ascii="微软雅黑" w:hAnsi="微软雅黑" w:eastAsia="微软雅黑" w:cs="微软雅黑"/>
          <w:b/>
          <w:bCs/>
        </w:rPr>
        <w:t>注：为确保网上操作合法、有效和安全，投标供应商应当在投标截止时间前完成在“政府采购云平台”的身份认证，确保在电子投标过程中能够对相关数据电文进行加密和使用电子签章。</w:t>
      </w:r>
    </w:p>
    <w:p>
      <w:pPr>
        <w:pStyle w:val="36"/>
        <w:numPr>
          <w:ilvl w:val="0"/>
          <w:numId w:val="4"/>
        </w:numPr>
        <w:shd w:val="clear" w:color="auto" w:fill="FFFFFF"/>
        <w:snapToGrid w:val="0"/>
        <w:spacing w:before="0" w:beforeAutospacing="0" w:after="0" w:afterAutospacing="0" w:line="360" w:lineRule="auto"/>
        <w:jc w:val="both"/>
        <w:textAlignment w:val="baseline"/>
        <w:rPr>
          <w:rFonts w:ascii="微软雅黑" w:hAnsi="微软雅黑" w:eastAsia="微软雅黑" w:cs="微软雅黑"/>
          <w:b/>
          <w:bCs/>
        </w:rPr>
      </w:pPr>
      <w:r>
        <w:rPr>
          <w:rFonts w:ascii="微软雅黑" w:hAnsi="微软雅黑" w:eastAsia="微软雅黑" w:cs="微软雅黑"/>
          <w:b/>
          <w:bCs/>
          <w:color w:val="000000"/>
        </w:rPr>
        <w:t>CA</w:t>
      </w:r>
      <w:r>
        <w:rPr>
          <w:rFonts w:hint="eastAsia" w:ascii="微软雅黑" w:hAnsi="微软雅黑" w:eastAsia="微软雅黑" w:cs="微软雅黑"/>
          <w:b/>
          <w:bCs/>
          <w:color w:val="000000"/>
        </w:rPr>
        <w:t>锁解密时间</w:t>
      </w:r>
      <w:r>
        <w:rPr>
          <w:rFonts w:hint="eastAsia" w:ascii="微软雅黑" w:hAnsi="微软雅黑" w:eastAsia="微软雅黑" w:cs="微软雅黑"/>
          <w:color w:val="000000"/>
        </w:rPr>
        <w:t>为开标当日</w:t>
      </w:r>
      <w:r>
        <w:rPr>
          <w:rFonts w:ascii="微软雅黑" w:hAnsi="微软雅黑" w:eastAsia="微软雅黑" w:cs="微软雅黑"/>
          <w:color w:val="000000"/>
        </w:rPr>
        <w:t>09:</w:t>
      </w:r>
      <w:r>
        <w:rPr>
          <w:rFonts w:hint="eastAsia" w:ascii="微软雅黑" w:hAnsi="微软雅黑" w:eastAsia="微软雅黑" w:cs="微软雅黑"/>
          <w:color w:val="000000"/>
        </w:rPr>
        <w:t>3</w:t>
      </w:r>
      <w:r>
        <w:rPr>
          <w:rFonts w:ascii="微软雅黑" w:hAnsi="微软雅黑" w:eastAsia="微软雅黑" w:cs="微软雅黑"/>
          <w:color w:val="000000"/>
        </w:rPr>
        <w:t>0</w:t>
      </w:r>
      <w:r>
        <w:rPr>
          <w:rFonts w:hint="eastAsia" w:ascii="微软雅黑" w:hAnsi="微软雅黑" w:eastAsia="微软雅黑" w:cs="微软雅黑"/>
          <w:color w:val="000000"/>
        </w:rPr>
        <w:t>至10</w:t>
      </w:r>
      <w:r>
        <w:rPr>
          <w:rFonts w:ascii="微软雅黑" w:hAnsi="微软雅黑" w:eastAsia="微软雅黑" w:cs="微软雅黑"/>
          <w:color w:val="000000"/>
        </w:rPr>
        <w:t>:</w:t>
      </w:r>
      <w:r>
        <w:rPr>
          <w:rFonts w:hint="eastAsia" w:ascii="微软雅黑" w:hAnsi="微软雅黑" w:eastAsia="微软雅黑" w:cs="微软雅黑"/>
          <w:color w:val="000000"/>
        </w:rPr>
        <w:t>0</w:t>
      </w:r>
      <w:r>
        <w:rPr>
          <w:rFonts w:ascii="微软雅黑" w:hAnsi="微软雅黑" w:eastAsia="微软雅黑" w:cs="微软雅黑"/>
          <w:color w:val="000000"/>
        </w:rPr>
        <w:t>0</w:t>
      </w:r>
      <w:r>
        <w:rPr>
          <w:rFonts w:hint="eastAsia" w:ascii="微软雅黑" w:hAnsi="微软雅黑" w:eastAsia="微软雅黑" w:cs="微软雅黑"/>
          <w:color w:val="000000"/>
        </w:rPr>
        <w:t>。超过投标截止时间未完成上传的投标文件或未按规定时间递交</w:t>
      </w:r>
      <w:r>
        <w:rPr>
          <w:rFonts w:hint="eastAsia" w:ascii="微软雅黑" w:hAnsi="微软雅黑" w:eastAsia="微软雅黑" w:cs="微软雅黑"/>
        </w:rPr>
        <w:t>备份投标文件的</w:t>
      </w:r>
      <w:r>
        <w:rPr>
          <w:rFonts w:hint="eastAsia" w:ascii="微软雅黑" w:hAnsi="微软雅黑" w:eastAsia="微软雅黑" w:cs="微软雅黑"/>
          <w:color w:val="000000"/>
        </w:rPr>
        <w:t>，招标人不予受理。</w:t>
      </w:r>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开标时间</w:t>
      </w:r>
      <w:bookmarkEnd w:id="8"/>
      <w:bookmarkEnd w:id="9"/>
      <w:r>
        <w:rPr>
          <w:rFonts w:hint="eastAsia" w:ascii="微软雅黑" w:hAnsi="微软雅黑" w:eastAsia="微软雅黑" w:cs="微软雅黑"/>
          <w:b/>
          <w:sz w:val="24"/>
          <w:szCs w:val="24"/>
        </w:rPr>
        <w:t>：</w:t>
      </w:r>
      <w:r>
        <w:rPr>
          <w:rFonts w:ascii="微软雅黑" w:hAnsi="微软雅黑" w:eastAsia="微软雅黑" w:cs="微软雅黑"/>
          <w:b/>
          <w:sz w:val="24"/>
          <w:szCs w:val="24"/>
        </w:rPr>
        <w:t>202</w:t>
      </w:r>
      <w:r>
        <w:rPr>
          <w:rFonts w:hint="eastAsia" w:ascii="微软雅黑" w:hAnsi="微软雅黑" w:eastAsia="微软雅黑" w:cs="微软雅黑"/>
          <w:b/>
          <w:sz w:val="24"/>
          <w:szCs w:val="24"/>
        </w:rPr>
        <w:t>2年</w:t>
      </w:r>
      <w:r>
        <w:rPr>
          <w:rFonts w:ascii="微软雅黑" w:hAnsi="微软雅黑" w:eastAsia="微软雅黑" w:cs="微软雅黑"/>
          <w:b/>
          <w:sz w:val="24"/>
          <w:szCs w:val="24"/>
        </w:rPr>
        <w:t>1</w:t>
      </w:r>
      <w:r>
        <w:rPr>
          <w:rFonts w:hint="eastAsia" w:ascii="微软雅黑" w:hAnsi="微软雅黑" w:eastAsia="微软雅黑" w:cs="微软雅黑"/>
          <w:b/>
          <w:sz w:val="24"/>
          <w:szCs w:val="24"/>
        </w:rPr>
        <w:t>1月</w:t>
      </w:r>
      <w:r>
        <w:rPr>
          <w:rFonts w:hint="eastAsia" w:ascii="微软雅黑" w:hAnsi="微软雅黑" w:eastAsia="微软雅黑" w:cs="微软雅黑"/>
          <w:b/>
          <w:sz w:val="24"/>
          <w:szCs w:val="24"/>
          <w:lang w:val="en-US" w:eastAsia="zh-CN"/>
        </w:rPr>
        <w:t>25</w:t>
      </w:r>
      <w:r>
        <w:rPr>
          <w:rFonts w:hint="eastAsia" w:ascii="微软雅黑" w:hAnsi="微软雅黑" w:eastAsia="微软雅黑" w:cs="微软雅黑"/>
          <w:b/>
          <w:sz w:val="24"/>
          <w:szCs w:val="24"/>
        </w:rPr>
        <w:t xml:space="preserve"> 日</w:t>
      </w:r>
      <w:r>
        <w:rPr>
          <w:rFonts w:ascii="微软雅黑" w:hAnsi="微软雅黑" w:eastAsia="微软雅黑" w:cs="微软雅黑"/>
          <w:b/>
          <w:sz w:val="24"/>
          <w:szCs w:val="24"/>
        </w:rPr>
        <w:t>09</w:t>
      </w:r>
      <w:r>
        <w:rPr>
          <w:rFonts w:hint="eastAsia" w:ascii="微软雅黑" w:hAnsi="微软雅黑" w:eastAsia="微软雅黑" w:cs="微软雅黑"/>
          <w:b/>
          <w:sz w:val="24"/>
          <w:szCs w:val="24"/>
        </w:rPr>
        <w:t>：3</w:t>
      </w:r>
      <w:r>
        <w:rPr>
          <w:rFonts w:ascii="微软雅黑" w:hAnsi="微软雅黑" w:eastAsia="微软雅黑" w:cs="微软雅黑"/>
          <w:b/>
          <w:sz w:val="24"/>
          <w:szCs w:val="24"/>
        </w:rPr>
        <w:t>0</w:t>
      </w:r>
    </w:p>
    <w:p>
      <w:pPr>
        <w:pStyle w:val="28"/>
        <w:numPr>
          <w:ilvl w:val="0"/>
          <w:numId w:val="1"/>
        </w:numPr>
        <w:snapToGrid w:val="0"/>
        <w:spacing w:line="360" w:lineRule="auto"/>
        <w:ind w:left="0" w:firstLineChars="0"/>
        <w:textAlignment w:val="baseline"/>
        <w:rPr>
          <w:rFonts w:ascii="微软雅黑" w:hAnsi="微软雅黑" w:eastAsia="微软雅黑" w:cs="微软雅黑"/>
          <w:bCs/>
          <w:sz w:val="24"/>
          <w:szCs w:val="24"/>
        </w:rPr>
      </w:pPr>
      <w:r>
        <w:rPr>
          <w:rFonts w:hint="eastAsia" w:ascii="微软雅黑" w:hAnsi="微软雅黑" w:eastAsia="微软雅黑" w:cs="微软雅黑"/>
          <w:b/>
          <w:sz w:val="24"/>
          <w:szCs w:val="24"/>
        </w:rPr>
        <w:t>开标地点：</w:t>
      </w:r>
      <w:bookmarkStart w:id="10" w:name="OLE_LINK2"/>
      <w:bookmarkStart w:id="11" w:name="OLE_LINK1"/>
      <w:r>
        <w:rPr>
          <w:rFonts w:hint="eastAsia" w:ascii="微软雅黑" w:hAnsi="微软雅黑" w:eastAsia="微软雅黑" w:cs="微软雅黑"/>
          <w:bCs/>
          <w:sz w:val="24"/>
          <w:szCs w:val="24"/>
        </w:rPr>
        <w:t>湖州市市民服务中心</w:t>
      </w:r>
      <w:r>
        <w:rPr>
          <w:rFonts w:ascii="微软雅黑" w:hAnsi="微软雅黑" w:eastAsia="微软雅黑" w:cs="微软雅黑"/>
          <w:bCs/>
          <w:sz w:val="24"/>
          <w:szCs w:val="24"/>
        </w:rPr>
        <w:t>2</w:t>
      </w:r>
      <w:r>
        <w:rPr>
          <w:rFonts w:hint="eastAsia" w:ascii="微软雅黑" w:hAnsi="微软雅黑" w:eastAsia="微软雅黑" w:cs="微软雅黑"/>
          <w:bCs/>
          <w:sz w:val="24"/>
          <w:szCs w:val="24"/>
        </w:rPr>
        <w:t>号楼</w:t>
      </w:r>
      <w:r>
        <w:rPr>
          <w:rFonts w:ascii="微软雅黑" w:hAnsi="微软雅黑" w:eastAsia="微软雅黑" w:cs="微软雅黑"/>
          <w:bCs/>
          <w:sz w:val="24"/>
          <w:szCs w:val="24"/>
        </w:rPr>
        <w:t>2</w:t>
      </w:r>
      <w:r>
        <w:rPr>
          <w:rFonts w:hint="eastAsia" w:ascii="微软雅黑" w:hAnsi="微软雅黑" w:eastAsia="微软雅黑" w:cs="微软雅黑"/>
          <w:bCs/>
          <w:sz w:val="24"/>
          <w:szCs w:val="24"/>
        </w:rPr>
        <w:t>楼开标室（湖州市仁皇山片区金盖山路</w:t>
      </w:r>
      <w:r>
        <w:rPr>
          <w:rFonts w:ascii="微软雅黑" w:hAnsi="微软雅黑" w:eastAsia="微软雅黑" w:cs="微软雅黑"/>
          <w:bCs/>
          <w:sz w:val="24"/>
          <w:szCs w:val="24"/>
        </w:rPr>
        <w:t>66</w:t>
      </w:r>
      <w:r>
        <w:rPr>
          <w:rFonts w:hint="eastAsia" w:ascii="微软雅黑" w:hAnsi="微软雅黑" w:eastAsia="微软雅黑" w:cs="微软雅黑"/>
          <w:bCs/>
          <w:sz w:val="24"/>
          <w:szCs w:val="24"/>
        </w:rPr>
        <w:t>号），具体详见二楼大厅公告栏。</w:t>
      </w:r>
    </w:p>
    <w:p>
      <w:pPr>
        <w:pStyle w:val="28"/>
        <w:snapToGrid w:val="0"/>
        <w:spacing w:line="360" w:lineRule="auto"/>
        <w:ind w:firstLine="48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“政府采购云平台（</w:t>
      </w:r>
      <w:r>
        <w:rPr>
          <w:rFonts w:ascii="微软雅黑" w:hAnsi="微软雅黑" w:eastAsia="微软雅黑" w:cs="微软雅黑"/>
          <w:b/>
          <w:sz w:val="24"/>
          <w:szCs w:val="24"/>
        </w:rPr>
        <w:t>www.zcygov.cn</w:t>
      </w:r>
      <w:r>
        <w:rPr>
          <w:rFonts w:hint="eastAsia" w:ascii="微软雅黑" w:hAnsi="微软雅黑" w:eastAsia="微软雅黑" w:cs="微软雅黑"/>
          <w:b/>
          <w:sz w:val="24"/>
          <w:szCs w:val="24"/>
        </w:rPr>
        <w:t>）”在线投标响应。</w:t>
      </w:r>
      <w:bookmarkEnd w:id="10"/>
      <w:bookmarkEnd w:id="11"/>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发布招标公告的媒体为：</w:t>
      </w:r>
    </w:p>
    <w:p>
      <w:pPr>
        <w:widowControl/>
        <w:tabs>
          <w:tab w:val="left" w:pos="418"/>
        </w:tabs>
        <w:snapToGrid w:val="0"/>
        <w:spacing w:line="440" w:lineRule="exact"/>
        <w:ind w:firstLine="480" w:firstLineChars="200"/>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浙江政府采购网（</w:t>
      </w:r>
      <w:r>
        <w:rPr>
          <w:rFonts w:ascii="微软雅黑" w:hAnsi="微软雅黑" w:eastAsia="微软雅黑" w:cs="微软雅黑"/>
          <w:kern w:val="0"/>
          <w:sz w:val="24"/>
        </w:rPr>
        <w:t>https://zfcg.czt.zj.gov.cn/</w:t>
      </w:r>
      <w:r>
        <w:rPr>
          <w:rFonts w:hint="eastAsia" w:ascii="微软雅黑" w:hAnsi="微软雅黑" w:eastAsia="微软雅黑" w:cs="微软雅黑"/>
          <w:kern w:val="0"/>
          <w:sz w:val="24"/>
        </w:rPr>
        <w:t>）；</w:t>
      </w:r>
    </w:p>
    <w:p>
      <w:pPr>
        <w:pStyle w:val="28"/>
        <w:snapToGrid w:val="0"/>
        <w:spacing w:line="440" w:lineRule="exact"/>
        <w:ind w:firstLine="480"/>
        <w:textAlignment w:val="baseline"/>
        <w:rPr>
          <w:rFonts w:ascii="微软雅黑" w:hAnsi="微软雅黑" w:eastAsia="微软雅黑" w:cs="微软雅黑"/>
          <w:kern w:val="0"/>
          <w:sz w:val="24"/>
        </w:rPr>
      </w:pPr>
      <w:bookmarkStart w:id="12" w:name="_Toc20946"/>
      <w:r>
        <w:rPr>
          <w:rFonts w:hint="eastAsia" w:ascii="微软雅黑" w:hAnsi="微软雅黑" w:eastAsia="微软雅黑" w:cs="微软雅黑"/>
          <w:kern w:val="0"/>
          <w:sz w:val="24"/>
        </w:rPr>
        <w:t>湖州市公共资源交易信息网（</w:t>
      </w:r>
      <w:r>
        <w:rPr>
          <w:rFonts w:ascii="微软雅黑" w:hAnsi="微软雅黑" w:eastAsia="微软雅黑" w:cs="微软雅黑"/>
          <w:kern w:val="0"/>
          <w:sz w:val="24"/>
        </w:rPr>
        <w:t>http://ggzy.huzhou.gov.cn/hzfront//hzfront/</w:t>
      </w:r>
      <w:r>
        <w:rPr>
          <w:rFonts w:hint="eastAsia" w:ascii="微软雅黑" w:hAnsi="微软雅黑" w:eastAsia="微软雅黑" w:cs="微软雅黑"/>
          <w:kern w:val="0"/>
          <w:sz w:val="24"/>
        </w:rPr>
        <w:t>）；</w:t>
      </w:r>
      <w:bookmarkEnd w:id="12"/>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其他事项</w:t>
      </w:r>
    </w:p>
    <w:p>
      <w:pPr>
        <w:pStyle w:val="28"/>
        <w:numPr>
          <w:ilvl w:val="0"/>
          <w:numId w:val="8"/>
        </w:numPr>
        <w:snapToGrid w:val="0"/>
        <w:spacing w:line="360" w:lineRule="auto"/>
        <w:ind w:left="160" w:firstLineChars="0"/>
        <w:textAlignment w:val="baseline"/>
        <w:rPr>
          <w:rFonts w:ascii="微软雅黑" w:hAnsi="微软雅黑" w:eastAsia="微软雅黑" w:cs="微软雅黑"/>
          <w:bCs/>
          <w:sz w:val="24"/>
          <w:szCs w:val="24"/>
        </w:rPr>
      </w:pPr>
      <w:r>
        <w:rPr>
          <w:rFonts w:hint="eastAsia" w:ascii="微软雅黑" w:hAnsi="微软雅黑" w:eastAsia="微软雅黑" w:cs="微软雅黑"/>
          <w:bCs/>
          <w:sz w:val="24"/>
          <w:szCs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8"/>
        <w:numPr>
          <w:ilvl w:val="0"/>
          <w:numId w:val="8"/>
        </w:numPr>
        <w:snapToGrid w:val="0"/>
        <w:spacing w:line="360" w:lineRule="auto"/>
        <w:ind w:left="160" w:firstLineChars="0"/>
        <w:textAlignment w:val="baseline"/>
        <w:rPr>
          <w:rFonts w:ascii="微软雅黑" w:hAnsi="微软雅黑" w:eastAsia="微软雅黑" w:cs="微软雅黑"/>
          <w:bCs/>
          <w:sz w:val="24"/>
          <w:szCs w:val="24"/>
        </w:rPr>
      </w:pPr>
      <w:r>
        <w:rPr>
          <w:rFonts w:hint="eastAsia" w:ascii="微软雅黑" w:hAnsi="微软雅黑" w:eastAsia="微软雅黑" w:cs="微软雅黑"/>
          <w:bCs/>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8"/>
        <w:numPr>
          <w:ilvl w:val="0"/>
          <w:numId w:val="8"/>
        </w:numPr>
        <w:snapToGrid w:val="0"/>
        <w:spacing w:line="360" w:lineRule="auto"/>
        <w:ind w:left="160" w:firstLineChars="0"/>
        <w:textAlignment w:val="baseline"/>
        <w:rPr>
          <w:rFonts w:ascii="微软雅黑" w:hAnsi="微软雅黑" w:eastAsia="微软雅黑" w:cs="微软雅黑"/>
          <w:b/>
          <w:bCs/>
          <w:sz w:val="24"/>
          <w:szCs w:val="24"/>
        </w:rPr>
      </w:pPr>
      <w:r>
        <w:rPr>
          <w:rFonts w:hint="eastAsia" w:ascii="微软雅黑" w:hAnsi="微软雅黑" w:eastAsia="微软雅黑" w:cs="微软雅黑"/>
          <w:bCs/>
          <w:sz w:val="24"/>
          <w:szCs w:val="24"/>
        </w:rPr>
        <w:t xml:space="preserve"> 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numPr>
          <w:ilvl w:val="0"/>
          <w:numId w:val="8"/>
        </w:numPr>
        <w:snapToGrid w:val="0"/>
        <w:spacing w:line="360" w:lineRule="auto"/>
        <w:ind w:left="160" w:firstLineChars="0"/>
        <w:textAlignment w:val="baseline"/>
        <w:rPr>
          <w:rFonts w:ascii="微软雅黑" w:hAnsi="微软雅黑" w:eastAsia="微软雅黑" w:cs="微软雅黑"/>
          <w:b/>
          <w:bCs/>
          <w:sz w:val="24"/>
          <w:szCs w:val="24"/>
        </w:rPr>
      </w:pPr>
      <w:r>
        <w:rPr>
          <w:rFonts w:hint="eastAsia" w:ascii="微软雅黑" w:hAnsi="微软雅黑" w:eastAsia="微软雅黑" w:cs="微软雅黑"/>
          <w:b/>
          <w:bCs/>
          <w:sz w:val="24"/>
          <w:szCs w:val="24"/>
        </w:rPr>
        <w:t>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pStyle w:val="28"/>
        <w:numPr>
          <w:ilvl w:val="0"/>
          <w:numId w:val="8"/>
        </w:numPr>
        <w:snapToGrid w:val="0"/>
        <w:spacing w:line="360" w:lineRule="auto"/>
        <w:ind w:left="160" w:firstLineChars="0"/>
        <w:textAlignment w:val="baseline"/>
        <w:rPr>
          <w:rFonts w:ascii="微软雅黑" w:hAnsi="微软雅黑" w:eastAsia="微软雅黑" w:cs="微软雅黑"/>
          <w:b/>
          <w:bCs/>
          <w:sz w:val="24"/>
          <w:szCs w:val="24"/>
        </w:rPr>
      </w:pPr>
      <w:r>
        <w:rPr>
          <w:rFonts w:hint="eastAsia" w:ascii="微软雅黑" w:hAnsi="微软雅黑" w:eastAsia="微软雅黑" w:cs="微软雅黑"/>
          <w:bCs/>
          <w:sz w:val="24"/>
          <w:szCs w:val="24"/>
        </w:rPr>
        <w:t>本项目为电子招投标项目，实行网上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w:t>
      </w:r>
      <w:r>
        <w:rPr>
          <w:rFonts w:hint="eastAsia" w:ascii="微软雅黑" w:hAnsi="微软雅黑" w:eastAsia="微软雅黑" w:cs="微软雅黑"/>
          <w:bCs/>
          <w:kern w:val="0"/>
          <w:sz w:val="24"/>
          <w:szCs w:val="24"/>
        </w:rPr>
        <w:t>（“政府采购云平台（www.zcygov.cn）”）</w:t>
      </w:r>
      <w:r>
        <w:rPr>
          <w:rFonts w:hint="eastAsia" w:ascii="微软雅黑" w:hAnsi="微软雅黑" w:eastAsia="微软雅黑" w:cs="微软雅黑"/>
          <w:bCs/>
          <w:sz w:val="24"/>
          <w:szCs w:val="24"/>
        </w:rPr>
        <w:t>将予以拒收。备份投标文件按招标文件相关要求通过邮寄方式递交。采购组织机构按照采购文件规定的时间通过电子交易平台</w:t>
      </w:r>
      <w:r>
        <w:rPr>
          <w:rFonts w:hint="eastAsia" w:ascii="微软雅黑" w:hAnsi="微软雅黑" w:eastAsia="微软雅黑" w:cs="微软雅黑"/>
          <w:bCs/>
          <w:kern w:val="0"/>
          <w:sz w:val="24"/>
          <w:szCs w:val="24"/>
        </w:rPr>
        <w:t>（“政府采购云平台（www.zcygov.cn）”）</w:t>
      </w:r>
      <w:r>
        <w:rPr>
          <w:rFonts w:hint="eastAsia" w:ascii="微软雅黑" w:hAnsi="微软雅黑" w:eastAsia="微软雅黑" w:cs="微软雅黑"/>
          <w:bCs/>
          <w:sz w:val="24"/>
          <w:szCs w:val="24"/>
        </w:rPr>
        <w:t>组织开启投标文件，所有供应商均应当准时在线参加。</w:t>
      </w:r>
    </w:p>
    <w:p>
      <w:pPr>
        <w:pStyle w:val="28"/>
        <w:numPr>
          <w:ilvl w:val="0"/>
          <w:numId w:val="8"/>
        </w:numPr>
        <w:snapToGrid w:val="0"/>
        <w:spacing w:line="360" w:lineRule="auto"/>
        <w:ind w:left="160" w:firstLineChars="0"/>
        <w:textAlignment w:val="baseline"/>
        <w:rPr>
          <w:rFonts w:ascii="微软雅黑" w:hAnsi="微软雅黑" w:eastAsia="微软雅黑" w:cs="微软雅黑"/>
          <w:sz w:val="24"/>
          <w:szCs w:val="24"/>
        </w:rPr>
      </w:pPr>
      <w:r>
        <w:rPr>
          <w:rFonts w:hint="eastAsia" w:ascii="微软雅黑" w:hAnsi="微软雅黑" w:eastAsia="微软雅黑" w:cs="微软雅黑"/>
          <w:kern w:val="0"/>
          <w:sz w:val="24"/>
          <w:szCs w:val="24"/>
        </w:rPr>
        <w:t>按照“不见面、少接触”的原则，本项目实行电子投标，采取“不见面”形式进行开评标活动，应按照本项目招标文件和政采云平台的要求编制、加密并提交投标文件， 投标人的法定代表人或其授权代表不需要参加现场投标和开标。供应商在使用系统进行投标的过程中遇到涉及平台使用的任何问题，可致电政采云平台技术支持热线咨询，联系方式：400-881-7190。</w:t>
      </w:r>
    </w:p>
    <w:p>
      <w:pPr>
        <w:pStyle w:val="28"/>
        <w:numPr>
          <w:ilvl w:val="0"/>
          <w:numId w:val="1"/>
        </w:numPr>
        <w:snapToGrid w:val="0"/>
        <w:spacing w:line="360" w:lineRule="auto"/>
        <w:ind w:left="0"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业务咨询：</w:t>
      </w:r>
    </w:p>
    <w:p>
      <w:pPr>
        <w:pStyle w:val="28"/>
        <w:numPr>
          <w:ilvl w:val="0"/>
          <w:numId w:val="9"/>
        </w:numPr>
        <w:snapToGrid w:val="0"/>
        <w:spacing w:line="360" w:lineRule="auto"/>
        <w:ind w:firstLineChars="0"/>
        <w:textAlignment w:val="baseline"/>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采购人：浙江省湖州生态环境监测中心</w:t>
      </w:r>
    </w:p>
    <w:p>
      <w:pPr>
        <w:pStyle w:val="28"/>
        <w:snapToGrid w:val="0"/>
        <w:spacing w:line="360" w:lineRule="auto"/>
        <w:ind w:firstLine="0" w:firstLineChars="0"/>
        <w:textAlignment w:val="baseline"/>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联系人：杨主任</w:t>
      </w:r>
      <w:r>
        <w:rPr>
          <w:rFonts w:hint="eastAsia" w:ascii="微软雅黑" w:hAnsi="微软雅黑" w:eastAsia="微软雅黑" w:cs="微软雅黑"/>
          <w:color w:val="000000"/>
          <w:sz w:val="24"/>
          <w:szCs w:val="24"/>
          <w:lang w:val="en-US" w:eastAsia="zh-CN"/>
        </w:rPr>
        <w:t xml:space="preserve">        </w:t>
      </w:r>
      <w:r>
        <w:rPr>
          <w:rFonts w:hint="eastAsia" w:ascii="微软雅黑" w:hAnsi="微软雅黑" w:eastAsia="微软雅黑" w:cs="微软雅黑"/>
          <w:color w:val="000000"/>
          <w:kern w:val="0"/>
          <w:sz w:val="24"/>
          <w:szCs w:val="24"/>
        </w:rPr>
        <w:t>联系电话：</w:t>
      </w:r>
      <w:r>
        <w:rPr>
          <w:rFonts w:ascii="微软雅黑" w:hAnsi="微软雅黑" w:eastAsia="微软雅黑" w:cs="微软雅黑"/>
          <w:color w:val="000000"/>
          <w:sz w:val="24"/>
          <w:szCs w:val="24"/>
        </w:rPr>
        <w:t>0572-2668565</w:t>
      </w:r>
    </w:p>
    <w:p>
      <w:pPr>
        <w:pStyle w:val="28"/>
        <w:snapToGrid w:val="0"/>
        <w:spacing w:line="360" w:lineRule="auto"/>
        <w:ind w:firstLine="0" w:firstLineChars="0"/>
        <w:textAlignment w:val="baseline"/>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地址：浙江省湖州市吴兴区开元路</w:t>
      </w:r>
      <w:r>
        <w:rPr>
          <w:rFonts w:ascii="微软雅黑" w:hAnsi="微软雅黑" w:eastAsia="微软雅黑" w:cs="微软雅黑"/>
          <w:color w:val="000000"/>
          <w:sz w:val="24"/>
          <w:szCs w:val="24"/>
        </w:rPr>
        <w:t>100</w:t>
      </w:r>
      <w:r>
        <w:rPr>
          <w:rFonts w:hint="eastAsia" w:ascii="微软雅黑" w:hAnsi="微软雅黑" w:eastAsia="微软雅黑" w:cs="微软雅黑"/>
          <w:color w:val="000000"/>
          <w:sz w:val="24"/>
          <w:szCs w:val="24"/>
        </w:rPr>
        <w:t>号</w:t>
      </w:r>
    </w:p>
    <w:p>
      <w:pPr>
        <w:numPr>
          <w:ilvl w:val="0"/>
          <w:numId w:val="9"/>
        </w:numPr>
        <w:snapToGrid w:val="0"/>
        <w:spacing w:line="360" w:lineRule="auto"/>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sz w:val="24"/>
        </w:rPr>
        <w:t>采购代理机构：浙江华夏工程管理有限公司</w:t>
      </w:r>
    </w:p>
    <w:p>
      <w:pPr>
        <w:snapToGrid w:val="0"/>
        <w:spacing w:line="360" w:lineRule="auto"/>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联系人：郑剑鸿</w:t>
      </w:r>
      <w:r>
        <w:rPr>
          <w:rFonts w:hint="eastAsia" w:ascii="微软雅黑" w:hAnsi="微软雅黑" w:eastAsia="微软雅黑" w:cs="微软雅黑"/>
          <w:color w:val="000000"/>
          <w:kern w:val="0"/>
          <w:sz w:val="24"/>
          <w:lang w:val="en-US" w:eastAsia="zh-CN"/>
        </w:rPr>
        <w:t xml:space="preserve">         </w:t>
      </w:r>
      <w:r>
        <w:rPr>
          <w:rFonts w:hint="eastAsia" w:ascii="微软雅黑" w:hAnsi="微软雅黑" w:eastAsia="微软雅黑" w:cs="微软雅黑"/>
          <w:color w:val="000000"/>
          <w:kern w:val="0"/>
          <w:sz w:val="24"/>
        </w:rPr>
        <w:t>联系电话：</w:t>
      </w:r>
      <w:r>
        <w:rPr>
          <w:rFonts w:ascii="微软雅黑" w:hAnsi="微软雅黑" w:eastAsia="微软雅黑" w:cs="微软雅黑"/>
          <w:color w:val="000000"/>
          <w:kern w:val="0"/>
          <w:sz w:val="24"/>
        </w:rPr>
        <w:t>0572-2567837</w:t>
      </w:r>
    </w:p>
    <w:p>
      <w:pPr>
        <w:pStyle w:val="84"/>
        <w:ind w:firstLine="0" w:firstLineChars="0"/>
        <w:rPr>
          <w:rFonts w:ascii="微软雅黑" w:hAnsi="微软雅黑" w:eastAsia="微软雅黑" w:cs="微软雅黑"/>
          <w:color w:val="000000"/>
          <w:sz w:val="24"/>
        </w:rPr>
      </w:pPr>
      <w:r>
        <w:rPr>
          <w:rFonts w:hint="eastAsia" w:ascii="微软雅黑" w:hAnsi="微软雅黑" w:eastAsia="微软雅黑" w:cs="微软雅黑"/>
          <w:color w:val="000000"/>
          <w:sz w:val="24"/>
        </w:rPr>
        <w:t>质疑函接收人：丁女士</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联系电话：</w:t>
      </w:r>
      <w:r>
        <w:rPr>
          <w:rFonts w:ascii="微软雅黑" w:hAnsi="微软雅黑" w:eastAsia="微软雅黑" w:cs="微软雅黑"/>
          <w:color w:val="000000"/>
          <w:sz w:val="24"/>
        </w:rPr>
        <w:t xml:space="preserve">0572-2567837  </w:t>
      </w:r>
      <w:r>
        <w:rPr>
          <w:rFonts w:hint="eastAsia" w:ascii="微软雅黑" w:hAnsi="微软雅黑" w:eastAsia="微软雅黑" w:cs="微软雅黑"/>
          <w:color w:val="000000"/>
          <w:sz w:val="24"/>
        </w:rPr>
        <w:t>传真：</w:t>
      </w:r>
      <w:r>
        <w:rPr>
          <w:rFonts w:ascii="微软雅黑" w:hAnsi="微软雅黑" w:eastAsia="微软雅黑" w:cs="微软雅黑"/>
          <w:color w:val="000000"/>
          <w:sz w:val="24"/>
        </w:rPr>
        <w:t>0572-2567859</w:t>
      </w:r>
    </w:p>
    <w:p>
      <w:pPr>
        <w:snapToGrid w:val="0"/>
        <w:spacing w:line="360" w:lineRule="auto"/>
        <w:textAlignment w:val="baseline"/>
        <w:rPr>
          <w:rFonts w:ascii="微软雅黑" w:hAnsi="微软雅黑" w:eastAsia="微软雅黑" w:cs="微软雅黑"/>
          <w:color w:val="000000"/>
          <w:kern w:val="0"/>
          <w:sz w:val="24"/>
        </w:rPr>
      </w:pPr>
      <w:r>
        <w:rPr>
          <w:rFonts w:hint="eastAsia" w:ascii="微软雅黑" w:hAnsi="微软雅黑" w:eastAsia="微软雅黑" w:cs="微软雅黑"/>
          <w:sz w:val="24"/>
        </w:rPr>
        <w:t>地</w:t>
      </w:r>
      <w:r>
        <w:rPr>
          <w:rFonts w:ascii="微软雅黑" w:hAnsi="微软雅黑" w:eastAsia="微软雅黑" w:cs="微软雅黑"/>
          <w:sz w:val="24"/>
        </w:rPr>
        <w:t> </w:t>
      </w:r>
      <w:r>
        <w:rPr>
          <w:rFonts w:hint="eastAsia" w:ascii="微软雅黑" w:hAnsi="微软雅黑" w:eastAsia="微软雅黑" w:cs="微软雅黑"/>
          <w:sz w:val="24"/>
        </w:rPr>
        <w:t>址：</w:t>
      </w:r>
      <w:r>
        <w:rPr>
          <w:rFonts w:hint="eastAsia" w:ascii="微软雅黑" w:hAnsi="微软雅黑" w:eastAsia="微软雅黑" w:cs="微软雅黑"/>
          <w:color w:val="000000"/>
          <w:kern w:val="0"/>
          <w:sz w:val="24"/>
        </w:rPr>
        <w:t>湖州市星洲国际</w:t>
      </w:r>
      <w:r>
        <w:rPr>
          <w:rFonts w:ascii="微软雅黑" w:hAnsi="微软雅黑" w:eastAsia="微软雅黑" w:cs="微软雅黑"/>
          <w:color w:val="000000"/>
          <w:kern w:val="0"/>
          <w:sz w:val="24"/>
        </w:rPr>
        <w:t>10</w:t>
      </w:r>
      <w:r>
        <w:rPr>
          <w:rFonts w:hint="eastAsia" w:ascii="微软雅黑" w:hAnsi="微软雅黑" w:eastAsia="微软雅黑" w:cs="微软雅黑"/>
          <w:color w:val="000000"/>
          <w:kern w:val="0"/>
          <w:sz w:val="24"/>
        </w:rPr>
        <w:t>幢</w:t>
      </w:r>
      <w:r>
        <w:rPr>
          <w:rFonts w:ascii="微软雅黑" w:hAnsi="微软雅黑" w:eastAsia="微软雅黑" w:cs="微软雅黑"/>
          <w:color w:val="000000"/>
          <w:kern w:val="0"/>
          <w:sz w:val="24"/>
        </w:rPr>
        <w:t>5</w:t>
      </w:r>
      <w:r>
        <w:rPr>
          <w:rFonts w:hint="eastAsia" w:ascii="微软雅黑" w:hAnsi="微软雅黑" w:eastAsia="微软雅黑" w:cs="微软雅黑"/>
          <w:color w:val="000000"/>
          <w:kern w:val="0"/>
          <w:sz w:val="24"/>
        </w:rPr>
        <w:t>楼</w:t>
      </w:r>
    </w:p>
    <w:p>
      <w:pPr>
        <w:numPr>
          <w:ilvl w:val="0"/>
          <w:numId w:val="9"/>
        </w:numPr>
        <w:snapToGrid w:val="0"/>
        <w:spacing w:line="360" w:lineRule="auto"/>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政府采购行政监管及投诉受理部门：</w:t>
      </w:r>
    </w:p>
    <w:p>
      <w:pPr>
        <w:snapToGrid w:val="0"/>
        <w:spacing w:line="360" w:lineRule="auto"/>
        <w:textAlignment w:val="baseline"/>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color w:val="000000"/>
          <w:kern w:val="0"/>
          <w:sz w:val="24"/>
        </w:rPr>
        <w:t>湖州市财政局政府采购监管处联系人：</w:t>
      </w:r>
      <w:r>
        <w:rPr>
          <w:rFonts w:hint="eastAsia" w:ascii="微软雅黑" w:hAnsi="微软雅黑" w:eastAsia="微软雅黑" w:cs="微软雅黑"/>
          <w:color w:val="000000"/>
          <w:kern w:val="0"/>
          <w:sz w:val="24"/>
          <w:lang w:eastAsia="zh-CN"/>
        </w:rPr>
        <w:t>李女士</w:t>
      </w:r>
    </w:p>
    <w:p>
      <w:pPr>
        <w:snapToGrid w:val="0"/>
        <w:spacing w:line="360" w:lineRule="auto"/>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监督投诉电话：</w:t>
      </w:r>
      <w:r>
        <w:rPr>
          <w:rFonts w:ascii="微软雅黑" w:hAnsi="微软雅黑" w:eastAsia="微软雅黑" w:cs="微软雅黑"/>
          <w:color w:val="000000"/>
          <w:kern w:val="0"/>
          <w:sz w:val="24"/>
        </w:rPr>
        <w:t xml:space="preserve">0572-2150037        </w:t>
      </w:r>
      <w:r>
        <w:rPr>
          <w:rFonts w:hint="eastAsia" w:ascii="微软雅黑" w:hAnsi="微软雅黑" w:eastAsia="微软雅黑" w:cs="微软雅黑"/>
          <w:color w:val="000000"/>
          <w:kern w:val="0"/>
          <w:sz w:val="24"/>
        </w:rPr>
        <w:t>地址：湖州市吴兴区龙王山路</w:t>
      </w:r>
      <w:r>
        <w:rPr>
          <w:rFonts w:ascii="微软雅黑" w:hAnsi="微软雅黑" w:eastAsia="微软雅黑" w:cs="微软雅黑"/>
          <w:color w:val="000000"/>
          <w:kern w:val="0"/>
          <w:sz w:val="24"/>
        </w:rPr>
        <w:t>518</w:t>
      </w:r>
      <w:r>
        <w:rPr>
          <w:rFonts w:hint="eastAsia" w:ascii="微软雅黑" w:hAnsi="微软雅黑" w:eastAsia="微软雅黑" w:cs="微软雅黑"/>
          <w:color w:val="000000"/>
          <w:kern w:val="0"/>
          <w:sz w:val="24"/>
        </w:rPr>
        <w:t>号</w:t>
      </w:r>
    </w:p>
    <w:p>
      <w:pPr>
        <w:pStyle w:val="28"/>
        <w:snapToGrid w:val="0"/>
        <w:spacing w:line="360" w:lineRule="auto"/>
        <w:ind w:firstLine="420"/>
        <w:textAlignment w:val="baseline"/>
        <w:rPr>
          <w:rFonts w:ascii="微软雅黑" w:hAnsi="微软雅黑" w:eastAsia="微软雅黑" w:cs="微软雅黑"/>
          <w:sz w:val="21"/>
          <w:szCs w:val="21"/>
        </w:rPr>
      </w:pPr>
    </w:p>
    <w:p>
      <w:pPr>
        <w:pStyle w:val="28"/>
        <w:snapToGrid w:val="0"/>
        <w:spacing w:line="360" w:lineRule="auto"/>
        <w:ind w:firstLine="42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t>若对项目采购电子交易系统操作有疑问，可登录政采云（</w:t>
      </w:r>
      <w:r>
        <w:rPr>
          <w:rFonts w:ascii="微软雅黑" w:hAnsi="微软雅黑" w:eastAsia="微软雅黑" w:cs="微软雅黑"/>
          <w:sz w:val="21"/>
          <w:szCs w:val="21"/>
        </w:rPr>
        <w:t>https://www.zcygov.cn/</w:t>
      </w:r>
      <w:r>
        <w:rPr>
          <w:rFonts w:hint="eastAsia" w:ascii="微软雅黑" w:hAnsi="微软雅黑" w:eastAsia="微软雅黑" w:cs="微软雅黑"/>
          <w:sz w:val="21"/>
          <w:szCs w:val="21"/>
        </w:rPr>
        <w:t>），点击右侧咨询小采，获取采小蜜智能服务管家帮助，或拨打政采云服务热线</w:t>
      </w:r>
      <w:r>
        <w:rPr>
          <w:rFonts w:ascii="微软雅黑" w:hAnsi="微软雅黑" w:eastAsia="微软雅黑" w:cs="微软雅黑"/>
          <w:sz w:val="21"/>
          <w:szCs w:val="21"/>
        </w:rPr>
        <w:t>400-881-7190</w:t>
      </w:r>
      <w:r>
        <w:rPr>
          <w:rFonts w:hint="eastAsia" w:ascii="微软雅黑" w:hAnsi="微软雅黑" w:eastAsia="微软雅黑" w:cs="微软雅黑"/>
          <w:sz w:val="21"/>
          <w:szCs w:val="21"/>
        </w:rPr>
        <w:t>获取热线服务帮助。</w:t>
      </w:r>
    </w:p>
    <w:p>
      <w:pPr>
        <w:snapToGrid w:val="0"/>
        <w:spacing w:line="360" w:lineRule="auto"/>
        <w:jc w:val="center"/>
        <w:textAlignment w:val="baseline"/>
        <w:rPr>
          <w:rFonts w:ascii="微软雅黑" w:hAnsi="微软雅黑" w:eastAsia="微软雅黑" w:cs="微软雅黑"/>
          <w:b/>
          <w:sz w:val="36"/>
          <w:szCs w:val="36"/>
        </w:rPr>
        <w:sectPr>
          <w:pgSz w:w="11910" w:h="16840"/>
          <w:pgMar w:top="1220" w:right="1280" w:bottom="1220" w:left="1280" w:header="999" w:footer="1033" w:gutter="0"/>
          <w:pgNumType w:fmt="decimal"/>
          <w:cols w:space="720" w:num="1"/>
        </w:sectPr>
      </w:pPr>
    </w:p>
    <w:p>
      <w:pPr>
        <w:snapToGrid w:val="0"/>
        <w:ind w:left="420"/>
        <w:jc w:val="center"/>
        <w:textAlignment w:val="baseline"/>
        <w:rPr>
          <w:rFonts w:ascii="微软雅黑" w:hAnsi="微软雅黑" w:eastAsia="微软雅黑" w:cs="微软雅黑"/>
          <w:b/>
          <w:sz w:val="36"/>
          <w:szCs w:val="36"/>
        </w:rPr>
      </w:pPr>
      <w:r>
        <w:rPr>
          <w:rFonts w:hint="eastAsia" w:ascii="微软雅黑" w:hAnsi="微软雅黑" w:eastAsia="微软雅黑" w:cs="微软雅黑"/>
          <w:b/>
          <w:sz w:val="36"/>
          <w:szCs w:val="36"/>
        </w:rPr>
        <w:t>第二章招标需求</w:t>
      </w:r>
      <w:bookmarkEnd w:id="7"/>
    </w:p>
    <w:p>
      <w:pPr>
        <w:numPr>
          <w:ilvl w:val="0"/>
          <w:numId w:val="10"/>
        </w:numPr>
        <w:adjustRightInd w:val="0"/>
        <w:snapToGrid w:val="0"/>
        <w:rPr>
          <w:rFonts w:ascii="微软雅黑" w:hAnsi="微软雅黑" w:eastAsia="微软雅黑" w:cs="微软雅黑"/>
          <w:b/>
          <w:bCs/>
          <w:sz w:val="24"/>
        </w:rPr>
      </w:pPr>
      <w:r>
        <w:rPr>
          <w:rFonts w:hint="eastAsia" w:ascii="微软雅黑" w:hAnsi="微软雅黑" w:eastAsia="微软雅黑" w:cs="微软雅黑"/>
          <w:b/>
          <w:bCs/>
          <w:sz w:val="24"/>
        </w:rPr>
        <w:t>概述</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根据《浙江省生态环境厅办公室关于印发2022年全省生态环境保护分领域工作要点的通知》（浙环办函〔2022〕5号）文件要求和《浙江省环境质量自动监测智能化建设项目可行性研究报告》的具体内容，并结合目前我市水质自动站实际情况，需完成8个跨行政区域交接考核断面水站功能升级和部分设备更新、4个饮用水水源地水站仪器设备更新、6个新建省控断面自动监测站设备购置和安装。</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的建设将全方位提升我市重要控制断面水质监测能力，加强我市水环境风险预警能力，在数据管理分析系统和预测预报系统的辅助下，可为我市环境管理提供及时准确、全面有效的技术支撑，进而增强我市环境管理和决策能力，为环境监管数字化转型、打赢“蓝天碧水”保卫战、建设生态文明提供技术保障，并有利于促进公众参与和社会监督，以及环境监测信息的交流与共享。</w:t>
      </w:r>
    </w:p>
    <w:p>
      <w:pPr>
        <w:numPr>
          <w:ilvl w:val="0"/>
          <w:numId w:val="10"/>
        </w:numPr>
        <w:adjustRightInd w:val="0"/>
        <w:snapToGrid w:val="0"/>
        <w:spacing w:line="360" w:lineRule="auto"/>
        <w:rPr>
          <w:rFonts w:ascii="微软雅黑" w:hAnsi="微软雅黑" w:eastAsia="微软雅黑" w:cs="微软雅黑"/>
          <w:b/>
          <w:bCs/>
          <w:sz w:val="24"/>
        </w:rPr>
      </w:pPr>
      <w:r>
        <w:rPr>
          <w:rFonts w:hint="eastAsia" w:ascii="微软雅黑" w:hAnsi="微软雅黑" w:eastAsia="微软雅黑" w:cs="微软雅黑"/>
          <w:b/>
          <w:bCs/>
          <w:sz w:val="24"/>
        </w:rPr>
        <w:t>项目概况</w:t>
      </w:r>
    </w:p>
    <w:p>
      <w:pPr>
        <w:numPr>
          <w:ilvl w:val="1"/>
          <w:numId w:val="11"/>
        </w:numPr>
        <w:spacing w:line="400" w:lineRule="exact"/>
        <w:rPr>
          <w:rFonts w:ascii="微软雅黑" w:hAnsi="微软雅黑" w:eastAsia="微软雅黑" w:cs="微软雅黑"/>
          <w:sz w:val="24"/>
        </w:rPr>
      </w:pPr>
      <w:r>
        <w:rPr>
          <w:rFonts w:hint="eastAsia" w:ascii="微软雅黑" w:hAnsi="微软雅黑" w:eastAsia="微软雅黑" w:cs="微软雅黑"/>
          <w:sz w:val="24"/>
        </w:rPr>
        <w:t>项目名称：浙江省环境质量自动监测智能化建设项目；</w:t>
      </w:r>
    </w:p>
    <w:p>
      <w:pPr>
        <w:numPr>
          <w:ilvl w:val="1"/>
          <w:numId w:val="11"/>
        </w:numPr>
        <w:spacing w:line="400" w:lineRule="exact"/>
        <w:rPr>
          <w:rFonts w:ascii="微软雅黑" w:hAnsi="微软雅黑" w:eastAsia="微软雅黑" w:cs="微软雅黑"/>
          <w:sz w:val="24"/>
        </w:rPr>
      </w:pPr>
      <w:r>
        <w:rPr>
          <w:rFonts w:hint="eastAsia" w:ascii="微软雅黑" w:hAnsi="微软雅黑" w:eastAsia="微软雅黑" w:cs="微软雅黑"/>
          <w:sz w:val="24"/>
        </w:rPr>
        <w:t>项目业主：浙江省湖州生态环境监测中心；</w:t>
      </w:r>
    </w:p>
    <w:p>
      <w:pPr>
        <w:numPr>
          <w:ilvl w:val="1"/>
          <w:numId w:val="11"/>
        </w:numPr>
        <w:spacing w:line="400" w:lineRule="exact"/>
        <w:rPr>
          <w:rFonts w:ascii="微软雅黑" w:hAnsi="微软雅黑" w:eastAsia="微软雅黑" w:cs="微软雅黑"/>
          <w:sz w:val="24"/>
        </w:rPr>
      </w:pPr>
      <w:r>
        <w:rPr>
          <w:rFonts w:hint="eastAsia" w:ascii="微软雅黑" w:hAnsi="微软雅黑" w:eastAsia="微软雅黑" w:cs="微软雅黑"/>
          <w:sz w:val="24"/>
        </w:rPr>
        <w:t>实施范围：湖州市；</w:t>
      </w:r>
    </w:p>
    <w:p>
      <w:pPr>
        <w:numPr>
          <w:ilvl w:val="1"/>
          <w:numId w:val="11"/>
        </w:numPr>
        <w:spacing w:line="400" w:lineRule="exact"/>
        <w:rPr>
          <w:rFonts w:ascii="微软雅黑" w:hAnsi="微软雅黑" w:eastAsia="微软雅黑" w:cs="微软雅黑"/>
          <w:sz w:val="24"/>
        </w:rPr>
      </w:pPr>
      <w:r>
        <w:rPr>
          <w:rFonts w:hint="eastAsia" w:ascii="微软雅黑" w:hAnsi="微软雅黑" w:eastAsia="微软雅黑" w:cs="微软雅黑"/>
          <w:sz w:val="24"/>
        </w:rPr>
        <w:t>建设性质：新建；</w:t>
      </w:r>
    </w:p>
    <w:p>
      <w:pPr>
        <w:numPr>
          <w:ilvl w:val="1"/>
          <w:numId w:val="11"/>
        </w:numPr>
        <w:spacing w:line="400" w:lineRule="exact"/>
        <w:rPr>
          <w:rFonts w:ascii="微软雅黑" w:hAnsi="微软雅黑" w:eastAsia="微软雅黑" w:cs="微软雅黑"/>
          <w:sz w:val="24"/>
        </w:rPr>
      </w:pPr>
      <w:r>
        <w:rPr>
          <w:rFonts w:hint="eastAsia" w:ascii="微软雅黑" w:hAnsi="微软雅黑" w:eastAsia="微软雅黑" w:cs="微软雅黑"/>
          <w:sz w:val="24"/>
        </w:rPr>
        <w:t>建设规模及内容：</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标项一：湖州交接考核断面质控升级改造项目</w:t>
      </w:r>
      <w:r>
        <w:rPr>
          <w:rFonts w:hint="eastAsia" w:ascii="微软雅黑" w:hAnsi="微软雅黑" w:eastAsia="微软雅黑" w:cs="微软雅黑"/>
          <w:color w:val="000000"/>
          <w:sz w:val="24"/>
        </w:rPr>
        <w:t>，预算约128万元</w:t>
      </w:r>
      <w:r>
        <w:rPr>
          <w:rFonts w:hint="eastAsia" w:ascii="微软雅黑" w:hAnsi="微软雅黑" w:eastAsia="微软雅黑" w:cs="微软雅黑"/>
          <w:sz w:val="24"/>
        </w:rPr>
        <w:t>；</w:t>
      </w:r>
    </w:p>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标项二：</w:t>
      </w:r>
      <w:r>
        <w:rPr>
          <w:rFonts w:hint="eastAsia" w:ascii="微软雅黑" w:hAnsi="微软雅黑" w:eastAsia="微软雅黑" w:cs="微软雅黑"/>
          <w:sz w:val="24"/>
        </w:rPr>
        <w:t>饮用水水源水质监测站仪器升级改造项目</w:t>
      </w:r>
      <w:r>
        <w:rPr>
          <w:rFonts w:hint="eastAsia" w:ascii="微软雅黑" w:hAnsi="微软雅黑" w:eastAsia="微软雅黑" w:cs="微软雅黑"/>
          <w:color w:val="000000"/>
          <w:sz w:val="24"/>
        </w:rPr>
        <w:t>，预算约</w:t>
      </w:r>
      <w:r>
        <w:rPr>
          <w:rFonts w:hint="eastAsia" w:ascii="微软雅黑" w:hAnsi="微软雅黑" w:eastAsia="微软雅黑" w:cs="微软雅黑"/>
          <w:sz w:val="24"/>
        </w:rPr>
        <w:t>247.6万元</w:t>
      </w:r>
      <w:r>
        <w:rPr>
          <w:rFonts w:hint="eastAsia" w:ascii="微软雅黑" w:hAnsi="微软雅黑" w:eastAsia="微软雅黑" w:cs="微软雅黑"/>
          <w:color w:val="000000"/>
          <w:sz w:val="24"/>
        </w:rPr>
        <w:t>。</w:t>
      </w:r>
    </w:p>
    <w:p>
      <w:pPr>
        <w:pStyle w:val="84"/>
        <w:spacing w:line="400" w:lineRule="exact"/>
        <w:ind w:firstLine="0" w:firstLineChars="0"/>
      </w:pPr>
      <w:r>
        <w:rPr>
          <w:rFonts w:hint="eastAsia" w:ascii="微软雅黑" w:hAnsi="微软雅黑" w:eastAsia="微软雅黑" w:cs="微软雅黑"/>
          <w:color w:val="000000"/>
          <w:sz w:val="24"/>
        </w:rPr>
        <w:t>标项三：</w:t>
      </w:r>
      <w:r>
        <w:rPr>
          <w:rFonts w:hint="eastAsia" w:ascii="微软雅黑" w:hAnsi="微软雅黑" w:eastAsia="微软雅黑" w:cs="微软雅黑"/>
          <w:sz w:val="24"/>
        </w:rPr>
        <w:t>新建省控断面水质自动监测站项目</w:t>
      </w:r>
      <w:r>
        <w:rPr>
          <w:rFonts w:hint="eastAsia" w:ascii="微软雅黑" w:hAnsi="微软雅黑" w:eastAsia="微软雅黑" w:cs="微软雅黑"/>
          <w:color w:val="000000"/>
          <w:sz w:val="24"/>
        </w:rPr>
        <w:t>，预算约371.4万元</w:t>
      </w:r>
    </w:p>
    <w:p>
      <w:pPr>
        <w:numPr>
          <w:ilvl w:val="1"/>
          <w:numId w:val="11"/>
        </w:numPr>
        <w:spacing w:line="400" w:lineRule="exact"/>
      </w:pPr>
      <w:r>
        <w:rPr>
          <w:rFonts w:hint="eastAsia" w:ascii="微软雅黑" w:hAnsi="微软雅黑" w:eastAsia="微软雅黑" w:cs="微软雅黑"/>
          <w:sz w:val="24"/>
        </w:rPr>
        <w:t>项目概算：项目投资预算为747万元。</w:t>
      </w:r>
    </w:p>
    <w:p>
      <w:pPr>
        <w:numPr>
          <w:ilvl w:val="0"/>
          <w:numId w:val="10"/>
        </w:numPr>
        <w:adjustRightInd w:val="0"/>
        <w:snapToGrid w:val="0"/>
        <w:spacing w:line="360" w:lineRule="auto"/>
        <w:rPr>
          <w:rFonts w:ascii="微软雅黑" w:hAnsi="微软雅黑" w:eastAsia="微软雅黑" w:cs="微软雅黑"/>
          <w:b/>
          <w:bCs/>
          <w:sz w:val="24"/>
        </w:rPr>
      </w:pPr>
      <w:r>
        <w:rPr>
          <w:rFonts w:hint="eastAsia" w:ascii="微软雅黑" w:hAnsi="微软雅黑" w:eastAsia="微软雅黑" w:cs="微软雅黑"/>
          <w:b/>
          <w:bCs/>
          <w:sz w:val="24"/>
        </w:rPr>
        <w:t>招标需求</w:t>
      </w:r>
    </w:p>
    <w:p>
      <w:pPr>
        <w:adjustRightInd w:val="0"/>
        <w:snapToGrid w:val="0"/>
        <w:spacing w:line="400" w:lineRule="exact"/>
        <w:rPr>
          <w:rFonts w:ascii="微软雅黑" w:hAnsi="微软雅黑" w:eastAsia="微软雅黑" w:cs="微软雅黑"/>
          <w:b/>
          <w:sz w:val="24"/>
        </w:rPr>
      </w:pPr>
      <w:r>
        <w:rPr>
          <w:rFonts w:hint="eastAsia" w:ascii="微软雅黑" w:hAnsi="微软雅黑" w:eastAsia="微软雅黑" w:cs="微软雅黑"/>
          <w:b/>
          <w:sz w:val="24"/>
        </w:rPr>
        <w:t>规范文件</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1、《浙江省生态环境厅办公室关于印发2022年全省生态环境保护分领域工作要点的通知》（浙环办函〔2022〕5号）</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2、《浙江省环境质量自动监测智能化建设项目可行性研究报告》</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3、《地表水自动监测技术规范（试行）》(HJ 915-2017)</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4、《水质自动采样器技术要求及检测方法》(HJ/T 372-2007)</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5、《地表水水质自动监测站站房及采排水技术要求（试行）》（总站水字〔2020〕649号）</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6、《地表水自动监测系统通信协议技术要求（试行）》</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7、《国家地表水水质自动监测站运行维护管理实施细则（试行）》</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8、《国家地表水水质自动监测站运行管理办法》</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9、《浙江省地表水水质自动监测系统运行管理细则》（浙环函〔2020〕127号）</w:t>
      </w:r>
    </w:p>
    <w:p>
      <w:pPr>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10、《浙江省地表水环境自动监测站运行维护与质量控制技术规定（试行）》</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11、《pH 水质自动分析仪技术要求》 （HJ/T 96-2003）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12、《电导率水质自动分析仪技术要求》 （HJ/T 97-2003）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13、《浊度水质自动分析仪技术要求》 （HJ/T 98-2003）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14、《溶解氧（DO）水质自动分析仪技术要求》 （HJ/T99-2003）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15、《高锰酸盐指数水质自动分析仪技术要求》 （HJ/T100-2003）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16、《氨氮水质自动分析仪技术要求》 （HJ 101-2019）</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17、《总氮水质自动分析仪技术要求》 （HJ/T 102-2003）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18、《总磷水质自动分析仪技术要求》 （HJ/T 103-2003）</w:t>
      </w:r>
    </w:p>
    <w:p>
      <w:pPr>
        <w:spacing w:line="400" w:lineRule="exact"/>
        <w:ind w:left="420" w:firstLine="60"/>
        <w:rPr>
          <w:rFonts w:ascii="微软雅黑" w:hAnsi="微软雅黑" w:eastAsia="微软雅黑" w:cs="微软雅黑"/>
          <w:sz w:val="24"/>
        </w:rPr>
      </w:pPr>
      <w:r>
        <w:rPr>
          <w:rFonts w:hint="eastAsia" w:ascii="微软雅黑" w:hAnsi="微软雅黑" w:eastAsia="微软雅黑" w:cs="微软雅黑"/>
          <w:sz w:val="24"/>
        </w:rPr>
        <w:t>19、其他相关的文件及规范。</w:t>
      </w:r>
    </w:p>
    <w:p>
      <w:pPr>
        <w:pStyle w:val="86"/>
        <w:ind w:left="560"/>
      </w:pPr>
    </w:p>
    <w:p>
      <w:pPr>
        <w:pStyle w:val="5"/>
        <w:numPr>
          <w:ilvl w:val="1"/>
          <w:numId w:val="0"/>
        </w:numPr>
        <w:spacing w:before="0" w:after="0"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标项一：湖州交接考核断面质控升级改造项目</w:t>
      </w:r>
    </w:p>
    <w:p>
      <w:pPr>
        <w:pStyle w:val="5"/>
        <w:spacing w:line="400" w:lineRule="exact"/>
        <w:ind w:left="425"/>
        <w:rPr>
          <w:rFonts w:ascii="微软雅黑" w:hAnsi="微软雅黑" w:eastAsia="微软雅黑" w:cs="微软雅黑"/>
          <w:sz w:val="24"/>
          <w:szCs w:val="24"/>
        </w:rPr>
      </w:pPr>
      <w:r>
        <w:rPr>
          <w:rFonts w:hint="eastAsia" w:ascii="微软雅黑" w:hAnsi="微软雅黑" w:eastAsia="微软雅黑" w:cs="微软雅黑"/>
          <w:sz w:val="24"/>
          <w:szCs w:val="24"/>
        </w:rPr>
        <w:t>项目具体点位情况</w:t>
      </w:r>
    </w:p>
    <w:p>
      <w:pPr>
        <w:rPr>
          <w:rFonts w:eastAsia="微软雅黑"/>
        </w:rPr>
      </w:pPr>
      <w:r>
        <w:rPr>
          <w:rFonts w:hint="eastAsia" w:ascii="微软雅黑" w:hAnsi="微软雅黑" w:eastAsia="微软雅黑" w:cs="微软雅黑"/>
          <w:sz w:val="24"/>
        </w:rPr>
        <w:t>采购设备清单</w:t>
      </w:r>
    </w:p>
    <w:tbl>
      <w:tblPr>
        <w:tblStyle w:val="38"/>
        <w:tblW w:w="4441" w:type="pct"/>
        <w:jc w:val="center"/>
        <w:tblLayout w:type="autofit"/>
        <w:tblCellMar>
          <w:top w:w="0" w:type="dxa"/>
          <w:left w:w="108" w:type="dxa"/>
          <w:bottom w:w="0" w:type="dxa"/>
          <w:right w:w="108" w:type="dxa"/>
        </w:tblCellMar>
      </w:tblPr>
      <w:tblGrid>
        <w:gridCol w:w="911"/>
        <w:gridCol w:w="4295"/>
        <w:gridCol w:w="1100"/>
        <w:gridCol w:w="942"/>
        <w:gridCol w:w="1249"/>
      </w:tblGrid>
      <w:tr>
        <w:tblPrEx>
          <w:tblCellMar>
            <w:top w:w="0" w:type="dxa"/>
            <w:left w:w="108" w:type="dxa"/>
            <w:bottom w:w="0" w:type="dxa"/>
            <w:right w:w="108" w:type="dxa"/>
          </w:tblCellMar>
        </w:tblPrEx>
        <w:trPr>
          <w:trHeight w:val="816" w:hRule="atLeast"/>
          <w:jc w:val="center"/>
        </w:trPr>
        <w:tc>
          <w:tcPr>
            <w:tcW w:w="5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序号</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设备名称</w:t>
            </w: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技术参数</w:t>
            </w:r>
          </w:p>
        </w:tc>
        <w:tc>
          <w:tcPr>
            <w:tcW w:w="5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数量</w:t>
            </w:r>
          </w:p>
        </w:tc>
        <w:tc>
          <w:tcPr>
            <w:tcW w:w="7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单位</w:t>
            </w:r>
          </w:p>
        </w:tc>
      </w:tr>
      <w:tr>
        <w:tblPrEx>
          <w:tblCellMar>
            <w:top w:w="0" w:type="dxa"/>
            <w:left w:w="108" w:type="dxa"/>
            <w:bottom w:w="0" w:type="dxa"/>
            <w:right w:w="108" w:type="dxa"/>
          </w:tblCellMar>
        </w:tblPrEx>
        <w:trPr>
          <w:trHeight w:val="558" w:hRule="atLeast"/>
          <w:jc w:val="center"/>
        </w:trPr>
        <w:tc>
          <w:tcPr>
            <w:tcW w:w="5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系统集成（控制单元、配水单元改造）</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sz w:val="24"/>
              </w:rPr>
              <w:t>详见技术参数要求</w:t>
            </w:r>
          </w:p>
        </w:tc>
        <w:tc>
          <w:tcPr>
            <w:tcW w:w="5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7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58" w:hRule="atLeast"/>
          <w:jc w:val="center"/>
        </w:trPr>
        <w:tc>
          <w:tcPr>
            <w:tcW w:w="5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增加氨氮质控模块</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7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58" w:hRule="atLeast"/>
          <w:jc w:val="center"/>
        </w:trPr>
        <w:tc>
          <w:tcPr>
            <w:tcW w:w="5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
                <w:sz w:val="24"/>
              </w:rPr>
              <w:t>增加总磷质控模块（核心产品）</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7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58" w:hRule="atLeast"/>
          <w:jc w:val="center"/>
        </w:trPr>
        <w:tc>
          <w:tcPr>
            <w:tcW w:w="5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增加总氮质控模块</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7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68" w:hRule="atLeast"/>
          <w:jc w:val="center"/>
        </w:trPr>
        <w:tc>
          <w:tcPr>
            <w:tcW w:w="5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增加高锰酸盐指数质控模块</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7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bl>
    <w:p>
      <w:pPr>
        <w:rPr>
          <w:vanish/>
        </w:rPr>
      </w:pPr>
    </w:p>
    <w:p>
      <w:pPr>
        <w:pStyle w:val="6"/>
        <w:widowControl w:val="0"/>
        <w:numPr>
          <w:ilvl w:val="2"/>
          <w:numId w:val="0"/>
        </w:numPr>
        <w:spacing w:before="0" w:after="0" w:line="400" w:lineRule="exact"/>
        <w:jc w:val="both"/>
        <w:rPr>
          <w:rFonts w:ascii="微软雅黑" w:hAnsi="微软雅黑" w:eastAsia="微软雅黑" w:cs="微软雅黑"/>
          <w:sz w:val="24"/>
          <w:szCs w:val="24"/>
        </w:rPr>
      </w:pPr>
    </w:p>
    <w:tbl>
      <w:tblPr>
        <w:tblStyle w:val="38"/>
        <w:tblW w:w="488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3"/>
        <w:gridCol w:w="1910"/>
        <w:gridCol w:w="2257"/>
        <w:gridCol w:w="4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5000" w:type="pct"/>
            <w:gridSpan w:val="4"/>
            <w:vAlign w:val="center"/>
          </w:tcPr>
          <w:p>
            <w:pPr>
              <w:spacing w:line="400" w:lineRule="exact"/>
              <w:jc w:val="left"/>
              <w:rPr>
                <w:rFonts w:ascii="微软雅黑" w:hAnsi="微软雅黑" w:eastAsia="微软雅黑" w:cs="微软雅黑"/>
                <w:sz w:val="24"/>
              </w:rPr>
            </w:pPr>
            <w:r>
              <w:rPr>
                <w:rFonts w:hint="eastAsia" w:ascii="微软雅黑" w:hAnsi="微软雅黑" w:eastAsia="微软雅黑" w:cs="微软雅黑"/>
                <w:b/>
                <w:bCs/>
                <w:sz w:val="24"/>
              </w:rPr>
              <w:t>改造站点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序号</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站点名称</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水系</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交界区域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八字桥</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苕溪</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长兴县—湖州市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古溇港</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湖州河网</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浙江—江苏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幻溇</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湖州河网</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浙江—江苏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武林头</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京杭运河</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余杭区—德清县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荷花坟</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京杭运河</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余杭区—德清县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四通桥</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京杭运河</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余杭区—德清县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7</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吴山</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苕溪</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安吉县—长兴县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90"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104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东村桥</w:t>
            </w:r>
          </w:p>
        </w:tc>
        <w:tc>
          <w:tcPr>
            <w:tcW w:w="123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长兴平原河网</w:t>
            </w:r>
          </w:p>
        </w:tc>
        <w:tc>
          <w:tcPr>
            <w:tcW w:w="233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安徽—浙江（长兴县）</w:t>
            </w:r>
          </w:p>
        </w:tc>
      </w:tr>
    </w:tbl>
    <w:p>
      <w:pPr>
        <w:pStyle w:val="20"/>
      </w:pPr>
    </w:p>
    <w:p>
      <w:pPr>
        <w:pStyle w:val="20"/>
      </w:pPr>
      <w:bookmarkStart w:id="13" w:name="_Toc502229143"/>
      <w:bookmarkStart w:id="14" w:name="_Toc505252681"/>
      <w:bookmarkStart w:id="15" w:name="_Toc504040673"/>
      <w:bookmarkStart w:id="16" w:name="_Toc502007582"/>
      <w:bookmarkStart w:id="17" w:name="_Toc505184832"/>
    </w:p>
    <w:p>
      <w:pPr>
        <w:pStyle w:val="6"/>
        <w:widowControl w:val="0"/>
        <w:spacing w:before="0" w:after="0" w:line="400" w:lineRule="exact"/>
        <w:ind w:left="0" w:firstLine="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1 </w:t>
      </w:r>
      <w:r>
        <w:rPr>
          <w:rFonts w:hint="eastAsia" w:ascii="微软雅黑" w:hAnsi="微软雅黑" w:eastAsia="微软雅黑" w:cs="微软雅黑"/>
          <w:bCs/>
          <w:kern w:val="44"/>
          <w:sz w:val="24"/>
          <w:szCs w:val="24"/>
        </w:rPr>
        <w:t>项目技术要求</w:t>
      </w:r>
    </w:p>
    <w:p>
      <w:pPr>
        <w:pStyle w:val="7"/>
        <w:widowControl w:val="0"/>
        <w:spacing w:before="0" w:after="0" w:line="400" w:lineRule="exact"/>
        <w:jc w:val="left"/>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1.1升级改造基本要求</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依据《浙江省环境质量自动监测智能化建设项目》初步设计方案，按照生态环境部统一技术要求，对原有省控断面水站升级改造后，实现监测数据、质控数据的自动采集和上报，并实现相应的反控；具备高锰酸盐指数、氨氮、总磷、总氮自动监测仪24小时零点漂移、24 小时量程漂移、自动核查、平行样测试、标样核查、加标回收率测试等质控测试功能。</w:t>
      </w:r>
    </w:p>
    <w:p>
      <w:pPr>
        <w:pStyle w:val="7"/>
        <w:widowControl w:val="0"/>
        <w:spacing w:before="0" w:after="0" w:line="400" w:lineRule="exact"/>
        <w:jc w:val="left"/>
        <w:rPr>
          <w:rFonts w:ascii="微软雅黑" w:hAnsi="微软雅黑" w:eastAsia="微软雅黑" w:cs="微软雅黑"/>
          <w:sz w:val="24"/>
          <w:szCs w:val="24"/>
        </w:rPr>
      </w:pPr>
      <w:bookmarkStart w:id="18" w:name="_Toc504940939"/>
      <w:bookmarkStart w:id="19" w:name="_Toc505184827"/>
      <w:bookmarkStart w:id="20" w:name="_Toc505252676"/>
      <w:r>
        <w:rPr>
          <w:rFonts w:hint="eastAsia" w:ascii="微软雅黑" w:hAnsi="微软雅黑" w:eastAsia="微软雅黑" w:cs="微软雅黑"/>
          <w:sz w:val="24"/>
          <w:szCs w:val="24"/>
        </w:rPr>
        <w:t>1.2</w:t>
      </w:r>
      <w:bookmarkEnd w:id="18"/>
      <w:bookmarkEnd w:id="19"/>
      <w:bookmarkEnd w:id="20"/>
      <w:r>
        <w:rPr>
          <w:rFonts w:hint="eastAsia" w:ascii="微软雅黑" w:hAnsi="微软雅黑" w:eastAsia="微软雅黑" w:cs="微软雅黑"/>
          <w:sz w:val="24"/>
          <w:szCs w:val="24"/>
        </w:rPr>
        <w:t>质控单元技术指标要求</w:t>
      </w:r>
    </w:p>
    <w:p>
      <w:pPr>
        <w:spacing w:beforeLines="50" w:line="400" w:lineRule="exact"/>
        <w:ind w:firstLine="480" w:firstLineChars="200"/>
        <w:rPr>
          <w:rFonts w:ascii="微软雅黑" w:hAnsi="微软雅黑" w:eastAsia="微软雅黑" w:cs="微软雅黑"/>
          <w:b/>
          <w:bCs/>
          <w:sz w:val="24"/>
        </w:rPr>
      </w:pPr>
      <w:bookmarkStart w:id="21" w:name="_Toc505184828"/>
      <w:bookmarkStart w:id="22" w:name="_Toc504940940"/>
      <w:bookmarkStart w:id="23" w:name="_Toc505252677"/>
      <w:r>
        <w:rPr>
          <w:rFonts w:hint="eastAsia" w:ascii="微软雅黑" w:hAnsi="微软雅黑" w:eastAsia="微软雅黑" w:cs="微软雅黑"/>
          <w:b/>
          <w:bCs/>
          <w:sz w:val="24"/>
        </w:rPr>
        <w:t>1.2.1氨氮质控</w:t>
      </w:r>
    </w:p>
    <w:tbl>
      <w:tblPr>
        <w:tblStyle w:val="3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24小时零点漂移</w:t>
            </w:r>
          </w:p>
        </w:tc>
        <w:tc>
          <w:tcPr>
            <w:tcW w:w="662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24小时量程漂移</w:t>
            </w:r>
          </w:p>
        </w:tc>
        <w:tc>
          <w:tcPr>
            <w:tcW w:w="662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标样核查</w:t>
            </w:r>
          </w:p>
        </w:tc>
        <w:tc>
          <w:tcPr>
            <w:tcW w:w="662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加标回收率</w:t>
            </w:r>
          </w:p>
        </w:tc>
        <w:tc>
          <w:tcPr>
            <w:tcW w:w="662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1.2.2高锰酸盐指数质控</w:t>
      </w:r>
    </w:p>
    <w:tbl>
      <w:tblPr>
        <w:tblStyle w:val="3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24小时零点漂移</w:t>
            </w:r>
          </w:p>
        </w:tc>
        <w:tc>
          <w:tcPr>
            <w:tcW w:w="66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24小时量程漂移</w:t>
            </w:r>
          </w:p>
        </w:tc>
        <w:tc>
          <w:tcPr>
            <w:tcW w:w="66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标样核查</w:t>
            </w:r>
          </w:p>
        </w:tc>
        <w:tc>
          <w:tcPr>
            <w:tcW w:w="66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加标回收率</w:t>
            </w:r>
          </w:p>
        </w:tc>
        <w:tc>
          <w:tcPr>
            <w:tcW w:w="66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1.2.3总磷质控</w:t>
      </w:r>
    </w:p>
    <w:tbl>
      <w:tblPr>
        <w:tblStyle w:val="38"/>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24小时零点漂移</w:t>
            </w:r>
          </w:p>
        </w:tc>
        <w:tc>
          <w:tcPr>
            <w:tcW w:w="66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24小时量程漂移</w:t>
            </w:r>
          </w:p>
        </w:tc>
        <w:tc>
          <w:tcPr>
            <w:tcW w:w="66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标样核查</w:t>
            </w:r>
          </w:p>
        </w:tc>
        <w:tc>
          <w:tcPr>
            <w:tcW w:w="66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加标回收率</w:t>
            </w:r>
          </w:p>
        </w:tc>
        <w:tc>
          <w:tcPr>
            <w:tcW w:w="66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1.2.4总氮质控</w:t>
      </w:r>
    </w:p>
    <w:tbl>
      <w:tblPr>
        <w:tblStyle w:val="38"/>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6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24小时零点漂移</w:t>
            </w:r>
          </w:p>
        </w:tc>
        <w:tc>
          <w:tcPr>
            <w:tcW w:w="6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24小时量程漂移</w:t>
            </w:r>
          </w:p>
        </w:tc>
        <w:tc>
          <w:tcPr>
            <w:tcW w:w="6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标样核查</w:t>
            </w:r>
          </w:p>
        </w:tc>
        <w:tc>
          <w:tcPr>
            <w:tcW w:w="6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加标回收率</w:t>
            </w:r>
          </w:p>
        </w:tc>
        <w:tc>
          <w:tcPr>
            <w:tcW w:w="6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tabs>
          <w:tab w:val="left" w:pos="525"/>
        </w:tabs>
        <w:spacing w:line="400" w:lineRule="exact"/>
        <w:ind w:firstLine="480" w:firstLineChars="200"/>
        <w:rPr>
          <w:rFonts w:ascii="微软雅黑" w:hAnsi="微软雅黑" w:eastAsia="微软雅黑" w:cs="微软雅黑"/>
          <w:sz w:val="24"/>
        </w:rPr>
      </w:pPr>
    </w:p>
    <w:p>
      <w:pPr>
        <w:pStyle w:val="7"/>
        <w:widowControl w:val="0"/>
        <w:spacing w:before="0" w:after="0"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1.3</w:t>
      </w:r>
      <w:bookmarkEnd w:id="21"/>
      <w:bookmarkEnd w:id="22"/>
      <w:bookmarkEnd w:id="23"/>
      <w:r>
        <w:rPr>
          <w:rFonts w:hint="eastAsia" w:ascii="微软雅黑" w:hAnsi="微软雅黑" w:eastAsia="微软雅黑" w:cs="微软雅黑"/>
          <w:sz w:val="24"/>
          <w:szCs w:val="24"/>
        </w:rPr>
        <w:t>站点改造硬件、数据采集与传输技术指标要求</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（1）具有断电保护功能，能够在断电时保存系统参数和历史数据，在来电时自动恢复系统；</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（2）具备自动采集数据功能，包括自动采集水质自动分析仪器数据、集成控制数据等，采集的数据应自动添加数据标识，异常监测数据能自动识别，并主动上传至中心平台；</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（3）具备单点控制功能，能够对单一控制点（阀、泵等）进行调试；</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（4）具备对自动分析仪器的启停、校时、校准、质控测试等控制功能；</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（5）具备对留样单元的留样、排样的控制功能；</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（6）能够兼容视频监控设备并能实现对视频设备进行校时、重新启动、参数设置、软件升级、远程维护等功能；</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（7）具备参数设置功能，能够对小数位、单位、仪器测定上下限、报警（超标）上下限等参数进行设置；</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（8）具备各仪器监测结果、状态参数、运行流程、报警信息等显示的功能；</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（9）具有监测数据查询、导出、自动备份功能，可分类查询水质周期数据、质控数据（空白测试数据、标样核查数据、加标回收率数据等）及其对应的仪器、系统日志流程信息。</w:t>
      </w:r>
    </w:p>
    <w:p>
      <w:pPr>
        <w:spacing w:line="400" w:lineRule="exact"/>
        <w:ind w:firstLine="480" w:firstLineChars="200"/>
        <w:rPr>
          <w:rFonts w:ascii="微软雅黑" w:hAnsi="微软雅黑" w:eastAsia="微软雅黑" w:cs="微软雅黑"/>
          <w:b/>
          <w:bCs/>
          <w:kern w:val="0"/>
          <w:sz w:val="24"/>
        </w:rPr>
      </w:pPr>
      <w:r>
        <w:rPr>
          <w:rFonts w:hint="eastAsia" w:ascii="微软雅黑" w:hAnsi="微软雅黑" w:eastAsia="微软雅黑" w:cs="微软雅黑"/>
          <w:kern w:val="0"/>
          <w:sz w:val="24"/>
        </w:rPr>
        <w:t>（10）</w:t>
      </w:r>
      <w:r>
        <w:rPr>
          <w:rFonts w:hint="eastAsia" w:ascii="微软雅黑" w:hAnsi="微软雅黑" w:eastAsia="微软雅黑" w:cs="微软雅黑"/>
          <w:b/>
          <w:bCs/>
          <w:kern w:val="0"/>
          <w:sz w:val="24"/>
        </w:rPr>
        <w:t>硬件设备技术参数</w:t>
      </w:r>
    </w:p>
    <w:p>
      <w:pPr>
        <w:spacing w:line="400" w:lineRule="exact"/>
        <w:ind w:firstLine="1201" w:firstLineChars="500"/>
        <w:rPr>
          <w:rFonts w:ascii="微软雅黑" w:hAnsi="微软雅黑" w:eastAsia="微软雅黑" w:cs="微软雅黑"/>
          <w:b/>
          <w:bCs/>
          <w:kern w:val="0"/>
          <w:sz w:val="24"/>
        </w:rPr>
      </w:pPr>
      <w:r>
        <w:rPr>
          <w:rFonts w:hint="eastAsia" w:ascii="微软雅黑" w:hAnsi="微软雅黑" w:eastAsia="微软雅黑" w:cs="微软雅黑"/>
          <w:b/>
          <w:bCs/>
          <w:kern w:val="0"/>
          <w:sz w:val="24"/>
        </w:rPr>
        <w:t>工业控制计算机</w:t>
      </w:r>
    </w:p>
    <w:tbl>
      <w:tblPr>
        <w:tblStyle w:val="38"/>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指标名称</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CPU</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内存</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硬盘容量</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≥500GB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显示器</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≥12英寸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5</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通讯接口</w:t>
            </w:r>
          </w:p>
        </w:tc>
        <w:tc>
          <w:tcPr>
            <w:tcW w:w="541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RS232/485 COM口，不小于8个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kern w:val="0"/>
                <w:sz w:val="24"/>
              </w:rPr>
            </w:pPr>
          </w:p>
        </w:tc>
        <w:tc>
          <w:tcPr>
            <w:tcW w:w="541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网口，不少于2个</w:t>
            </w:r>
          </w:p>
        </w:tc>
      </w:tr>
    </w:tbl>
    <w:p>
      <w:pPr>
        <w:spacing w:line="400" w:lineRule="exact"/>
        <w:ind w:firstLine="1114" w:firstLineChars="464"/>
        <w:rPr>
          <w:rFonts w:ascii="微软雅黑" w:hAnsi="微软雅黑" w:eastAsia="微软雅黑" w:cs="微软雅黑"/>
          <w:b/>
          <w:bCs/>
          <w:kern w:val="0"/>
          <w:sz w:val="24"/>
        </w:rPr>
      </w:pPr>
      <w:r>
        <w:rPr>
          <w:rFonts w:hint="eastAsia" w:ascii="微软雅黑" w:hAnsi="微软雅黑" w:eastAsia="微软雅黑" w:cs="微软雅黑"/>
          <w:b/>
          <w:bCs/>
          <w:kern w:val="0"/>
          <w:sz w:val="24"/>
        </w:rPr>
        <w:t>可编程控制器</w:t>
      </w:r>
    </w:p>
    <w:tbl>
      <w:tblPr>
        <w:tblStyle w:val="38"/>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4"/>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指标名称</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扩展能力</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控制器输入输出接口满足需求且余量不少于4路，以便以后扩展。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防雷抗干扰能力</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符合抗电磁辐射、电磁感应的相关规定，具备电源隔离和信号隔离措施。</w:t>
            </w:r>
          </w:p>
        </w:tc>
      </w:tr>
    </w:tbl>
    <w:p>
      <w:pPr>
        <w:pStyle w:val="8"/>
        <w:widowControl w:val="0"/>
        <w:spacing w:before="0" w:after="0" w:line="400" w:lineRule="exact"/>
        <w:ind w:left="420" w:firstLine="0"/>
        <w:rPr>
          <w:rFonts w:ascii="微软雅黑" w:hAnsi="微软雅黑" w:eastAsia="微软雅黑" w:cs="微软雅黑"/>
          <w:b w:val="0"/>
          <w:kern w:val="2"/>
          <w:szCs w:val="24"/>
        </w:rPr>
      </w:pPr>
      <w:bookmarkStart w:id="24" w:name="_Toc502229142"/>
      <w:r>
        <w:rPr>
          <w:rFonts w:hint="eastAsia" w:ascii="微软雅黑" w:hAnsi="微软雅黑" w:eastAsia="微软雅黑" w:cs="微软雅黑"/>
          <w:b w:val="0"/>
          <w:bCs w:val="0"/>
          <w:sz w:val="24"/>
          <w:szCs w:val="24"/>
        </w:rPr>
        <w:t>（11）数据采集与传输</w:t>
      </w:r>
      <w:bookmarkEnd w:id="24"/>
      <w:r>
        <w:rPr>
          <w:rFonts w:hint="eastAsia" w:ascii="微软雅黑" w:hAnsi="微软雅黑" w:eastAsia="微软雅黑" w:cs="微软雅黑"/>
          <w:b w:val="0"/>
          <w:bCs w:val="0"/>
          <w:sz w:val="24"/>
          <w:szCs w:val="24"/>
        </w:rPr>
        <w:t>要求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数据采集与存储</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（a）采集自动分析仪器的监测数据，并分类保存；</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（b）采集自动分析仪器和集成系统各单元的工作状态量，并以运行日志的形式记录保存；</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（c）能够实时采集视频信息并传输至中心平台；</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（d）断电后能自动保存历史数据和参数设置。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数据传输与通讯</w:t>
      </w:r>
    </w:p>
    <w:p>
      <w:pPr>
        <w:pStyle w:val="162"/>
        <w:spacing w:line="400" w:lineRule="exact"/>
        <w:ind w:left="420" w:firstLine="0" w:firstLineChars="0"/>
        <w:contextualSpacing/>
        <w:rPr>
          <w:rFonts w:ascii="微软雅黑" w:hAnsi="微软雅黑" w:eastAsia="微软雅黑" w:cs="微软雅黑"/>
          <w:kern w:val="0"/>
          <w:sz w:val="24"/>
        </w:rPr>
      </w:pPr>
      <w:r>
        <w:rPr>
          <w:rFonts w:hint="eastAsia" w:ascii="微软雅黑" w:hAnsi="微软雅黑" w:eastAsia="微软雅黑" w:cs="微软雅黑"/>
          <w:kern w:val="0"/>
          <w:sz w:val="24"/>
        </w:rPr>
        <w:t>（a）采用无线、有线的通讯方式满足数据传输要求；</w:t>
      </w:r>
    </w:p>
    <w:p>
      <w:pPr>
        <w:pStyle w:val="162"/>
        <w:spacing w:line="400" w:lineRule="exact"/>
        <w:ind w:left="420" w:firstLine="0" w:firstLineChars="0"/>
        <w:contextualSpacing/>
        <w:rPr>
          <w:rFonts w:ascii="微软雅黑" w:hAnsi="微软雅黑" w:eastAsia="微软雅黑" w:cs="微软雅黑"/>
          <w:kern w:val="0"/>
          <w:sz w:val="24"/>
        </w:rPr>
      </w:pPr>
      <w:r>
        <w:rPr>
          <w:rFonts w:hint="eastAsia" w:ascii="微软雅黑" w:hAnsi="微软雅黑" w:eastAsia="微软雅黑" w:cs="微软雅黑"/>
          <w:kern w:val="0"/>
          <w:sz w:val="24"/>
        </w:rPr>
        <w:t>（b）具备对通信链路的自动诊断功能，具备超时补发功能。</w:t>
      </w:r>
    </w:p>
    <w:p>
      <w:pPr>
        <w:pStyle w:val="7"/>
        <w:widowControl w:val="0"/>
        <w:spacing w:before="0" w:after="0" w:line="400" w:lineRule="exact"/>
        <w:jc w:val="left"/>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1.4站点改造配水要求</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可对配水单元进行改造，调整配水管路及控制逻辑，确保功能满足要求的同时，不会对水样水质造成影响；管路内径、压力、流量、流速满足仪器分析需要，并留有余量。</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通过配水流路改造，将现有仪器配水串联流路改造升级为并联管路，确保任何一台仪表预处理故障均不会影响到其他仪表的正常工作。</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针对性、定制化的仪表样品杯，系统运行时，五参数测量原水不经预处理，原水增压泵将沉砂池内经初步沉砂处理的水样输送到各个仪表的样品杯内，仪表再从各自样品杯内采样进行分析。</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对配水管路的原水管路、清洗管路、排水管路改造预留管路接口，方便系统日后增加不少于4台分析仪表用以仪表预处理模块相应接口连接，同时对配水系统的原水和清水增压泵的扬程、流量，空压机的出气量改造做容量上的预留，保证能满足后期增加不少于4台分析仪表系统对辅助设备的要求。原水管路预留水样比对实验用的手动取水口。</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针对性地设计预处理旁路系统，运用相应的预处理装置，将水体中大颗粒物处理后再进行精密过滤。并具备自动切换预处理系统工作功能，在浊度影响较大的情况下对数据分析不会产生偏差。</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增加串口通讯卡及PLC扩展模块确保冗余不少于四路。</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为使水站的采、配水单元能长期无故障运行，针对地表水水质工况和水站系统的特点设计水站清洗系统，清洗系统清洗范围包含了采水单元清洗、配水单元清洗、五参数单元清洗、仪表预处理单元清洗等，清洗内容包含水气混合清洗。通过对各单元的采水管路和相关器件进行水气清洗，能确保监测系统测量的准确性和系统长期正常运行。</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水气混合清洗采用专用增压泵加压后的清洗水和配置的无油空压机产生的高压压缩空气混合，实现对外围采水管路、控制阀、室内管路、沉砂池、五参数测量池、仪表样品杯等脉冲式高压气泡清洗，可将管壁附着的泥沙、藻类等杂质高效清洗，所有清洗功能均可通过上位机软件程序的设计，并通过PLC控制系统实现周期或定点清洗，也可通过现场或者远程进行手动或自动控制。</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系统清洗系统总体设计采用了主管路串联、设备清洗管路并联方式，外围采水双管路、沉砂池、沉砂池出水过滤器、五参数测量池、仪表样品杯等清洗对象均从清洗主管路分支出单独一路，并配置单独的手动球阀和电磁阀实现自动控制清洗。</w:t>
      </w:r>
    </w:p>
    <w:p>
      <w:pPr>
        <w:pStyle w:val="6"/>
        <w:widowControl w:val="0"/>
        <w:spacing w:before="0" w:after="0" w:line="400" w:lineRule="exact"/>
        <w:ind w:left="0" w:firstLine="0"/>
        <w:rPr>
          <w:rFonts w:ascii="微软雅黑" w:hAnsi="微软雅黑" w:eastAsia="微软雅黑" w:cs="微软雅黑"/>
          <w:sz w:val="24"/>
          <w:szCs w:val="24"/>
        </w:rPr>
      </w:pPr>
    </w:p>
    <w:p>
      <w:pPr>
        <w:pStyle w:val="6"/>
        <w:widowControl w:val="0"/>
        <w:spacing w:before="0" w:after="0" w:line="400" w:lineRule="exact"/>
        <w:ind w:left="0" w:firstLine="0"/>
        <w:jc w:val="left"/>
        <w:rPr>
          <w:rFonts w:ascii="微软雅黑" w:hAnsi="微软雅黑" w:eastAsia="微软雅黑" w:cs="微软雅黑"/>
          <w:sz w:val="24"/>
          <w:szCs w:val="24"/>
        </w:rPr>
      </w:pPr>
      <w:r>
        <w:rPr>
          <w:rFonts w:hint="eastAsia" w:ascii="微软雅黑" w:hAnsi="微软雅黑" w:eastAsia="微软雅黑" w:cs="微软雅黑"/>
          <w:sz w:val="24"/>
          <w:szCs w:val="24"/>
        </w:rPr>
        <w:t>2、试运行及验收</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中标单位负责系统从安装、调试、试运行到验收合格前的全部运行维护工作，所有费用应包括在投标总价中，业主不负责系统的运行维护。</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（1）性能检测与检验</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中标人应提供设备的有效检验文件，经业主认可后，与合同的性能指标一起作为设备验收标准，中标人在试运行前，应当对所交付的项目进行性能检测，以确认交付项目符合本合同的规定。业主可对系统设备进行复检和性能测试，投标人应派出有经验的，高水平的技术人员协助此项工作，复检时如发现有缺陷，中标人应立即改进此项缺陷，并再次进行检测和评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（2）调试及试运行</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设备到达后，中标人应在收到业主通知后，派出相关技术人员前往项目实施所在地进行安装调试。人数、技术级别、服务内容及调试时间应在投标文件中详细说明。</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试运行期间，中标人应做好自动数据的人工比对实验以及系统功能检测，其性能指标应该符合本项目的要求。</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（3）验收</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系统试运行完成后，中标人以书面形式向业主提交验收报告及验收申请，业主审核同意后组织验收以验收会形式进行验收，费用计入报价中。业主只接收验收合格的系统。</w:t>
      </w:r>
    </w:p>
    <w:p>
      <w:pPr>
        <w:pStyle w:val="20"/>
      </w:pPr>
    </w:p>
    <w:p>
      <w:pPr>
        <w:pStyle w:val="54"/>
      </w:pPr>
    </w:p>
    <w:p>
      <w:pPr>
        <w:pStyle w:val="54"/>
      </w:pPr>
    </w:p>
    <w:bookmarkEnd w:id="13"/>
    <w:bookmarkEnd w:id="14"/>
    <w:bookmarkEnd w:id="15"/>
    <w:bookmarkEnd w:id="16"/>
    <w:bookmarkEnd w:id="17"/>
    <w:p>
      <w:pPr>
        <w:pStyle w:val="5"/>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标项二：饮用水水源水质监测站仪器升级改造项目</w:t>
      </w:r>
    </w:p>
    <w:p>
      <w:pPr>
        <w:pStyle w:val="5"/>
        <w:spacing w:line="400" w:lineRule="exact"/>
        <w:ind w:left="425"/>
        <w:rPr>
          <w:rFonts w:ascii="微软雅黑" w:hAnsi="微软雅黑" w:eastAsia="微软雅黑" w:cs="微软雅黑"/>
          <w:sz w:val="24"/>
          <w:szCs w:val="24"/>
        </w:rPr>
      </w:pPr>
      <w:r>
        <w:rPr>
          <w:rFonts w:hint="eastAsia" w:ascii="微软雅黑" w:hAnsi="微软雅黑" w:eastAsia="微软雅黑" w:cs="微软雅黑"/>
          <w:sz w:val="24"/>
          <w:szCs w:val="24"/>
        </w:rPr>
        <w:t>项目具体点位情况</w:t>
      </w:r>
    </w:p>
    <w:tbl>
      <w:tblPr>
        <w:tblStyle w:val="38"/>
        <w:tblW w:w="972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705"/>
        <w:gridCol w:w="1998"/>
        <w:gridCol w:w="142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21" w:type="dxa"/>
            <w:gridSpan w:val="5"/>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采购设备清单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8"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序号</w:t>
            </w:r>
          </w:p>
        </w:tc>
        <w:tc>
          <w:tcPr>
            <w:tcW w:w="3705"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设备名称</w:t>
            </w:r>
          </w:p>
        </w:tc>
        <w:tc>
          <w:tcPr>
            <w:tcW w:w="1998"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技术参数</w:t>
            </w:r>
          </w:p>
        </w:tc>
        <w:tc>
          <w:tcPr>
            <w:tcW w:w="1427"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数量</w:t>
            </w:r>
          </w:p>
        </w:tc>
        <w:tc>
          <w:tcPr>
            <w:tcW w:w="1783"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8"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3705"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Cs/>
                <w:sz w:val="24"/>
              </w:rPr>
              <w:t>藻类自动分析仪</w:t>
            </w:r>
          </w:p>
        </w:tc>
        <w:tc>
          <w:tcPr>
            <w:tcW w:w="1998" w:type="dxa"/>
            <w:vMerge w:val="restart"/>
            <w:vAlign w:val="center"/>
          </w:tcPr>
          <w:p>
            <w:pPr>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sz w:val="24"/>
              </w:rPr>
              <w:t>详见技术参数要求</w:t>
            </w:r>
          </w:p>
        </w:tc>
        <w:tc>
          <w:tcPr>
            <w:tcW w:w="1427"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sz w:val="24"/>
              </w:rPr>
              <w:t>1</w:t>
            </w:r>
          </w:p>
        </w:tc>
        <w:tc>
          <w:tcPr>
            <w:tcW w:w="1783" w:type="dxa"/>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8"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3705" w:type="dxa"/>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五参水质自动数分析仪</w:t>
            </w:r>
          </w:p>
        </w:tc>
        <w:tc>
          <w:tcPr>
            <w:tcW w:w="1998" w:type="dxa"/>
            <w:vMerge w:val="continue"/>
            <w:vAlign w:val="center"/>
          </w:tcPr>
          <w:p>
            <w:pPr>
              <w:adjustRightInd w:val="0"/>
              <w:snapToGrid w:val="0"/>
              <w:spacing w:line="400" w:lineRule="exact"/>
              <w:jc w:val="center"/>
              <w:rPr>
                <w:rFonts w:ascii="微软雅黑" w:hAnsi="微软雅黑" w:eastAsia="微软雅黑" w:cs="微软雅黑"/>
                <w:b/>
                <w:bCs/>
                <w:sz w:val="24"/>
              </w:rPr>
            </w:pPr>
          </w:p>
        </w:tc>
        <w:tc>
          <w:tcPr>
            <w:tcW w:w="1427"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783"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8"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3705" w:type="dxa"/>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高锰酸盐指数水质自动分析仪</w:t>
            </w:r>
          </w:p>
        </w:tc>
        <w:tc>
          <w:tcPr>
            <w:tcW w:w="1998" w:type="dxa"/>
            <w:vMerge w:val="continue"/>
            <w:vAlign w:val="center"/>
          </w:tcPr>
          <w:p>
            <w:pPr>
              <w:widowControl/>
              <w:adjustRightInd w:val="0"/>
              <w:snapToGrid w:val="0"/>
              <w:spacing w:line="400" w:lineRule="exact"/>
              <w:jc w:val="center"/>
              <w:rPr>
                <w:rFonts w:ascii="微软雅黑" w:hAnsi="微软雅黑" w:eastAsia="微软雅黑" w:cs="微软雅黑"/>
                <w:bCs/>
                <w:sz w:val="24"/>
              </w:rPr>
            </w:pPr>
          </w:p>
        </w:tc>
        <w:tc>
          <w:tcPr>
            <w:tcW w:w="1427"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783"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8"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3705" w:type="dxa"/>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
                <w:sz w:val="24"/>
              </w:rPr>
              <w:t>氨氮水质自动分析仪（核心产品）</w:t>
            </w:r>
          </w:p>
        </w:tc>
        <w:tc>
          <w:tcPr>
            <w:tcW w:w="1998" w:type="dxa"/>
            <w:vMerge w:val="continue"/>
            <w:vAlign w:val="center"/>
          </w:tcPr>
          <w:p>
            <w:pPr>
              <w:widowControl/>
              <w:adjustRightInd w:val="0"/>
              <w:snapToGrid w:val="0"/>
              <w:spacing w:line="400" w:lineRule="exact"/>
              <w:jc w:val="center"/>
              <w:rPr>
                <w:rFonts w:ascii="微软雅黑" w:hAnsi="微软雅黑" w:eastAsia="微软雅黑" w:cs="微软雅黑"/>
                <w:bCs/>
                <w:sz w:val="24"/>
              </w:rPr>
            </w:pPr>
          </w:p>
        </w:tc>
        <w:tc>
          <w:tcPr>
            <w:tcW w:w="1427"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783"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8"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w:t>
            </w:r>
          </w:p>
        </w:tc>
        <w:tc>
          <w:tcPr>
            <w:tcW w:w="3705" w:type="dxa"/>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总磷水质自动分析仪</w:t>
            </w:r>
          </w:p>
        </w:tc>
        <w:tc>
          <w:tcPr>
            <w:tcW w:w="1998" w:type="dxa"/>
            <w:vMerge w:val="continue"/>
            <w:vAlign w:val="center"/>
          </w:tcPr>
          <w:p>
            <w:pPr>
              <w:widowControl/>
              <w:adjustRightInd w:val="0"/>
              <w:snapToGrid w:val="0"/>
              <w:spacing w:line="400" w:lineRule="exact"/>
              <w:jc w:val="center"/>
              <w:rPr>
                <w:rFonts w:ascii="微软雅黑" w:hAnsi="微软雅黑" w:eastAsia="微软雅黑" w:cs="微软雅黑"/>
                <w:bCs/>
                <w:sz w:val="24"/>
              </w:rPr>
            </w:pPr>
          </w:p>
        </w:tc>
        <w:tc>
          <w:tcPr>
            <w:tcW w:w="1427"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783"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08"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3705" w:type="dxa"/>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总氮水质自动分析仪</w:t>
            </w:r>
          </w:p>
        </w:tc>
        <w:tc>
          <w:tcPr>
            <w:tcW w:w="1998" w:type="dxa"/>
            <w:vMerge w:val="continue"/>
            <w:vAlign w:val="center"/>
          </w:tcPr>
          <w:p>
            <w:pPr>
              <w:widowControl/>
              <w:adjustRightInd w:val="0"/>
              <w:snapToGrid w:val="0"/>
              <w:spacing w:line="400" w:lineRule="exact"/>
              <w:jc w:val="center"/>
              <w:rPr>
                <w:rFonts w:ascii="微软雅黑" w:hAnsi="微软雅黑" w:eastAsia="微软雅黑" w:cs="微软雅黑"/>
                <w:bCs/>
                <w:sz w:val="24"/>
              </w:rPr>
            </w:pPr>
          </w:p>
        </w:tc>
        <w:tc>
          <w:tcPr>
            <w:tcW w:w="1427"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783" w:type="dxa"/>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08" w:type="dxa"/>
            <w:vAlign w:val="center"/>
          </w:tcPr>
          <w:p>
            <w:pPr>
              <w:widowControl/>
              <w:adjustRightInd w:val="0"/>
              <w:snapToGrid w:val="0"/>
              <w:spacing w:line="400" w:lineRule="exact"/>
              <w:jc w:val="left"/>
              <w:rPr>
                <w:rFonts w:ascii="微软雅黑" w:hAnsi="微软雅黑" w:eastAsia="微软雅黑" w:cs="微软雅黑"/>
                <w:sz w:val="24"/>
              </w:rPr>
            </w:pPr>
            <w:r>
              <w:rPr>
                <w:rFonts w:hint="eastAsia" w:ascii="微软雅黑" w:hAnsi="微软雅黑" w:eastAsia="微软雅黑" w:cs="微软雅黑"/>
                <w:sz w:val="24"/>
              </w:rPr>
              <w:t>备注</w:t>
            </w:r>
          </w:p>
        </w:tc>
        <w:tc>
          <w:tcPr>
            <w:tcW w:w="8913" w:type="dxa"/>
            <w:gridSpan w:val="4"/>
            <w:vAlign w:val="center"/>
          </w:tcPr>
          <w:p>
            <w:pPr>
              <w:widowControl/>
              <w:adjustRightInd w:val="0"/>
              <w:snapToGrid w:val="0"/>
              <w:spacing w:line="400" w:lineRule="exact"/>
              <w:jc w:val="left"/>
              <w:rPr>
                <w:rFonts w:ascii="微软雅黑" w:hAnsi="微软雅黑" w:eastAsia="微软雅黑" w:cs="微软雅黑"/>
                <w:sz w:val="24"/>
              </w:rPr>
            </w:pPr>
            <w:r>
              <w:rPr>
                <w:rFonts w:hint="eastAsia" w:ascii="微软雅黑" w:hAnsi="微软雅黑" w:eastAsia="微软雅黑" w:cs="微软雅黑"/>
                <w:sz w:val="24"/>
              </w:rPr>
              <w:t>本项目包括设备及材料的供货、运输装卸、安装调试、验收、售后服务、保险、税费、采购代理费等一切完成本项目所需费用。</w:t>
            </w:r>
          </w:p>
        </w:tc>
      </w:tr>
    </w:tbl>
    <w:p>
      <w:pPr>
        <w:pStyle w:val="20"/>
        <w:spacing w:line="400" w:lineRule="exact"/>
        <w:rPr>
          <w:rFonts w:ascii="微软雅黑" w:hAnsi="微软雅黑" w:eastAsia="微软雅黑" w:cs="微软雅黑"/>
          <w:sz w:val="24"/>
        </w:rPr>
      </w:pPr>
    </w:p>
    <w:tbl>
      <w:tblPr>
        <w:tblStyle w:val="38"/>
        <w:tblW w:w="4775"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2"/>
        <w:gridCol w:w="4312"/>
        <w:gridCol w:w="3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000" w:type="pct"/>
            <w:gridSpan w:val="3"/>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改造站点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43" w:type="pct"/>
            <w:tcBorders>
              <w:bottom w:val="single" w:color="auto" w:sz="4" w:space="0"/>
            </w:tcBorders>
          </w:tcPr>
          <w:p>
            <w:pPr>
              <w:pStyle w:val="157"/>
              <w:spacing w:line="400" w:lineRule="exact"/>
              <w:ind w:left="97" w:right="84"/>
              <w:jc w:val="center"/>
              <w:rPr>
                <w:rFonts w:ascii="微软雅黑" w:hAnsi="微软雅黑" w:eastAsia="微软雅黑" w:cs="微软雅黑"/>
                <w:b/>
                <w:sz w:val="24"/>
              </w:rPr>
            </w:pPr>
            <w:r>
              <w:rPr>
                <w:rFonts w:hint="eastAsia" w:ascii="微软雅黑" w:hAnsi="微软雅黑" w:eastAsia="微软雅黑" w:cs="微软雅黑"/>
                <w:b/>
                <w:sz w:val="24"/>
              </w:rPr>
              <w:t>序号</w:t>
            </w:r>
          </w:p>
        </w:tc>
        <w:tc>
          <w:tcPr>
            <w:tcW w:w="2412" w:type="pct"/>
          </w:tcPr>
          <w:p>
            <w:pPr>
              <w:pStyle w:val="157"/>
              <w:spacing w:line="400" w:lineRule="exact"/>
              <w:ind w:right="1467"/>
              <w:jc w:val="center"/>
              <w:rPr>
                <w:rFonts w:ascii="微软雅黑" w:hAnsi="微软雅黑" w:eastAsia="微软雅黑" w:cs="微软雅黑"/>
                <w:b/>
                <w:sz w:val="24"/>
              </w:rPr>
            </w:pPr>
            <w:r>
              <w:rPr>
                <w:rFonts w:hint="eastAsia" w:ascii="微软雅黑" w:hAnsi="微软雅黑" w:eastAsia="微软雅黑" w:cs="微软雅黑"/>
                <w:b/>
                <w:sz w:val="24"/>
              </w:rPr>
              <w:t>水源地名称</w:t>
            </w:r>
          </w:p>
        </w:tc>
        <w:tc>
          <w:tcPr>
            <w:tcW w:w="2143" w:type="pct"/>
          </w:tcPr>
          <w:p>
            <w:pPr>
              <w:pStyle w:val="157"/>
              <w:spacing w:line="400" w:lineRule="exact"/>
              <w:ind w:left="97" w:right="84"/>
              <w:rPr>
                <w:rFonts w:ascii="微软雅黑" w:hAnsi="微软雅黑" w:eastAsia="微软雅黑" w:cs="微软雅黑"/>
                <w:b/>
                <w:sz w:val="24"/>
              </w:rPr>
            </w:pPr>
            <w:r>
              <w:rPr>
                <w:rFonts w:hint="eastAsia" w:ascii="微软雅黑" w:hAnsi="微软雅黑" w:eastAsia="微软雅黑" w:cs="微软雅黑"/>
                <w:b/>
                <w:sz w:val="24"/>
              </w:rPr>
              <w:t>市（县、区）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3" w:type="pct"/>
            <w:tcBorders>
              <w:top w:val="single" w:color="auto" w:sz="4" w:space="0"/>
            </w:tcBorders>
          </w:tcPr>
          <w:p>
            <w:pPr>
              <w:pStyle w:val="157"/>
              <w:spacing w:before="48" w:line="400" w:lineRule="exact"/>
              <w:ind w:left="92" w:right="84"/>
              <w:jc w:val="center"/>
              <w:rPr>
                <w:rFonts w:ascii="微软雅黑" w:hAnsi="微软雅黑" w:eastAsia="微软雅黑" w:cs="微软雅黑"/>
                <w:sz w:val="24"/>
              </w:rPr>
            </w:pPr>
            <w:r>
              <w:rPr>
                <w:rFonts w:hint="eastAsia" w:ascii="微软雅黑" w:hAnsi="微软雅黑" w:eastAsia="微软雅黑" w:cs="微软雅黑"/>
                <w:sz w:val="24"/>
                <w:lang w:val="en-US"/>
              </w:rPr>
              <w:t>1</w:t>
            </w:r>
          </w:p>
        </w:tc>
        <w:tc>
          <w:tcPr>
            <w:tcW w:w="2412" w:type="pct"/>
          </w:tcPr>
          <w:p>
            <w:pPr>
              <w:pStyle w:val="157"/>
              <w:spacing w:before="48" w:line="400" w:lineRule="exact"/>
              <w:ind w:right="1472"/>
              <w:jc w:val="center"/>
              <w:rPr>
                <w:rFonts w:ascii="微软雅黑" w:hAnsi="微软雅黑" w:eastAsia="微软雅黑" w:cs="微软雅黑"/>
                <w:sz w:val="24"/>
              </w:rPr>
            </w:pPr>
            <w:r>
              <w:rPr>
                <w:rFonts w:hint="eastAsia" w:ascii="微软雅黑" w:hAnsi="微软雅黑" w:eastAsia="微软雅黑" w:cs="微软雅黑"/>
                <w:sz w:val="24"/>
              </w:rPr>
              <w:t>老虎潭水库</w:t>
            </w:r>
          </w:p>
        </w:tc>
        <w:tc>
          <w:tcPr>
            <w:tcW w:w="2143" w:type="pct"/>
          </w:tcPr>
          <w:p>
            <w:pPr>
              <w:pStyle w:val="157"/>
              <w:spacing w:before="48" w:line="400" w:lineRule="exact"/>
              <w:ind w:left="92" w:right="84"/>
              <w:rPr>
                <w:rFonts w:ascii="微软雅黑" w:hAnsi="微软雅黑" w:eastAsia="微软雅黑" w:cs="微软雅黑"/>
                <w:sz w:val="24"/>
              </w:rPr>
            </w:pPr>
            <w:r>
              <w:rPr>
                <w:rFonts w:hint="eastAsia" w:ascii="微软雅黑" w:hAnsi="微软雅黑" w:eastAsia="微软雅黑" w:cs="微软雅黑"/>
                <w:sz w:val="24"/>
              </w:rPr>
              <w:t>市本级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43" w:type="pct"/>
          </w:tcPr>
          <w:p>
            <w:pPr>
              <w:pStyle w:val="157"/>
              <w:spacing w:before="48" w:line="400" w:lineRule="exact"/>
              <w:ind w:left="92" w:right="84"/>
              <w:jc w:val="center"/>
              <w:rPr>
                <w:rFonts w:ascii="微软雅黑" w:hAnsi="微软雅黑" w:eastAsia="微软雅黑" w:cs="微软雅黑"/>
                <w:sz w:val="24"/>
              </w:rPr>
            </w:pPr>
            <w:r>
              <w:rPr>
                <w:rFonts w:hint="eastAsia" w:ascii="微软雅黑" w:hAnsi="微软雅黑" w:eastAsia="微软雅黑" w:cs="微软雅黑"/>
                <w:sz w:val="24"/>
                <w:lang w:val="en-US"/>
              </w:rPr>
              <w:t>2</w:t>
            </w:r>
          </w:p>
        </w:tc>
        <w:tc>
          <w:tcPr>
            <w:tcW w:w="2412" w:type="pct"/>
          </w:tcPr>
          <w:p>
            <w:pPr>
              <w:pStyle w:val="157"/>
              <w:spacing w:before="48" w:line="400" w:lineRule="exact"/>
              <w:ind w:right="1472"/>
              <w:jc w:val="center"/>
              <w:rPr>
                <w:rFonts w:ascii="微软雅黑" w:hAnsi="微软雅黑" w:eastAsia="微软雅黑" w:cs="微软雅黑"/>
                <w:sz w:val="24"/>
              </w:rPr>
            </w:pPr>
            <w:r>
              <w:rPr>
                <w:rFonts w:hint="eastAsia" w:ascii="微软雅黑" w:hAnsi="微软雅黑" w:eastAsia="微软雅黑" w:cs="微软雅黑"/>
                <w:sz w:val="24"/>
              </w:rPr>
              <w:t>合溪水库</w:t>
            </w:r>
          </w:p>
        </w:tc>
        <w:tc>
          <w:tcPr>
            <w:tcW w:w="2143" w:type="pct"/>
          </w:tcPr>
          <w:p>
            <w:pPr>
              <w:pStyle w:val="157"/>
              <w:spacing w:before="48" w:line="400" w:lineRule="exact"/>
              <w:ind w:left="92" w:right="84"/>
              <w:rPr>
                <w:rFonts w:ascii="微软雅黑" w:hAnsi="微软雅黑" w:eastAsia="微软雅黑" w:cs="微软雅黑"/>
                <w:sz w:val="24"/>
              </w:rPr>
            </w:pPr>
            <w:r>
              <w:rPr>
                <w:rFonts w:hint="eastAsia" w:ascii="微软雅黑" w:hAnsi="微软雅黑" w:eastAsia="微软雅黑" w:cs="微软雅黑"/>
                <w:sz w:val="24"/>
              </w:rPr>
              <w:t>长兴县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43" w:type="pct"/>
          </w:tcPr>
          <w:p>
            <w:pPr>
              <w:pStyle w:val="157"/>
              <w:spacing w:before="50" w:line="400" w:lineRule="exact"/>
              <w:ind w:left="92" w:right="84"/>
              <w:jc w:val="center"/>
              <w:rPr>
                <w:rFonts w:ascii="微软雅黑" w:hAnsi="微软雅黑" w:eastAsia="微软雅黑" w:cs="微软雅黑"/>
                <w:sz w:val="24"/>
              </w:rPr>
            </w:pPr>
            <w:r>
              <w:rPr>
                <w:rFonts w:hint="eastAsia" w:ascii="微软雅黑" w:hAnsi="微软雅黑" w:eastAsia="微软雅黑" w:cs="微软雅黑"/>
                <w:sz w:val="24"/>
                <w:lang w:val="en-US"/>
              </w:rPr>
              <w:t>3</w:t>
            </w:r>
          </w:p>
        </w:tc>
        <w:tc>
          <w:tcPr>
            <w:tcW w:w="2412" w:type="pct"/>
          </w:tcPr>
          <w:p>
            <w:pPr>
              <w:pStyle w:val="157"/>
              <w:spacing w:before="50" w:line="400" w:lineRule="exact"/>
              <w:ind w:right="1472"/>
              <w:jc w:val="center"/>
              <w:rPr>
                <w:rFonts w:ascii="微软雅黑" w:hAnsi="微软雅黑" w:eastAsia="微软雅黑" w:cs="微软雅黑"/>
                <w:sz w:val="24"/>
              </w:rPr>
            </w:pPr>
            <w:r>
              <w:rPr>
                <w:rFonts w:hint="eastAsia" w:ascii="微软雅黑" w:hAnsi="微软雅黑" w:eastAsia="微软雅黑" w:cs="微软雅黑"/>
                <w:sz w:val="24"/>
              </w:rPr>
              <w:t>赋石水库</w:t>
            </w:r>
          </w:p>
        </w:tc>
        <w:tc>
          <w:tcPr>
            <w:tcW w:w="2143" w:type="pct"/>
          </w:tcPr>
          <w:p>
            <w:pPr>
              <w:pStyle w:val="157"/>
              <w:spacing w:before="50" w:line="400" w:lineRule="exact"/>
              <w:ind w:left="92" w:right="84"/>
              <w:rPr>
                <w:rFonts w:ascii="微软雅黑" w:hAnsi="微软雅黑" w:eastAsia="微软雅黑" w:cs="微软雅黑"/>
                <w:sz w:val="24"/>
              </w:rPr>
            </w:pPr>
            <w:r>
              <w:rPr>
                <w:rFonts w:hint="eastAsia" w:ascii="微软雅黑" w:hAnsi="微软雅黑" w:eastAsia="微软雅黑" w:cs="微软雅黑"/>
                <w:sz w:val="24"/>
              </w:rPr>
              <w:t>安吉县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43" w:type="pct"/>
          </w:tcPr>
          <w:p>
            <w:pPr>
              <w:pStyle w:val="157"/>
              <w:spacing w:before="49" w:line="400" w:lineRule="exact"/>
              <w:ind w:left="92" w:right="84"/>
              <w:jc w:val="center"/>
              <w:rPr>
                <w:rFonts w:ascii="微软雅黑" w:hAnsi="微软雅黑" w:eastAsia="微软雅黑" w:cs="微软雅黑"/>
                <w:sz w:val="24"/>
              </w:rPr>
            </w:pPr>
            <w:r>
              <w:rPr>
                <w:rFonts w:hint="eastAsia" w:ascii="微软雅黑" w:hAnsi="微软雅黑" w:eastAsia="微软雅黑" w:cs="微软雅黑"/>
                <w:sz w:val="24"/>
                <w:lang w:val="en-US"/>
              </w:rPr>
              <w:t>4</w:t>
            </w:r>
          </w:p>
        </w:tc>
        <w:tc>
          <w:tcPr>
            <w:tcW w:w="2412" w:type="pct"/>
          </w:tcPr>
          <w:p>
            <w:pPr>
              <w:pStyle w:val="157"/>
              <w:spacing w:before="49" w:line="400" w:lineRule="exact"/>
              <w:ind w:right="1472"/>
              <w:jc w:val="center"/>
              <w:rPr>
                <w:rFonts w:ascii="微软雅黑" w:hAnsi="微软雅黑" w:eastAsia="微软雅黑" w:cs="微软雅黑"/>
                <w:sz w:val="24"/>
              </w:rPr>
            </w:pPr>
            <w:r>
              <w:rPr>
                <w:rFonts w:hint="eastAsia" w:ascii="微软雅黑" w:hAnsi="微软雅黑" w:eastAsia="微软雅黑" w:cs="微软雅黑"/>
                <w:sz w:val="24"/>
              </w:rPr>
              <w:t>对河口水库</w:t>
            </w:r>
          </w:p>
        </w:tc>
        <w:tc>
          <w:tcPr>
            <w:tcW w:w="2143" w:type="pct"/>
          </w:tcPr>
          <w:p>
            <w:pPr>
              <w:pStyle w:val="157"/>
              <w:spacing w:before="49" w:line="400" w:lineRule="exact"/>
              <w:ind w:left="92" w:right="84"/>
              <w:rPr>
                <w:rFonts w:ascii="微软雅黑" w:hAnsi="微软雅黑" w:eastAsia="微软雅黑" w:cs="微软雅黑"/>
                <w:sz w:val="24"/>
              </w:rPr>
            </w:pPr>
            <w:r>
              <w:rPr>
                <w:rFonts w:hint="eastAsia" w:ascii="微软雅黑" w:hAnsi="微软雅黑" w:eastAsia="微软雅黑" w:cs="微软雅黑"/>
                <w:sz w:val="24"/>
              </w:rPr>
              <w:t>德清县</w:t>
            </w:r>
          </w:p>
        </w:tc>
      </w:tr>
    </w:tbl>
    <w:p>
      <w:pPr>
        <w:pStyle w:val="6"/>
        <w:numPr>
          <w:ilvl w:val="0"/>
          <w:numId w:val="12"/>
        </w:numPr>
        <w:spacing w:line="400" w:lineRule="exact"/>
        <w:jc w:val="left"/>
        <w:rPr>
          <w:rFonts w:ascii="微软雅黑" w:hAnsi="微软雅黑" w:eastAsia="微软雅黑" w:cs="微软雅黑"/>
          <w:sz w:val="24"/>
          <w:szCs w:val="24"/>
        </w:rPr>
      </w:pPr>
      <w:r>
        <w:rPr>
          <w:rFonts w:hint="eastAsia" w:ascii="微软雅黑" w:hAnsi="微软雅黑" w:eastAsia="微软雅黑" w:cs="微软雅黑"/>
          <w:kern w:val="44"/>
          <w:sz w:val="24"/>
          <w:szCs w:val="24"/>
        </w:rPr>
        <w:t>项目技术要求</w:t>
      </w:r>
    </w:p>
    <w:p>
      <w:pPr>
        <w:pStyle w:val="7"/>
        <w:numPr>
          <w:ilvl w:val="3"/>
          <w:numId w:val="0"/>
        </w:numPr>
        <w:spacing w:before="0" w:after="0" w:line="400" w:lineRule="exact"/>
        <w:jc w:val="left"/>
        <w:rPr>
          <w:rFonts w:ascii="微软雅黑" w:hAnsi="微软雅黑" w:eastAsia="微软雅黑" w:cs="微软雅黑"/>
          <w:b w:val="0"/>
          <w:sz w:val="24"/>
          <w:szCs w:val="24"/>
        </w:rPr>
      </w:pPr>
      <w:r>
        <w:rPr>
          <w:rFonts w:hint="eastAsia" w:ascii="微软雅黑" w:hAnsi="微软雅黑" w:eastAsia="微软雅黑" w:cs="微软雅黑"/>
          <w:b w:val="0"/>
          <w:sz w:val="24"/>
          <w:szCs w:val="24"/>
        </w:rPr>
        <w:t>1.1升级改造基本要求</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依据《浙江省环境质量自动监测智能化建设项目》初步设计方案，按照生态环境部统一技术要求，对原有饮用水水源水质监测站仪器升级改造后，实现监测数据、质控数据的自动采集和上报，并实现相应的反控；具备高锰酸盐指数、氨氮、总氮、总磷自动监测仪24小时零点漂移、24 小时量程漂移、自动核查、平行样测试、标样核查、加标回收率测试等质控测试功能。</w:t>
      </w:r>
    </w:p>
    <w:p>
      <w:pPr>
        <w:pStyle w:val="7"/>
        <w:numPr>
          <w:ilvl w:val="3"/>
          <w:numId w:val="0"/>
        </w:numPr>
        <w:spacing w:before="0" w:after="0" w:line="400" w:lineRule="exact"/>
        <w:jc w:val="left"/>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1.2自动分析仪技术指标要求</w:t>
      </w:r>
    </w:p>
    <w:p>
      <w:pPr>
        <w:spacing w:beforeLines="50" w:line="400" w:lineRule="exact"/>
        <w:rPr>
          <w:rFonts w:ascii="微软雅黑" w:hAnsi="微软雅黑" w:eastAsia="微软雅黑" w:cs="微软雅黑"/>
          <w:b/>
          <w:bCs/>
          <w:sz w:val="24"/>
        </w:rPr>
      </w:pPr>
      <w:r>
        <w:rPr>
          <w:rFonts w:hint="eastAsia" w:ascii="微软雅黑" w:hAnsi="微软雅黑" w:eastAsia="微软雅黑" w:cs="微软雅黑"/>
          <w:b/>
          <w:bCs/>
          <w:sz w:val="24"/>
        </w:rPr>
        <w:t>1.2.1藻分类水质自动分析仪</w:t>
      </w:r>
    </w:p>
    <w:p>
      <w:pPr>
        <w:pStyle w:val="20"/>
      </w:pPr>
    </w:p>
    <w:tbl>
      <w:tblPr>
        <w:tblStyle w:val="38"/>
        <w:tblW w:w="5016" w:type="pct"/>
        <w:jc w:val="center"/>
        <w:tblLayout w:type="autofit"/>
        <w:tblCellMar>
          <w:top w:w="0" w:type="dxa"/>
          <w:left w:w="0" w:type="dxa"/>
          <w:bottom w:w="0" w:type="dxa"/>
          <w:right w:w="0" w:type="dxa"/>
        </w:tblCellMar>
      </w:tblPr>
      <w:tblGrid>
        <w:gridCol w:w="3142"/>
        <w:gridCol w:w="6248"/>
      </w:tblGrid>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cs="宋体"/>
                <w:b/>
                <w:kern w:val="0"/>
                <w:szCs w:val="21"/>
              </w:rPr>
            </w:pPr>
            <w:r>
              <w:rPr>
                <w:rFonts w:hint="eastAsia" w:ascii="微软雅黑" w:hAnsi="微软雅黑" w:eastAsia="微软雅黑" w:cs="微软雅黑"/>
                <w:b/>
                <w:kern w:val="0"/>
                <w:sz w:val="24"/>
              </w:rPr>
              <w:t>项目</w:t>
            </w:r>
          </w:p>
        </w:tc>
        <w:tc>
          <w:tcPr>
            <w:tcW w:w="3326" w:type="pct"/>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cs="宋体"/>
                <w:b/>
                <w:kern w:val="0"/>
                <w:szCs w:val="21"/>
              </w:rPr>
            </w:pPr>
            <w:r>
              <w:rPr>
                <w:rFonts w:hint="eastAsia" w:ascii="微软雅黑" w:hAnsi="微软雅黑" w:eastAsia="微软雅黑" w:cs="微软雅黑"/>
                <w:b/>
                <w:kern w:val="0"/>
                <w:sz w:val="24"/>
              </w:rPr>
              <w:t>技术指标</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监测参数</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总叶绿素浓度、蓝藻、绿藻、硅甲藻、隐藻、光合作用活性（投标人需提供所投产品的产品彩页、技术参数确认书作为评审依据）。</w:t>
            </w:r>
          </w:p>
        </w:tc>
      </w:tr>
      <w:tr>
        <w:tblPrEx>
          <w:tblCellMar>
            <w:top w:w="0" w:type="dxa"/>
            <w:left w:w="0" w:type="dxa"/>
            <w:bottom w:w="0" w:type="dxa"/>
            <w:right w:w="0" w:type="dxa"/>
          </w:tblCellMar>
        </w:tblPrEx>
        <w:trPr>
          <w:trHeight w:val="395" w:hRule="atLeast"/>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荧光法</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0～200 ug/L</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分辨率</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0.01 ug/L</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测量光源</w:t>
            </w:r>
          </w:p>
        </w:tc>
        <w:tc>
          <w:tcPr>
            <w:tcW w:w="3326" w:type="pct"/>
            <w:tcBorders>
              <w:top w:val="single" w:color="000000" w:sz="4" w:space="0"/>
              <w:left w:val="single" w:color="000000" w:sz="4" w:space="0"/>
              <w:bottom w:val="single" w:color="000000" w:sz="4" w:space="0"/>
              <w:right w:val="single" w:color="000000" w:sz="4" w:space="0"/>
            </w:tcBorders>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370nm, 470nm, 525nm, 570nm, 590nm and 610nm。</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检出限</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0.1 ug/L（单一藻）</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总叶绿素浓度</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能检测绿藻、蓝藻和硅藻/甲藻各自贡献的总叶绿素浓度</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藻密度</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自动估算总藻密度</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清洗方式</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光窗活塞自动清洗</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仪器显示</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配备一体式显示屏及操作系统，可通过显示屏直接查看监测数据。</w:t>
            </w:r>
          </w:p>
        </w:tc>
      </w:tr>
      <w:tr>
        <w:tblPrEx>
          <w:tblCellMar>
            <w:top w:w="0" w:type="dxa"/>
            <w:left w:w="0" w:type="dxa"/>
            <w:bottom w:w="0" w:type="dxa"/>
            <w:right w:w="0" w:type="dxa"/>
          </w:tblCellMar>
        </w:tblPrEx>
        <w:trPr>
          <w:jc w:val="center"/>
        </w:trPr>
        <w:tc>
          <w:tcPr>
            <w:tcW w:w="167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操作软件</w:t>
            </w:r>
          </w:p>
        </w:tc>
        <w:tc>
          <w:tcPr>
            <w:tcW w:w="3326"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配备专用软件，可对仪器参数进行设置。</w:t>
            </w:r>
          </w:p>
        </w:tc>
      </w:tr>
    </w:tbl>
    <w:p>
      <w:pPr>
        <w:spacing w:line="400" w:lineRule="exact"/>
        <w:jc w:val="center"/>
        <w:rPr>
          <w:rFonts w:ascii="微软雅黑" w:hAnsi="微软雅黑" w:eastAsia="微软雅黑" w:cs="微软雅黑"/>
          <w:b/>
          <w:bCs/>
          <w:sz w:val="24"/>
        </w:rPr>
      </w:pP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1.2.2五参数水质自动分析仪</w:t>
      </w:r>
    </w:p>
    <w:p>
      <w:pPr>
        <w:pStyle w:val="20"/>
      </w:pPr>
    </w:p>
    <w:p>
      <w:pPr>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水温水质自动分析仪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50"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954"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sz w:val="24"/>
              </w:rPr>
              <w:t>热电阻或热电偶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0℃～60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准确度</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sz w:val="24"/>
              </w:rPr>
              <w:t>±</w:t>
            </w:r>
            <w:r>
              <w:rPr>
                <w:rFonts w:hint="eastAsia" w:ascii="微软雅黑" w:hAnsi="微软雅黑" w:eastAsia="微软雅黑" w:cs="微软雅黑"/>
                <w:kern w:val="0"/>
                <w:sz w:val="24"/>
              </w:rPr>
              <w:t>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pH水质自动分析仪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45"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954"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pH 0～14 （0～40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漂移（pH=4、7、9）</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 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w:t>
            </w:r>
            <w:r>
              <w:rPr>
                <w:rFonts w:ascii="微软雅黑" w:hAnsi="微软雅黑" w:eastAsia="微软雅黑" w:cs="微软雅黑"/>
                <w:kern w:val="0"/>
                <w:sz w:val="24"/>
              </w:rPr>
              <w:t>1</w:t>
            </w:r>
            <w:r>
              <w:rPr>
                <w:rFonts w:hint="eastAsia" w:ascii="微软雅黑" w:hAnsi="微软雅黑" w:eastAsia="微软雅黑" w:cs="微软雅黑"/>
                <w:kern w:val="0"/>
                <w:sz w:val="24"/>
              </w:rPr>
              <w:t xml:space="preserve"> 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响应时间</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≤30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温度补偿精度</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 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溶解氧水质自动分析仪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2"/>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92"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883"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电化学法、荧光法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0～20 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w:t>
            </w:r>
            <w:r>
              <w:rPr>
                <w:rFonts w:ascii="微软雅黑" w:hAnsi="微软雅黑" w:eastAsia="微软雅黑" w:cs="微软雅黑"/>
                <w:kern w:val="0"/>
                <w:sz w:val="24"/>
              </w:rPr>
              <w:t>3</w:t>
            </w:r>
            <w:r>
              <w:rPr>
                <w:rFonts w:hint="eastAsia" w:ascii="微软雅黑" w:hAnsi="微软雅黑" w:eastAsia="微软雅黑" w:cs="微软雅黑"/>
                <w:kern w:val="0"/>
                <w:sz w:val="24"/>
              </w:rPr>
              <w:t xml:space="preserve">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响应时间（T</w:t>
            </w:r>
            <w:r>
              <w:rPr>
                <w:rFonts w:hint="eastAsia" w:ascii="微软雅黑" w:hAnsi="微软雅黑" w:eastAsia="微软雅黑" w:cs="微软雅黑"/>
                <w:kern w:val="0"/>
                <w:sz w:val="24"/>
                <w:vertAlign w:val="subscript"/>
              </w:rPr>
              <w:t>90</w:t>
            </w:r>
            <w:r>
              <w:rPr>
                <w:rFonts w:hint="eastAsia" w:ascii="微软雅黑" w:hAnsi="微软雅黑" w:eastAsia="微软雅黑" w:cs="微软雅黑"/>
                <w:kern w:val="0"/>
                <w:sz w:val="24"/>
              </w:rPr>
              <w:t>）</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温度补偿精度</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电导率水质自动分析仪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64"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855"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0～500 mS/m （0～40℃），可调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1</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响应时间（T</w:t>
            </w:r>
            <w:r>
              <w:rPr>
                <w:rFonts w:hint="eastAsia" w:ascii="微软雅黑" w:hAnsi="微软雅黑" w:eastAsia="微软雅黑" w:cs="微软雅黑"/>
                <w:kern w:val="0"/>
                <w:sz w:val="24"/>
                <w:vertAlign w:val="subscript"/>
              </w:rPr>
              <w:t>90</w:t>
            </w:r>
            <w:r>
              <w:rPr>
                <w:rFonts w:hint="eastAsia" w:ascii="微软雅黑" w:hAnsi="微软雅黑" w:eastAsia="微软雅黑" w:cs="微软雅黑"/>
                <w:kern w:val="0"/>
                <w:sz w:val="24"/>
              </w:rPr>
              <w:t>）</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温度补偿精度</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浊度水质自动分析仪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6"/>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56"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847"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光散射法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0～1000NTU，可调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5</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线性误差</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line="400" w:lineRule="exact"/>
        <w:rPr>
          <w:rFonts w:ascii="微软雅黑" w:hAnsi="微软雅黑" w:eastAsia="微软雅黑" w:cs="微软雅黑"/>
          <w:b/>
          <w:bCs/>
          <w:sz w:val="24"/>
        </w:rPr>
      </w:pPr>
    </w:p>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1.2.3氨氮水质自动分析仪</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3347"/>
        <w:gridCol w:w="350"/>
        <w:gridCol w:w="1645"/>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30"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6988" w:type="dxa"/>
            <w:gridSpan w:val="4"/>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818" w:type="dxa"/>
            <w:gridSpan w:val="5"/>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纳氏试剂分光光度法、水杨酸分光光度法、氨气敏电极法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量程范围：0～</w:t>
            </w:r>
            <w:r>
              <w:rPr>
                <w:rFonts w:ascii="微软雅黑" w:hAnsi="微软雅黑" w:eastAsia="微软雅黑" w:cs="微软雅黑"/>
                <w:bCs/>
                <w:sz w:val="24"/>
              </w:rPr>
              <w:t>10</w:t>
            </w:r>
            <w:r>
              <w:rPr>
                <w:rFonts w:hint="eastAsia" w:ascii="微软雅黑" w:hAnsi="微软雅黑" w:eastAsia="微软雅黑" w:cs="微软雅黑"/>
                <w:bCs/>
                <w:sz w:val="24"/>
              </w:rPr>
              <w:t>mg/L，可切换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零点漂移</w:t>
            </w:r>
          </w:p>
        </w:tc>
        <w:tc>
          <w:tcPr>
            <w:tcW w:w="6988" w:type="dxa"/>
            <w:gridSpan w:val="4"/>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①≤±0.0</w:t>
            </w:r>
            <w:r>
              <w:rPr>
                <w:rFonts w:ascii="微软雅黑" w:hAnsi="微软雅黑" w:eastAsia="微软雅黑" w:cs="微软雅黑"/>
                <w:b/>
                <w:bCs/>
                <w:kern w:val="0"/>
                <w:sz w:val="24"/>
              </w:rPr>
              <w:t>1</w:t>
            </w:r>
            <w:r>
              <w:rPr>
                <w:rFonts w:hint="eastAsia" w:ascii="微软雅黑" w:hAnsi="微软雅黑" w:eastAsia="微软雅黑" w:cs="微软雅黑"/>
                <w:b/>
                <w:bCs/>
                <w:kern w:val="0"/>
                <w:sz w:val="24"/>
              </w:rPr>
              <w:t xml:space="preserve"> mg/L；②≤±0.02mg/L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量程漂移</w:t>
            </w:r>
          </w:p>
        </w:tc>
        <w:tc>
          <w:tcPr>
            <w:tcW w:w="6988" w:type="dxa"/>
            <w:gridSpan w:val="4"/>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kern w:val="0"/>
                <w:sz w:val="24"/>
              </w:rPr>
              <w:t>0.5</w:t>
            </w:r>
            <w:r>
              <w:rPr>
                <w:rFonts w:hint="eastAsia" w:ascii="微软雅黑" w:hAnsi="微软雅黑" w:eastAsia="微软雅黑" w:cs="微软雅黑"/>
                <w:b/>
                <w:bCs/>
                <w:kern w:val="0"/>
                <w:sz w:val="24"/>
              </w:rPr>
              <w:t>%；②≤±</w:t>
            </w:r>
            <w:r>
              <w:rPr>
                <w:rFonts w:ascii="微软雅黑" w:hAnsi="微软雅黑" w:eastAsia="微软雅黑" w:cs="微软雅黑"/>
                <w:b/>
                <w:bCs/>
                <w:kern w:val="0"/>
                <w:sz w:val="24"/>
              </w:rPr>
              <w:t>1.0</w:t>
            </w:r>
            <w:r>
              <w:rPr>
                <w:rFonts w:hint="eastAsia" w:ascii="微软雅黑" w:hAnsi="微软雅黑" w:eastAsia="微软雅黑" w:cs="微软雅黑"/>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restart"/>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示值误差</w:t>
            </w:r>
          </w:p>
        </w:tc>
        <w:tc>
          <w:tcPr>
            <w:tcW w:w="3697" w:type="dxa"/>
            <w:gridSpan w:val="2"/>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标液浓度为2.0 mg/L时</w:t>
            </w:r>
          </w:p>
        </w:tc>
        <w:tc>
          <w:tcPr>
            <w:tcW w:w="1645" w:type="dxa"/>
            <w:vMerge w:val="restart"/>
            <w:vAlign w:val="center"/>
          </w:tcPr>
          <w:p>
            <w:pPr>
              <w:numPr>
                <w:ilvl w:val="0"/>
                <w:numId w:val="13"/>
              </w:numPr>
              <w:spacing w:line="400" w:lineRule="exact"/>
              <w:rPr>
                <w:rFonts w:ascii="微软雅黑" w:hAnsi="微软雅黑" w:eastAsia="微软雅黑" w:cs="微软雅黑"/>
                <w:b/>
                <w:bCs/>
                <w:kern w:val="0"/>
                <w:sz w:val="24"/>
              </w:rPr>
            </w:pP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2</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2</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1</w:t>
            </w:r>
            <w:r>
              <w:rPr>
                <w:rFonts w:hint="eastAsia" w:ascii="微软雅黑" w:hAnsi="微软雅黑" w:eastAsia="微软雅黑" w:cs="微软雅黑"/>
                <w:b/>
                <w:bCs/>
                <w:kern w:val="0"/>
                <w:sz w:val="24"/>
              </w:rPr>
              <w:t>.0%</w:t>
            </w:r>
          </w:p>
        </w:tc>
        <w:tc>
          <w:tcPr>
            <w:tcW w:w="1646" w:type="dxa"/>
            <w:vMerge w:val="restart"/>
            <w:vAlign w:val="center"/>
          </w:tcPr>
          <w:p>
            <w:pPr>
              <w:numPr>
                <w:ilvl w:val="0"/>
                <w:numId w:val="13"/>
              </w:numPr>
              <w:spacing w:line="400" w:lineRule="exact"/>
              <w:rPr>
                <w:rFonts w:ascii="微软雅黑" w:hAnsi="微软雅黑" w:eastAsia="微软雅黑" w:cs="微软雅黑"/>
                <w:b/>
                <w:bCs/>
                <w:kern w:val="0"/>
                <w:sz w:val="24"/>
              </w:rPr>
            </w:pP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8</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3</w:t>
            </w:r>
            <w:r>
              <w:rPr>
                <w:rFonts w:hint="eastAsia" w:ascii="微软雅黑" w:hAnsi="微软雅黑" w:eastAsia="微软雅黑" w:cs="微软雅黑"/>
                <w:b/>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b/>
                <w:bCs/>
                <w:kern w:val="0"/>
                <w:sz w:val="24"/>
              </w:rPr>
            </w:pPr>
          </w:p>
        </w:tc>
        <w:tc>
          <w:tcPr>
            <w:tcW w:w="3697" w:type="dxa"/>
            <w:gridSpan w:val="2"/>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标液浓度为5.0 mg/L时</w:t>
            </w:r>
          </w:p>
        </w:tc>
        <w:tc>
          <w:tcPr>
            <w:tcW w:w="1645" w:type="dxa"/>
            <w:vMerge w:val="continue"/>
            <w:vAlign w:val="center"/>
          </w:tcPr>
          <w:p>
            <w:pPr>
              <w:spacing w:line="400" w:lineRule="exact"/>
              <w:rPr>
                <w:rFonts w:ascii="微软雅黑" w:hAnsi="微软雅黑" w:eastAsia="微软雅黑" w:cs="微软雅黑"/>
                <w:kern w:val="0"/>
                <w:sz w:val="24"/>
              </w:rPr>
            </w:pPr>
          </w:p>
        </w:tc>
        <w:tc>
          <w:tcPr>
            <w:tcW w:w="1646" w:type="dxa"/>
            <w:vMerge w:val="continue"/>
            <w:vAlign w:val="center"/>
          </w:tcPr>
          <w:p>
            <w:pPr>
              <w:spacing w:line="400" w:lineRule="exact"/>
              <w:rPr>
                <w:rFonts w:ascii="微软雅黑" w:hAnsi="微软雅黑" w:eastAsia="微软雅黑" w:cs="微软雅黑"/>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b/>
                <w:bCs/>
                <w:kern w:val="0"/>
                <w:sz w:val="24"/>
              </w:rPr>
            </w:pPr>
          </w:p>
        </w:tc>
        <w:tc>
          <w:tcPr>
            <w:tcW w:w="3697" w:type="dxa"/>
            <w:gridSpan w:val="2"/>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标液浓度为8.0 mg/L时</w:t>
            </w:r>
          </w:p>
        </w:tc>
        <w:tc>
          <w:tcPr>
            <w:tcW w:w="1645" w:type="dxa"/>
            <w:vMerge w:val="continue"/>
            <w:vAlign w:val="center"/>
          </w:tcPr>
          <w:p>
            <w:pPr>
              <w:spacing w:line="400" w:lineRule="exact"/>
              <w:rPr>
                <w:rFonts w:ascii="微软雅黑" w:hAnsi="微软雅黑" w:eastAsia="微软雅黑" w:cs="微软雅黑"/>
                <w:kern w:val="0"/>
                <w:sz w:val="24"/>
              </w:rPr>
            </w:pPr>
          </w:p>
        </w:tc>
        <w:tc>
          <w:tcPr>
            <w:tcW w:w="1646" w:type="dxa"/>
            <w:vMerge w:val="continue"/>
            <w:vAlign w:val="center"/>
          </w:tcPr>
          <w:p>
            <w:pPr>
              <w:spacing w:line="400" w:lineRule="exact"/>
              <w:rPr>
                <w:rFonts w:ascii="微软雅黑" w:hAnsi="微软雅黑" w:eastAsia="微软雅黑" w:cs="微软雅黑"/>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0.5</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restart"/>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记忆效应</w:t>
            </w:r>
          </w:p>
        </w:tc>
        <w:tc>
          <w:tcPr>
            <w:tcW w:w="3697"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标液浓度为2.0 mg/L时</w:t>
            </w:r>
          </w:p>
        </w:tc>
        <w:tc>
          <w:tcPr>
            <w:tcW w:w="3291"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 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kern w:val="0"/>
                <w:sz w:val="24"/>
              </w:rPr>
            </w:pPr>
          </w:p>
        </w:tc>
        <w:tc>
          <w:tcPr>
            <w:tcW w:w="3697"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标液浓度为8.0 mg/L时</w:t>
            </w:r>
          </w:p>
        </w:tc>
        <w:tc>
          <w:tcPr>
            <w:tcW w:w="3291"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 0.2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检出限</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≤0.0</w:t>
            </w:r>
            <w:r>
              <w:rPr>
                <w:rFonts w:ascii="微软雅黑" w:hAnsi="微软雅黑" w:eastAsia="微软雅黑" w:cs="微软雅黑"/>
                <w:kern w:val="0"/>
                <w:sz w:val="24"/>
              </w:rPr>
              <w:t>1</w:t>
            </w:r>
            <w:r>
              <w:rPr>
                <w:rFonts w:hint="eastAsia" w:ascii="微软雅黑" w:hAnsi="微软雅黑" w:eastAsia="微软雅黑" w:cs="微软雅黑"/>
                <w:kern w:val="0"/>
                <w:sz w:val="24"/>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pH干扰试验</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restart"/>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3347"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水样浓度&lt;2.0 mg/L</w:t>
            </w:r>
          </w:p>
        </w:tc>
        <w:tc>
          <w:tcPr>
            <w:tcW w:w="3641" w:type="dxa"/>
            <w:gridSpan w:val="3"/>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≤0.2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kern w:val="0"/>
                <w:sz w:val="24"/>
              </w:rPr>
            </w:pPr>
          </w:p>
        </w:tc>
        <w:tc>
          <w:tcPr>
            <w:tcW w:w="3347"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水样浓度≥2.0 mg/L</w:t>
            </w:r>
          </w:p>
        </w:tc>
        <w:tc>
          <w:tcPr>
            <w:tcW w:w="3641" w:type="dxa"/>
            <w:gridSpan w:val="3"/>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lang w:val="zh-CN"/>
              </w:rPr>
            </w:pPr>
            <w:r>
              <w:rPr>
                <w:rFonts w:hint="eastAsia" w:ascii="微软雅黑" w:hAnsi="微软雅黑" w:eastAsia="微软雅黑" w:cs="微软雅黑"/>
                <w:kern w:val="0"/>
                <w:sz w:val="24"/>
                <w:lang w:val="zh-CN"/>
              </w:rPr>
              <w:t>最小维护周期</w:t>
            </w:r>
          </w:p>
        </w:tc>
        <w:tc>
          <w:tcPr>
            <w:tcW w:w="6988" w:type="dxa"/>
            <w:gridSpan w:val="4"/>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≥168h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抗干扰能力</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节能环保</w:t>
            </w:r>
          </w:p>
        </w:tc>
        <w:tc>
          <w:tcPr>
            <w:tcW w:w="6988" w:type="dxa"/>
            <w:gridSpan w:val="4"/>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为了防止二次污染，仪器单次运行废液排放量小于10ml</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1.2.4高锰酸盐指数水质自动分析仪</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30"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6988"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818" w:type="dxa"/>
            <w:gridSpan w:val="2"/>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高锰酸钾氧化法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量程范围：0～</w:t>
            </w:r>
            <w:r>
              <w:rPr>
                <w:rFonts w:ascii="微软雅黑" w:hAnsi="微软雅黑" w:eastAsia="微软雅黑" w:cs="微软雅黑"/>
                <w:bCs/>
                <w:sz w:val="24"/>
              </w:rPr>
              <w:t>20</w:t>
            </w:r>
            <w:r>
              <w:rPr>
                <w:rFonts w:hint="eastAsia" w:ascii="微软雅黑" w:hAnsi="微软雅黑" w:eastAsia="微软雅黑" w:cs="微软雅黑"/>
                <w:bCs/>
                <w:sz w:val="24"/>
              </w:rPr>
              <w:t>mg/L，可切换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1</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量程漂移</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①≤±1%；②≤±</w:t>
            </w:r>
            <w:r>
              <w:rPr>
                <w:rFonts w:ascii="微软雅黑" w:hAnsi="微软雅黑" w:eastAsia="微软雅黑" w:cs="微软雅黑"/>
                <w:b/>
                <w:bCs/>
                <w:kern w:val="0"/>
                <w:sz w:val="24"/>
              </w:rPr>
              <w:t>2</w:t>
            </w:r>
            <w:r>
              <w:rPr>
                <w:rFonts w:hint="eastAsia" w:ascii="微软雅黑" w:hAnsi="微软雅黑" w:eastAsia="微软雅黑" w:cs="微软雅黑"/>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葡萄糖试验</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kern w:val="0"/>
                <w:sz w:val="24"/>
              </w:rPr>
              <w:t>3</w:t>
            </w:r>
            <w:r>
              <w:rPr>
                <w:rFonts w:hint="eastAsia" w:ascii="微软雅黑" w:hAnsi="微软雅黑" w:eastAsia="微软雅黑" w:cs="微软雅黑"/>
                <w:b/>
                <w:bCs/>
                <w:kern w:val="0"/>
                <w:sz w:val="24"/>
              </w:rPr>
              <w:t>%；②≤±</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%（测量误差）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重复性</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①≤±1%；②≤±</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检出限</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①≤0.10mg/L；②≤0.</w:t>
            </w:r>
            <w:r>
              <w:rPr>
                <w:rFonts w:ascii="微软雅黑" w:hAnsi="微软雅黑" w:eastAsia="微软雅黑" w:cs="微软雅黑"/>
                <w:b/>
                <w:bCs/>
                <w:kern w:val="0"/>
                <w:sz w:val="24"/>
              </w:rPr>
              <w:t>1</w:t>
            </w:r>
            <w:r>
              <w:rPr>
                <w:rFonts w:hint="eastAsia" w:ascii="微软雅黑" w:hAnsi="微软雅黑" w:eastAsia="微软雅黑" w:cs="微软雅黑"/>
                <w:b/>
                <w:bCs/>
                <w:kern w:val="0"/>
                <w:sz w:val="24"/>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抗干扰能力</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环保性能</w:t>
            </w:r>
          </w:p>
        </w:tc>
        <w:tc>
          <w:tcPr>
            <w:tcW w:w="6988" w:type="dxa"/>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为了防止二次污染，仪器单次运行废液排放量小于10ml</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1.2.5总磷水质自动分析仪</w:t>
      </w:r>
    </w:p>
    <w:tbl>
      <w:tblPr>
        <w:tblStyle w:val="3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65"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7024"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钼酸铵分光光度法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0～</w:t>
            </w:r>
            <w:r>
              <w:rPr>
                <w:rFonts w:ascii="微软雅黑" w:hAnsi="微软雅黑" w:eastAsia="微软雅黑" w:cs="微软雅黑"/>
                <w:bCs/>
                <w:sz w:val="24"/>
              </w:rPr>
              <w:t>2</w:t>
            </w:r>
            <w:r>
              <w:rPr>
                <w:rFonts w:hint="eastAsia" w:ascii="微软雅黑" w:hAnsi="微软雅黑" w:eastAsia="微软雅黑" w:cs="微软雅黑"/>
                <w:bCs/>
                <w:sz w:val="24"/>
              </w:rPr>
              <w:t>mg/L，可切换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零点漂移</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0.5</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1</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直线性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1</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5</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重复性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0.2</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1</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检出限</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①≤0.</w:t>
            </w:r>
            <w:r>
              <w:rPr>
                <w:rFonts w:ascii="微软雅黑" w:hAnsi="微软雅黑" w:eastAsia="微软雅黑" w:cs="微软雅黑"/>
                <w:b/>
                <w:bCs/>
                <w:kern w:val="0"/>
                <w:sz w:val="24"/>
              </w:rPr>
              <w:t>00</w:t>
            </w:r>
            <w:r>
              <w:rPr>
                <w:rFonts w:hint="eastAsia" w:ascii="微软雅黑" w:hAnsi="微软雅黑" w:eastAsia="微软雅黑" w:cs="微软雅黑"/>
                <w:b/>
                <w:bCs/>
                <w:kern w:val="0"/>
                <w:sz w:val="24"/>
              </w:rPr>
              <w:t>3mg/L；②≤0.0</w:t>
            </w:r>
            <w:r>
              <w:rPr>
                <w:rFonts w:ascii="微软雅黑" w:hAnsi="微软雅黑" w:eastAsia="微软雅黑" w:cs="微软雅黑"/>
                <w:b/>
                <w:bCs/>
                <w:kern w:val="0"/>
                <w:sz w:val="24"/>
              </w:rPr>
              <w:t>05</w:t>
            </w:r>
            <w:r>
              <w:rPr>
                <w:rFonts w:hint="eastAsia" w:ascii="微软雅黑" w:hAnsi="微软雅黑" w:eastAsia="微软雅黑" w:cs="微软雅黑"/>
                <w:b/>
                <w:bCs/>
                <w:kern w:val="0"/>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抗干扰能力</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环保性能</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为了防止二次污染，仪器单次运行废液排放量小于5ml</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1.2.6总氮水质自动分析仪</w:t>
      </w:r>
    </w:p>
    <w:tbl>
      <w:tblPr>
        <w:tblStyle w:val="3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65"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7024"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过硫酸钾消解－紫外分光光度法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0～20mg/L，可调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自动稀释</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仪器具有智能稀释技术，可根据水样浓度，自动调整稀释比例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1</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直线性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sz w:val="24"/>
              </w:rPr>
              <w:t>2.5%</w:t>
            </w:r>
            <w:r>
              <w:rPr>
                <w:rFonts w:hint="eastAsia" w:ascii="微软雅黑" w:hAnsi="微软雅黑" w:eastAsia="微软雅黑" w:cs="微软雅黑"/>
                <w:b/>
                <w:bCs/>
                <w:kern w:val="0"/>
                <w:sz w:val="24"/>
              </w:rPr>
              <w:t>；②≤±</w:t>
            </w:r>
            <w:r>
              <w:rPr>
                <w:rFonts w:ascii="微软雅黑" w:hAnsi="微软雅黑" w:eastAsia="微软雅黑" w:cs="微软雅黑"/>
                <w:b/>
                <w:bCs/>
                <w:sz w:val="24"/>
              </w:rPr>
              <w:t>5</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重复性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sz w:val="24"/>
              </w:rPr>
              <w:t>1%</w:t>
            </w:r>
            <w:r>
              <w:rPr>
                <w:rFonts w:hint="eastAsia" w:ascii="微软雅黑" w:hAnsi="微软雅黑" w:eastAsia="微软雅黑" w:cs="微软雅黑"/>
                <w:b/>
                <w:bCs/>
                <w:kern w:val="0"/>
                <w:sz w:val="24"/>
              </w:rPr>
              <w:t>；②≤±</w:t>
            </w:r>
            <w:r>
              <w:rPr>
                <w:rFonts w:ascii="微软雅黑" w:hAnsi="微软雅黑" w:eastAsia="微软雅黑" w:cs="微软雅黑"/>
                <w:b/>
                <w:bCs/>
                <w:sz w:val="24"/>
              </w:rPr>
              <w:t>1</w:t>
            </w:r>
            <w:r>
              <w:rPr>
                <w:rFonts w:hint="eastAsia" w:ascii="微软雅黑" w:hAnsi="微软雅黑" w:eastAsia="微软雅黑" w:cs="微软雅黑"/>
                <w:b/>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检出限</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≤0.0</w:t>
            </w:r>
            <w:r>
              <w:rPr>
                <w:rFonts w:ascii="微软雅黑" w:hAnsi="微软雅黑" w:eastAsia="微软雅黑" w:cs="微软雅黑"/>
                <w:kern w:val="0"/>
                <w:sz w:val="24"/>
              </w:rPr>
              <w:t>5</w:t>
            </w:r>
            <w:r>
              <w:rPr>
                <w:rFonts w:hint="eastAsia" w:ascii="微软雅黑" w:hAnsi="微软雅黑" w:eastAsia="微软雅黑" w:cs="微软雅黑"/>
                <w:kern w:val="0"/>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kern w:val="0"/>
                <w:sz w:val="24"/>
              </w:rPr>
              <w:t>抗干扰能力</w:t>
            </w:r>
          </w:p>
        </w:tc>
        <w:tc>
          <w:tcPr>
            <w:tcW w:w="7024" w:type="dxa"/>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环保性能</w:t>
            </w:r>
          </w:p>
        </w:tc>
        <w:tc>
          <w:tcPr>
            <w:tcW w:w="7024" w:type="dxa"/>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为了防止二次污染，仪器单次运行废液排放量小于10ml</w:t>
            </w:r>
          </w:p>
        </w:tc>
      </w:tr>
    </w:tbl>
    <w:p>
      <w:pPr>
        <w:pStyle w:val="7"/>
        <w:widowControl w:val="0"/>
        <w:spacing w:before="0" w:after="0" w:line="400" w:lineRule="exact"/>
        <w:jc w:val="left"/>
        <w:rPr>
          <w:rFonts w:ascii="微软雅黑" w:hAnsi="微软雅黑" w:eastAsia="微软雅黑" w:cs="微软雅黑"/>
          <w:b w:val="0"/>
          <w:bCs w:val="0"/>
          <w:sz w:val="24"/>
          <w:szCs w:val="24"/>
        </w:rPr>
      </w:pPr>
    </w:p>
    <w:p>
      <w:pPr>
        <w:pStyle w:val="7"/>
        <w:widowControl w:val="0"/>
        <w:spacing w:before="0" w:after="0"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1.3站点改造硬件、数据采集与传输技术指标要求</w:t>
      </w:r>
    </w:p>
    <w:p>
      <w:pPr>
        <w:spacing w:line="400" w:lineRule="exact"/>
        <w:ind w:firstLine="280" w:firstLineChars="100"/>
        <w:rPr>
          <w:rFonts w:ascii="微软雅黑" w:hAnsi="微软雅黑" w:eastAsia="微软雅黑" w:cs="微软雅黑"/>
          <w:kern w:val="0"/>
          <w:sz w:val="24"/>
        </w:rPr>
      </w:pPr>
      <w:r>
        <w:rPr>
          <w:rFonts w:hint="eastAsia" w:ascii="宋体" w:hAnsi="宋体"/>
        </w:rPr>
        <w:t>▲</w:t>
      </w:r>
      <w:r>
        <w:rPr>
          <w:rFonts w:hint="eastAsia" w:ascii="微软雅黑" w:hAnsi="微软雅黑" w:eastAsia="微软雅黑" w:cs="微软雅黑"/>
          <w:bCs/>
          <w:sz w:val="24"/>
        </w:rPr>
        <w:t>（</w:t>
      </w:r>
      <w:r>
        <w:rPr>
          <w:rFonts w:hint="eastAsia" w:ascii="微软雅黑" w:hAnsi="微软雅黑" w:eastAsia="微软雅黑" w:cs="微软雅黑"/>
          <w:sz w:val="24"/>
        </w:rPr>
        <w:t>1）投标人所投</w:t>
      </w:r>
      <w:r>
        <w:rPr>
          <w:rFonts w:hint="eastAsia" w:ascii="微软雅黑" w:hAnsi="微软雅黑" w:eastAsia="微软雅黑" w:cs="微软雅黑"/>
          <w:kern w:val="0"/>
          <w:sz w:val="24"/>
        </w:rPr>
        <w:t>自动监测仪器的测量原理必须符合中国国家标准分析方法，且所投常规五参数、总磷、总氮、氨氮、高锰酸盐指数分析仪必须通过生态环境部（或原环境保护部）环境监测仪器质量监督检验中心的适用性检测，投标文件必须提供生态环境部（或原环境保护部）环境监测仪器质量监督检验中心出具的在有效期内的检测合格报告复印件佐证，否则投标文件将被否决。</w:t>
      </w:r>
    </w:p>
    <w:p>
      <w:pPr>
        <w:spacing w:line="400" w:lineRule="exact"/>
        <w:ind w:firstLine="480" w:firstLineChars="200"/>
        <w:rPr>
          <w:rFonts w:ascii="微软雅黑" w:hAnsi="微软雅黑" w:eastAsia="微软雅黑" w:cs="微软雅黑"/>
          <w:b/>
          <w:bCs/>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2</w:t>
      </w:r>
      <w:r>
        <w:rPr>
          <w:rFonts w:hint="eastAsia" w:ascii="微软雅黑" w:hAnsi="微软雅黑" w:eastAsia="微软雅黑" w:cs="微软雅黑"/>
          <w:kern w:val="0"/>
          <w:sz w:val="24"/>
        </w:rPr>
        <w:t>）硬件设备技术参数</w:t>
      </w:r>
    </w:p>
    <w:p>
      <w:pPr>
        <w:spacing w:line="400" w:lineRule="exact"/>
        <w:ind w:firstLine="1201" w:firstLineChars="500"/>
        <w:rPr>
          <w:rFonts w:ascii="微软雅黑" w:hAnsi="微软雅黑" w:eastAsia="微软雅黑" w:cs="微软雅黑"/>
          <w:b/>
          <w:bCs/>
          <w:kern w:val="0"/>
          <w:sz w:val="24"/>
        </w:rPr>
      </w:pPr>
      <w:r>
        <w:rPr>
          <w:rFonts w:hint="eastAsia" w:ascii="微软雅黑" w:hAnsi="微软雅黑" w:eastAsia="微软雅黑" w:cs="微软雅黑"/>
          <w:b/>
          <w:bCs/>
          <w:kern w:val="0"/>
          <w:sz w:val="24"/>
        </w:rPr>
        <w:t>工业控制计算机</w:t>
      </w:r>
    </w:p>
    <w:tbl>
      <w:tblPr>
        <w:tblStyle w:val="38"/>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指标名称</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CPU</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内存</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硬盘容量</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≥500GB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显示器</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≥12英寸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5</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通讯接口</w:t>
            </w:r>
          </w:p>
        </w:tc>
        <w:tc>
          <w:tcPr>
            <w:tcW w:w="541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RS232/485 COM口，不小于8个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kern w:val="0"/>
                <w:sz w:val="24"/>
              </w:rPr>
            </w:pPr>
          </w:p>
        </w:tc>
        <w:tc>
          <w:tcPr>
            <w:tcW w:w="541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网口，不少于2个</w:t>
            </w:r>
          </w:p>
        </w:tc>
      </w:tr>
    </w:tbl>
    <w:p>
      <w:pPr>
        <w:spacing w:line="400" w:lineRule="exact"/>
        <w:ind w:firstLine="1114" w:firstLineChars="464"/>
        <w:rPr>
          <w:rFonts w:ascii="微软雅黑" w:hAnsi="微软雅黑" w:eastAsia="微软雅黑" w:cs="微软雅黑"/>
          <w:b/>
          <w:bCs/>
          <w:kern w:val="0"/>
          <w:sz w:val="24"/>
        </w:rPr>
      </w:pPr>
      <w:r>
        <w:rPr>
          <w:rFonts w:hint="eastAsia" w:ascii="微软雅黑" w:hAnsi="微软雅黑" w:eastAsia="微软雅黑" w:cs="微软雅黑"/>
          <w:b/>
          <w:bCs/>
          <w:kern w:val="0"/>
          <w:sz w:val="24"/>
        </w:rPr>
        <w:t>可编程控制器</w:t>
      </w:r>
    </w:p>
    <w:tbl>
      <w:tblPr>
        <w:tblStyle w:val="38"/>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4"/>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指标名称</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扩展能力</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控制器输入输出接口满足需求且余量不少于4路，以便以后扩展。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防雷抗干扰能力</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符合抗电磁辐射、电磁感应的相关规定，具备电源隔离和信号隔离措施。</w:t>
            </w:r>
          </w:p>
        </w:tc>
      </w:tr>
    </w:tbl>
    <w:p>
      <w:pPr>
        <w:pStyle w:val="2"/>
        <w:ind w:firstLine="544"/>
      </w:pP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3</w:t>
      </w:r>
      <w:r>
        <w:rPr>
          <w:rFonts w:hint="eastAsia" w:ascii="微软雅黑" w:hAnsi="微软雅黑" w:eastAsia="微软雅黑" w:cs="微软雅黑"/>
          <w:sz w:val="24"/>
        </w:rPr>
        <w:t>）</w:t>
      </w:r>
      <w:r>
        <w:rPr>
          <w:rFonts w:hint="eastAsia" w:ascii="微软雅黑" w:hAnsi="微软雅黑" w:eastAsia="微软雅黑" w:cs="微软雅黑"/>
          <w:kern w:val="0"/>
          <w:sz w:val="24"/>
        </w:rPr>
        <w:t>应具有仪器基本参数贮存，断电、断水自动保护功能；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4</w:t>
      </w:r>
      <w:r>
        <w:rPr>
          <w:rFonts w:hint="eastAsia" w:ascii="微软雅黑" w:hAnsi="微软雅黑" w:eastAsia="微软雅黑" w:cs="微软雅黑"/>
          <w:sz w:val="24"/>
        </w:rPr>
        <w:t>）具有异常信息记录、上传功能，如零部件故障、采水故障、超量程报警、超标报警、缺试剂报警等信息；</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5</w:t>
      </w:r>
      <w:r>
        <w:rPr>
          <w:rFonts w:hint="eastAsia" w:ascii="微软雅黑" w:hAnsi="微软雅黑" w:eastAsia="微软雅黑" w:cs="微软雅黑"/>
          <w:sz w:val="24"/>
        </w:rPr>
        <w:t>）具有双向数据传输功能和工作状态输出功能。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6</w:t>
      </w:r>
      <w:r>
        <w:rPr>
          <w:rFonts w:hint="eastAsia" w:ascii="微软雅黑" w:hAnsi="微软雅黑" w:eastAsia="微软雅黑" w:cs="微软雅黑"/>
          <w:sz w:val="24"/>
        </w:rPr>
        <w:t>）具有仪器关键参数上传、远程设置功能，能接受远程控制指令；</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7</w:t>
      </w:r>
      <w:r>
        <w:rPr>
          <w:rFonts w:hint="eastAsia" w:ascii="微软雅黑" w:hAnsi="微软雅黑" w:eastAsia="微软雅黑" w:cs="微软雅黑"/>
          <w:sz w:val="24"/>
        </w:rPr>
        <w:t>）确保仪器、系统运行的监测数据和状态信息等稳定传输；</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8</w:t>
      </w:r>
      <w:r>
        <w:rPr>
          <w:rFonts w:hint="eastAsia" w:ascii="微软雅黑" w:hAnsi="微软雅黑" w:eastAsia="微软雅黑" w:cs="微软雅黑"/>
          <w:sz w:val="24"/>
        </w:rPr>
        <w:t>）具备断电再度通电后自动排空分析流路、自动清洗管路、自动复位到待机状态的功能；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9</w:t>
      </w:r>
      <w:r>
        <w:rPr>
          <w:rFonts w:hint="eastAsia" w:ascii="微软雅黑" w:hAnsi="微软雅黑" w:eastAsia="微软雅黑" w:cs="微软雅黑"/>
          <w:sz w:val="24"/>
        </w:rPr>
        <w:t>）具有分析仪器及系统过程日志和环境参数记录功能，并能够进行上传；</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10</w:t>
      </w:r>
      <w:r>
        <w:rPr>
          <w:rFonts w:hint="eastAsia" w:ascii="微软雅黑" w:hAnsi="微软雅黑" w:eastAsia="微软雅黑" w:cs="微软雅黑"/>
          <w:sz w:val="24"/>
        </w:rPr>
        <w:t>）应具有时间设置功能；具有仪器状态（如测量、空闲、故障等）和关键参数显示及传输功能；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1</w:t>
      </w:r>
      <w:r>
        <w:rPr>
          <w:rFonts w:hint="eastAsia" w:ascii="微软雅黑" w:hAnsi="微软雅黑" w:eastAsia="微软雅黑" w:cs="微软雅黑"/>
          <w:sz w:val="24"/>
        </w:rPr>
        <w:t>）系统应具有良好的扩展性和兼容性，根据实际应用需要，可增加新的监测参数，并方便仪器安装与接入；</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2</w:t>
      </w:r>
      <w:r>
        <w:rPr>
          <w:rFonts w:hint="eastAsia" w:ascii="微软雅黑" w:hAnsi="微软雅黑" w:eastAsia="微软雅黑" w:cs="微软雅黑"/>
          <w:sz w:val="24"/>
        </w:rPr>
        <w:t>）高锰酸盐指数、氨氮、总磷、总氮水质自动分析仪器</w:t>
      </w:r>
      <w:r>
        <w:rPr>
          <w:rFonts w:hint="eastAsia" w:ascii="微软雅黑" w:hAnsi="微软雅黑" w:eastAsia="微软雅黑" w:cs="微软雅黑"/>
          <w:bCs/>
          <w:sz w:val="24"/>
        </w:rPr>
        <w:t>配备相应的质量控制装置可与自动监测仪联用，</w:t>
      </w:r>
      <w:r>
        <w:rPr>
          <w:rFonts w:hint="eastAsia" w:ascii="微软雅黑" w:hAnsi="微软雅黑" w:eastAsia="微软雅黑" w:cs="微软雅黑"/>
          <w:sz w:val="24"/>
        </w:rPr>
        <w:t>具有进行每日自动零点漂移、每日自动量程漂移、自动标样核查、自动加标回收测试等质控功能。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3</w:t>
      </w:r>
      <w:r>
        <w:rPr>
          <w:rFonts w:hint="eastAsia" w:ascii="微软雅黑" w:hAnsi="微软雅黑" w:eastAsia="微软雅黑" w:cs="微软雅黑"/>
          <w:sz w:val="24"/>
        </w:rPr>
        <w:t>）具有 RS-232 或 RS-485 或 RJ-45 标准通讯接口。</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4</w:t>
      </w:r>
      <w:r>
        <w:rPr>
          <w:rFonts w:hint="eastAsia" w:ascii="微软雅黑" w:hAnsi="微软雅黑" w:eastAsia="微软雅黑" w:cs="微软雅黑"/>
          <w:sz w:val="24"/>
        </w:rPr>
        <w:t>）具备 1小时 1次的监测能力。</w:t>
      </w:r>
    </w:p>
    <w:p>
      <w:pPr>
        <w:spacing w:line="40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w:t>
      </w:r>
      <w:r>
        <w:rPr>
          <w:rFonts w:hint="eastAsia" w:ascii="微软雅黑" w:hAnsi="微软雅黑" w:eastAsia="微软雅黑" w:cs="微软雅黑"/>
          <w:sz w:val="24"/>
        </w:rPr>
        <w:t>1</w:t>
      </w:r>
      <w:r>
        <w:rPr>
          <w:rFonts w:ascii="微软雅黑" w:hAnsi="微软雅黑" w:eastAsia="微软雅黑" w:cs="微软雅黑"/>
          <w:sz w:val="24"/>
        </w:rPr>
        <w:t>5</w:t>
      </w:r>
      <w:r>
        <w:rPr>
          <w:rFonts w:hint="eastAsia" w:ascii="微软雅黑" w:hAnsi="微软雅黑" w:eastAsia="微软雅黑" w:cs="微软雅黑"/>
          <w:sz w:val="24"/>
        </w:rPr>
        <w:t>）水质自动站数据按业主要求接入指定水环境监测管理平台</w:t>
      </w:r>
      <w:r>
        <w:rPr>
          <w:rFonts w:hint="eastAsia" w:ascii="微软雅黑" w:hAnsi="微软雅黑" w:eastAsia="微软雅黑" w:cs="微软雅黑"/>
          <w:bCs/>
          <w:sz w:val="24"/>
        </w:rPr>
        <w:t>。</w:t>
      </w:r>
    </w:p>
    <w:p>
      <w:pPr>
        <w:pStyle w:val="2"/>
        <w:ind w:firstLine="544"/>
      </w:pPr>
    </w:p>
    <w:p>
      <w:pPr>
        <w:pStyle w:val="7"/>
        <w:widowControl w:val="0"/>
        <w:spacing w:before="0" w:after="0" w:line="400" w:lineRule="exact"/>
        <w:jc w:val="left"/>
      </w:pPr>
      <w:r>
        <w:rPr>
          <w:rFonts w:hint="eastAsia" w:ascii="微软雅黑" w:hAnsi="微软雅黑" w:eastAsia="微软雅黑" w:cs="微软雅黑"/>
          <w:sz w:val="24"/>
          <w:szCs w:val="24"/>
        </w:rPr>
        <w:t>1.4站点改造配水要求</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对配水单元进行改造，调整配水管路及控制逻辑，确保功能满足要求的同时，不会对水样水质造成影响；管路内径、压力、流量、流速满足仪器分析需要，并留有余量。</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通过配水流路改造，将现有仪器配水串联流路改造升级为并联管路，确保任何一台仪表预处理故障均不会影响到其他仪表的正常工作。</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针对性、定制化的仪表样品杯，系统运行时，五参数测量原水不经预处理，原水增压泵将沉砂池内经初步沉砂处理的水样输送到各个仪表的样品杯内，仪表再从各自样品杯内采样进行分析。</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对配水管路的原水管路、清洗管路、排水管路改造预留管路接口，方便系统日后增加不少于4台分析仪表用以仪表预处理模块相应接口连接，同时对配水系统的原水和清水增压泵的扬程、流量，空压机的出气量改造做容量上的预留，保证能满足后期增加不少于4台分析仪表系统对辅助设备的要求。原水管路预留水样比对实验用的手动取水口。</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针对性地设计预处理旁路系统，运用相应的预处理装置，将水体中大颗粒物处理后再进行精密过滤。并具备自动切换预处理系统工作功能，在浊度影响较大的情况下对数据分析不会产生偏差。</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增加串口通讯卡及PLC扩展模块确保冗余不少于四路。</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为使水站的采、配水单元能长期无故障运行，针对地表水水质工况和水站系统的特点设计水站清洗系统，清洗系统清洗范围包含了采水单元清洗、配水单元清洗、五参数单元清洗、仪表预处理单元清洗等，清洗内容包含水气混合清洗。通过对各单元的采水管路和相关器件进行水气清洗，能确保监测系统测量的准确性和系统长期正常运行。</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水气混合清洗采用专用增压泵加压后的清洗水和配置的无油空压机产生的高压压缩空气混合，实现对外围采水管路、控制阀、室内管路、沉砂池、五参数测量池、仪表样品杯等脉冲式高压气泡清洗，可将管壁附着的泥沙、藻类等杂质高效清洗，所有清洗功能均可通过上位机软件程序的设计，并通过PLC控制系统实现周期或定点清洗，也可通过现场或者远程进行手动或自动控制。</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系统清洗系统总体设计采用了主管路串联、设备清洗管路并联方式，外围采水双管路、沉砂池、沉砂池出水过滤器、五参数测量池、仪表样品杯等清洗对象均从清洗主管路分支出单独一路，并配置单独的手动球阀和电磁阀实现自动控制清洗。</w:t>
      </w:r>
    </w:p>
    <w:p>
      <w:pPr>
        <w:pStyle w:val="6"/>
        <w:numPr>
          <w:ilvl w:val="0"/>
          <w:numId w:val="12"/>
        </w:numPr>
        <w:spacing w:line="400" w:lineRule="exact"/>
        <w:jc w:val="left"/>
        <w:rPr>
          <w:rFonts w:ascii="微软雅黑" w:hAnsi="微软雅黑" w:eastAsia="微软雅黑" w:cs="微软雅黑"/>
          <w:kern w:val="44"/>
          <w:sz w:val="24"/>
          <w:szCs w:val="24"/>
        </w:rPr>
      </w:pPr>
      <w:r>
        <w:rPr>
          <w:rFonts w:hint="eastAsia" w:ascii="微软雅黑" w:hAnsi="微软雅黑" w:eastAsia="微软雅黑" w:cs="微软雅黑"/>
          <w:kern w:val="44"/>
          <w:sz w:val="24"/>
          <w:szCs w:val="24"/>
        </w:rPr>
        <w:t>试运行及验收</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中标单位负责系统从安装、调试、试运行到验收合格前的全部运行维护工作，所有费用应包括在投标总价中，业主不负责系统的运行维护。</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（一）性能检测与检验</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中标人应提供设备的有效检验文件，经业主认可后，与合同的性能指标一起作为设备验收标准，中标人在试运行前，应当对所交付的项目进行性能检测，以确认交付项目符合本合同的规定。业主可对系统设备进行复检和性能测试，投标人应派出有经验的，高水平的技术人员协助此项工作，复检时如发现有缺陷，中标人应立即改进此项缺陷，并再次进行检测和评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（二）调试及试运行</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设备到达后，中标人应在收到业主通知后，派出相关技术人员前往项目实施所在地进行安装调试。人数、技术级别、服务内容及调试时间应在投标文件中详细说明。</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试运行期间，中标人应做好自动数据的人工比对实验以及系统功能检测，其性能指标应该符合本项目的要求。</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（三）验收</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系统试运行完成后，中标人以书面形式向业主提交验收报告及验收申请，业主审核同意后组织验收以验收会形式进行验收，费用计入报价中。业主只接收验收合格的系统。</w:t>
      </w:r>
    </w:p>
    <w:p>
      <w:pPr>
        <w:pStyle w:val="20"/>
        <w:spacing w:line="400" w:lineRule="exact"/>
        <w:rPr>
          <w:rFonts w:ascii="微软雅黑" w:hAnsi="微软雅黑" w:eastAsia="微软雅黑" w:cs="微软雅黑"/>
          <w:sz w:val="24"/>
        </w:rPr>
      </w:pPr>
    </w:p>
    <w:p>
      <w:pPr>
        <w:pStyle w:val="6"/>
        <w:spacing w:before="0" w:after="0" w:line="400" w:lineRule="exact"/>
        <w:ind w:left="0" w:firstLine="298" w:firstLineChars="124"/>
        <w:rPr>
          <w:rFonts w:ascii="微软雅黑" w:hAnsi="微软雅黑" w:eastAsia="微软雅黑" w:cs="微软雅黑"/>
          <w:sz w:val="24"/>
          <w:szCs w:val="24"/>
        </w:rPr>
      </w:pPr>
      <w:r>
        <w:rPr>
          <w:rFonts w:hint="eastAsia" w:ascii="微软雅黑" w:hAnsi="微软雅黑" w:eastAsia="微软雅黑" w:cs="微软雅黑"/>
          <w:sz w:val="24"/>
          <w:szCs w:val="24"/>
        </w:rPr>
        <w:t>标项三：新建省控断面水质自动监测站项目</w:t>
      </w:r>
    </w:p>
    <w:p>
      <w:pPr>
        <w:pStyle w:val="5"/>
        <w:spacing w:line="400" w:lineRule="exact"/>
        <w:ind w:left="425"/>
        <w:rPr>
          <w:rFonts w:ascii="微软雅黑" w:hAnsi="微软雅黑" w:eastAsia="微软雅黑" w:cs="微软雅黑"/>
          <w:sz w:val="24"/>
          <w:szCs w:val="24"/>
        </w:rPr>
      </w:pPr>
      <w:r>
        <w:rPr>
          <w:rFonts w:hint="eastAsia" w:ascii="微软雅黑" w:hAnsi="微软雅黑" w:eastAsia="微软雅黑" w:cs="微软雅黑"/>
          <w:sz w:val="24"/>
          <w:szCs w:val="24"/>
        </w:rPr>
        <w:t>项目具体点位情况</w:t>
      </w:r>
    </w:p>
    <w:tbl>
      <w:tblPr>
        <w:tblStyle w:val="38"/>
        <w:tblW w:w="0" w:type="auto"/>
        <w:jc w:val="center"/>
        <w:tblLayout w:type="autofit"/>
        <w:tblCellMar>
          <w:top w:w="0" w:type="dxa"/>
          <w:left w:w="108" w:type="dxa"/>
          <w:bottom w:w="0" w:type="dxa"/>
          <w:right w:w="108" w:type="dxa"/>
        </w:tblCellMar>
      </w:tblPr>
      <w:tblGrid>
        <w:gridCol w:w="848"/>
        <w:gridCol w:w="5280"/>
        <w:gridCol w:w="1842"/>
        <w:gridCol w:w="709"/>
        <w:gridCol w:w="734"/>
      </w:tblGrid>
      <w:tr>
        <w:tblPrEx>
          <w:tblCellMar>
            <w:top w:w="0" w:type="dxa"/>
            <w:left w:w="108" w:type="dxa"/>
            <w:bottom w:w="0" w:type="dxa"/>
            <w:right w:w="108" w:type="dxa"/>
          </w:tblCellMar>
        </w:tblPrEx>
        <w:trPr>
          <w:trHeight w:val="544" w:hRule="atLeast"/>
          <w:jc w:val="center"/>
        </w:trPr>
        <w:tc>
          <w:tcPr>
            <w:tcW w:w="941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采购设备清单</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序号</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设备名称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技术参数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数量</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单位</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高锰酸盐指数水质自动分析仪</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sz w:val="24"/>
              </w:rPr>
              <w:t>详见技术参数要求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氨氮水质自动分析仪</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
                <w:sz w:val="24"/>
              </w:rPr>
              <w:t>总磷水质自动分析仪（核心产品）</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总氮水质自动分析仪</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五参水质自动数分析仪</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r>
        <w:tblPrEx>
          <w:tblCellMar>
            <w:top w:w="0" w:type="dxa"/>
            <w:left w:w="108" w:type="dxa"/>
            <w:bottom w:w="0" w:type="dxa"/>
            <w:right w:w="108" w:type="dxa"/>
          </w:tblCellMar>
        </w:tblPrEx>
        <w:trPr>
          <w:trHeight w:val="54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5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
                <w:sz w:val="24"/>
              </w:rPr>
            </w:pPr>
            <w:r>
              <w:rPr>
                <w:rFonts w:hint="eastAsia" w:ascii="微软雅黑" w:hAnsi="微软雅黑" w:eastAsia="微软雅黑" w:cs="微软雅黑"/>
                <w:sz w:val="24"/>
              </w:rPr>
              <w:t>系统集成（采水单元、配水单元、留样单元、控制单元、数据采集传输单元、辅助单元）</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套</w:t>
            </w:r>
          </w:p>
        </w:tc>
      </w:tr>
    </w:tbl>
    <w:p>
      <w:pPr>
        <w:spacing w:line="400" w:lineRule="exact"/>
        <w:rPr>
          <w:rFonts w:ascii="微软雅黑" w:hAnsi="微软雅黑" w:eastAsia="微软雅黑" w:cs="微软雅黑"/>
          <w:b/>
          <w:bCs/>
          <w:sz w:val="24"/>
        </w:rPr>
      </w:pPr>
    </w:p>
    <w:tbl>
      <w:tblPr>
        <w:tblStyle w:val="38"/>
        <w:tblW w:w="49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8"/>
        <w:gridCol w:w="2342"/>
        <w:gridCol w:w="2835"/>
        <w:gridCol w:w="3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000" w:type="pct"/>
            <w:gridSpan w:val="4"/>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b/>
                <w:bCs/>
                <w:sz w:val="24"/>
              </w:rPr>
              <w:t>新建站点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序号</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断面名称</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县（市、区）</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河流名称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双林</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南浔区</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双林塘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元通桥</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吴兴区</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北横河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西山漾</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吴兴区</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南横港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毗山</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吴兴区</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东苕溪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振兴大桥</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吴兴区</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濮溇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04"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1273"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杨湾大桥（下莘桥）</w:t>
            </w:r>
          </w:p>
        </w:tc>
        <w:tc>
          <w:tcPr>
            <w:tcW w:w="1541"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长兴县</w:t>
            </w:r>
          </w:p>
        </w:tc>
        <w:tc>
          <w:tcPr>
            <w:tcW w:w="1882" w:type="pct"/>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长兴港</w:t>
            </w:r>
          </w:p>
        </w:tc>
      </w:tr>
    </w:tbl>
    <w:p>
      <w:pPr>
        <w:spacing w:line="400" w:lineRule="exact"/>
        <w:rPr>
          <w:rFonts w:ascii="微软雅黑" w:hAnsi="微软雅黑" w:eastAsia="微软雅黑" w:cs="微软雅黑"/>
          <w:sz w:val="24"/>
        </w:rPr>
      </w:pPr>
    </w:p>
    <w:p>
      <w:pPr>
        <w:pStyle w:val="6"/>
        <w:spacing w:before="0" w:after="0" w:line="400" w:lineRule="exact"/>
        <w:ind w:left="0" w:firstLine="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1 </w:t>
      </w:r>
      <w:r>
        <w:rPr>
          <w:rFonts w:hint="eastAsia" w:ascii="微软雅黑" w:hAnsi="微软雅黑" w:eastAsia="微软雅黑" w:cs="微软雅黑"/>
          <w:kern w:val="44"/>
          <w:sz w:val="24"/>
          <w:szCs w:val="24"/>
        </w:rPr>
        <w:t>项目技术要求</w:t>
      </w:r>
    </w:p>
    <w:p>
      <w:pPr>
        <w:pStyle w:val="7"/>
        <w:spacing w:before="0" w:after="0" w:line="400" w:lineRule="exact"/>
        <w:jc w:val="left"/>
        <w:rPr>
          <w:rFonts w:ascii="微软雅黑" w:hAnsi="微软雅黑" w:eastAsia="微软雅黑" w:cs="微软雅黑"/>
          <w:b w:val="0"/>
          <w:sz w:val="24"/>
          <w:szCs w:val="24"/>
        </w:rPr>
      </w:pPr>
      <w:r>
        <w:rPr>
          <w:rFonts w:hint="eastAsia" w:ascii="微软雅黑" w:hAnsi="微软雅黑" w:eastAsia="微软雅黑" w:cs="微软雅黑"/>
          <w:b w:val="0"/>
          <w:sz w:val="24"/>
          <w:szCs w:val="24"/>
        </w:rPr>
        <w:t>1.1新建水站基本要求</w:t>
      </w:r>
    </w:p>
    <w:p>
      <w:pPr>
        <w:adjustRightInd w:val="0"/>
        <w:snapToGrid w:val="0"/>
        <w:spacing w:line="400" w:lineRule="exact"/>
        <w:ind w:firstLine="480" w:firstLineChars="200"/>
      </w:pPr>
      <w:r>
        <w:rPr>
          <w:rFonts w:hint="eastAsia" w:ascii="微软雅黑" w:hAnsi="微软雅黑" w:eastAsia="微软雅黑" w:cs="微软雅黑"/>
          <w:sz w:val="24"/>
        </w:rPr>
        <w:t>依据《浙江省环境质量自动监测智能化建设项目》初步设计方案，按照生态环境部统一技术要求，投标人须提供合理、先进、完整的系统集成方案，具备智能化、标准化、流程化和可溯源的质量控制体系，确保采水、预处理、分析、质控、清洗以及数据采集和传输等环节的准确可靠。</w:t>
      </w:r>
    </w:p>
    <w:p>
      <w:pPr>
        <w:pStyle w:val="7"/>
        <w:numPr>
          <w:ilvl w:val="3"/>
          <w:numId w:val="0"/>
        </w:numPr>
        <w:spacing w:before="0" w:after="0" w:line="400" w:lineRule="exact"/>
        <w:jc w:val="left"/>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1.2</w:t>
      </w:r>
      <w:r>
        <w:rPr>
          <w:rFonts w:hint="eastAsia" w:ascii="微软雅黑" w:hAnsi="微软雅黑" w:eastAsia="微软雅黑" w:cs="微软雅黑"/>
          <w:b w:val="0"/>
          <w:sz w:val="24"/>
          <w:szCs w:val="24"/>
        </w:rPr>
        <w:t>自动分析仪技术指标要求</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1.2.1五参数水质自动分析仪</w:t>
      </w:r>
    </w:p>
    <w:p>
      <w:pPr>
        <w:pStyle w:val="20"/>
      </w:pPr>
    </w:p>
    <w:p>
      <w:pPr>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水温水质自动分析仪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50"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954"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sz w:val="24"/>
              </w:rPr>
              <w:t>热电阻或热电偶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0℃～60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准确度</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sz w:val="24"/>
              </w:rPr>
              <w:t>±</w:t>
            </w:r>
            <w:r>
              <w:rPr>
                <w:rFonts w:hint="eastAsia" w:ascii="微软雅黑" w:hAnsi="微软雅黑" w:eastAsia="微软雅黑" w:cs="微软雅黑"/>
                <w:kern w:val="0"/>
                <w:sz w:val="24"/>
              </w:rPr>
              <w:t>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pH水质自动分析仪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45"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954"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pH 0～14 （0～40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漂移（pH=4、7、9）</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 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w:t>
            </w:r>
            <w:r>
              <w:rPr>
                <w:rFonts w:ascii="微软雅黑" w:hAnsi="微软雅黑" w:eastAsia="微软雅黑" w:cs="微软雅黑"/>
                <w:kern w:val="0"/>
                <w:sz w:val="24"/>
              </w:rPr>
              <w:t>1</w:t>
            </w:r>
            <w:r>
              <w:rPr>
                <w:rFonts w:hint="eastAsia" w:ascii="微软雅黑" w:hAnsi="微软雅黑" w:eastAsia="微软雅黑" w:cs="微软雅黑"/>
                <w:kern w:val="0"/>
                <w:sz w:val="24"/>
              </w:rPr>
              <w:t xml:space="preserve"> 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响应时间</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≤30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温度补偿精度</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 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95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溶解氧水质自动分析仪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2"/>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92"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883"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电化学法、荧光法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0～20 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w:t>
            </w:r>
            <w:r>
              <w:rPr>
                <w:rFonts w:ascii="微软雅黑" w:hAnsi="微软雅黑" w:eastAsia="微软雅黑" w:cs="微软雅黑"/>
                <w:kern w:val="0"/>
                <w:sz w:val="24"/>
              </w:rPr>
              <w:t>3</w:t>
            </w:r>
            <w:r>
              <w:rPr>
                <w:rFonts w:hint="eastAsia" w:ascii="微软雅黑" w:hAnsi="微软雅黑" w:eastAsia="微软雅黑" w:cs="微软雅黑"/>
                <w:kern w:val="0"/>
                <w:sz w:val="24"/>
              </w:rPr>
              <w:t xml:space="preserve">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响应时间（T</w:t>
            </w:r>
            <w:r>
              <w:rPr>
                <w:rFonts w:hint="eastAsia" w:ascii="微软雅黑" w:hAnsi="微软雅黑" w:eastAsia="微软雅黑" w:cs="微软雅黑"/>
                <w:kern w:val="0"/>
                <w:sz w:val="24"/>
                <w:vertAlign w:val="subscript"/>
              </w:rPr>
              <w:t>90</w:t>
            </w:r>
            <w:r>
              <w:rPr>
                <w:rFonts w:hint="eastAsia" w:ascii="微软雅黑" w:hAnsi="微软雅黑" w:eastAsia="微软雅黑" w:cs="微软雅黑"/>
                <w:kern w:val="0"/>
                <w:sz w:val="24"/>
              </w:rPr>
              <w:t>）</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温度补偿精度</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2"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883"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电导率水质自动分析仪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64"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855"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0～500 mS/m （0～40℃），可调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1</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响应时间（T</w:t>
            </w:r>
            <w:r>
              <w:rPr>
                <w:rFonts w:hint="eastAsia" w:ascii="微软雅黑" w:hAnsi="微软雅黑" w:eastAsia="微软雅黑" w:cs="微软雅黑"/>
                <w:kern w:val="0"/>
                <w:sz w:val="24"/>
                <w:vertAlign w:val="subscript"/>
              </w:rPr>
              <w:t>90</w:t>
            </w:r>
            <w:r>
              <w:rPr>
                <w:rFonts w:hint="eastAsia" w:ascii="微软雅黑" w:hAnsi="微软雅黑" w:eastAsia="微软雅黑" w:cs="微软雅黑"/>
                <w:kern w:val="0"/>
                <w:sz w:val="24"/>
              </w:rPr>
              <w:t>）</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温度补偿精度</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4"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855"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beforeLines="50"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浊度水质自动分析仪</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6"/>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56"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5847" w:type="dxa"/>
            <w:noWrap/>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光散射法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0～1000NTU，可调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5</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线性误差</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平均无故障时间</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防护等级</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6"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通讯协议</w:t>
            </w:r>
          </w:p>
        </w:tc>
        <w:tc>
          <w:tcPr>
            <w:tcW w:w="5847" w:type="dxa"/>
            <w:noWrap/>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MODBUS或MODBUS/TCP</w:t>
            </w:r>
          </w:p>
        </w:tc>
      </w:tr>
    </w:tbl>
    <w:p>
      <w:pPr>
        <w:spacing w:line="400" w:lineRule="exact"/>
        <w:rPr>
          <w:rFonts w:ascii="微软雅黑" w:hAnsi="微软雅黑" w:eastAsia="微软雅黑" w:cs="微软雅黑"/>
          <w:b/>
          <w:bCs/>
          <w:sz w:val="24"/>
        </w:rPr>
      </w:pPr>
    </w:p>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1.2.2 氨氮水质自动分析仪</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3347"/>
        <w:gridCol w:w="350"/>
        <w:gridCol w:w="1645"/>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30"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6988" w:type="dxa"/>
            <w:gridSpan w:val="4"/>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818" w:type="dxa"/>
            <w:gridSpan w:val="5"/>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纳氏试剂分光光度法、水杨酸分光光度法、氨气敏电极法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量程范围：0～</w:t>
            </w:r>
            <w:r>
              <w:rPr>
                <w:rFonts w:ascii="微软雅黑" w:hAnsi="微软雅黑" w:eastAsia="微软雅黑" w:cs="微软雅黑"/>
                <w:bCs/>
                <w:sz w:val="24"/>
              </w:rPr>
              <w:t>10</w:t>
            </w:r>
            <w:r>
              <w:rPr>
                <w:rFonts w:hint="eastAsia" w:ascii="微软雅黑" w:hAnsi="微软雅黑" w:eastAsia="微软雅黑" w:cs="微软雅黑"/>
                <w:bCs/>
                <w:sz w:val="24"/>
              </w:rPr>
              <w:t>mg/L，可切换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零点漂移</w:t>
            </w:r>
          </w:p>
        </w:tc>
        <w:tc>
          <w:tcPr>
            <w:tcW w:w="6988" w:type="dxa"/>
            <w:gridSpan w:val="4"/>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①≤±0.0</w:t>
            </w:r>
            <w:r>
              <w:rPr>
                <w:rFonts w:ascii="微软雅黑" w:hAnsi="微软雅黑" w:eastAsia="微软雅黑" w:cs="微软雅黑"/>
                <w:b/>
                <w:bCs/>
                <w:kern w:val="0"/>
                <w:sz w:val="24"/>
              </w:rPr>
              <w:t>1</w:t>
            </w:r>
            <w:r>
              <w:rPr>
                <w:rFonts w:hint="eastAsia" w:ascii="微软雅黑" w:hAnsi="微软雅黑" w:eastAsia="微软雅黑" w:cs="微软雅黑"/>
                <w:b/>
                <w:bCs/>
                <w:kern w:val="0"/>
                <w:sz w:val="24"/>
              </w:rPr>
              <w:t xml:space="preserve"> mg/L；②≤±0.02mg/L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量程漂移</w:t>
            </w:r>
          </w:p>
        </w:tc>
        <w:tc>
          <w:tcPr>
            <w:tcW w:w="6988" w:type="dxa"/>
            <w:gridSpan w:val="4"/>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kern w:val="0"/>
                <w:sz w:val="24"/>
              </w:rPr>
              <w:t>0.5</w:t>
            </w:r>
            <w:r>
              <w:rPr>
                <w:rFonts w:hint="eastAsia" w:ascii="微软雅黑" w:hAnsi="微软雅黑" w:eastAsia="微软雅黑" w:cs="微软雅黑"/>
                <w:b/>
                <w:bCs/>
                <w:kern w:val="0"/>
                <w:sz w:val="24"/>
              </w:rPr>
              <w:t>%；②≤±</w:t>
            </w:r>
            <w:r>
              <w:rPr>
                <w:rFonts w:ascii="微软雅黑" w:hAnsi="微软雅黑" w:eastAsia="微软雅黑" w:cs="微软雅黑"/>
                <w:b/>
                <w:bCs/>
                <w:kern w:val="0"/>
                <w:sz w:val="24"/>
              </w:rPr>
              <w:t>1.0</w:t>
            </w:r>
            <w:r>
              <w:rPr>
                <w:rFonts w:hint="eastAsia" w:ascii="微软雅黑" w:hAnsi="微软雅黑" w:eastAsia="微软雅黑" w:cs="微软雅黑"/>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restart"/>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示值误差</w:t>
            </w:r>
          </w:p>
        </w:tc>
        <w:tc>
          <w:tcPr>
            <w:tcW w:w="3697" w:type="dxa"/>
            <w:gridSpan w:val="2"/>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标液浓度为2.0 mg/L时</w:t>
            </w:r>
          </w:p>
        </w:tc>
        <w:tc>
          <w:tcPr>
            <w:tcW w:w="1645" w:type="dxa"/>
            <w:vMerge w:val="restart"/>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 xml:space="preserve">① </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2</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2</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1</w:t>
            </w:r>
            <w:r>
              <w:rPr>
                <w:rFonts w:hint="eastAsia" w:ascii="微软雅黑" w:hAnsi="微软雅黑" w:eastAsia="微软雅黑" w:cs="微软雅黑"/>
                <w:b/>
                <w:bCs/>
                <w:kern w:val="0"/>
                <w:sz w:val="24"/>
              </w:rPr>
              <w:t>.0%</w:t>
            </w:r>
          </w:p>
        </w:tc>
        <w:tc>
          <w:tcPr>
            <w:tcW w:w="1646" w:type="dxa"/>
            <w:vMerge w:val="restart"/>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②</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8</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.0%</w:t>
            </w:r>
          </w:p>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w:t>
            </w:r>
            <w:r>
              <w:rPr>
                <w:rFonts w:ascii="微软雅黑" w:hAnsi="微软雅黑" w:eastAsia="微软雅黑" w:cs="微软雅黑"/>
                <w:b/>
                <w:bCs/>
                <w:kern w:val="0"/>
                <w:sz w:val="24"/>
              </w:rPr>
              <w:t>3</w:t>
            </w:r>
            <w:r>
              <w:rPr>
                <w:rFonts w:hint="eastAsia" w:ascii="微软雅黑" w:hAnsi="微软雅黑" w:eastAsia="微软雅黑" w:cs="微软雅黑"/>
                <w:b/>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b/>
                <w:bCs/>
                <w:kern w:val="0"/>
                <w:sz w:val="24"/>
              </w:rPr>
            </w:pPr>
          </w:p>
        </w:tc>
        <w:tc>
          <w:tcPr>
            <w:tcW w:w="3697" w:type="dxa"/>
            <w:gridSpan w:val="2"/>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标液浓度为5.0 mg/L时</w:t>
            </w:r>
          </w:p>
        </w:tc>
        <w:tc>
          <w:tcPr>
            <w:tcW w:w="1645" w:type="dxa"/>
            <w:vMerge w:val="continue"/>
            <w:vAlign w:val="center"/>
          </w:tcPr>
          <w:p>
            <w:pPr>
              <w:spacing w:line="400" w:lineRule="exact"/>
              <w:rPr>
                <w:rFonts w:ascii="微软雅黑" w:hAnsi="微软雅黑" w:eastAsia="微软雅黑" w:cs="微软雅黑"/>
                <w:kern w:val="0"/>
                <w:sz w:val="24"/>
              </w:rPr>
            </w:pPr>
          </w:p>
        </w:tc>
        <w:tc>
          <w:tcPr>
            <w:tcW w:w="1646" w:type="dxa"/>
            <w:vMerge w:val="continue"/>
            <w:vAlign w:val="center"/>
          </w:tcPr>
          <w:p>
            <w:pPr>
              <w:spacing w:line="400" w:lineRule="exact"/>
              <w:rPr>
                <w:rFonts w:ascii="微软雅黑" w:hAnsi="微软雅黑" w:eastAsia="微软雅黑" w:cs="微软雅黑"/>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b/>
                <w:bCs/>
                <w:kern w:val="0"/>
                <w:sz w:val="24"/>
              </w:rPr>
            </w:pPr>
          </w:p>
        </w:tc>
        <w:tc>
          <w:tcPr>
            <w:tcW w:w="3697" w:type="dxa"/>
            <w:gridSpan w:val="2"/>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标液浓度为8.0 mg/L时</w:t>
            </w:r>
          </w:p>
        </w:tc>
        <w:tc>
          <w:tcPr>
            <w:tcW w:w="1645" w:type="dxa"/>
            <w:vMerge w:val="continue"/>
            <w:vAlign w:val="center"/>
          </w:tcPr>
          <w:p>
            <w:pPr>
              <w:spacing w:line="400" w:lineRule="exact"/>
              <w:rPr>
                <w:rFonts w:ascii="微软雅黑" w:hAnsi="微软雅黑" w:eastAsia="微软雅黑" w:cs="微软雅黑"/>
                <w:kern w:val="0"/>
                <w:sz w:val="24"/>
              </w:rPr>
            </w:pPr>
          </w:p>
        </w:tc>
        <w:tc>
          <w:tcPr>
            <w:tcW w:w="1646" w:type="dxa"/>
            <w:vMerge w:val="continue"/>
            <w:vAlign w:val="center"/>
          </w:tcPr>
          <w:p>
            <w:pPr>
              <w:spacing w:line="400" w:lineRule="exact"/>
              <w:rPr>
                <w:rFonts w:ascii="微软雅黑" w:hAnsi="微软雅黑" w:eastAsia="微软雅黑" w:cs="微软雅黑"/>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重复性</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0.5</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restart"/>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记忆效应</w:t>
            </w:r>
          </w:p>
        </w:tc>
        <w:tc>
          <w:tcPr>
            <w:tcW w:w="3697"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标液浓度为2.0 mg/L时</w:t>
            </w:r>
          </w:p>
        </w:tc>
        <w:tc>
          <w:tcPr>
            <w:tcW w:w="3291"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 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kern w:val="0"/>
                <w:sz w:val="24"/>
              </w:rPr>
            </w:pPr>
          </w:p>
        </w:tc>
        <w:tc>
          <w:tcPr>
            <w:tcW w:w="3697"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标液浓度为8.0 mg/L时</w:t>
            </w:r>
          </w:p>
        </w:tc>
        <w:tc>
          <w:tcPr>
            <w:tcW w:w="3291" w:type="dxa"/>
            <w:gridSpan w:val="2"/>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 0.2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检出限</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≤0.0</w:t>
            </w:r>
            <w:r>
              <w:rPr>
                <w:rFonts w:ascii="微软雅黑" w:hAnsi="微软雅黑" w:eastAsia="微软雅黑" w:cs="微软雅黑"/>
                <w:kern w:val="0"/>
                <w:sz w:val="24"/>
              </w:rPr>
              <w:t>1</w:t>
            </w:r>
            <w:r>
              <w:rPr>
                <w:rFonts w:hint="eastAsia" w:ascii="微软雅黑" w:hAnsi="微软雅黑" w:eastAsia="微软雅黑" w:cs="微软雅黑"/>
                <w:kern w:val="0"/>
                <w:sz w:val="24"/>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pH干扰试验</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restart"/>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3347"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水样浓度&lt;2.0 mg/L</w:t>
            </w:r>
          </w:p>
        </w:tc>
        <w:tc>
          <w:tcPr>
            <w:tcW w:w="3641" w:type="dxa"/>
            <w:gridSpan w:val="3"/>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≤0.2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Merge w:val="continue"/>
            <w:vAlign w:val="center"/>
          </w:tcPr>
          <w:p>
            <w:pPr>
              <w:spacing w:line="400" w:lineRule="exact"/>
              <w:rPr>
                <w:rFonts w:ascii="微软雅黑" w:hAnsi="微软雅黑" w:eastAsia="微软雅黑" w:cs="微软雅黑"/>
                <w:kern w:val="0"/>
                <w:sz w:val="24"/>
              </w:rPr>
            </w:pPr>
          </w:p>
        </w:tc>
        <w:tc>
          <w:tcPr>
            <w:tcW w:w="3347"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水样浓度≥2.0 mg/L</w:t>
            </w:r>
          </w:p>
        </w:tc>
        <w:tc>
          <w:tcPr>
            <w:tcW w:w="3641" w:type="dxa"/>
            <w:gridSpan w:val="3"/>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lang w:val="zh-CN"/>
              </w:rPr>
            </w:pPr>
            <w:r>
              <w:rPr>
                <w:rFonts w:hint="eastAsia" w:ascii="微软雅黑" w:hAnsi="微软雅黑" w:eastAsia="微软雅黑" w:cs="微软雅黑"/>
                <w:kern w:val="0"/>
                <w:sz w:val="24"/>
                <w:lang w:val="zh-CN"/>
              </w:rPr>
              <w:t>最小维护周期</w:t>
            </w:r>
          </w:p>
        </w:tc>
        <w:tc>
          <w:tcPr>
            <w:tcW w:w="6988" w:type="dxa"/>
            <w:gridSpan w:val="4"/>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≥168h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抗干扰能力</w:t>
            </w:r>
          </w:p>
        </w:tc>
        <w:tc>
          <w:tcPr>
            <w:tcW w:w="6988" w:type="dxa"/>
            <w:gridSpan w:val="4"/>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节能环保</w:t>
            </w:r>
          </w:p>
        </w:tc>
        <w:tc>
          <w:tcPr>
            <w:tcW w:w="6988" w:type="dxa"/>
            <w:gridSpan w:val="4"/>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为了防止二次污染，仪器单次运行废液排放量小于10ml</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1.2.3高锰酸盐指数水质自动分析仪</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30"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6988"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818" w:type="dxa"/>
            <w:gridSpan w:val="2"/>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高锰酸钾氧化法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量程范围：0～</w:t>
            </w:r>
            <w:r>
              <w:rPr>
                <w:rFonts w:ascii="微软雅黑" w:hAnsi="微软雅黑" w:eastAsia="微软雅黑" w:cs="微软雅黑"/>
                <w:bCs/>
                <w:sz w:val="24"/>
              </w:rPr>
              <w:t>20</w:t>
            </w:r>
            <w:r>
              <w:rPr>
                <w:rFonts w:hint="eastAsia" w:ascii="微软雅黑" w:hAnsi="微软雅黑" w:eastAsia="微软雅黑" w:cs="微软雅黑"/>
                <w:bCs/>
                <w:sz w:val="24"/>
              </w:rPr>
              <w:t>mg/L，可切换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1</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量程漂移</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①≤±1%；②≤±</w:t>
            </w:r>
            <w:r>
              <w:rPr>
                <w:rFonts w:ascii="微软雅黑" w:hAnsi="微软雅黑" w:eastAsia="微软雅黑" w:cs="微软雅黑"/>
                <w:b/>
                <w:bCs/>
                <w:kern w:val="0"/>
                <w:sz w:val="24"/>
              </w:rPr>
              <w:t>2</w:t>
            </w:r>
            <w:r>
              <w:rPr>
                <w:rFonts w:hint="eastAsia" w:ascii="微软雅黑" w:hAnsi="微软雅黑" w:eastAsia="微软雅黑" w:cs="微软雅黑"/>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葡萄糖试验</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kern w:val="0"/>
                <w:sz w:val="24"/>
              </w:rPr>
              <w:t>3</w:t>
            </w:r>
            <w:r>
              <w:rPr>
                <w:rFonts w:hint="eastAsia" w:ascii="微软雅黑" w:hAnsi="微软雅黑" w:eastAsia="微软雅黑" w:cs="微软雅黑"/>
                <w:b/>
                <w:bCs/>
                <w:kern w:val="0"/>
                <w:sz w:val="24"/>
              </w:rPr>
              <w:t>%；②≤±</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%（测量误差）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重复性</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①≤±1%；②≤±</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检出限</w:t>
            </w:r>
          </w:p>
        </w:tc>
        <w:tc>
          <w:tcPr>
            <w:tcW w:w="6988"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①≤0.0</w:t>
            </w:r>
            <w:r>
              <w:rPr>
                <w:rFonts w:ascii="微软雅黑" w:hAnsi="微软雅黑" w:eastAsia="微软雅黑" w:cs="微软雅黑"/>
                <w:b/>
                <w:bCs/>
                <w:kern w:val="0"/>
                <w:sz w:val="24"/>
              </w:rPr>
              <w:t>5</w:t>
            </w:r>
            <w:r>
              <w:rPr>
                <w:rFonts w:hint="eastAsia" w:ascii="微软雅黑" w:hAnsi="微软雅黑" w:eastAsia="微软雅黑" w:cs="微软雅黑"/>
                <w:b/>
                <w:bCs/>
                <w:kern w:val="0"/>
                <w:sz w:val="24"/>
              </w:rPr>
              <w:t>mg/L；②≤0.</w:t>
            </w:r>
            <w:r>
              <w:rPr>
                <w:rFonts w:ascii="微软雅黑" w:hAnsi="微软雅黑" w:eastAsia="微软雅黑" w:cs="微软雅黑"/>
                <w:b/>
                <w:bCs/>
                <w:kern w:val="0"/>
                <w:sz w:val="24"/>
              </w:rPr>
              <w:t>10</w:t>
            </w:r>
            <w:r>
              <w:rPr>
                <w:rFonts w:hint="eastAsia" w:ascii="微软雅黑" w:hAnsi="微软雅黑" w:eastAsia="微软雅黑" w:cs="微软雅黑"/>
                <w:b/>
                <w:bCs/>
                <w:kern w:val="0"/>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抗干扰能力</w:t>
            </w:r>
          </w:p>
        </w:tc>
        <w:tc>
          <w:tcPr>
            <w:tcW w:w="6988"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环保性能</w:t>
            </w:r>
          </w:p>
        </w:tc>
        <w:tc>
          <w:tcPr>
            <w:tcW w:w="6988" w:type="dxa"/>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为了防止二次污染，仪器单次运行废液排放量小于10ml</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1.2.4总磷水质自动分析仪</w:t>
      </w:r>
    </w:p>
    <w:tbl>
      <w:tblPr>
        <w:tblStyle w:val="3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65"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7024"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钼酸铵分光光度法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0～</w:t>
            </w:r>
            <w:r>
              <w:rPr>
                <w:rFonts w:ascii="微软雅黑" w:hAnsi="微软雅黑" w:eastAsia="微软雅黑" w:cs="微软雅黑"/>
                <w:bCs/>
                <w:sz w:val="24"/>
              </w:rPr>
              <w:t>2</w:t>
            </w:r>
            <w:r>
              <w:rPr>
                <w:rFonts w:hint="eastAsia" w:ascii="微软雅黑" w:hAnsi="微软雅黑" w:eastAsia="微软雅黑" w:cs="微软雅黑"/>
                <w:bCs/>
                <w:sz w:val="24"/>
              </w:rPr>
              <w:t>mg/L，可切换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零点漂移</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0.5</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1</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直线性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1</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5</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重复性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0.2</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1</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检出限</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①≤0.</w:t>
            </w:r>
            <w:r>
              <w:rPr>
                <w:rFonts w:ascii="微软雅黑" w:hAnsi="微软雅黑" w:eastAsia="微软雅黑" w:cs="微软雅黑"/>
                <w:b/>
                <w:bCs/>
                <w:kern w:val="0"/>
                <w:sz w:val="24"/>
              </w:rPr>
              <w:t>002</w:t>
            </w:r>
            <w:r>
              <w:rPr>
                <w:rFonts w:hint="eastAsia" w:ascii="微软雅黑" w:hAnsi="微软雅黑" w:eastAsia="微软雅黑" w:cs="微软雅黑"/>
                <w:b/>
                <w:bCs/>
                <w:kern w:val="0"/>
                <w:sz w:val="24"/>
              </w:rPr>
              <w:t>mg/L；②≤0.0</w:t>
            </w:r>
            <w:r>
              <w:rPr>
                <w:rFonts w:ascii="微软雅黑" w:hAnsi="微软雅黑" w:eastAsia="微软雅黑" w:cs="微软雅黑"/>
                <w:b/>
                <w:bCs/>
                <w:kern w:val="0"/>
                <w:sz w:val="24"/>
              </w:rPr>
              <w:t>05</w:t>
            </w:r>
            <w:r>
              <w:rPr>
                <w:rFonts w:hint="eastAsia" w:ascii="微软雅黑" w:hAnsi="微软雅黑" w:eastAsia="微软雅黑" w:cs="微软雅黑"/>
                <w:b/>
                <w:bCs/>
                <w:kern w:val="0"/>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抗干扰能力</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环保性能</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为了防止二次污染，仪器单次运行废液排放量小于5ml</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w:t>
      </w:r>
      <w:r>
        <w:rPr>
          <w:rFonts w:ascii="微软雅黑" w:hAnsi="微软雅黑" w:eastAsia="微软雅黑" w:cs="微软雅黑"/>
          <w:b/>
          <w:bCs/>
          <w:sz w:val="24"/>
        </w:rPr>
        <w:t>5</w:t>
      </w:r>
      <w:r>
        <w:rPr>
          <w:rFonts w:hint="eastAsia" w:ascii="微软雅黑" w:hAnsi="微软雅黑" w:eastAsia="微软雅黑" w:cs="微软雅黑"/>
          <w:b/>
          <w:bCs/>
          <w:sz w:val="24"/>
        </w:rPr>
        <w:t>）总氮水质自动分析仪</w:t>
      </w:r>
    </w:p>
    <w:tbl>
      <w:tblPr>
        <w:tblStyle w:val="3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65"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项目</w:t>
            </w:r>
          </w:p>
        </w:tc>
        <w:tc>
          <w:tcPr>
            <w:tcW w:w="7024" w:type="dxa"/>
            <w:vAlign w:val="center"/>
          </w:tcPr>
          <w:p>
            <w:pPr>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vAlign w:val="center"/>
          </w:tcPr>
          <w:p>
            <w:pPr>
              <w:spacing w:line="400" w:lineRule="exact"/>
              <w:rPr>
                <w:rFonts w:ascii="微软雅黑" w:hAnsi="微软雅黑" w:eastAsia="微软雅黑" w:cs="微软雅黑"/>
                <w:b/>
                <w:kern w:val="0"/>
                <w:sz w:val="24"/>
              </w:rPr>
            </w:pPr>
            <w:r>
              <w:rPr>
                <w:rFonts w:hint="eastAsia" w:ascii="微软雅黑" w:hAnsi="微软雅黑" w:eastAsia="微软雅黑" w:cs="微软雅黑"/>
                <w:b/>
                <w:kern w:val="0"/>
                <w:sz w:val="24"/>
              </w:rPr>
              <w:t>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测定原理</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过硫酸钾消解－紫外分光光度法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0～20mg/L，可调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自动稀释</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仪器具有智能稀释技术，可根据水样浓度，自动调整稀释比例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零点漂移</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1</w:t>
            </w:r>
            <w:r>
              <w:rPr>
                <w:rFonts w:hint="eastAsia" w:ascii="微软雅黑" w:hAnsi="微软雅黑" w:eastAsia="微软雅黑" w:cs="微软雅黑"/>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量程漂移</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直线性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1</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5</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重复性</w:t>
            </w:r>
          </w:p>
        </w:tc>
        <w:tc>
          <w:tcPr>
            <w:tcW w:w="7024" w:type="dxa"/>
            <w:vAlign w:val="center"/>
          </w:tcPr>
          <w:p>
            <w:pPr>
              <w:spacing w:line="400" w:lineRule="exact"/>
              <w:rPr>
                <w:rFonts w:ascii="微软雅黑" w:hAnsi="微软雅黑" w:eastAsia="微软雅黑" w:cs="微软雅黑"/>
                <w:b/>
                <w:bCs/>
                <w:kern w:val="0"/>
                <w:sz w:val="24"/>
              </w:rPr>
            </w:pPr>
            <w:r>
              <w:rPr>
                <w:rFonts w:hint="eastAsia" w:ascii="微软雅黑" w:hAnsi="微软雅黑" w:eastAsia="微软雅黑" w:cs="微软雅黑"/>
                <w:b/>
                <w:bCs/>
                <w:kern w:val="0"/>
                <w:sz w:val="24"/>
              </w:rPr>
              <w:t>①≤±</w:t>
            </w:r>
            <w:r>
              <w:rPr>
                <w:rFonts w:ascii="微软雅黑" w:hAnsi="微软雅黑" w:eastAsia="微软雅黑" w:cs="微软雅黑"/>
                <w:b/>
                <w:bCs/>
                <w:sz w:val="24"/>
              </w:rPr>
              <w:t>0.2</w:t>
            </w:r>
            <w:r>
              <w:rPr>
                <w:rFonts w:hint="eastAsia" w:ascii="微软雅黑" w:hAnsi="微软雅黑" w:eastAsia="微软雅黑" w:cs="微软雅黑"/>
                <w:b/>
                <w:bCs/>
                <w:sz w:val="24"/>
              </w:rPr>
              <w:t>%</w:t>
            </w:r>
            <w:r>
              <w:rPr>
                <w:rFonts w:hint="eastAsia" w:ascii="微软雅黑" w:hAnsi="微软雅黑" w:eastAsia="微软雅黑" w:cs="微软雅黑"/>
                <w:b/>
                <w:bCs/>
                <w:kern w:val="0"/>
                <w:sz w:val="24"/>
              </w:rPr>
              <w:t>；②≤±</w:t>
            </w:r>
            <w:r>
              <w:rPr>
                <w:rFonts w:ascii="微软雅黑" w:hAnsi="微软雅黑" w:eastAsia="微软雅黑" w:cs="微软雅黑"/>
                <w:b/>
                <w:bCs/>
                <w:sz w:val="24"/>
              </w:rPr>
              <w:t>1</w:t>
            </w:r>
            <w:r>
              <w:rPr>
                <w:rFonts w:hint="eastAsia" w:ascii="微软雅黑" w:hAnsi="微软雅黑" w:eastAsia="微软雅黑" w:cs="微软雅黑"/>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检出限</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≤0.0</w:t>
            </w:r>
            <w:r>
              <w:rPr>
                <w:rFonts w:ascii="微软雅黑" w:hAnsi="微软雅黑" w:eastAsia="微软雅黑" w:cs="微软雅黑"/>
                <w:kern w:val="0"/>
                <w:sz w:val="24"/>
              </w:rPr>
              <w:t>5</w:t>
            </w:r>
            <w:r>
              <w:rPr>
                <w:rFonts w:hint="eastAsia" w:ascii="微软雅黑" w:hAnsi="微软雅黑" w:eastAsia="微软雅黑" w:cs="微软雅黑"/>
                <w:kern w:val="0"/>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MTBF</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实际水样比对试验</w:t>
            </w:r>
          </w:p>
        </w:tc>
        <w:tc>
          <w:tcPr>
            <w:tcW w:w="7024"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kern w:val="0"/>
                <w:sz w:val="24"/>
              </w:rPr>
              <w:t>抗干扰能力</w:t>
            </w:r>
          </w:p>
        </w:tc>
        <w:tc>
          <w:tcPr>
            <w:tcW w:w="7024" w:type="dxa"/>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bCs/>
                <w:sz w:val="24"/>
              </w:rPr>
              <w:t>仪器具有国标法的浊度、色度补偿功能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vAlign w:val="center"/>
          </w:tcPr>
          <w:p>
            <w:pPr>
              <w:spacing w:line="400" w:lineRule="exact"/>
              <w:rPr>
                <w:rFonts w:ascii="微软雅黑" w:hAnsi="微软雅黑" w:eastAsia="微软雅黑" w:cs="微软雅黑"/>
                <w:kern w:val="0"/>
                <w:sz w:val="24"/>
              </w:rPr>
            </w:pPr>
            <w:r>
              <w:rPr>
                <w:rFonts w:hint="eastAsia" w:ascii="微软雅黑" w:hAnsi="微软雅黑" w:eastAsia="微软雅黑" w:cs="微软雅黑"/>
                <w:bCs/>
                <w:sz w:val="24"/>
              </w:rPr>
              <w:t>环保性能</w:t>
            </w:r>
          </w:p>
        </w:tc>
        <w:tc>
          <w:tcPr>
            <w:tcW w:w="7024" w:type="dxa"/>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为了防止二次污染，仪器单次运行废液排放量小于10ml</w:t>
            </w:r>
          </w:p>
        </w:tc>
      </w:tr>
    </w:tbl>
    <w:p>
      <w:pPr>
        <w:pStyle w:val="7"/>
        <w:widowControl w:val="0"/>
        <w:spacing w:before="0" w:after="0" w:line="400" w:lineRule="exact"/>
        <w:jc w:val="left"/>
        <w:rPr>
          <w:rFonts w:ascii="微软雅黑" w:hAnsi="微软雅黑" w:eastAsia="微软雅黑" w:cs="微软雅黑"/>
          <w:b w:val="0"/>
          <w:bCs w:val="0"/>
          <w:sz w:val="24"/>
          <w:szCs w:val="24"/>
        </w:rPr>
      </w:pPr>
    </w:p>
    <w:p>
      <w:pPr>
        <w:pStyle w:val="7"/>
        <w:widowControl w:val="0"/>
        <w:spacing w:before="0" w:after="0"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1.3站点硬件、数据采集与传输技术指标要求</w:t>
      </w:r>
    </w:p>
    <w:p>
      <w:pPr>
        <w:spacing w:line="400" w:lineRule="exact"/>
        <w:ind w:firstLine="280" w:firstLineChars="100"/>
        <w:rPr>
          <w:rFonts w:ascii="微软雅黑" w:hAnsi="微软雅黑" w:eastAsia="微软雅黑" w:cs="微软雅黑"/>
          <w:kern w:val="0"/>
          <w:sz w:val="24"/>
        </w:rPr>
      </w:pPr>
      <w:r>
        <w:rPr>
          <w:rFonts w:hint="eastAsia" w:ascii="宋体" w:hAnsi="宋体"/>
        </w:rPr>
        <w:t>▲</w:t>
      </w:r>
      <w:r>
        <w:rPr>
          <w:rFonts w:hint="eastAsia" w:ascii="微软雅黑" w:hAnsi="微软雅黑" w:eastAsia="微软雅黑" w:cs="微软雅黑"/>
          <w:bCs/>
          <w:sz w:val="24"/>
        </w:rPr>
        <w:t>（</w:t>
      </w:r>
      <w:r>
        <w:rPr>
          <w:rFonts w:hint="eastAsia" w:ascii="微软雅黑" w:hAnsi="微软雅黑" w:eastAsia="微软雅黑" w:cs="微软雅黑"/>
          <w:sz w:val="24"/>
        </w:rPr>
        <w:t>1）投标人所投</w:t>
      </w:r>
      <w:r>
        <w:rPr>
          <w:rFonts w:hint="eastAsia" w:ascii="微软雅黑" w:hAnsi="微软雅黑" w:eastAsia="微软雅黑" w:cs="微软雅黑"/>
          <w:kern w:val="0"/>
          <w:sz w:val="24"/>
        </w:rPr>
        <w:t>自动监测仪器的测量原理必须符合中国国家标准分析方法，且所投常规五参数、总磷、总氮、氨氮、高锰酸盐指数分析仪必须通过生态环境部（或原环境保护部）环境监测仪器质量监督检验中心的适用性检测，投标文件必须提供生态环境部（或原环境保护部）环境监测仪器质量监督检验中心出具的在有效期内的检测合格报告复印件佐证，否则投标文件将被否决。</w:t>
      </w:r>
    </w:p>
    <w:p>
      <w:pPr>
        <w:spacing w:line="400" w:lineRule="exact"/>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w:t>
      </w:r>
      <w:r>
        <w:rPr>
          <w:rFonts w:ascii="微软雅黑" w:hAnsi="微软雅黑" w:eastAsia="微软雅黑" w:cs="微软雅黑"/>
          <w:kern w:val="0"/>
          <w:sz w:val="24"/>
        </w:rPr>
        <w:t>2</w:t>
      </w:r>
      <w:r>
        <w:rPr>
          <w:rFonts w:hint="eastAsia" w:ascii="微软雅黑" w:hAnsi="微软雅黑" w:eastAsia="微软雅黑" w:cs="微软雅黑"/>
          <w:kern w:val="0"/>
          <w:sz w:val="24"/>
        </w:rPr>
        <w:t>）硬件设备技术参数</w:t>
      </w:r>
    </w:p>
    <w:p>
      <w:pPr>
        <w:spacing w:line="400" w:lineRule="exact"/>
        <w:ind w:firstLine="1201" w:firstLineChars="500"/>
        <w:rPr>
          <w:rFonts w:ascii="微软雅黑" w:hAnsi="微软雅黑" w:eastAsia="微软雅黑" w:cs="微软雅黑"/>
          <w:b/>
          <w:bCs/>
          <w:kern w:val="0"/>
          <w:sz w:val="24"/>
        </w:rPr>
      </w:pPr>
      <w:r>
        <w:rPr>
          <w:rFonts w:hint="eastAsia" w:ascii="微软雅黑" w:hAnsi="微软雅黑" w:eastAsia="微软雅黑" w:cs="微软雅黑"/>
          <w:b/>
          <w:bCs/>
          <w:kern w:val="0"/>
          <w:sz w:val="24"/>
        </w:rPr>
        <w:t>工业控制计算机</w:t>
      </w:r>
    </w:p>
    <w:tbl>
      <w:tblPr>
        <w:tblStyle w:val="38"/>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指标名称</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CPU</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内存</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硬盘容量</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≥500GB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显示器</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≥12英寸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5</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通讯接口</w:t>
            </w:r>
          </w:p>
        </w:tc>
        <w:tc>
          <w:tcPr>
            <w:tcW w:w="541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RS232/485 COM口，不小于8个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微软雅黑"/>
                <w:kern w:val="0"/>
                <w:sz w:val="24"/>
              </w:rPr>
            </w:pPr>
          </w:p>
        </w:tc>
        <w:tc>
          <w:tcPr>
            <w:tcW w:w="541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网口，不少于2个</w:t>
            </w:r>
          </w:p>
        </w:tc>
      </w:tr>
    </w:tbl>
    <w:p>
      <w:pPr>
        <w:spacing w:line="400" w:lineRule="exact"/>
        <w:ind w:firstLine="1114" w:firstLineChars="464"/>
        <w:rPr>
          <w:rFonts w:ascii="微软雅黑" w:hAnsi="微软雅黑" w:eastAsia="微软雅黑" w:cs="微软雅黑"/>
          <w:b/>
          <w:bCs/>
          <w:kern w:val="0"/>
          <w:sz w:val="24"/>
        </w:rPr>
      </w:pPr>
      <w:r>
        <w:rPr>
          <w:rFonts w:hint="eastAsia" w:ascii="微软雅黑" w:hAnsi="微软雅黑" w:eastAsia="微软雅黑" w:cs="微软雅黑"/>
          <w:b/>
          <w:bCs/>
          <w:kern w:val="0"/>
          <w:sz w:val="24"/>
        </w:rPr>
        <w:t>可编程控制器</w:t>
      </w:r>
    </w:p>
    <w:tbl>
      <w:tblPr>
        <w:tblStyle w:val="38"/>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4"/>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指标名称</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扩展能力</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控制器输入输出接口满足需求且余量不少于4路，以便以后扩展。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防雷抗干扰能力</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符合抗电磁辐射、电磁感应的相关规定，具备电源隔离和信号隔离措施。</w:t>
            </w:r>
          </w:p>
        </w:tc>
      </w:tr>
    </w:tbl>
    <w:p>
      <w:pPr>
        <w:pStyle w:val="2"/>
        <w:ind w:firstLine="544"/>
      </w:pP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3</w:t>
      </w:r>
      <w:r>
        <w:rPr>
          <w:rFonts w:hint="eastAsia" w:ascii="微软雅黑" w:hAnsi="微软雅黑" w:eastAsia="微软雅黑" w:cs="微软雅黑"/>
          <w:sz w:val="24"/>
        </w:rPr>
        <w:t>）</w:t>
      </w:r>
      <w:r>
        <w:rPr>
          <w:rFonts w:hint="eastAsia" w:ascii="微软雅黑" w:hAnsi="微软雅黑" w:eastAsia="微软雅黑" w:cs="微软雅黑"/>
          <w:kern w:val="0"/>
          <w:sz w:val="24"/>
        </w:rPr>
        <w:t>应具有仪器基本参数贮存，断电、断水自动保护功能；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4</w:t>
      </w:r>
      <w:r>
        <w:rPr>
          <w:rFonts w:hint="eastAsia" w:ascii="微软雅黑" w:hAnsi="微软雅黑" w:eastAsia="微软雅黑" w:cs="微软雅黑"/>
          <w:sz w:val="24"/>
        </w:rPr>
        <w:t>）具有异常信息记录、上传功能，如零部件故障、采水故障、超量程报警、超标报警、缺试剂报警等信息；</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5</w:t>
      </w:r>
      <w:r>
        <w:rPr>
          <w:rFonts w:hint="eastAsia" w:ascii="微软雅黑" w:hAnsi="微软雅黑" w:eastAsia="微软雅黑" w:cs="微软雅黑"/>
          <w:sz w:val="24"/>
        </w:rPr>
        <w:t>）具有双向数据传输功能和工作状态输出功能。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6</w:t>
      </w:r>
      <w:r>
        <w:rPr>
          <w:rFonts w:hint="eastAsia" w:ascii="微软雅黑" w:hAnsi="微软雅黑" w:eastAsia="微软雅黑" w:cs="微软雅黑"/>
          <w:sz w:val="24"/>
        </w:rPr>
        <w:t>）具有仪器关键参数上传、远程设置功能，能接受远程控制指令；</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7</w:t>
      </w:r>
      <w:r>
        <w:rPr>
          <w:rFonts w:hint="eastAsia" w:ascii="微软雅黑" w:hAnsi="微软雅黑" w:eastAsia="微软雅黑" w:cs="微软雅黑"/>
          <w:sz w:val="24"/>
        </w:rPr>
        <w:t>）确保仪器、系统运行的监测数据和状态信息等稳定传输；</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8</w:t>
      </w:r>
      <w:r>
        <w:rPr>
          <w:rFonts w:hint="eastAsia" w:ascii="微软雅黑" w:hAnsi="微软雅黑" w:eastAsia="微软雅黑" w:cs="微软雅黑"/>
          <w:sz w:val="24"/>
        </w:rPr>
        <w:t>）具备断电再度通电后自动排空分析流路、自动清洗管路、自动复位到待机状态的功能；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9</w:t>
      </w:r>
      <w:r>
        <w:rPr>
          <w:rFonts w:hint="eastAsia" w:ascii="微软雅黑" w:hAnsi="微软雅黑" w:eastAsia="微软雅黑" w:cs="微软雅黑"/>
          <w:sz w:val="24"/>
        </w:rPr>
        <w:t>）具有分析仪器及系统过程日志和环境参数记录功能，并能够进行上传；</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10</w:t>
      </w:r>
      <w:r>
        <w:rPr>
          <w:rFonts w:hint="eastAsia" w:ascii="微软雅黑" w:hAnsi="微软雅黑" w:eastAsia="微软雅黑" w:cs="微软雅黑"/>
          <w:sz w:val="24"/>
        </w:rPr>
        <w:t>）应具有时间设置功能；具有仪器状态（如测量、空闲、故障等）和关键参数显示及传输功能；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1</w:t>
      </w:r>
      <w:r>
        <w:rPr>
          <w:rFonts w:hint="eastAsia" w:ascii="微软雅黑" w:hAnsi="微软雅黑" w:eastAsia="微软雅黑" w:cs="微软雅黑"/>
          <w:sz w:val="24"/>
        </w:rPr>
        <w:t>）系统应具有良好的扩展性和兼容性，根据实际应用需要，可增加新的监测参数，并方便仪器安装与接入；</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2</w:t>
      </w:r>
      <w:r>
        <w:rPr>
          <w:rFonts w:hint="eastAsia" w:ascii="微软雅黑" w:hAnsi="微软雅黑" w:eastAsia="微软雅黑" w:cs="微软雅黑"/>
          <w:sz w:val="24"/>
        </w:rPr>
        <w:t>）高锰酸盐指数、氨氮、总磷、总氮水质自动分析仪器</w:t>
      </w:r>
      <w:r>
        <w:rPr>
          <w:rFonts w:hint="eastAsia" w:ascii="微软雅黑" w:hAnsi="微软雅黑" w:eastAsia="微软雅黑" w:cs="微软雅黑"/>
          <w:bCs/>
          <w:sz w:val="24"/>
        </w:rPr>
        <w:t>配备相应的质量控制装置可与自动监测仪联用，</w:t>
      </w:r>
      <w:r>
        <w:rPr>
          <w:rFonts w:hint="eastAsia" w:ascii="微软雅黑" w:hAnsi="微软雅黑" w:eastAsia="微软雅黑" w:cs="微软雅黑"/>
          <w:sz w:val="24"/>
        </w:rPr>
        <w:t>具有进行每日自动零点漂移、每日自动量程漂移、自动标样核查、自动加标回收测试等质控功能。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3</w:t>
      </w:r>
      <w:r>
        <w:rPr>
          <w:rFonts w:hint="eastAsia" w:ascii="微软雅黑" w:hAnsi="微软雅黑" w:eastAsia="微软雅黑" w:cs="微软雅黑"/>
          <w:sz w:val="24"/>
        </w:rPr>
        <w:t>）具有 RS-232 或 RS-485 或 RJ-45 标准通讯接口。</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4</w:t>
      </w:r>
      <w:r>
        <w:rPr>
          <w:rFonts w:hint="eastAsia" w:ascii="微软雅黑" w:hAnsi="微软雅黑" w:eastAsia="微软雅黑" w:cs="微软雅黑"/>
          <w:sz w:val="24"/>
        </w:rPr>
        <w:t>）具备 1小时 1次的监测能力。</w:t>
      </w:r>
    </w:p>
    <w:p>
      <w:pPr>
        <w:spacing w:line="400" w:lineRule="exact"/>
        <w:ind w:firstLine="480" w:firstLineChars="200"/>
        <w:rPr>
          <w:rFonts w:ascii="微软雅黑" w:hAnsi="微软雅黑" w:eastAsia="微软雅黑" w:cs="微软雅黑"/>
        </w:rPr>
      </w:pPr>
      <w:r>
        <w:rPr>
          <w:rFonts w:hint="eastAsia" w:ascii="微软雅黑" w:hAnsi="微软雅黑" w:eastAsia="微软雅黑" w:cs="微软雅黑"/>
          <w:bCs/>
          <w:sz w:val="24"/>
        </w:rPr>
        <w:t>（</w:t>
      </w:r>
      <w:r>
        <w:rPr>
          <w:rFonts w:hint="eastAsia" w:ascii="微软雅黑" w:hAnsi="微软雅黑" w:eastAsia="微软雅黑" w:cs="微软雅黑"/>
          <w:sz w:val="24"/>
        </w:rPr>
        <w:t>1</w:t>
      </w:r>
      <w:r>
        <w:rPr>
          <w:rFonts w:ascii="微软雅黑" w:hAnsi="微软雅黑" w:eastAsia="微软雅黑" w:cs="微软雅黑"/>
          <w:sz w:val="24"/>
        </w:rPr>
        <w:t>5</w:t>
      </w:r>
      <w:r>
        <w:rPr>
          <w:rFonts w:hint="eastAsia" w:ascii="微软雅黑" w:hAnsi="微软雅黑" w:eastAsia="微软雅黑" w:cs="微软雅黑"/>
          <w:sz w:val="24"/>
        </w:rPr>
        <w:t>）水质自动站数据按业主要求接入指定水环境监测管理平台</w:t>
      </w:r>
      <w:r>
        <w:rPr>
          <w:rFonts w:hint="eastAsia" w:ascii="微软雅黑" w:hAnsi="微软雅黑" w:eastAsia="微软雅黑" w:cs="微软雅黑"/>
          <w:bCs/>
          <w:sz w:val="24"/>
        </w:rPr>
        <w:t>。</w:t>
      </w:r>
    </w:p>
    <w:p>
      <w:pPr>
        <w:pStyle w:val="8"/>
        <w:spacing w:before="0" w:after="0" w:line="400" w:lineRule="exact"/>
        <w:ind w:left="425" w:firstLine="0"/>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1.4配水和质控技术指标要求</w:t>
      </w:r>
    </w:p>
    <w:p>
      <w:pPr>
        <w:pStyle w:val="8"/>
        <w:spacing w:before="0" w:after="0" w:line="400" w:lineRule="exact"/>
        <w:ind w:left="425" w:firstLine="0"/>
        <w:rPr>
          <w:rFonts w:ascii="微软雅黑" w:hAnsi="微软雅黑" w:eastAsia="微软雅黑" w:cs="微软雅黑"/>
          <w:b w:val="0"/>
          <w:sz w:val="24"/>
          <w:szCs w:val="24"/>
        </w:rPr>
      </w:pPr>
      <w:r>
        <w:rPr>
          <w:rFonts w:hint="eastAsia" w:ascii="微软雅黑" w:hAnsi="微软雅黑" w:eastAsia="微软雅黑" w:cs="微软雅黑"/>
          <w:b w:val="0"/>
          <w:sz w:val="24"/>
          <w:szCs w:val="24"/>
        </w:rPr>
        <w:t>（一）配水及预处理单元要求</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配水及预处理单元应根据国家标准分析方法要求为水质分析仪器配备相应的预处理装置。投标人应提供针对性的配水和预处理方案，具体需满足以下要求：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（1）配水管路设计合理，流向清晰，便于维护；保证仪器分析测试的水样应能代表断面水质情况并满足仪器测试需求；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（2）配水单元具备自动反清（吹）洗和自动除藻功能，防止菌类和藻类等微生物对样品污染或对系统工作造成不良影响，设计中不使用对环境产生污染的清洗方法；</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（3）配水主管路采用串联方式，各仪器之间管路采用并联方式，每台仪器从各自的取样杯中取水，任何仪器的配水管路出现故障不能影响其他仪器的测试；</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（4）具备可扩展功能，水站预留不少于4台设备的接水口、排水口以及水样比对实验用的手动取水口；</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（5）能配合系统实现水样自动分配、自动预处理、故障自动报警、关键部件工作状态的显示和反控等功能；</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（6）配水单元的所有操作均可通过控制单元实现，并接受平台端的远程控制；</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（7）所选管材机械强度及化学稳定性好、使用寿命长、便于安装维护，不会对水样水质造成影响；管路内径、压力、流量、流速满足仪器分析需要，并留有余量；</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沉砂池采用圆柱形沉沙设计，池内内置活塞式自清洗浮筒，利用水的浮力带动清洗刮片对沉沙池内壁进行清洗。每次随水位的上升或下降浮筒下部的硅橡胶片都会对内壁进行擦洗，需具备对池子内壁进行全方位无死角的刮片式自动清洗功能；</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（9）采用两级自清洗过滤设计，在沉砂池静置沉沙完成后，隔膜泵抽取沉砂池上清液进行两级过滤；</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（10）针对泥沙较大水体、暴雨期间、泄洪、丰水期等浊度影响较大的情况，系统针对性地设计预处理旁路系统，并具备自动切换预处理系统工作功能。</w:t>
      </w:r>
    </w:p>
    <w:p>
      <w:pPr>
        <w:pStyle w:val="20"/>
        <w:spacing w:line="400" w:lineRule="exact"/>
        <w:rPr>
          <w:rFonts w:ascii="微软雅黑" w:hAnsi="微软雅黑" w:eastAsia="微软雅黑" w:cs="微软雅黑"/>
          <w:sz w:val="24"/>
        </w:rPr>
      </w:pPr>
    </w:p>
    <w:p>
      <w:pPr>
        <w:pStyle w:val="8"/>
        <w:spacing w:before="0" w:after="0" w:line="400" w:lineRule="exact"/>
        <w:ind w:left="425" w:firstLine="0"/>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（二）质控系统技术要求</w:t>
      </w:r>
    </w:p>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氨氮质控</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8" w:type="dxa"/>
            <w:gridSpan w:val="2"/>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24小时零点漂移</w:t>
            </w:r>
          </w:p>
        </w:tc>
        <w:tc>
          <w:tcPr>
            <w:tcW w:w="6816"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24小时量程漂移</w:t>
            </w:r>
          </w:p>
        </w:tc>
        <w:tc>
          <w:tcPr>
            <w:tcW w:w="6816"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标样核查</w:t>
            </w:r>
          </w:p>
        </w:tc>
        <w:tc>
          <w:tcPr>
            <w:tcW w:w="6816"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加标回收率</w:t>
            </w:r>
          </w:p>
        </w:tc>
        <w:tc>
          <w:tcPr>
            <w:tcW w:w="6816"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高锰酸盐指数质控</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8" w:type="dxa"/>
            <w:gridSpan w:val="2"/>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24小时零点漂移</w:t>
            </w:r>
          </w:p>
        </w:tc>
        <w:tc>
          <w:tcPr>
            <w:tcW w:w="6816"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24小时量程漂移</w:t>
            </w:r>
          </w:p>
        </w:tc>
        <w:tc>
          <w:tcPr>
            <w:tcW w:w="6816"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标样核查</w:t>
            </w:r>
          </w:p>
        </w:tc>
        <w:tc>
          <w:tcPr>
            <w:tcW w:w="6816"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2"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加标回收率</w:t>
            </w:r>
          </w:p>
        </w:tc>
        <w:tc>
          <w:tcPr>
            <w:tcW w:w="6816"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总磷质控</w:t>
      </w:r>
    </w:p>
    <w:tbl>
      <w:tblPr>
        <w:tblStyle w:val="3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24小时零点漂移</w:t>
            </w:r>
          </w:p>
        </w:tc>
        <w:tc>
          <w:tcPr>
            <w:tcW w:w="6851"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24小时量程漂移</w:t>
            </w:r>
          </w:p>
        </w:tc>
        <w:tc>
          <w:tcPr>
            <w:tcW w:w="6851"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标样核查</w:t>
            </w:r>
          </w:p>
        </w:tc>
        <w:tc>
          <w:tcPr>
            <w:tcW w:w="6851"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加标回收率</w:t>
            </w:r>
          </w:p>
        </w:tc>
        <w:tc>
          <w:tcPr>
            <w:tcW w:w="6851"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spacing w:beforeLines="50"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总氮质控</w:t>
      </w:r>
    </w:p>
    <w:tbl>
      <w:tblPr>
        <w:tblStyle w:val="3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9" w:type="dxa"/>
            <w:gridSpan w:val="2"/>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
                <w:sz w:val="24"/>
              </w:rPr>
              <w:t>质控性能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24小时零点漂移</w:t>
            </w:r>
          </w:p>
        </w:tc>
        <w:tc>
          <w:tcPr>
            <w:tcW w:w="6851"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准确度：≤±0.2 mg/L；相对误差≤±10%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24小时量程漂移</w:t>
            </w:r>
          </w:p>
        </w:tc>
        <w:tc>
          <w:tcPr>
            <w:tcW w:w="6851"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准确度：≤±10%；相对误差≤±10%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标样核查</w:t>
            </w:r>
          </w:p>
        </w:tc>
        <w:tc>
          <w:tcPr>
            <w:tcW w:w="6851" w:type="dxa"/>
            <w:vAlign w:val="center"/>
          </w:tcPr>
          <w:p>
            <w:pPr>
              <w:spacing w:line="40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加标回收率</w:t>
            </w:r>
          </w:p>
        </w:tc>
        <w:tc>
          <w:tcPr>
            <w:tcW w:w="6851" w:type="dxa"/>
            <w:vAlign w:val="center"/>
          </w:tcPr>
          <w:p>
            <w:pPr>
              <w:spacing w:line="400" w:lineRule="exact"/>
              <w:rPr>
                <w:rFonts w:ascii="微软雅黑" w:hAnsi="微软雅黑" w:eastAsia="微软雅黑" w:cs="微软雅黑"/>
                <w:b/>
                <w:bCs/>
                <w:color w:val="000000"/>
                <w:sz w:val="24"/>
              </w:rPr>
            </w:pPr>
            <w:r>
              <w:rPr>
                <w:rFonts w:hint="eastAsia" w:ascii="微软雅黑" w:hAnsi="微软雅黑" w:eastAsia="微软雅黑" w:cs="微软雅黑"/>
                <w:b/>
                <w:bCs/>
                <w:kern w:val="0"/>
                <w:sz w:val="24"/>
              </w:rPr>
              <w:t>①</w:t>
            </w:r>
            <w:r>
              <w:rPr>
                <w:rFonts w:hint="eastAsia" w:ascii="微软雅黑" w:hAnsi="微软雅黑" w:eastAsia="微软雅黑" w:cs="微软雅黑"/>
                <w:b/>
                <w:bCs/>
                <w:color w:val="000000"/>
                <w:sz w:val="24"/>
              </w:rPr>
              <w:t>99%~101%</w:t>
            </w:r>
            <w:r>
              <w:rPr>
                <w:rFonts w:hint="eastAsia" w:ascii="微软雅黑" w:hAnsi="微软雅黑" w:eastAsia="微软雅黑" w:cs="微软雅黑"/>
                <w:b/>
                <w:bCs/>
                <w:kern w:val="0"/>
                <w:sz w:val="24"/>
              </w:rPr>
              <w:t>；②</w:t>
            </w:r>
            <w:r>
              <w:rPr>
                <w:rFonts w:hint="eastAsia" w:ascii="微软雅黑" w:hAnsi="微软雅黑" w:eastAsia="微软雅黑" w:cs="微软雅黑"/>
                <w:b/>
                <w:bCs/>
                <w:color w:val="000000"/>
                <w:sz w:val="24"/>
              </w:rPr>
              <w:t>9</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%~10</w:t>
            </w:r>
            <w:r>
              <w:rPr>
                <w:rFonts w:ascii="微软雅黑" w:hAnsi="微软雅黑" w:eastAsia="微软雅黑" w:cs="微软雅黑"/>
                <w:b/>
                <w:bCs/>
                <w:color w:val="000000"/>
                <w:sz w:val="24"/>
              </w:rPr>
              <w:t>5</w:t>
            </w:r>
            <w:r>
              <w:rPr>
                <w:rFonts w:hint="eastAsia" w:ascii="微软雅黑" w:hAnsi="微软雅黑" w:eastAsia="微软雅黑" w:cs="微软雅黑"/>
                <w:b/>
                <w:bCs/>
                <w:color w:val="000000"/>
                <w:sz w:val="24"/>
              </w:rPr>
              <w:t>%</w:t>
            </w:r>
          </w:p>
        </w:tc>
      </w:tr>
    </w:tbl>
    <w:p>
      <w:pPr>
        <w:pStyle w:val="6"/>
        <w:spacing w:before="0" w:after="0" w:line="400" w:lineRule="exact"/>
        <w:ind w:left="0" w:firstLine="0"/>
        <w:jc w:val="left"/>
        <w:rPr>
          <w:rFonts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kern w:val="44"/>
          <w:sz w:val="24"/>
          <w:szCs w:val="24"/>
        </w:rPr>
        <w:t>系统集成、试运行及验收</w:t>
      </w:r>
    </w:p>
    <w:p>
      <w:pPr>
        <w:pStyle w:val="8"/>
        <w:spacing w:before="0" w:after="0" w:line="400" w:lineRule="exact"/>
        <w:ind w:left="425" w:firstLine="0"/>
        <w:rPr>
          <w:rFonts w:ascii="微软雅黑" w:hAnsi="微软雅黑" w:eastAsia="微软雅黑" w:cs="微软雅黑"/>
          <w:b w:val="0"/>
          <w:sz w:val="24"/>
          <w:szCs w:val="24"/>
        </w:rPr>
      </w:pPr>
      <w:r>
        <w:rPr>
          <w:rFonts w:hint="eastAsia" w:ascii="微软雅黑" w:hAnsi="微软雅黑" w:eastAsia="微软雅黑" w:cs="微软雅黑"/>
          <w:b w:val="0"/>
          <w:sz w:val="24"/>
          <w:szCs w:val="24"/>
        </w:rPr>
        <w:t>2.1、系统集成技术要求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整体方案、技术应符合《地表水自动监测技术规范（试行）》（HJ 915-2017）中的相关要求。</w:t>
      </w:r>
    </w:p>
    <w:p>
      <w:pPr>
        <w:pStyle w:val="8"/>
        <w:spacing w:before="0" w:after="0" w:line="400" w:lineRule="exact"/>
        <w:ind w:left="425" w:firstLine="0"/>
        <w:rPr>
          <w:rFonts w:ascii="微软雅黑" w:hAnsi="微软雅黑" w:eastAsia="微软雅黑" w:cs="微软雅黑"/>
          <w:b w:val="0"/>
          <w:sz w:val="24"/>
          <w:szCs w:val="24"/>
        </w:rPr>
      </w:pPr>
      <w:bookmarkStart w:id="25" w:name="_Toc834099826"/>
      <w:r>
        <w:rPr>
          <w:rFonts w:hint="eastAsia" w:ascii="微软雅黑" w:hAnsi="微软雅黑" w:eastAsia="微软雅黑" w:cs="微软雅黑"/>
          <w:b w:val="0"/>
          <w:sz w:val="24"/>
          <w:szCs w:val="24"/>
        </w:rPr>
        <w:t>（一）总体要求</w:t>
      </w:r>
      <w:bookmarkEnd w:id="25"/>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（1）具有仪器及系统运行周期（连续或间歇）设置功能，至少具备常规、应急、质控、维护等多种运行模式。</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（2）具有异常信息记录、上传功能，如采水故障、部件故障、超量程报警、超标报警、缺试剂报警等信息。</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（3）具备仪器关键参数实时上传及远程设置功能，应能接受远程控制指令。</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质控单元与分析单元联用，通过现场工控机上的控制软件协同控制分析单元和质控配样装置，应能实现高锰酸盐指数、氨氮、总磷、总氮等分析仪器的质控测试。质控功能应包括但不限于：平行样测试、标样核查、加标回收率测试、24小时零点漂移、24小时量程漂移、24小时零点核查和跨度核查等。</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（5）应确保仪器、系统运行的监测数据和状态信息等稳定传输。</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（6）具备断电再度通电后自动排空水样和试剂、自动清洗管路、自动复位到待机状态的功能。</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（7）具有分析仪器及系统过程日志记录和环境参数记录功能，并能够上传至指定平台。</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（8）存储不少于1年的原始数据和运行日志。</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（9）系统可针对不同分析仪器（五参数、高锰酸盐指数、氨氮、总磷、总氮等分析仪器）分别进行水样预处理。具备多级预处理方式，包含泥沙处理、精密过滤等。</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（10）系统应可配套废液处理系统，对高锰酸盐指数、氨氮、总磷、总氮等在线分析仪表在水质监测过程中产生的废液进行处理，在降低污染物浓度的同时可降低废液处理的环境风险。</w:t>
      </w:r>
    </w:p>
    <w:p>
      <w:pPr>
        <w:pStyle w:val="8"/>
        <w:spacing w:before="0" w:after="0" w:line="400" w:lineRule="exact"/>
        <w:ind w:left="425" w:firstLine="0"/>
        <w:rPr>
          <w:rFonts w:ascii="微软雅黑" w:hAnsi="微软雅黑" w:eastAsia="微软雅黑" w:cs="微软雅黑"/>
          <w:b w:val="0"/>
          <w:sz w:val="24"/>
          <w:szCs w:val="24"/>
        </w:rPr>
      </w:pPr>
      <w:r>
        <w:rPr>
          <w:rFonts w:hint="eastAsia" w:ascii="微软雅黑" w:hAnsi="微软雅黑" w:eastAsia="微软雅黑" w:cs="微软雅黑"/>
          <w:b w:val="0"/>
          <w:sz w:val="24"/>
          <w:szCs w:val="24"/>
        </w:rPr>
        <w:t>（二）采水单元</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（1）采水单元一般包括采水构筑物、采水泵、采水管道、清洗配套装置和保温配套装置等；</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（2）采水采用潜水泵或自吸泵，双泵、双管路设计，交替使用；</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（3）采水单元应当具备较长平均无故障工作时间，确保水质自动监测系统的数据捕获率达到相关要求；</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（4）采水单元需要设计并制作必要的保温、防冻、防压、防淤、防撞、防盗措施，并对采水设备和设施进行必要的固定；</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（5）采水单元设置采水单元清洗和防藻功能，但是当使用化学清洗时应防止对环境造成二次污染；</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（6）管道采用排空设计，使管道内不存水，以防藻类滋生；</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（7）能自动判断取水系统故障，并发出报警信号；</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（8）采水单元能够在停电时自我保护，再次通电时自动恢复；</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（9）采水系统可采用连续或间歇方式工作，并能够根据监测要求现场或远程设置监测频次；</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（10）采水单位各部分均应美观大方、安全牢固、设计合理，尽量减少对河道中杂物的阻碍拦截；</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（11）中标人须根据每个站点具体水文和地质情况，配合采购人设计采水方案，保证采样的代表性和科学性，实现采水功能。</w:t>
      </w:r>
    </w:p>
    <w:p>
      <w:pPr>
        <w:pStyle w:val="8"/>
        <w:spacing w:before="0" w:after="0" w:line="400" w:lineRule="exact"/>
        <w:ind w:left="425" w:firstLine="0"/>
        <w:rPr>
          <w:rFonts w:ascii="微软雅黑" w:hAnsi="微软雅黑" w:eastAsia="微软雅黑" w:cs="微软雅黑"/>
          <w:b w:val="0"/>
          <w:sz w:val="24"/>
          <w:szCs w:val="24"/>
        </w:rPr>
      </w:pPr>
      <w:bookmarkStart w:id="26" w:name="_Toc1762634757"/>
      <w:r>
        <w:rPr>
          <w:rFonts w:hint="eastAsia" w:ascii="微软雅黑" w:hAnsi="微软雅黑" w:eastAsia="微软雅黑" w:cs="微软雅黑"/>
          <w:b w:val="0"/>
          <w:sz w:val="24"/>
          <w:szCs w:val="24"/>
        </w:rPr>
        <w:t>（三）辅助单元</w:t>
      </w:r>
      <w:bookmarkEnd w:id="26"/>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辅助单元应包含UPS、防雷、废液收集、温湿度传感、烟雾传感、空调、灭火装置等部分，具体要求如下：</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（1）配备UPS（断电后至少能保证仪器完成一个测量周期和数据上传，且待机不少于1h）；</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（2）应保证分析仪器运行时所用的化学试剂处于4±2℃低温保存；</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（3）配备废液收集装置，废液收集装置采用耐腐蚀的材料制作，容积满足两周以上的废液排放收集。对于收集的废液，需要按要求由专业公司统一处理，不可直接倒弃；</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（4）配备站房门禁系统，自动记录站房出入情况；</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（5）必须具有电源、信号等设施的三级防雷措施，保证系统稳定、可靠运行；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（6）站房配置来电自启动冷暖空调，功率满足仪器设备运行环境温度要求；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（7）具备灭火装置，灭火材料须对人体和设备无害；</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（8）具备系统集成机柜、维护专用成套工具等。</w:t>
      </w:r>
    </w:p>
    <w:p>
      <w:pPr>
        <w:pStyle w:val="8"/>
        <w:spacing w:before="0" w:after="0" w:line="400" w:lineRule="exact"/>
        <w:ind w:left="425" w:firstLine="0"/>
        <w:rPr>
          <w:rFonts w:ascii="微软雅黑" w:hAnsi="微软雅黑" w:eastAsia="微软雅黑" w:cs="微软雅黑"/>
          <w:b w:val="0"/>
          <w:sz w:val="24"/>
          <w:szCs w:val="24"/>
        </w:rPr>
      </w:pPr>
      <w:bookmarkStart w:id="27" w:name="_Toc1005149910"/>
      <w:r>
        <w:rPr>
          <w:rFonts w:hint="eastAsia" w:ascii="微软雅黑" w:hAnsi="微软雅黑" w:eastAsia="微软雅黑" w:cs="微软雅黑"/>
          <w:b w:val="0"/>
          <w:sz w:val="24"/>
          <w:szCs w:val="24"/>
        </w:rPr>
        <w:t>（四）视频监控单元</w:t>
      </w:r>
      <w:bookmarkEnd w:id="27"/>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视频监控区域要能涵盖站房室内、站房入口、采水口附近区域水面。要求白天和夜晚监控的所有图像均需清晰可见，实现对站房周围、采水点等进行集中监控，异常情况的实时报警。基本功能要求如下：</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（1）具有实时远程监控功能，须能够实现全方位、多视角、全天候式监控；</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（2）当出现非法闯入时，报警系统能唤醒摄像机进行视频录制并获取监控区域内清晰地监控图像；</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（3）视频监控前端存储，至少满足1个月的存储能力；</w:t>
      </w:r>
    </w:p>
    <w:p>
      <w:pPr>
        <w:tabs>
          <w:tab w:val="left" w:pos="525"/>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（4）视频监控设备要求：最低分辨率为1280×960，须输出实时图像；高效红外灯，照射距离不少于20米；</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（5）应配备硬盘录像机和1T硬盘。</w:t>
      </w:r>
    </w:p>
    <w:p>
      <w:pPr>
        <w:pStyle w:val="8"/>
        <w:spacing w:before="0" w:after="0" w:line="400" w:lineRule="exact"/>
        <w:ind w:left="425" w:firstLine="0"/>
        <w:rPr>
          <w:rFonts w:ascii="微软雅黑" w:hAnsi="微软雅黑" w:eastAsia="微软雅黑" w:cs="微软雅黑"/>
          <w:b w:val="0"/>
          <w:sz w:val="24"/>
          <w:szCs w:val="24"/>
        </w:rPr>
      </w:pPr>
      <w:r>
        <w:rPr>
          <w:rFonts w:hint="eastAsia" w:ascii="微软雅黑" w:hAnsi="微软雅黑" w:eastAsia="微软雅黑" w:cs="微软雅黑"/>
          <w:b w:val="0"/>
          <w:sz w:val="24"/>
          <w:szCs w:val="24"/>
        </w:rPr>
        <w:t>（五）留样单元</w:t>
      </w:r>
    </w:p>
    <w:tbl>
      <w:tblPr>
        <w:tblStyle w:val="38"/>
        <w:tblW w:w="7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5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工作温度</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采样量</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10～1000mL/瓶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采样精度</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留样瓶数</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留样瓶材质</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聚四氟乙烯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采集水样存储温度</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流量测量范围</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0～3700L/h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最大垂直扬程</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最大水平采样距离</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人机界面</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LCD显示器，触摸式操作，菜单方式操作，简捷方便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标配通讯接口</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标配RS-485或RS-232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工作电源</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AC220V±10%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平均无故障运行时间</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绝缘阻抗</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＞20MΩ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功能</w:t>
            </w:r>
          </w:p>
        </w:tc>
        <w:tc>
          <w:tcPr>
            <w:tcW w:w="514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具备自动排空功能</w:t>
            </w:r>
          </w:p>
        </w:tc>
      </w:tr>
    </w:tbl>
    <w:p>
      <w:pPr>
        <w:pStyle w:val="6"/>
        <w:spacing w:before="0" w:after="0" w:line="400" w:lineRule="exact"/>
        <w:ind w:left="0" w:firstLine="0"/>
        <w:jc w:val="left"/>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2.2、其他</w:t>
      </w:r>
    </w:p>
    <w:p>
      <w:pPr>
        <w:adjustRightInd w:val="0"/>
        <w:snapToGrid w:val="0"/>
        <w:spacing w:line="400" w:lineRule="exact"/>
        <w:ind w:firstLine="510"/>
        <w:rPr>
          <w:rFonts w:ascii="微软雅黑" w:hAnsi="微软雅黑" w:eastAsia="微软雅黑" w:cs="微软雅黑"/>
          <w:sz w:val="24"/>
        </w:rPr>
      </w:pPr>
      <w:r>
        <w:rPr>
          <w:rFonts w:hint="eastAsia" w:ascii="微软雅黑" w:hAnsi="微软雅黑" w:eastAsia="微软雅黑" w:cs="微软雅黑"/>
          <w:b/>
          <w:sz w:val="24"/>
        </w:rPr>
        <w:t>中标方必须承诺人员专门实施本项目。</w:t>
      </w:r>
      <w:r>
        <w:rPr>
          <w:rFonts w:hint="eastAsia" w:ascii="微软雅黑" w:hAnsi="微软雅黑" w:eastAsia="微软雅黑" w:cs="微软雅黑"/>
          <w:sz w:val="24"/>
        </w:rPr>
        <w:t>因技术人员建设、安装维护不当造成仪器损坏由该中标商承担相应责任并赔偿损失。用户有权对中标商安排的技术人员进行技术考核，如不能满足实际维护能力要求，不遵守管理制度，影响运维工作开展，用户有权要求更换技术人员，中标商在收到要求更换运维技术人员的文件两周之内进行更换。</w:t>
      </w:r>
    </w:p>
    <w:p>
      <w:pPr>
        <w:pStyle w:val="6"/>
        <w:spacing w:before="0" w:after="0" w:line="400" w:lineRule="exact"/>
        <w:ind w:left="0" w:firstLine="0"/>
        <w:jc w:val="left"/>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2.3、系统验收</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投标人负责系统从安装、调试、试运行到验收合格前的全部运行维护工作，所有费用应包括在投标总价中，业主不负责系统的运行维护。</w:t>
      </w:r>
      <w:bookmarkStart w:id="28" w:name="_Toc22275"/>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（一）性能检测与检验</w:t>
      </w:r>
      <w:bookmarkEnd w:id="28"/>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    中标人应提供设备的有效检验文件，经业主认可后，与合同的性能指标一起作为设备验收标准，中标人在试运行前，应当对所交付的项目进行性能检测，以确认交付项目符合本合同的规定。业主可对系统设备进行复检和性能测试，投标人应派出有经验的，高水平的技术人员协助此项工作，复检时如发现有缺陷，中标人应立即改进此项缺陷，并再次进行检测和评估。</w:t>
      </w:r>
    </w:p>
    <w:p>
      <w:pPr>
        <w:spacing w:line="400" w:lineRule="exact"/>
        <w:rPr>
          <w:rFonts w:ascii="微软雅黑" w:hAnsi="微软雅黑" w:eastAsia="微软雅黑" w:cs="微软雅黑"/>
          <w:sz w:val="24"/>
        </w:rPr>
      </w:pPr>
      <w:bookmarkStart w:id="29" w:name="_Toc30122"/>
      <w:r>
        <w:rPr>
          <w:rFonts w:hint="eastAsia" w:ascii="微软雅黑" w:hAnsi="微软雅黑" w:eastAsia="微软雅黑" w:cs="微软雅黑"/>
          <w:sz w:val="24"/>
        </w:rPr>
        <w:t xml:space="preserve">    （二）调试及试运行</w:t>
      </w:r>
      <w:bookmarkEnd w:id="29"/>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设备到达后，中标人应在收到业主通知后，派出相关技术人员前往项目实施所在地进行安装调试。人数、技术级别、服务内容及调试时间应在投标文件中详细说明。</w:t>
      </w:r>
    </w:p>
    <w:p>
      <w:pPr>
        <w:spacing w:line="400" w:lineRule="exact"/>
        <w:ind w:firstLine="420"/>
        <w:rPr>
          <w:rFonts w:ascii="微软雅黑" w:hAnsi="微软雅黑" w:eastAsia="微软雅黑" w:cs="微软雅黑"/>
          <w:sz w:val="24"/>
        </w:rPr>
      </w:pPr>
      <w:r>
        <w:rPr>
          <w:rFonts w:hint="eastAsia" w:ascii="微软雅黑" w:hAnsi="微软雅黑" w:eastAsia="微软雅黑" w:cs="微软雅黑"/>
          <w:sz w:val="24"/>
        </w:rPr>
        <w:t>试运行期间，中标人应做好自动数据的人工比对实验以及系统功能检测，其性能指标应该符合本项目的要求。</w:t>
      </w:r>
    </w:p>
    <w:p>
      <w:pPr>
        <w:spacing w:line="400" w:lineRule="exact"/>
        <w:rPr>
          <w:rFonts w:ascii="微软雅黑" w:hAnsi="微软雅黑" w:eastAsia="微软雅黑" w:cs="微软雅黑"/>
          <w:sz w:val="24"/>
        </w:rPr>
      </w:pPr>
      <w:bookmarkStart w:id="30" w:name="_Toc29630"/>
      <w:r>
        <w:rPr>
          <w:rFonts w:hint="eastAsia" w:ascii="微软雅黑" w:hAnsi="微软雅黑" w:eastAsia="微软雅黑" w:cs="微软雅黑"/>
          <w:sz w:val="24"/>
        </w:rPr>
        <w:t xml:space="preserve">    （三）验收</w:t>
      </w:r>
      <w:bookmarkEnd w:id="30"/>
    </w:p>
    <w:p>
      <w:pPr>
        <w:spacing w:line="400" w:lineRule="exact"/>
        <w:ind w:firstLine="420"/>
      </w:pPr>
      <w:r>
        <w:rPr>
          <w:rFonts w:hint="eastAsia" w:ascii="微软雅黑" w:hAnsi="微软雅黑" w:eastAsia="微软雅黑" w:cs="微软雅黑"/>
          <w:sz w:val="24"/>
        </w:rPr>
        <w:t>系统试运行完成后，中标人以书面形式向业主提交验收报告及验收申请，验收规范按照《地表水水质自动监测站安装验收技术要求（试行）》（总站水字〔2019〕649号）执行，业主审核同意后组织验收以验收会形式进行验收，费用计入报价中。业主只接收验收合格的系统。</w:t>
      </w:r>
    </w:p>
    <w:p>
      <w:pPr>
        <w:numPr>
          <w:ilvl w:val="0"/>
          <w:numId w:val="10"/>
        </w:numPr>
        <w:adjustRightInd w:val="0"/>
        <w:snapToGrid w:val="0"/>
        <w:spacing w:line="360" w:lineRule="auto"/>
        <w:rPr>
          <w:rFonts w:ascii="微软雅黑" w:hAnsi="微软雅黑" w:eastAsia="微软雅黑" w:cs="微软雅黑"/>
          <w:b/>
          <w:bCs/>
          <w:sz w:val="24"/>
        </w:rPr>
      </w:pPr>
      <w:r>
        <w:rPr>
          <w:rFonts w:hint="eastAsia" w:ascii="微软雅黑" w:hAnsi="微软雅黑" w:eastAsia="微软雅黑" w:cs="微软雅黑"/>
          <w:b/>
          <w:bCs/>
          <w:sz w:val="24"/>
        </w:rPr>
        <w:t>商务要求</w:t>
      </w:r>
    </w:p>
    <w:tbl>
      <w:tblPr>
        <w:tblStyle w:val="38"/>
        <w:tblW w:w="97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5"/>
        <w:gridCol w:w="81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kern w:val="0"/>
                <w:sz w:val="24"/>
                <w:lang w:val="zh-CN"/>
              </w:rPr>
              <w:t>▲</w:t>
            </w:r>
            <w:r>
              <w:rPr>
                <w:rFonts w:hint="eastAsia" w:ascii="微软雅黑" w:hAnsi="微软雅黑" w:eastAsia="微软雅黑" w:cs="微软雅黑"/>
                <w:sz w:val="24"/>
              </w:rPr>
              <w:t>质保期</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验收合格后两年。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lang w:val="zh-CN"/>
              </w:rPr>
            </w:pPr>
            <w:r>
              <w:rPr>
                <w:rFonts w:hint="eastAsia" w:ascii="微软雅黑" w:hAnsi="微软雅黑" w:eastAsia="微软雅黑" w:cs="微软雅黑"/>
                <w:sz w:val="24"/>
              </w:rPr>
              <w:t>报价要求</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投标人的报价应为完成本次项目全部内容所发生的所有费用，并承担一切风险责任。要求供应商结合本项目特点，市场行情及供应商自身的施工技术，管理水平，竞争能力，确定最终报价。最终报价即完成设备安装所需的验收费、人工费、材料费、企业管理费、组织措施费含的所有风险、责任等一切费用。供应商应列入而未列入其中的费用，均视为已包含在内，风险由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验收标准</w:t>
            </w:r>
            <w:r>
              <w:rPr>
                <w:rFonts w:hint="eastAsia" w:ascii="微软雅黑" w:hAnsi="微软雅黑" w:eastAsia="微软雅黑" w:cs="微软雅黑"/>
                <w:sz w:val="24"/>
              </w:rPr>
              <w:tab/>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以通过自动站相关技术规范要求及专家组验收为标准。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lang w:val="zh-CN"/>
              </w:rPr>
              <w:t>▲</w:t>
            </w:r>
            <w:r>
              <w:rPr>
                <w:rFonts w:hint="eastAsia" w:ascii="微软雅黑" w:hAnsi="微软雅黑" w:eastAsia="微软雅黑" w:cs="微软雅黑"/>
                <w:sz w:val="24"/>
              </w:rPr>
              <w:t>售后技术服务要求</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1.在质保期内，因货物的维修和保养所发生的一切费用均由中标供应商承担；</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2.质保期内用户报修后，中标供应商免费上门服务及时解决用户问题。响应时间要求如下：电话响应7*24小时、现场响应2小时内；</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3.在货物质保期内，当设备发生非人为因素严重故障时（不可抗拒力除外），供应商应当免费补充或者更换的货物运抵发生故障的货物所在地；</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4.供应商在质保期内安装的任何零配件必须是新的未使用和未经修复的，必须是设备制造厂商原产的配件；</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5.对设备服务要求的有效响应将被视为供应商对其供应设备的服务承诺，须将服务承诺列入合同的设备服务条款中；</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6.如项目数据需接入环境监测站现有系统平台，所产生相关对接接口费用，已包含于本次投标报价中；</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7. 如采购人后期再次新建、扩建，中标人无论是否中标或成交均无偿提供后续新扩建设备接入所需端口、开放接入协议，确保后续接入设备的相关数据、图片等资料能正常写入本项目，并配合采购人、后续设备投标人实现提出的相关功能；</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8.中标供应商投标时有其他服务承诺的，一并履行。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kern w:val="0"/>
                <w:sz w:val="24"/>
                <w:lang w:val="zh-CN"/>
              </w:rPr>
              <w:t>▲</w:t>
            </w:r>
            <w:r>
              <w:rPr>
                <w:rFonts w:hint="eastAsia" w:ascii="微软雅黑" w:hAnsi="微软雅黑" w:eastAsia="微软雅黑" w:cs="微软雅黑"/>
                <w:sz w:val="24"/>
              </w:rPr>
              <w:t>交货时间及地点</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交货时间：合同签订后60个工作日内完成设备安装调试，进入试运行。</w:t>
            </w:r>
          </w:p>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交付地点：业主指定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微软雅黑" w:hAnsi="微软雅黑" w:eastAsia="微软雅黑" w:cs="微软雅黑"/>
                <w:kern w:val="0"/>
                <w:sz w:val="24"/>
                <w:lang w:val="zh-CN"/>
              </w:rPr>
            </w:pPr>
            <w:r>
              <w:rPr>
                <w:rFonts w:hint="eastAsia" w:ascii="微软雅黑" w:hAnsi="微软雅黑" w:eastAsia="微软雅黑" w:cs="微软雅黑"/>
                <w:sz w:val="24"/>
              </w:rPr>
              <w:t>履约保证金</w:t>
            </w:r>
          </w:p>
        </w:tc>
        <w:tc>
          <w:tcPr>
            <w:tcW w:w="812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cs="微软雅黑"/>
                <w:sz w:val="24"/>
              </w:rPr>
            </w:pPr>
            <w:r>
              <w:rPr>
                <w:rFonts w:hint="eastAsia" w:ascii="微软雅黑" w:hAnsi="微软雅黑" w:eastAsia="微软雅黑" w:cs="微软雅黑"/>
                <w:sz w:val="24"/>
              </w:rPr>
              <w:t>本项目的履约保证金</w:t>
            </w:r>
            <w:r>
              <w:rPr>
                <w:rFonts w:hint="eastAsia" w:ascii="微软雅黑" w:hAnsi="微软雅黑" w:eastAsia="微软雅黑" w:cs="微软雅黑"/>
                <w:bCs/>
                <w:sz w:val="24"/>
              </w:rPr>
              <w:t>按各标段合同金额的1%计收</w:t>
            </w:r>
            <w:r>
              <w:rPr>
                <w:rFonts w:hint="eastAsia" w:ascii="微软雅黑" w:hAnsi="微软雅黑" w:eastAsia="微软雅黑" w:cs="微软雅黑"/>
                <w:sz w:val="24"/>
              </w:rPr>
              <w:t>；履约保证金形式为：以银行、保险公司出具保函形式； 网银电汇。</w:t>
            </w:r>
            <w:r>
              <w:rPr>
                <w:rFonts w:hint="eastAsia" w:ascii="微软雅黑" w:hAnsi="微软雅黑" w:eastAsia="微软雅黑" w:cs="微软雅黑"/>
                <w:bCs/>
                <w:sz w:val="24"/>
              </w:rPr>
              <w:t>合同履行完毕后30日内退还。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kern w:val="0"/>
                <w:sz w:val="24"/>
                <w:lang w:val="zh-CN"/>
              </w:rPr>
              <w:t>▲</w:t>
            </w:r>
            <w:r>
              <w:rPr>
                <w:rFonts w:hint="eastAsia" w:ascii="微软雅黑" w:hAnsi="微软雅黑" w:eastAsia="微软雅黑" w:cs="微软雅黑"/>
                <w:sz w:val="24"/>
              </w:rPr>
              <w:t>付款条件</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签订合同后7个工作日内支付合同总额的40%，设备安装调试完成后以及通过验收后付设备款的60%。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lang w:val="zh-CN"/>
              </w:rPr>
            </w:pPr>
            <w:r>
              <w:rPr>
                <w:rFonts w:hint="eastAsia" w:ascii="微软雅黑" w:hAnsi="微软雅黑" w:eastAsia="微软雅黑" w:cs="微软雅黑"/>
                <w:sz w:val="24"/>
              </w:rPr>
              <w:t>培训</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中标人应提供本项目相关的技术培训。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lang w:val="zh-CN"/>
              </w:rPr>
            </w:pPr>
            <w:r>
              <w:rPr>
                <w:rFonts w:hint="eastAsia" w:ascii="微软雅黑" w:hAnsi="微软雅黑" w:eastAsia="微软雅黑" w:cs="微软雅黑"/>
                <w:sz w:val="24"/>
              </w:rPr>
              <w:t>安全</w:t>
            </w:r>
          </w:p>
        </w:tc>
        <w:tc>
          <w:tcPr>
            <w:tcW w:w="8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400" w:lineRule="exact"/>
              <w:rPr>
                <w:rFonts w:ascii="微软雅黑" w:hAnsi="微软雅黑" w:eastAsia="微软雅黑" w:cs="微软雅黑"/>
                <w:sz w:val="24"/>
              </w:rPr>
            </w:pPr>
            <w:r>
              <w:rPr>
                <w:rFonts w:hint="eastAsia" w:ascii="微软雅黑" w:hAnsi="微软雅黑" w:eastAsia="微软雅黑" w:cs="微软雅黑"/>
                <w:sz w:val="24"/>
              </w:rPr>
              <w:t>中标人在项目实施过程中应注意自身安全，加强对职工的安全教育，在项目实施期间发生的安全事故，均由中标人负全责。</w:t>
            </w:r>
          </w:p>
        </w:tc>
      </w:tr>
    </w:tbl>
    <w:p>
      <w:pPr>
        <w:snapToGrid w:val="0"/>
        <w:spacing w:before="34" w:after="120" w:line="343" w:lineRule="auto"/>
        <w:ind w:right="128" w:firstLine="480"/>
        <w:textAlignment w:val="baseline"/>
        <w:rPr>
          <w:rFonts w:ascii="微软雅黑" w:hAnsi="微软雅黑" w:eastAsia="微软雅黑" w:cs="微软雅黑"/>
          <w:sz w:val="24"/>
        </w:rPr>
      </w:pPr>
    </w:p>
    <w:p>
      <w:pPr>
        <w:snapToGrid w:val="0"/>
        <w:spacing w:line="480" w:lineRule="exact"/>
        <w:textAlignment w:val="baseline"/>
        <w:rPr>
          <w:rFonts w:ascii="微软雅黑" w:hAnsi="微软雅黑" w:eastAsia="微软雅黑" w:cs="微软雅黑"/>
          <w:sz w:val="24"/>
        </w:rPr>
        <w:sectPr>
          <w:pgSz w:w="11910" w:h="16840"/>
          <w:pgMar w:top="1220" w:right="1280" w:bottom="1220" w:left="1280" w:header="999" w:footer="1033" w:gutter="0"/>
          <w:pgNumType w:fmt="decimal"/>
          <w:cols w:space="720" w:num="1"/>
        </w:sectPr>
      </w:pPr>
      <w:r>
        <w:rPr>
          <w:rFonts w:hint="eastAsia" w:ascii="微软雅黑" w:hAnsi="微软雅黑" w:eastAsia="微软雅黑" w:cs="微软雅黑"/>
          <w:sz w:val="24"/>
          <w:u w:val="single" w:color="000000"/>
        </w:rPr>
        <w:t>本招标文件中带“</w:t>
      </w:r>
      <w:r>
        <w:rPr>
          <w:rFonts w:hint="eastAsia" w:ascii="微软雅黑" w:hAnsi="微软雅黑" w:eastAsia="微软雅黑" w:cs="微软雅黑"/>
          <w:kern w:val="0"/>
          <w:sz w:val="24"/>
          <w:u w:val="single" w:color="000000"/>
        </w:rPr>
        <w:t>▲</w:t>
      </w:r>
      <w:r>
        <w:rPr>
          <w:rFonts w:hint="eastAsia" w:ascii="微软雅黑" w:hAnsi="微软雅黑" w:eastAsia="微软雅黑" w:cs="微软雅黑"/>
          <w:sz w:val="24"/>
          <w:u w:val="single" w:color="000000"/>
        </w:rPr>
        <w:t>”的有关技术和商务条款为实质性条款，投标人必须在投标文件中作出实质性响应，否则投标无效。</w:t>
      </w:r>
    </w:p>
    <w:p>
      <w:pPr>
        <w:snapToGrid w:val="0"/>
        <w:spacing w:line="360" w:lineRule="auto"/>
        <w:jc w:val="center"/>
        <w:textAlignment w:val="baseline"/>
        <w:rPr>
          <w:rFonts w:ascii="微软雅黑" w:hAnsi="微软雅黑" w:eastAsia="微软雅黑" w:cs="微软雅黑"/>
          <w:b/>
          <w:sz w:val="44"/>
          <w:szCs w:val="44"/>
        </w:rPr>
      </w:pPr>
      <w:bookmarkStart w:id="31" w:name="_Toc23238"/>
      <w:r>
        <w:rPr>
          <w:rFonts w:hint="eastAsia" w:ascii="微软雅黑" w:hAnsi="微软雅黑" w:eastAsia="微软雅黑" w:cs="微软雅黑"/>
          <w:b/>
          <w:sz w:val="44"/>
          <w:szCs w:val="44"/>
        </w:rPr>
        <w:t>第三章投标人须知</w:t>
      </w:r>
      <w:bookmarkEnd w:id="31"/>
    </w:p>
    <w:p>
      <w:pPr>
        <w:pStyle w:val="5"/>
        <w:adjustRightInd w:val="0"/>
        <w:snapToGrid w:val="0"/>
        <w:spacing w:before="0" w:after="0" w:line="360" w:lineRule="exact"/>
        <w:jc w:val="center"/>
        <w:rPr>
          <w:rFonts w:ascii="微软雅黑" w:hAnsi="微软雅黑" w:eastAsia="微软雅黑" w:cs="微软雅黑"/>
          <w:sz w:val="24"/>
          <w:szCs w:val="24"/>
        </w:rPr>
      </w:pPr>
      <w:bookmarkStart w:id="32" w:name="_Toc9577"/>
      <w:r>
        <w:rPr>
          <w:rFonts w:hint="eastAsia" w:ascii="微软雅黑" w:hAnsi="微软雅黑" w:eastAsia="微软雅黑" w:cs="微软雅黑"/>
          <w:sz w:val="24"/>
          <w:szCs w:val="24"/>
        </w:rPr>
        <w:t>投标人须知前附表</w:t>
      </w:r>
    </w:p>
    <w:tbl>
      <w:tblPr>
        <w:tblStyle w:val="38"/>
        <w:tblW w:w="9042" w:type="dxa"/>
        <w:tblInd w:w="-99" w:type="dxa"/>
        <w:tblLayout w:type="fixed"/>
        <w:tblCellMar>
          <w:top w:w="0" w:type="dxa"/>
          <w:left w:w="108" w:type="dxa"/>
          <w:bottom w:w="0" w:type="dxa"/>
          <w:right w:w="108" w:type="dxa"/>
        </w:tblCellMar>
      </w:tblPr>
      <w:tblGrid>
        <w:gridCol w:w="585"/>
        <w:gridCol w:w="2073"/>
        <w:gridCol w:w="6384"/>
      </w:tblGrid>
      <w:tr>
        <w:tblPrEx>
          <w:tblCellMar>
            <w:top w:w="0" w:type="dxa"/>
            <w:left w:w="108" w:type="dxa"/>
            <w:bottom w:w="0" w:type="dxa"/>
            <w:right w:w="108" w:type="dxa"/>
          </w:tblCellMar>
        </w:tblPrEx>
        <w:trPr>
          <w:trHeight w:val="556" w:hRule="atLeast"/>
          <w:tblHeader/>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bookmarkStart w:id="33" w:name="sys_招标项目基本内容及要求：Block"/>
            <w:bookmarkEnd w:id="33"/>
            <w:bookmarkStart w:id="34" w:name="招标项目基本内容及要求：Block"/>
            <w:bookmarkEnd w:id="34"/>
            <w:bookmarkStart w:id="35" w:name="招标项目基本内容及要求其他：Block"/>
            <w:bookmarkEnd w:id="35"/>
            <w:bookmarkStart w:id="36" w:name="sys_招标项目基本内容及要求其他：Block"/>
            <w:bookmarkEnd w:id="36"/>
            <w:r>
              <w:rPr>
                <w:rFonts w:hint="eastAsia" w:ascii="微软雅黑" w:hAnsi="微软雅黑" w:eastAsia="微软雅黑" w:cs="微软雅黑"/>
                <w:kern w:val="0"/>
                <w:sz w:val="24"/>
              </w:rPr>
              <w:t>序号</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项   目</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内     容</w:t>
            </w:r>
          </w:p>
        </w:tc>
      </w:tr>
      <w:tr>
        <w:tblPrEx>
          <w:tblCellMar>
            <w:top w:w="0" w:type="dxa"/>
            <w:left w:w="108" w:type="dxa"/>
            <w:bottom w:w="0" w:type="dxa"/>
            <w:right w:w="108" w:type="dxa"/>
          </w:tblCellMar>
        </w:tblPrEx>
        <w:trPr>
          <w:trHeight w:val="989"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sz w:val="24"/>
              </w:rPr>
              <w:t>项目名称</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 xml:space="preserve">浙江省环境质量自动监测智能化建设项目     </w:t>
            </w:r>
          </w:p>
        </w:tc>
      </w:tr>
      <w:tr>
        <w:tblPrEx>
          <w:tblCellMar>
            <w:top w:w="0" w:type="dxa"/>
            <w:left w:w="108" w:type="dxa"/>
            <w:bottom w:w="0" w:type="dxa"/>
            <w:right w:w="108" w:type="dxa"/>
          </w:tblCellMar>
        </w:tblPrEx>
        <w:trPr>
          <w:trHeight w:val="97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sz w:val="24"/>
              </w:rPr>
              <w:t>编号</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招标文件编号：浙华采字【2022】hzf-7077号；</w:t>
            </w:r>
          </w:p>
          <w:p>
            <w:pPr>
              <w:pStyle w:val="84"/>
              <w:spacing w:line="360" w:lineRule="exact"/>
              <w:ind w:firstLine="0" w:firstLineChars="0"/>
              <w:rPr>
                <w:rFonts w:ascii="微软雅黑" w:hAnsi="微软雅黑" w:eastAsia="微软雅黑" w:cs="微软雅黑"/>
                <w:sz w:val="24"/>
              </w:rPr>
            </w:pPr>
            <w:r>
              <w:rPr>
                <w:rFonts w:hint="eastAsia" w:ascii="微软雅黑" w:hAnsi="微软雅黑" w:eastAsia="微软雅黑" w:cs="微软雅黑"/>
                <w:kern w:val="2"/>
                <w:sz w:val="24"/>
              </w:rPr>
              <w:t>财政审批编号：[2022]26454号</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3</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sz w:val="24"/>
              </w:rPr>
              <w:t>招标内容</w:t>
            </w:r>
          </w:p>
        </w:tc>
        <w:tc>
          <w:tcPr>
            <w:tcW w:w="6384" w:type="dxa"/>
            <w:tcBorders>
              <w:top w:val="single" w:color="auto" w:sz="4" w:space="0"/>
              <w:left w:val="single" w:color="auto" w:sz="4" w:space="0"/>
              <w:bottom w:val="single" w:color="auto" w:sz="4" w:space="0"/>
              <w:right w:val="single" w:color="auto" w:sz="4" w:space="0"/>
            </w:tcBorders>
            <w:noWrap/>
            <w:vAlign w:val="center"/>
          </w:tcPr>
          <w:p>
            <w:pPr>
              <w:pStyle w:val="84"/>
              <w:spacing w:line="360" w:lineRule="exact"/>
              <w:ind w:firstLine="0" w:firstLineChars="0"/>
              <w:rPr>
                <w:rFonts w:ascii="微软雅黑" w:hAnsi="微软雅黑" w:eastAsia="微软雅黑" w:cs="微软雅黑"/>
                <w:sz w:val="24"/>
              </w:rPr>
            </w:pPr>
            <w:r>
              <w:rPr>
                <w:rFonts w:hint="eastAsia" w:ascii="微软雅黑" w:hAnsi="微软雅黑" w:eastAsia="微软雅黑" w:cs="微软雅黑"/>
                <w:kern w:val="2"/>
                <w:sz w:val="24"/>
              </w:rPr>
              <w:t>具体内容详见招标需求。</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4</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bCs/>
                <w:sz w:val="24"/>
              </w:rPr>
            </w:pPr>
            <w:r>
              <w:rPr>
                <w:rFonts w:hint="eastAsia" w:ascii="微软雅黑" w:hAnsi="微软雅黑" w:eastAsia="微软雅黑" w:cs="微软雅黑"/>
                <w:bCs/>
                <w:sz w:val="24"/>
              </w:rPr>
              <w:t>投标报价及费用</w:t>
            </w:r>
          </w:p>
        </w:tc>
        <w:tc>
          <w:tcPr>
            <w:tcW w:w="6384" w:type="dxa"/>
            <w:tcBorders>
              <w:top w:val="single" w:color="auto" w:sz="4" w:space="0"/>
              <w:left w:val="single" w:color="auto" w:sz="4" w:space="0"/>
              <w:bottom w:val="single" w:color="auto" w:sz="4" w:space="0"/>
              <w:right w:val="single" w:color="auto" w:sz="4" w:space="0"/>
            </w:tcBorders>
            <w:noWrap/>
            <w:vAlign w:val="center"/>
          </w:tcPr>
          <w:p>
            <w:pPr>
              <w:pStyle w:val="84"/>
              <w:spacing w:line="360" w:lineRule="exact"/>
              <w:ind w:firstLine="0" w:firstLineChars="0"/>
              <w:rPr>
                <w:rFonts w:ascii="微软雅黑" w:hAnsi="微软雅黑" w:eastAsia="微软雅黑" w:cs="微软雅黑"/>
                <w:bCs/>
                <w:kern w:val="2"/>
                <w:sz w:val="24"/>
              </w:rPr>
            </w:pPr>
            <w:r>
              <w:rPr>
                <w:rFonts w:hint="eastAsia" w:ascii="微软雅黑" w:hAnsi="微软雅黑" w:eastAsia="微软雅黑" w:cs="微软雅黑"/>
                <w:sz w:val="24"/>
              </w:rPr>
              <w:t>1、本项目投标应以人民币报价；2、不论投标结果如何，投标人均应自行承担所有与投标有关的全部费用。3、本项目招标代理服务费标项一按¥</w:t>
            </w:r>
            <w:r>
              <w:rPr>
                <w:rFonts w:hint="eastAsia" w:ascii="微软雅黑" w:hAnsi="微软雅黑" w:eastAsia="微软雅黑" w:cs="微软雅黑"/>
                <w:sz w:val="24"/>
                <w:lang w:val="en-US" w:eastAsia="zh-CN"/>
              </w:rPr>
              <w:t>15000</w:t>
            </w:r>
            <w:r>
              <w:rPr>
                <w:rFonts w:hint="eastAsia" w:ascii="微软雅黑" w:hAnsi="微软雅黑" w:eastAsia="微软雅黑" w:cs="微软雅黑"/>
                <w:sz w:val="24"/>
              </w:rPr>
              <w:t>（人民币</w:t>
            </w:r>
            <w:r>
              <w:rPr>
                <w:rFonts w:hint="eastAsia" w:ascii="微软雅黑" w:hAnsi="微软雅黑" w:eastAsia="微软雅黑" w:cs="微软雅黑"/>
                <w:sz w:val="24"/>
                <w:lang w:eastAsia="zh-CN"/>
              </w:rPr>
              <w:t>壹万伍仟</w:t>
            </w:r>
            <w:r>
              <w:rPr>
                <w:rFonts w:hint="eastAsia" w:ascii="微软雅黑" w:hAnsi="微软雅黑" w:eastAsia="微软雅黑" w:cs="微软雅黑"/>
                <w:sz w:val="24"/>
              </w:rPr>
              <w:t>元整）收取，标项二按¥</w:t>
            </w:r>
            <w:r>
              <w:rPr>
                <w:rFonts w:hint="eastAsia" w:ascii="微软雅黑" w:hAnsi="微软雅黑" w:eastAsia="微软雅黑" w:cs="微软雅黑"/>
                <w:sz w:val="24"/>
                <w:lang w:val="en-US" w:eastAsia="zh-CN"/>
              </w:rPr>
              <w:t>25000</w:t>
            </w:r>
            <w:r>
              <w:rPr>
                <w:rFonts w:hint="eastAsia" w:ascii="微软雅黑" w:hAnsi="微软雅黑" w:eastAsia="微软雅黑" w:cs="微软雅黑"/>
                <w:sz w:val="24"/>
              </w:rPr>
              <w:t>（人民币</w:t>
            </w:r>
            <w:r>
              <w:rPr>
                <w:rFonts w:hint="eastAsia" w:ascii="微软雅黑" w:hAnsi="微软雅黑" w:eastAsia="微软雅黑" w:cs="微软雅黑"/>
                <w:sz w:val="24"/>
                <w:lang w:eastAsia="zh-CN"/>
              </w:rPr>
              <w:t>贰万伍仟</w:t>
            </w:r>
            <w:r>
              <w:rPr>
                <w:rFonts w:hint="eastAsia" w:ascii="微软雅黑" w:hAnsi="微软雅黑" w:eastAsia="微软雅黑" w:cs="微软雅黑"/>
                <w:sz w:val="24"/>
              </w:rPr>
              <w:t>元整）收取，标项三按¥</w:t>
            </w:r>
            <w:r>
              <w:rPr>
                <w:rFonts w:hint="eastAsia" w:ascii="微软雅黑" w:hAnsi="微软雅黑" w:eastAsia="微软雅黑" w:cs="微软雅黑"/>
                <w:sz w:val="24"/>
                <w:lang w:val="en-US" w:eastAsia="zh-CN"/>
              </w:rPr>
              <w:t>37000</w:t>
            </w:r>
            <w:r>
              <w:rPr>
                <w:rFonts w:hint="eastAsia" w:ascii="微软雅黑" w:hAnsi="微软雅黑" w:eastAsia="微软雅黑" w:cs="微软雅黑"/>
                <w:sz w:val="24"/>
              </w:rPr>
              <w:t>（人民币</w:t>
            </w:r>
            <w:r>
              <w:rPr>
                <w:rFonts w:hint="eastAsia" w:ascii="微软雅黑" w:hAnsi="微软雅黑" w:eastAsia="微软雅黑" w:cs="微软雅黑"/>
                <w:sz w:val="24"/>
                <w:lang w:eastAsia="zh-CN"/>
              </w:rPr>
              <w:t>叁万柒仟</w:t>
            </w:r>
            <w:r>
              <w:rPr>
                <w:rFonts w:hint="eastAsia" w:ascii="微软雅黑" w:hAnsi="微软雅黑" w:eastAsia="微软雅黑" w:cs="微软雅黑"/>
                <w:sz w:val="24"/>
              </w:rPr>
              <w:t>元整）收取代理费由</w:t>
            </w:r>
            <w:r>
              <w:rPr>
                <w:rFonts w:hint="eastAsia" w:ascii="微软雅黑" w:hAnsi="微软雅黑" w:eastAsia="微软雅黑" w:cs="微软雅黑"/>
                <w:sz w:val="24"/>
                <w:lang w:eastAsia="zh-CN"/>
              </w:rPr>
              <w:t>各标项</w:t>
            </w:r>
            <w:r>
              <w:rPr>
                <w:rFonts w:hint="eastAsia" w:ascii="微软雅黑" w:hAnsi="微软雅黑" w:eastAsia="微软雅黑" w:cs="微软雅黑"/>
                <w:sz w:val="24"/>
              </w:rPr>
              <w:t>中标单位在领取中标通知书前一次性向招标代理机构支付完成。</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5</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bCs/>
                <w:sz w:val="24"/>
              </w:rPr>
            </w:pPr>
            <w:r>
              <w:rPr>
                <w:rFonts w:hint="eastAsia" w:ascii="微软雅黑" w:hAnsi="微软雅黑" w:eastAsia="微软雅黑" w:cs="微软雅黑"/>
                <w:kern w:val="0"/>
                <w:sz w:val="24"/>
              </w:rPr>
              <w:t>采购人</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名  称：</w:t>
            </w:r>
            <w:r>
              <w:rPr>
                <w:rFonts w:hint="eastAsia" w:ascii="微软雅黑" w:hAnsi="微软雅黑" w:eastAsia="微软雅黑" w:cs="微软雅黑"/>
                <w:kern w:val="0"/>
                <w:sz w:val="24"/>
                <w:u w:val="single"/>
              </w:rPr>
              <w:t xml:space="preserve">浙江省湖州生态环境监测中心 </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地  址：</w:t>
            </w:r>
            <w:r>
              <w:rPr>
                <w:rFonts w:hint="eastAsia" w:ascii="微软雅黑" w:hAnsi="微软雅黑" w:eastAsia="微软雅黑" w:cs="微软雅黑"/>
                <w:color w:val="000000"/>
                <w:sz w:val="24"/>
                <w:u w:val="single"/>
              </w:rPr>
              <w:t>浙江省湖州市吴兴区开元路</w:t>
            </w:r>
            <w:r>
              <w:rPr>
                <w:rFonts w:ascii="微软雅黑" w:hAnsi="微软雅黑" w:eastAsia="微软雅黑" w:cs="微软雅黑"/>
                <w:color w:val="000000"/>
                <w:sz w:val="24"/>
                <w:u w:val="single"/>
              </w:rPr>
              <w:t>100</w:t>
            </w:r>
            <w:r>
              <w:rPr>
                <w:rFonts w:hint="eastAsia" w:ascii="微软雅黑" w:hAnsi="微软雅黑" w:eastAsia="微软雅黑" w:cs="微软雅黑"/>
                <w:color w:val="000000"/>
                <w:sz w:val="24"/>
                <w:u w:val="single"/>
              </w:rPr>
              <w:t>号</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联系人：</w:t>
            </w:r>
            <w:r>
              <w:rPr>
                <w:rFonts w:hint="eastAsia" w:ascii="微软雅黑" w:hAnsi="微软雅黑" w:eastAsia="微软雅黑" w:cs="微软雅黑"/>
                <w:kern w:val="0"/>
                <w:sz w:val="24"/>
                <w:u w:val="single"/>
              </w:rPr>
              <w:t>杨主任</w:t>
            </w:r>
          </w:p>
          <w:p>
            <w:pPr>
              <w:widowControl/>
              <w:spacing w:line="360" w:lineRule="exact"/>
              <w:jc w:val="left"/>
              <w:rPr>
                <w:rFonts w:ascii="微软雅黑" w:hAnsi="微软雅黑" w:eastAsia="微软雅黑" w:cs="微软雅黑"/>
                <w:bCs/>
                <w:sz w:val="24"/>
              </w:rPr>
            </w:pPr>
            <w:r>
              <w:rPr>
                <w:rFonts w:hint="eastAsia" w:ascii="微软雅黑" w:hAnsi="微软雅黑" w:eastAsia="微软雅黑" w:cs="微软雅黑"/>
                <w:kern w:val="0"/>
                <w:sz w:val="24"/>
              </w:rPr>
              <w:t>电  话：</w:t>
            </w:r>
            <w:r>
              <w:rPr>
                <w:rFonts w:hint="eastAsia" w:ascii="微软雅黑" w:hAnsi="微软雅黑" w:eastAsia="微软雅黑" w:cs="微软雅黑"/>
                <w:kern w:val="0"/>
                <w:sz w:val="24"/>
                <w:u w:val="single"/>
              </w:rPr>
              <w:t>0572-2668565</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6</w:t>
            </w:r>
          </w:p>
        </w:tc>
        <w:tc>
          <w:tcPr>
            <w:tcW w:w="207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采购代理机构</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名  称：</w:t>
            </w:r>
            <w:r>
              <w:rPr>
                <w:rFonts w:hint="eastAsia" w:ascii="微软雅黑" w:hAnsi="微软雅黑" w:eastAsia="微软雅黑" w:cs="微软雅黑"/>
                <w:kern w:val="0"/>
                <w:sz w:val="24"/>
                <w:u w:val="single"/>
              </w:rPr>
              <w:t>浙江华夏工程管理有限公司</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地  址：</w:t>
            </w:r>
            <w:r>
              <w:rPr>
                <w:rFonts w:hint="eastAsia" w:ascii="微软雅黑" w:hAnsi="微软雅黑" w:eastAsia="微软雅黑" w:cs="微软雅黑"/>
                <w:kern w:val="0"/>
                <w:sz w:val="24"/>
                <w:u w:val="single"/>
              </w:rPr>
              <w:t xml:space="preserve">湖州市星洲国际10幢5楼 </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联系人：</w:t>
            </w:r>
            <w:r>
              <w:rPr>
                <w:rFonts w:hint="eastAsia" w:ascii="微软雅黑" w:hAnsi="微软雅黑" w:eastAsia="微软雅黑" w:cs="微软雅黑"/>
                <w:kern w:val="0"/>
                <w:sz w:val="24"/>
                <w:u w:val="single"/>
              </w:rPr>
              <w:t>郑剑鸿</w:t>
            </w:r>
          </w:p>
          <w:p>
            <w:pPr>
              <w:widowControl/>
              <w:spacing w:line="36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电  话：</w:t>
            </w:r>
            <w:r>
              <w:rPr>
                <w:rFonts w:hint="eastAsia" w:ascii="微软雅黑" w:hAnsi="微软雅黑" w:eastAsia="微软雅黑" w:cs="微软雅黑"/>
                <w:kern w:val="0"/>
                <w:sz w:val="24"/>
                <w:u w:val="single"/>
              </w:rPr>
              <w:t xml:space="preserve">0572-2567837 </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7</w:t>
            </w:r>
          </w:p>
        </w:tc>
        <w:tc>
          <w:tcPr>
            <w:tcW w:w="2073"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项目预算金额、最高限价</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7.1预算金额：747万元 </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7.2最高限价：747万元</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7.3分项最高限价：</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7.3.1标项一最高限价：128万元；</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7.3.2标项二最高限价：247.6万元；</w:t>
            </w:r>
          </w:p>
          <w:p>
            <w:pPr>
              <w:spacing w:line="400" w:lineRule="exact"/>
              <w:rPr>
                <w:rFonts w:ascii="微软雅黑" w:hAnsi="微软雅黑" w:eastAsia="微软雅黑" w:cs="微软雅黑"/>
                <w:kern w:val="0"/>
                <w:sz w:val="24"/>
              </w:rPr>
            </w:pPr>
            <w:r>
              <w:rPr>
                <w:rFonts w:hint="eastAsia" w:ascii="微软雅黑" w:hAnsi="微软雅黑" w:eastAsia="微软雅黑" w:cs="微软雅黑"/>
                <w:sz w:val="24"/>
              </w:rPr>
              <w:t>7.3.3 标项三最高限价：371.4万元。</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8</w:t>
            </w:r>
          </w:p>
        </w:tc>
        <w:tc>
          <w:tcPr>
            <w:tcW w:w="2073"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bCs/>
                <w:kern w:val="0"/>
                <w:sz w:val="24"/>
              </w:rPr>
            </w:pPr>
            <w:r>
              <w:rPr>
                <w:rFonts w:hint="eastAsia" w:ascii="微软雅黑" w:hAnsi="微软雅黑" w:eastAsia="微软雅黑" w:cs="微软雅黑"/>
                <w:kern w:val="0"/>
                <w:sz w:val="24"/>
              </w:rPr>
              <w:t>是否为专门面向</w:t>
            </w:r>
            <w:r>
              <w:rPr>
                <w:rFonts w:hint="eastAsia" w:ascii="微软雅黑" w:hAnsi="微软雅黑" w:eastAsia="微软雅黑" w:cs="微软雅黑"/>
                <w:sz w:val="24"/>
              </w:rPr>
              <w:t>中小企业</w:t>
            </w:r>
            <w:r>
              <w:rPr>
                <w:rFonts w:hint="eastAsia" w:ascii="微软雅黑" w:hAnsi="微软雅黑" w:eastAsia="微软雅黑" w:cs="微软雅黑"/>
                <w:kern w:val="0"/>
                <w:sz w:val="24"/>
              </w:rPr>
              <w:t>采购</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bCs/>
                <w:kern w:val="0"/>
                <w:sz w:val="24"/>
              </w:rPr>
            </w:pPr>
            <w:r>
              <w:rPr>
                <w:rFonts w:hint="eastAsia" w:ascii="微软雅黑" w:hAnsi="微软雅黑" w:eastAsia="微软雅黑" w:cs="微软雅黑"/>
                <w:kern w:val="0"/>
                <w:sz w:val="24"/>
              </w:rPr>
              <w:t>否</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9</w:t>
            </w:r>
          </w:p>
        </w:tc>
        <w:tc>
          <w:tcPr>
            <w:tcW w:w="2073"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kern w:val="0"/>
                <w:sz w:val="24"/>
              </w:rPr>
              <w:t>是否允许联合体投标</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否</w:t>
            </w:r>
          </w:p>
        </w:tc>
      </w:tr>
      <w:tr>
        <w:tblPrEx>
          <w:tblCellMar>
            <w:top w:w="0" w:type="dxa"/>
            <w:left w:w="108" w:type="dxa"/>
            <w:bottom w:w="0" w:type="dxa"/>
            <w:right w:w="108" w:type="dxa"/>
          </w:tblCellMar>
        </w:tblPrEx>
        <w:trPr>
          <w:trHeight w:val="321"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10</w:t>
            </w:r>
          </w:p>
        </w:tc>
        <w:tc>
          <w:tcPr>
            <w:tcW w:w="2073"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b/>
                <w:kern w:val="0"/>
                <w:sz w:val="24"/>
              </w:rPr>
            </w:pPr>
            <w:r>
              <w:rPr>
                <w:rFonts w:hint="eastAsia" w:ascii="微软雅黑" w:hAnsi="微软雅黑" w:eastAsia="微软雅黑" w:cs="微软雅黑"/>
                <w:sz w:val="24"/>
              </w:rPr>
              <w:t>是否有政府强制采购的节能产品</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没有</w:t>
            </w:r>
          </w:p>
        </w:tc>
      </w:tr>
      <w:tr>
        <w:tblPrEx>
          <w:tblCellMar>
            <w:top w:w="0" w:type="dxa"/>
            <w:left w:w="108" w:type="dxa"/>
            <w:bottom w:w="0" w:type="dxa"/>
            <w:right w:w="108" w:type="dxa"/>
          </w:tblCellMar>
        </w:tblPrEx>
        <w:trPr>
          <w:trHeight w:val="815"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11</w:t>
            </w:r>
          </w:p>
        </w:tc>
        <w:tc>
          <w:tcPr>
            <w:tcW w:w="2073"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核心产品</w:t>
            </w:r>
          </w:p>
        </w:tc>
        <w:tc>
          <w:tcPr>
            <w:tcW w:w="6384" w:type="dxa"/>
            <w:tcBorders>
              <w:top w:val="single" w:color="auto" w:sz="4" w:space="0"/>
              <w:left w:val="single" w:color="auto" w:sz="4" w:space="0"/>
              <w:bottom w:val="single" w:color="auto" w:sz="4" w:space="0"/>
              <w:right w:val="single" w:color="auto" w:sz="4" w:space="0"/>
            </w:tcBorders>
            <w:noWrap/>
            <w:vAlign w:val="center"/>
          </w:tcPr>
          <w:p>
            <w:pPr>
              <w:rPr>
                <w:rFonts w:ascii="微软雅黑" w:hAnsi="微软雅黑" w:eastAsia="微软雅黑" w:cs="微软雅黑"/>
                <w:b/>
                <w:sz w:val="24"/>
              </w:rPr>
            </w:pPr>
            <w:r>
              <w:rPr>
                <w:rFonts w:hint="eastAsia" w:ascii="微软雅黑" w:hAnsi="微软雅黑" w:eastAsia="微软雅黑" w:cs="微软雅黑"/>
                <w:sz w:val="24"/>
              </w:rPr>
              <w:t>标项一：增</w:t>
            </w:r>
            <w:r>
              <w:rPr>
                <w:rFonts w:hint="eastAsia" w:ascii="微软雅黑" w:hAnsi="微软雅黑" w:eastAsia="微软雅黑" w:cs="微软雅黑"/>
                <w:b/>
                <w:sz w:val="24"/>
              </w:rPr>
              <w:t>加总磷质控模块；</w:t>
            </w:r>
          </w:p>
          <w:p>
            <w:pPr>
              <w:rPr>
                <w:rFonts w:ascii="微软雅黑" w:hAnsi="微软雅黑" w:eastAsia="微软雅黑" w:cs="微软雅黑"/>
                <w:b/>
                <w:sz w:val="24"/>
              </w:rPr>
            </w:pPr>
            <w:r>
              <w:rPr>
                <w:rFonts w:hint="eastAsia" w:ascii="微软雅黑" w:hAnsi="微软雅黑" w:eastAsia="微软雅黑" w:cs="微软雅黑"/>
                <w:sz w:val="24"/>
              </w:rPr>
              <w:t>标项二：</w:t>
            </w:r>
            <w:r>
              <w:rPr>
                <w:rFonts w:hint="eastAsia" w:ascii="微软雅黑" w:hAnsi="微软雅黑" w:eastAsia="微软雅黑" w:cs="微软雅黑"/>
                <w:b/>
                <w:sz w:val="24"/>
              </w:rPr>
              <w:t>氨氮水质自动分析仪；</w:t>
            </w:r>
          </w:p>
          <w:p>
            <w:pPr>
              <w:rPr>
                <w:rFonts w:ascii="微软雅黑" w:hAnsi="微软雅黑" w:eastAsia="微软雅黑" w:cs="微软雅黑"/>
                <w:kern w:val="0"/>
                <w:sz w:val="24"/>
              </w:rPr>
            </w:pPr>
            <w:r>
              <w:rPr>
                <w:rFonts w:hint="eastAsia" w:ascii="微软雅黑" w:hAnsi="微软雅黑" w:eastAsia="微软雅黑" w:cs="微软雅黑"/>
                <w:sz w:val="24"/>
              </w:rPr>
              <w:t>标项三：</w:t>
            </w:r>
            <w:r>
              <w:rPr>
                <w:rFonts w:hint="eastAsia" w:ascii="微软雅黑" w:hAnsi="微软雅黑" w:eastAsia="微软雅黑" w:cs="微软雅黑"/>
                <w:b/>
                <w:sz w:val="24"/>
              </w:rPr>
              <w:t>总磷水质自动分析仪</w:t>
            </w:r>
          </w:p>
        </w:tc>
      </w:tr>
      <w:tr>
        <w:tblPrEx>
          <w:tblCellMar>
            <w:top w:w="0" w:type="dxa"/>
            <w:left w:w="108" w:type="dxa"/>
            <w:bottom w:w="0" w:type="dxa"/>
            <w:right w:w="108" w:type="dxa"/>
          </w:tblCellMar>
        </w:tblPrEx>
        <w:trPr>
          <w:trHeight w:val="695"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12</w:t>
            </w:r>
          </w:p>
        </w:tc>
        <w:tc>
          <w:tcPr>
            <w:tcW w:w="2073"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sz w:val="24"/>
              </w:rPr>
            </w:pPr>
            <w:r>
              <w:rPr>
                <w:rFonts w:hint="eastAsia" w:ascii="微软雅黑" w:hAnsi="微软雅黑" w:eastAsia="微软雅黑" w:cs="微软雅黑"/>
                <w:kern w:val="0"/>
                <w:sz w:val="24"/>
              </w:rPr>
              <w:t>现场考察、开标前答疑会</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不组织</w:t>
            </w:r>
          </w:p>
        </w:tc>
      </w:tr>
      <w:tr>
        <w:tblPrEx>
          <w:tblCellMar>
            <w:top w:w="0" w:type="dxa"/>
            <w:left w:w="108" w:type="dxa"/>
            <w:bottom w:w="0" w:type="dxa"/>
            <w:right w:w="108" w:type="dxa"/>
          </w:tblCellMar>
        </w:tblPrEx>
        <w:trPr>
          <w:trHeight w:val="86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13</w:t>
            </w:r>
          </w:p>
        </w:tc>
        <w:tc>
          <w:tcPr>
            <w:tcW w:w="2073"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样品或演示</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不需要</w:t>
            </w:r>
            <w:r>
              <w:rPr>
                <w:rFonts w:hint="eastAsia" w:ascii="微软雅黑" w:hAnsi="微软雅黑" w:eastAsia="微软雅黑" w:cs="微软雅黑"/>
                <w:bCs/>
                <w:kern w:val="0"/>
                <w:sz w:val="24"/>
              </w:rPr>
              <w:t>提供样品、不需要提供演示</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14</w:t>
            </w:r>
          </w:p>
        </w:tc>
        <w:tc>
          <w:tcPr>
            <w:tcW w:w="2073"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投标报价货币要求</w:t>
            </w:r>
          </w:p>
        </w:tc>
        <w:tc>
          <w:tcPr>
            <w:tcW w:w="63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u w:val="single"/>
              </w:rPr>
            </w:pPr>
            <w:r>
              <w:rPr>
                <w:rFonts w:hint="eastAsia" w:ascii="微软雅黑" w:hAnsi="微软雅黑" w:eastAsia="微软雅黑" w:cs="微软雅黑"/>
                <w:kern w:val="0"/>
                <w:sz w:val="24"/>
              </w:rPr>
              <w:t>所有投标均按</w:t>
            </w:r>
            <w:r>
              <w:rPr>
                <w:rFonts w:hint="eastAsia" w:ascii="微软雅黑" w:hAnsi="微软雅黑" w:eastAsia="微软雅黑" w:cs="微软雅黑"/>
                <w:kern w:val="0"/>
                <w:sz w:val="24"/>
                <w:u w:val="single"/>
              </w:rPr>
              <w:t>人民币</w:t>
            </w:r>
            <w:r>
              <w:rPr>
                <w:rFonts w:hint="eastAsia" w:ascii="微软雅黑" w:hAnsi="微软雅黑" w:eastAsia="微软雅黑" w:cs="微软雅黑"/>
                <w:kern w:val="0"/>
                <w:sz w:val="24"/>
              </w:rPr>
              <w:t>货币进行报价。</w:t>
            </w:r>
          </w:p>
        </w:tc>
      </w:tr>
      <w:tr>
        <w:tblPrEx>
          <w:tblCellMar>
            <w:top w:w="0" w:type="dxa"/>
            <w:left w:w="108" w:type="dxa"/>
            <w:bottom w:w="0" w:type="dxa"/>
            <w:right w:w="108" w:type="dxa"/>
          </w:tblCellMar>
        </w:tblPrEx>
        <w:trPr>
          <w:trHeight w:val="609" w:hRule="atLeast"/>
        </w:trPr>
        <w:tc>
          <w:tcPr>
            <w:tcW w:w="585" w:type="dxa"/>
            <w:tcBorders>
              <w:top w:val="single" w:color="auto" w:sz="4" w:space="0"/>
              <w:left w:val="single" w:color="auto" w:sz="8" w:space="0"/>
              <w:bottom w:val="single" w:color="auto" w:sz="8"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15</w:t>
            </w:r>
          </w:p>
        </w:tc>
        <w:tc>
          <w:tcPr>
            <w:tcW w:w="2073" w:type="dxa"/>
            <w:tcBorders>
              <w:top w:val="single" w:color="auto" w:sz="4" w:space="0"/>
              <w:left w:val="single" w:color="auto" w:sz="4" w:space="0"/>
              <w:bottom w:val="single" w:color="auto" w:sz="8" w:space="0"/>
              <w:right w:val="single" w:color="auto" w:sz="8" w:space="0"/>
            </w:tcBorders>
            <w:noWrap/>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投标保证金</w:t>
            </w:r>
          </w:p>
        </w:tc>
        <w:tc>
          <w:tcPr>
            <w:tcW w:w="6384" w:type="dxa"/>
            <w:tcBorders>
              <w:top w:val="single" w:color="auto" w:sz="4" w:space="0"/>
              <w:left w:val="nil"/>
              <w:bottom w:val="single" w:color="auto" w:sz="8" w:space="0"/>
              <w:right w:val="single" w:color="auto" w:sz="8" w:space="0"/>
            </w:tcBorders>
            <w:noWrap/>
            <w:vAlign w:val="center"/>
          </w:tcPr>
          <w:p>
            <w:pPr>
              <w:spacing w:line="360" w:lineRule="exact"/>
              <w:rPr>
                <w:rFonts w:ascii="微软雅黑" w:hAnsi="微软雅黑" w:eastAsia="微软雅黑" w:cs="微软雅黑"/>
                <w:sz w:val="24"/>
              </w:rPr>
            </w:pPr>
            <w:r>
              <w:rPr>
                <w:rFonts w:hint="eastAsia" w:ascii="微软雅黑" w:hAnsi="微软雅黑" w:eastAsia="微软雅黑" w:cs="微软雅黑"/>
                <w:sz w:val="24"/>
              </w:rPr>
              <w:t>不缴纳</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8" w:space="0"/>
              <w:bottom w:val="single" w:color="auto" w:sz="8"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16</w:t>
            </w:r>
          </w:p>
        </w:tc>
        <w:tc>
          <w:tcPr>
            <w:tcW w:w="2073" w:type="dxa"/>
            <w:tcBorders>
              <w:top w:val="single" w:color="auto" w:sz="4" w:space="0"/>
              <w:left w:val="single" w:color="auto" w:sz="4" w:space="0"/>
              <w:bottom w:val="single" w:color="auto" w:sz="8" w:space="0"/>
              <w:right w:val="single" w:color="auto" w:sz="8" w:space="0"/>
            </w:tcBorders>
            <w:noWrap/>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投标有效期</w:t>
            </w:r>
          </w:p>
        </w:tc>
        <w:tc>
          <w:tcPr>
            <w:tcW w:w="6384" w:type="dxa"/>
            <w:tcBorders>
              <w:top w:val="single" w:color="auto" w:sz="4" w:space="0"/>
              <w:left w:val="nil"/>
              <w:bottom w:val="single" w:color="auto" w:sz="8" w:space="0"/>
              <w:right w:val="single" w:color="auto" w:sz="8" w:space="0"/>
            </w:tcBorders>
            <w:noWrap/>
            <w:vAlign w:val="center"/>
          </w:tcPr>
          <w:p>
            <w:pPr>
              <w:pStyle w:val="17"/>
              <w:spacing w:line="360" w:lineRule="exact"/>
              <w:textAlignment w:val="auto"/>
              <w:rPr>
                <w:rFonts w:ascii="微软雅黑" w:hAnsi="微软雅黑" w:eastAsia="微软雅黑" w:cs="微软雅黑"/>
                <w:szCs w:val="24"/>
              </w:rPr>
            </w:pPr>
            <w:r>
              <w:rPr>
                <w:rFonts w:hint="eastAsia" w:ascii="微软雅黑" w:hAnsi="微软雅黑" w:eastAsia="微软雅黑" w:cs="微软雅黑"/>
                <w:szCs w:val="24"/>
                <w:u w:val="single"/>
              </w:rPr>
              <w:t>180</w:t>
            </w:r>
            <w:r>
              <w:rPr>
                <w:rFonts w:hint="eastAsia" w:ascii="微软雅黑" w:hAnsi="微软雅黑" w:eastAsia="微软雅黑" w:cs="微软雅黑"/>
                <w:szCs w:val="24"/>
              </w:rPr>
              <w:t>日历日</w:t>
            </w:r>
          </w:p>
        </w:tc>
      </w:tr>
      <w:tr>
        <w:tblPrEx>
          <w:tblCellMar>
            <w:top w:w="0" w:type="dxa"/>
            <w:left w:w="108" w:type="dxa"/>
            <w:bottom w:w="0" w:type="dxa"/>
            <w:right w:w="108" w:type="dxa"/>
          </w:tblCellMar>
        </w:tblPrEx>
        <w:trPr>
          <w:trHeight w:val="936"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17</w:t>
            </w:r>
          </w:p>
        </w:tc>
        <w:tc>
          <w:tcPr>
            <w:tcW w:w="2073"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sz w:val="24"/>
              </w:rPr>
              <w:t>投标文件及电子文档份数</w:t>
            </w:r>
          </w:p>
        </w:tc>
        <w:tc>
          <w:tcPr>
            <w:tcW w:w="6384" w:type="dxa"/>
            <w:tcBorders>
              <w:top w:val="nil"/>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1、投标人应准备电子投标文件、以介质存储的数据电文形式的备份投标文件：</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（1）电子投标文件，按政采云平台项目采购－电子交易操作指南及本招标文件要求递交。</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（2）以介质存储的数据电文形式（bfbs格式）的备份投标文件，按政采云平台项目采购－电子交易操作指南中上传的电子投标文件格式，以U盘形式存储提供。数量为1份。</w:t>
            </w:r>
            <w:r>
              <w:rPr>
                <w:rFonts w:hint="eastAsia" w:ascii="微软雅黑" w:hAnsi="微软雅黑" w:eastAsia="微软雅黑" w:cs="微软雅黑"/>
                <w:kern w:val="0"/>
                <w:sz w:val="24"/>
              </w:rPr>
              <w:t>（根据实际情况自行决定是否递交备份投标文件）</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2、是否需要提交纸质版投标文件：否，但中标后，中标单位需在领取中标通知书时，向招标代理机构提交与投标时电子投标文件一致的纸质版本一式三份（按照招标文件要求签字盖章）。</w:t>
            </w:r>
          </w:p>
          <w:p>
            <w:pPr>
              <w:widowControl/>
              <w:spacing w:line="360" w:lineRule="exact"/>
              <w:rPr>
                <w:rFonts w:ascii="微软雅黑" w:hAnsi="微软雅黑" w:eastAsia="微软雅黑" w:cs="微软雅黑"/>
                <w:sz w:val="24"/>
                <w:u w:val="single"/>
              </w:rPr>
            </w:pPr>
            <w:r>
              <w:rPr>
                <w:rFonts w:hint="eastAsia" w:ascii="微软雅黑" w:hAnsi="微软雅黑" w:eastAsia="微软雅黑" w:cs="微软雅黑"/>
                <w:sz w:val="24"/>
                <w:u w:val="single"/>
              </w:rPr>
              <w:t>投标文件均由《资格文件》、《技术、商务、资信及其他文件》、《报价文件》组成。</w:t>
            </w:r>
          </w:p>
          <w:p>
            <w:pPr>
              <w:widowControl/>
              <w:spacing w:line="360" w:lineRule="exact"/>
              <w:rPr>
                <w:rFonts w:ascii="微软雅黑" w:hAnsi="微软雅黑" w:eastAsia="微软雅黑" w:cs="微软雅黑"/>
                <w:sz w:val="24"/>
                <w:u w:val="single"/>
              </w:rPr>
            </w:pPr>
            <w:r>
              <w:rPr>
                <w:rFonts w:hint="eastAsia" w:ascii="微软雅黑" w:hAnsi="微软雅黑" w:eastAsia="微软雅黑" w:cs="微软雅黑"/>
                <w:sz w:val="24"/>
                <w:u w:val="single"/>
              </w:rPr>
              <w:t>仅提供备份投标文件的，投标无效。</w:t>
            </w:r>
          </w:p>
          <w:p>
            <w:pPr>
              <w:widowControl/>
              <w:spacing w:line="360" w:lineRule="exact"/>
              <w:rPr>
                <w:rFonts w:ascii="微软雅黑" w:hAnsi="微软雅黑" w:eastAsia="微软雅黑" w:cs="微软雅黑"/>
                <w:sz w:val="24"/>
                <w:u w:val="single"/>
              </w:rPr>
            </w:pPr>
            <w:r>
              <w:rPr>
                <w:rFonts w:hint="eastAsia" w:ascii="微软雅黑" w:hAnsi="微软雅黑" w:eastAsia="微软雅黑" w:cs="微软雅黑"/>
                <w:sz w:val="24"/>
                <w:u w:val="single"/>
              </w:rPr>
              <w:t>本项目不强制要求供应商提交备份投标文件，但由于未提交备份投标文件而造成项目开评标活动无法进行下去的，投标无效的，相关风险由供应商自行承担。</w:t>
            </w:r>
          </w:p>
        </w:tc>
      </w:tr>
      <w:tr>
        <w:tblPrEx>
          <w:tblCellMar>
            <w:top w:w="0" w:type="dxa"/>
            <w:left w:w="108" w:type="dxa"/>
            <w:bottom w:w="0" w:type="dxa"/>
            <w:right w:w="108" w:type="dxa"/>
          </w:tblCellMar>
        </w:tblPrEx>
        <w:trPr>
          <w:trHeight w:val="90"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18</w:t>
            </w:r>
          </w:p>
        </w:tc>
        <w:tc>
          <w:tcPr>
            <w:tcW w:w="2073"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递交投标文件截止时间、地点</w:t>
            </w:r>
          </w:p>
        </w:tc>
        <w:tc>
          <w:tcPr>
            <w:tcW w:w="6384" w:type="dxa"/>
            <w:tcBorders>
              <w:top w:val="nil"/>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kern w:val="0"/>
                <w:sz w:val="24"/>
                <w:u w:val="single"/>
              </w:rPr>
            </w:pPr>
            <w:r>
              <w:rPr>
                <w:rFonts w:hint="eastAsia" w:ascii="微软雅黑" w:hAnsi="微软雅黑" w:eastAsia="微软雅黑" w:cs="微软雅黑"/>
                <w:kern w:val="0"/>
                <w:sz w:val="24"/>
              </w:rPr>
              <w:t>详见招标公告，以招标公告规定时间、地点为准。</w:t>
            </w:r>
          </w:p>
        </w:tc>
      </w:tr>
      <w:tr>
        <w:tblPrEx>
          <w:tblCellMar>
            <w:top w:w="0" w:type="dxa"/>
            <w:left w:w="108" w:type="dxa"/>
            <w:bottom w:w="0" w:type="dxa"/>
            <w:right w:w="108" w:type="dxa"/>
          </w:tblCellMar>
        </w:tblPrEx>
        <w:trPr>
          <w:trHeight w:val="439"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19</w:t>
            </w:r>
          </w:p>
        </w:tc>
        <w:tc>
          <w:tcPr>
            <w:tcW w:w="2073"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开标时间、地点</w:t>
            </w:r>
          </w:p>
        </w:tc>
        <w:tc>
          <w:tcPr>
            <w:tcW w:w="6384" w:type="dxa"/>
            <w:tcBorders>
              <w:top w:val="nil"/>
              <w:left w:val="nil"/>
              <w:bottom w:val="single" w:color="auto" w:sz="4" w:space="0"/>
              <w:right w:val="single" w:color="auto" w:sz="8" w:space="0"/>
            </w:tcBorders>
            <w:noWrap/>
            <w:vAlign w:val="center"/>
          </w:tcPr>
          <w:p>
            <w:pPr>
              <w:adjustRightInd w:val="0"/>
              <w:snapToGrid w:val="0"/>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2022 年11月</w:t>
            </w:r>
            <w:r>
              <w:rPr>
                <w:rFonts w:hint="eastAsia" w:ascii="微软雅黑" w:hAnsi="微软雅黑" w:eastAsia="微软雅黑" w:cs="微软雅黑"/>
                <w:kern w:val="0"/>
                <w:sz w:val="24"/>
                <w:lang w:val="en-US" w:eastAsia="zh-CN"/>
              </w:rPr>
              <w:t>25</w:t>
            </w:r>
            <w:r>
              <w:rPr>
                <w:rFonts w:hint="eastAsia" w:ascii="微软雅黑" w:hAnsi="微软雅黑" w:eastAsia="微软雅黑" w:cs="微软雅黑"/>
                <w:kern w:val="0"/>
                <w:sz w:val="24"/>
              </w:rPr>
              <w:t xml:space="preserve"> 日9时30分整（以政采云平台时间为准）；</w:t>
            </w:r>
          </w:p>
          <w:p>
            <w:pPr>
              <w:adjustRightInd w:val="0"/>
              <w:snapToGrid w:val="0"/>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地点：湖州市公共资源交易中心开标室（湖州市仁皇山片区金盖山路66号2号楼2楼）具体详见二楼休息区大屏幕。</w:t>
            </w:r>
          </w:p>
          <w:p>
            <w:pPr>
              <w:adjustRightInd w:val="0"/>
              <w:snapToGrid w:val="0"/>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“政府采购云平台（www.zcygov.cn）”在线响应。</w:t>
            </w:r>
          </w:p>
        </w:tc>
      </w:tr>
      <w:tr>
        <w:tblPrEx>
          <w:tblCellMar>
            <w:top w:w="0" w:type="dxa"/>
            <w:left w:w="108" w:type="dxa"/>
            <w:bottom w:w="0" w:type="dxa"/>
            <w:right w:w="108" w:type="dxa"/>
          </w:tblCellMar>
        </w:tblPrEx>
        <w:trPr>
          <w:trHeight w:val="614"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20</w:t>
            </w:r>
          </w:p>
        </w:tc>
        <w:tc>
          <w:tcPr>
            <w:tcW w:w="2073"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评标委员会组成</w:t>
            </w:r>
          </w:p>
        </w:tc>
        <w:tc>
          <w:tcPr>
            <w:tcW w:w="6384" w:type="dxa"/>
            <w:tcBorders>
              <w:top w:val="nil"/>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kern w:val="0"/>
                <w:sz w:val="24"/>
              </w:rPr>
            </w:pPr>
            <w:r>
              <w:rPr>
                <w:rFonts w:hint="eastAsia" w:ascii="微软雅黑" w:hAnsi="微软雅黑" w:eastAsia="微软雅黑" w:cs="微软雅黑"/>
                <w:sz w:val="24"/>
              </w:rPr>
              <w:t>评标委员会依法组建，负责评标活动。评标委员会遵循公正、公平、科学合理，竞争择优的原则。</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评标办法</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综合评分法</w:t>
            </w:r>
          </w:p>
        </w:tc>
      </w:tr>
      <w:tr>
        <w:tblPrEx>
          <w:tblCellMar>
            <w:top w:w="0" w:type="dxa"/>
            <w:left w:w="108" w:type="dxa"/>
            <w:bottom w:w="0" w:type="dxa"/>
            <w:right w:w="108" w:type="dxa"/>
          </w:tblCellMar>
        </w:tblPrEx>
        <w:trPr>
          <w:trHeight w:val="943"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22</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确定中标人的方式</w:t>
            </w:r>
          </w:p>
        </w:tc>
        <w:tc>
          <w:tcPr>
            <w:tcW w:w="63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中标人数量：</w:t>
            </w:r>
            <w:r>
              <w:rPr>
                <w:rFonts w:hint="eastAsia" w:ascii="微软雅黑" w:hAnsi="微软雅黑" w:eastAsia="微软雅黑" w:cs="微软雅黑"/>
                <w:kern w:val="0"/>
                <w:sz w:val="24"/>
                <w:u w:val="single"/>
              </w:rPr>
              <w:t xml:space="preserve">单个标项各 1家 </w:t>
            </w:r>
          </w:p>
          <w:p>
            <w:pPr>
              <w:widowControl/>
              <w:spacing w:line="360" w:lineRule="exact"/>
              <w:rPr>
                <w:rFonts w:ascii="微软雅黑" w:hAnsi="微软雅黑" w:eastAsia="微软雅黑" w:cs="微软雅黑"/>
                <w:kern w:val="0"/>
                <w:sz w:val="24"/>
                <w:u w:val="single"/>
              </w:rPr>
            </w:pPr>
            <w:r>
              <w:rPr>
                <w:rFonts w:hint="eastAsia" w:ascii="微软雅黑" w:hAnsi="微软雅黑" w:eastAsia="微软雅黑" w:cs="微软雅黑"/>
                <w:kern w:val="0"/>
                <w:sz w:val="24"/>
              </w:rPr>
              <w:t>采购人确定中标人。</w:t>
            </w:r>
          </w:p>
        </w:tc>
      </w:tr>
      <w:tr>
        <w:tblPrEx>
          <w:tblCellMar>
            <w:top w:w="0" w:type="dxa"/>
            <w:left w:w="108" w:type="dxa"/>
            <w:bottom w:w="0" w:type="dxa"/>
            <w:right w:w="108" w:type="dxa"/>
          </w:tblCellMar>
        </w:tblPrEx>
        <w:trPr>
          <w:trHeight w:val="1309"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23</w:t>
            </w:r>
          </w:p>
        </w:tc>
        <w:tc>
          <w:tcPr>
            <w:tcW w:w="2073"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sz w:val="24"/>
              </w:rPr>
              <w:t>履约保证金</w:t>
            </w:r>
          </w:p>
        </w:tc>
        <w:tc>
          <w:tcPr>
            <w:tcW w:w="6384"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left"/>
              <w:rPr>
                <w:rFonts w:ascii="微软雅黑" w:hAnsi="微软雅黑" w:eastAsia="微软雅黑" w:cs="微软雅黑"/>
                <w:sz w:val="24"/>
              </w:rPr>
            </w:pPr>
            <w:r>
              <w:rPr>
                <w:rFonts w:hint="eastAsia" w:ascii="微软雅黑" w:hAnsi="微软雅黑" w:eastAsia="微软雅黑" w:cs="微软雅黑"/>
                <w:sz w:val="24"/>
              </w:rPr>
              <w:t>本项目收取履约保证金</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履约保证金金额：</w:t>
            </w:r>
            <w:r>
              <w:rPr>
                <w:rFonts w:hint="eastAsia" w:ascii="微软雅黑" w:hAnsi="微软雅黑" w:eastAsia="微软雅黑" w:cs="微软雅黑"/>
                <w:sz w:val="24"/>
                <w:u w:val="single"/>
              </w:rPr>
              <w:t>各个标段</w:t>
            </w:r>
            <w:r>
              <w:rPr>
                <w:rFonts w:hint="eastAsia" w:ascii="微软雅黑" w:hAnsi="微软雅黑" w:eastAsia="微软雅黑" w:cs="微软雅黑"/>
                <w:kern w:val="0"/>
                <w:sz w:val="24"/>
                <w:u w:val="single"/>
              </w:rPr>
              <w:t>合同金额的1%</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履约保证金递交时间：</w:t>
            </w:r>
            <w:r>
              <w:rPr>
                <w:rFonts w:hint="eastAsia" w:ascii="微软雅黑" w:hAnsi="微软雅黑" w:eastAsia="微软雅黑" w:cs="微软雅黑"/>
                <w:kern w:val="0"/>
                <w:sz w:val="24"/>
                <w:u w:val="single"/>
              </w:rPr>
              <w:t>签订合同之日起15日内</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履约保证金递交方式：</w:t>
            </w:r>
            <w:r>
              <w:rPr>
                <w:rFonts w:hint="eastAsia" w:ascii="微软雅黑" w:hAnsi="微软雅黑" w:eastAsia="微软雅黑" w:cs="微软雅黑"/>
                <w:sz w:val="24"/>
              </w:rPr>
              <w:sym w:font="Wingdings 2" w:char="0052"/>
            </w:r>
            <w:r>
              <w:rPr>
                <w:rFonts w:hint="eastAsia" w:ascii="微软雅黑" w:hAnsi="微软雅黑" w:eastAsia="微软雅黑" w:cs="微软雅黑"/>
                <w:sz w:val="24"/>
              </w:rPr>
              <w:t xml:space="preserve">以银行、保险公司出具保函形式； </w:t>
            </w:r>
            <w:r>
              <w:rPr>
                <w:rFonts w:hint="eastAsia" w:ascii="微软雅黑" w:hAnsi="微软雅黑" w:eastAsia="微软雅黑" w:cs="微软雅黑"/>
                <w:sz w:val="24"/>
              </w:rPr>
              <w:sym w:font="Wingdings 2" w:char="0052"/>
            </w:r>
            <w:r>
              <w:rPr>
                <w:rFonts w:hint="eastAsia" w:ascii="微软雅黑" w:hAnsi="微软雅黑" w:eastAsia="微软雅黑" w:cs="微软雅黑"/>
                <w:sz w:val="24"/>
              </w:rPr>
              <w:t>网银电汇</w:t>
            </w:r>
          </w:p>
          <w:p>
            <w:pPr>
              <w:shd w:val="clear" w:color="auto" w:fill="FFFFFF"/>
              <w:spacing w:line="360" w:lineRule="exact"/>
              <w:ind w:firstLine="240" w:firstLineChars="100"/>
              <w:jc w:val="left"/>
              <w:rPr>
                <w:rFonts w:ascii="微软雅黑" w:hAnsi="微软雅黑" w:eastAsia="微软雅黑" w:cs="微软雅黑"/>
                <w:kern w:val="0"/>
                <w:sz w:val="24"/>
              </w:rPr>
            </w:pPr>
            <w:r>
              <w:rPr>
                <w:rFonts w:hint="eastAsia" w:ascii="微软雅黑" w:hAnsi="微软雅黑" w:eastAsia="微软雅黑" w:cs="微软雅黑"/>
                <w:sz w:val="24"/>
              </w:rPr>
              <w:t>履约保证金退还时间及规定：</w:t>
            </w:r>
            <w:r>
              <w:rPr>
                <w:rFonts w:hint="eastAsia" w:ascii="微软雅黑" w:hAnsi="微软雅黑" w:eastAsia="微软雅黑" w:cs="微软雅黑"/>
                <w:kern w:val="0"/>
                <w:sz w:val="24"/>
                <w:u w:val="single"/>
              </w:rPr>
              <w:t xml:space="preserve">合同履行完毕后30日内无息退还   </w:t>
            </w:r>
          </w:p>
        </w:tc>
      </w:tr>
      <w:tr>
        <w:tblPrEx>
          <w:tblCellMar>
            <w:top w:w="0" w:type="dxa"/>
            <w:left w:w="108" w:type="dxa"/>
            <w:bottom w:w="0" w:type="dxa"/>
            <w:right w:w="108" w:type="dxa"/>
          </w:tblCellMar>
        </w:tblPrEx>
        <w:trPr>
          <w:trHeight w:val="3143" w:hRule="atLeast"/>
        </w:trPr>
        <w:tc>
          <w:tcPr>
            <w:tcW w:w="585" w:type="dxa"/>
            <w:tcBorders>
              <w:top w:val="single" w:color="auto" w:sz="4" w:space="0"/>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24</w:t>
            </w:r>
          </w:p>
        </w:tc>
        <w:tc>
          <w:tcPr>
            <w:tcW w:w="2073" w:type="dxa"/>
            <w:tcBorders>
              <w:top w:val="single" w:color="auto" w:sz="4" w:space="0"/>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质疑</w:t>
            </w:r>
          </w:p>
        </w:tc>
        <w:tc>
          <w:tcPr>
            <w:tcW w:w="6384" w:type="dxa"/>
            <w:tcBorders>
              <w:top w:val="single" w:color="auto" w:sz="4" w:space="0"/>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一、投标人认为自己的权益受到损害的，可以在知道或者应知其权益受到损害之日起七个工作日内，向采购代理机构提出质疑。</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1、接收质疑函的方式：接收加盖单位公章的书面质疑函</w:t>
            </w:r>
          </w:p>
          <w:p>
            <w:pPr>
              <w:widowControl/>
              <w:spacing w:line="360" w:lineRule="exact"/>
              <w:ind w:firstLine="480" w:firstLineChars="200"/>
              <w:rPr>
                <w:rFonts w:ascii="微软雅黑" w:hAnsi="微软雅黑" w:eastAsia="微软雅黑" w:cs="微软雅黑"/>
                <w:kern w:val="0"/>
                <w:sz w:val="24"/>
                <w:u w:val="single"/>
              </w:rPr>
            </w:pPr>
            <w:r>
              <w:rPr>
                <w:rFonts w:hint="eastAsia" w:ascii="微软雅黑" w:hAnsi="微软雅黑" w:eastAsia="微软雅黑" w:cs="微软雅黑"/>
                <w:sz w:val="24"/>
              </w:rPr>
              <w:t>联系单位：</w:t>
            </w:r>
            <w:r>
              <w:rPr>
                <w:rFonts w:hint="eastAsia" w:ascii="微软雅黑" w:hAnsi="微软雅黑" w:eastAsia="微软雅黑" w:cs="微软雅黑"/>
                <w:kern w:val="0"/>
                <w:sz w:val="24"/>
                <w:u w:val="single"/>
              </w:rPr>
              <w:t>浙江华夏工程管理有限公司</w:t>
            </w:r>
          </w:p>
          <w:p>
            <w:pPr>
              <w:widowControl/>
              <w:spacing w:line="36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联 系 人：</w:t>
            </w:r>
            <w:r>
              <w:rPr>
                <w:rFonts w:hint="eastAsia" w:ascii="微软雅黑" w:hAnsi="微软雅黑" w:eastAsia="微软雅黑" w:cs="微软雅黑"/>
                <w:kern w:val="0"/>
                <w:sz w:val="24"/>
                <w:u w:val="single"/>
              </w:rPr>
              <w:t>丁锦赟</w:t>
            </w:r>
          </w:p>
          <w:p>
            <w:pPr>
              <w:widowControl/>
              <w:spacing w:line="36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联系电话：</w:t>
            </w:r>
            <w:r>
              <w:rPr>
                <w:rFonts w:hint="eastAsia" w:ascii="微软雅黑" w:hAnsi="微软雅黑" w:eastAsia="微软雅黑" w:cs="微软雅黑"/>
                <w:kern w:val="0"/>
                <w:sz w:val="24"/>
                <w:u w:val="single"/>
              </w:rPr>
              <w:t>0572-2567837</w:t>
            </w:r>
          </w:p>
          <w:p>
            <w:pPr>
              <w:widowControl/>
              <w:spacing w:line="36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通讯地址：</w:t>
            </w:r>
            <w:r>
              <w:rPr>
                <w:rFonts w:hint="eastAsia" w:ascii="微软雅黑" w:hAnsi="微软雅黑" w:eastAsia="微软雅黑" w:cs="微软雅黑"/>
                <w:kern w:val="0"/>
                <w:sz w:val="24"/>
                <w:u w:val="single"/>
              </w:rPr>
              <w:t>湖州市星洲国际10幢5楼</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2、质疑函的内容、格式：应符合《政府采购质疑和投诉办法》相关规定和财政部门制定的《政府采购质疑函范本》格式。</w:t>
            </w:r>
          </w:p>
          <w:p>
            <w:pPr>
              <w:pStyle w:val="17"/>
              <w:spacing w:line="360" w:lineRule="exact"/>
              <w:textAlignment w:val="auto"/>
              <w:rPr>
                <w:rFonts w:ascii="微软雅黑" w:hAnsi="微软雅黑" w:eastAsia="微软雅黑" w:cs="微软雅黑"/>
                <w:szCs w:val="24"/>
              </w:rPr>
            </w:pPr>
            <w:r>
              <w:rPr>
                <w:rFonts w:hint="eastAsia" w:ascii="微软雅黑" w:hAnsi="微软雅黑" w:eastAsia="微软雅黑" w:cs="微软雅黑"/>
                <w:szCs w:val="24"/>
              </w:rPr>
              <w:t>二、投标人应在法定质疑期内一次性针对同一采购程序环节提出质疑，否则针对再次提出质疑将不予接收。（采购程序环节分为：招标公告、招标文件、招标过程、中标结果）</w:t>
            </w:r>
          </w:p>
        </w:tc>
      </w:tr>
      <w:tr>
        <w:tblPrEx>
          <w:tblCellMar>
            <w:top w:w="0" w:type="dxa"/>
            <w:left w:w="108" w:type="dxa"/>
            <w:bottom w:w="0" w:type="dxa"/>
            <w:right w:w="108" w:type="dxa"/>
          </w:tblCellMar>
        </w:tblPrEx>
        <w:trPr>
          <w:trHeight w:val="668" w:hRule="atLeast"/>
        </w:trPr>
        <w:tc>
          <w:tcPr>
            <w:tcW w:w="9042" w:type="dxa"/>
            <w:gridSpan w:val="3"/>
            <w:tcBorders>
              <w:top w:val="single" w:color="auto" w:sz="4" w:space="0"/>
              <w:left w:val="single" w:color="auto" w:sz="8" w:space="0"/>
              <w:bottom w:val="single" w:color="auto" w:sz="8" w:space="0"/>
              <w:right w:val="single" w:color="auto" w:sz="8" w:space="0"/>
            </w:tcBorders>
            <w:noWrap/>
            <w:vAlign w:val="center"/>
          </w:tcPr>
          <w:p>
            <w:pPr>
              <w:pStyle w:val="17"/>
              <w:spacing w:line="360" w:lineRule="exact"/>
              <w:textAlignment w:val="auto"/>
              <w:rPr>
                <w:rFonts w:ascii="微软雅黑" w:hAnsi="微软雅黑" w:eastAsia="微软雅黑" w:cs="微软雅黑"/>
                <w:szCs w:val="24"/>
              </w:rPr>
            </w:pPr>
            <w:r>
              <w:rPr>
                <w:rFonts w:hint="eastAsia" w:ascii="微软雅黑" w:hAnsi="微软雅黑" w:eastAsia="微软雅黑" w:cs="微软雅黑"/>
                <w:szCs w:val="24"/>
              </w:rPr>
              <w:t>解释：本招标文件的解释权属于招标采购单位。</w:t>
            </w:r>
          </w:p>
        </w:tc>
      </w:tr>
    </w:tbl>
    <w:p>
      <w:pPr>
        <w:snapToGrid w:val="0"/>
        <w:spacing w:line="360" w:lineRule="auto"/>
        <w:textAlignment w:val="baseline"/>
        <w:rPr>
          <w:rFonts w:ascii="微软雅黑" w:hAnsi="微软雅黑" w:eastAsia="微软雅黑" w:cs="微软雅黑"/>
          <w:b/>
          <w:sz w:val="32"/>
          <w:szCs w:val="32"/>
        </w:rPr>
      </w:pPr>
    </w:p>
    <w:p>
      <w:pPr>
        <w:numPr>
          <w:ilvl w:val="0"/>
          <w:numId w:val="14"/>
        </w:numPr>
        <w:snapToGrid w:val="0"/>
        <w:spacing w:line="360" w:lineRule="auto"/>
        <w:jc w:val="center"/>
        <w:textAlignment w:val="baseline"/>
        <w:rPr>
          <w:rFonts w:ascii="微软雅黑" w:hAnsi="微软雅黑" w:eastAsia="微软雅黑" w:cs="微软雅黑"/>
          <w:b/>
          <w:sz w:val="32"/>
          <w:szCs w:val="32"/>
        </w:rPr>
      </w:pPr>
      <w:r>
        <w:rPr>
          <w:rFonts w:hint="eastAsia" w:ascii="微软雅黑" w:hAnsi="微软雅黑" w:eastAsia="微软雅黑" w:cs="微软雅黑"/>
          <w:b/>
          <w:sz w:val="32"/>
          <w:szCs w:val="32"/>
        </w:rPr>
        <w:t>总则</w:t>
      </w:r>
      <w:bookmarkEnd w:id="32"/>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适用范围</w:t>
      </w:r>
    </w:p>
    <w:p>
      <w:pPr>
        <w:snapToGrid w:val="0"/>
        <w:spacing w:line="360" w:lineRule="auto"/>
        <w:ind w:firstLine="480" w:firstLineChars="200"/>
        <w:textAlignment w:val="baseline"/>
        <w:rPr>
          <w:rFonts w:ascii="微软雅黑" w:hAnsi="微软雅黑" w:eastAsia="微软雅黑" w:cs="微软雅黑"/>
          <w:bCs/>
          <w:sz w:val="32"/>
          <w:u w:val="single"/>
        </w:rPr>
      </w:pPr>
      <w:r>
        <w:rPr>
          <w:rFonts w:hint="eastAsia" w:ascii="微软雅黑" w:hAnsi="微软雅黑" w:eastAsia="微软雅黑" w:cs="微软雅黑"/>
          <w:sz w:val="24"/>
        </w:rPr>
        <w:t>本招标文件适用于</w:t>
      </w:r>
      <w:r>
        <w:rPr>
          <w:rFonts w:hint="eastAsia" w:ascii="微软雅黑" w:hAnsi="微软雅黑" w:eastAsia="微软雅黑" w:cs="微软雅黑"/>
          <w:b/>
          <w:bCs/>
          <w:sz w:val="24"/>
        </w:rPr>
        <w:t>浙江省湖州生态环境监测中心</w:t>
      </w:r>
      <w:r>
        <w:rPr>
          <w:rFonts w:hint="eastAsia" w:ascii="微软雅黑" w:hAnsi="微软雅黑" w:eastAsia="微软雅黑" w:cs="微软雅黑"/>
          <w:sz w:val="24"/>
        </w:rPr>
        <w:t>的</w:t>
      </w:r>
      <w:r>
        <w:rPr>
          <w:rFonts w:hint="eastAsia" w:ascii="微软雅黑" w:hAnsi="微软雅黑" w:eastAsia="微软雅黑" w:cs="微软雅黑"/>
          <w:sz w:val="24"/>
          <w:u w:val="single" w:color="000000"/>
        </w:rPr>
        <w:t>浙江省环境质量自动监测智能化建设项目</w:t>
      </w:r>
      <w:r>
        <w:rPr>
          <w:rFonts w:hint="eastAsia" w:ascii="微软雅黑" w:hAnsi="微软雅黑" w:eastAsia="微软雅黑" w:cs="微软雅黑"/>
          <w:sz w:val="24"/>
        </w:rPr>
        <w:t>的招标、投标、评标、定标、验收、合同履约、付款等行为（法律、法规另有规定的，从其规定）。</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定义</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2.1.</w:t>
      </w:r>
      <w:r>
        <w:rPr>
          <w:rFonts w:hint="eastAsia" w:ascii="微软雅黑" w:hAnsi="微软雅黑" w:eastAsia="微软雅黑" w:cs="微软雅黑"/>
          <w:b/>
          <w:bCs/>
          <w:sz w:val="24"/>
        </w:rPr>
        <w:t>“采购人”</w:t>
      </w:r>
      <w:r>
        <w:rPr>
          <w:rFonts w:hint="eastAsia" w:ascii="微软雅黑" w:hAnsi="微软雅黑" w:eastAsia="微软雅黑" w:cs="微软雅黑"/>
          <w:sz w:val="24"/>
        </w:rPr>
        <w:t>系指</w:t>
      </w:r>
      <w:r>
        <w:rPr>
          <w:rFonts w:hint="eastAsia" w:ascii="微软雅黑" w:hAnsi="微软雅黑" w:eastAsia="微软雅黑" w:cs="微软雅黑"/>
          <w:b/>
          <w:bCs/>
          <w:sz w:val="24"/>
        </w:rPr>
        <w:t xml:space="preserve">浙江省湖州生态环境监测中心 </w:t>
      </w:r>
      <w:r>
        <w:rPr>
          <w:rFonts w:hint="eastAsia" w:ascii="微软雅黑" w:hAnsi="微软雅黑" w:eastAsia="微软雅黑" w:cs="微软雅黑"/>
          <w:sz w:val="24"/>
        </w:rPr>
        <w:t>。</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2.2.“</w:t>
      </w:r>
      <w:r>
        <w:rPr>
          <w:rFonts w:hint="eastAsia" w:ascii="微软雅黑" w:hAnsi="微软雅黑" w:eastAsia="微软雅黑" w:cs="微软雅黑"/>
          <w:b/>
          <w:bCs/>
          <w:sz w:val="24"/>
        </w:rPr>
        <w:t>采购代理机构”</w:t>
      </w:r>
      <w:r>
        <w:rPr>
          <w:rFonts w:hint="eastAsia" w:ascii="微软雅黑" w:hAnsi="微软雅黑" w:eastAsia="微软雅黑" w:cs="微软雅黑"/>
          <w:sz w:val="24"/>
        </w:rPr>
        <w:t>系指浙江华夏工程管理有限公司。</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w:t>
      </w:r>
      <w:r>
        <w:rPr>
          <w:rFonts w:hint="eastAsia" w:ascii="微软雅黑" w:hAnsi="微软雅黑" w:eastAsia="微软雅黑" w:cs="微软雅黑"/>
          <w:b/>
          <w:bCs/>
          <w:sz w:val="24"/>
        </w:rPr>
        <w:t>“投标人”</w:t>
      </w:r>
      <w:r>
        <w:rPr>
          <w:rFonts w:hint="eastAsia" w:ascii="微软雅黑" w:hAnsi="微软雅黑" w:eastAsia="微软雅黑" w:cs="微软雅黑"/>
          <w:sz w:val="24"/>
        </w:rPr>
        <w:t>系指向采购人提供货物、工程或者服务的法人、非法人组织或者自然人。本项目的投标人及其投标服务须满足以下条件：</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2.3.1.在中华人民共和国境内注册，能够独立承担民事责任，有生产或供应能力的本国供应商。</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2.3.3.以采购代理机构认可的方式获得了本项目的招标文件。</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2.4本项目不接受联合体投标。</w:t>
      </w:r>
    </w:p>
    <w:p>
      <w:pPr>
        <w:snapToGrid w:val="0"/>
        <w:spacing w:line="360" w:lineRule="auto"/>
      </w:pPr>
      <w:r>
        <w:rPr>
          <w:rFonts w:hint="eastAsia" w:ascii="微软雅黑" w:hAnsi="微软雅黑" w:eastAsia="微软雅黑" w:cs="微软雅黑"/>
          <w:sz w:val="24"/>
        </w:rPr>
        <w:t>2.5.单位负责人为同一人或者存在直接控股、管理关系的不同供应商，其相关投标将被认定为投标无效。</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资金来源</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3.2.项目预算金额和分项或分包最高限价见投标人须知表。</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3.3.投标人报价超过招标文件规定的预算金额或者分项、分包最高限价的，其投标将被认定为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numPr>
          <w:ilvl w:val="0"/>
          <w:numId w:val="15"/>
        </w:numPr>
        <w:snapToGrid w:val="0"/>
        <w:spacing w:line="360" w:lineRule="auto"/>
        <w:outlineLvl w:val="2"/>
        <w:rPr>
          <w:rFonts w:ascii="微软雅黑" w:hAnsi="微软雅黑" w:eastAsia="微软雅黑" w:cs="微软雅黑"/>
          <w:b/>
          <w:sz w:val="24"/>
        </w:rPr>
      </w:pPr>
      <w:bookmarkStart w:id="37" w:name="_Toc266951048"/>
      <w:r>
        <w:rPr>
          <w:rFonts w:hint="eastAsia" w:ascii="微软雅黑" w:hAnsi="微软雅黑" w:eastAsia="微软雅黑" w:cs="微软雅黑"/>
          <w:b/>
          <w:sz w:val="24"/>
        </w:rPr>
        <w:t>语言文字</w:t>
      </w:r>
      <w:bookmarkEnd w:id="37"/>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除专用术语外，与投标有关的语言均使用中文。必要时专用术语应附有中文注释。对不同文字文本投标文件的解释发生异议的，以中文文本为准。</w:t>
      </w:r>
    </w:p>
    <w:p>
      <w:pPr>
        <w:numPr>
          <w:ilvl w:val="0"/>
          <w:numId w:val="15"/>
        </w:numPr>
        <w:snapToGrid w:val="0"/>
        <w:spacing w:line="360" w:lineRule="auto"/>
        <w:outlineLvl w:val="2"/>
        <w:rPr>
          <w:rFonts w:ascii="微软雅黑" w:hAnsi="微软雅黑" w:eastAsia="微软雅黑" w:cs="微软雅黑"/>
          <w:b/>
          <w:sz w:val="24"/>
        </w:rPr>
      </w:pPr>
      <w:bookmarkStart w:id="38" w:name="_1.8_计量单位"/>
      <w:bookmarkEnd w:id="38"/>
      <w:bookmarkStart w:id="39" w:name="_Toc266951049"/>
      <w:r>
        <w:rPr>
          <w:rFonts w:hint="eastAsia" w:ascii="微软雅黑" w:hAnsi="微软雅黑" w:eastAsia="微软雅黑" w:cs="微软雅黑"/>
          <w:b/>
          <w:sz w:val="24"/>
        </w:rPr>
        <w:t>计量单位</w:t>
      </w:r>
      <w:bookmarkEnd w:id="39"/>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除投标人须知表4条中有特殊要求外，投标文件中所使用的计量单位，应采用中华人民共和国法定计量单位。</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投标费用</w:t>
      </w:r>
    </w:p>
    <w:p>
      <w:pPr>
        <w:snapToGrid w:val="0"/>
        <w:spacing w:line="360" w:lineRule="auto"/>
        <w:ind w:firstLine="480" w:firstLineChars="200"/>
        <w:outlineLvl w:val="2"/>
        <w:rPr>
          <w:rFonts w:ascii="微软雅黑" w:hAnsi="微软雅黑" w:eastAsia="微软雅黑" w:cs="微软雅黑"/>
          <w:sz w:val="24"/>
        </w:rPr>
      </w:pPr>
      <w:r>
        <w:rPr>
          <w:rFonts w:hint="eastAsia" w:ascii="微软雅黑" w:hAnsi="微软雅黑" w:eastAsia="微软雅黑" w:cs="微软雅黑"/>
          <w:sz w:val="24"/>
        </w:rPr>
        <w:t>不论投标的结果如何，投标人应承担所有与投标有关的费用。</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现场考察、开标前答疑会</w:t>
      </w:r>
    </w:p>
    <w:p>
      <w:pPr>
        <w:adjustRightInd w:val="0"/>
        <w:snapToGrid w:val="0"/>
        <w:spacing w:line="360" w:lineRule="auto"/>
        <w:rPr>
          <w:rFonts w:ascii="微软雅黑" w:hAnsi="微软雅黑" w:eastAsia="微软雅黑" w:cs="微软雅黑"/>
          <w:b/>
          <w:bCs/>
          <w:sz w:val="24"/>
        </w:rPr>
      </w:pPr>
      <w:bookmarkStart w:id="40" w:name="_1.10_投标预备会"/>
      <w:bookmarkEnd w:id="40"/>
      <w:r>
        <w:rPr>
          <w:rFonts w:hint="eastAsia" w:ascii="微软雅黑" w:hAnsi="微软雅黑" w:eastAsia="微软雅黑" w:cs="微软雅黑"/>
          <w:kern w:val="0"/>
          <w:sz w:val="24"/>
        </w:rPr>
        <w:t>7.1.不组织现场考察或开标前答疑会，投标人自行现场考察，由于未现场考察而导致对项目实际情况不了解，影响技术文件编制、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微软雅黑" w:hAnsi="微软雅黑" w:eastAsia="微软雅黑" w:cs="微软雅黑"/>
          <w:kern w:val="0"/>
          <w:sz w:val="24"/>
        </w:rPr>
        <w:t>投标报价</w:t>
      </w:r>
      <w:r>
        <w:rPr>
          <w:rFonts w:hint="eastAsia" w:ascii="微软雅黑" w:hAnsi="微软雅黑" w:eastAsia="微软雅黑" w:cs="微软雅黑"/>
          <w:kern w:val="0"/>
          <w:sz w:val="24"/>
        </w:rPr>
        <w:fldChar w:fldCharType="end"/>
      </w:r>
      <w:r>
        <w:rPr>
          <w:rFonts w:hint="eastAsia" w:ascii="微软雅黑" w:hAnsi="微软雅黑" w:eastAsia="微软雅黑" w:cs="微软雅黑"/>
          <w:kern w:val="0"/>
          <w:sz w:val="24"/>
        </w:rPr>
        <w:t>准确性、综合因素响应不全面等问题的，由投标人自行承担相应后果。</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7.2.现场考察所发生的费用及一切责任由投标人自行承担。</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适用法律</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numPr>
          <w:ilvl w:val="0"/>
          <w:numId w:val="15"/>
        </w:numPr>
        <w:snapToGrid w:val="0"/>
        <w:spacing w:line="360" w:lineRule="auto"/>
        <w:outlineLvl w:val="2"/>
        <w:rPr>
          <w:rFonts w:ascii="微软雅黑" w:hAnsi="微软雅黑" w:eastAsia="微软雅黑" w:cs="微软雅黑"/>
          <w:b/>
          <w:sz w:val="24"/>
        </w:rPr>
      </w:pPr>
      <w:r>
        <w:rPr>
          <w:rFonts w:hint="eastAsia" w:ascii="宋体" w:hAnsi="宋体" w:cs="宋体"/>
          <w:sz w:val="24"/>
        </w:rPr>
        <w:t>▲</w:t>
      </w:r>
      <w:r>
        <w:rPr>
          <w:rFonts w:hint="eastAsia" w:ascii="微软雅黑" w:hAnsi="微软雅黑" w:eastAsia="微软雅黑" w:cs="微软雅黑"/>
          <w:b/>
          <w:sz w:val="24"/>
        </w:rPr>
        <w:t>特别说明：</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9.1.本项目不允许转包、分包。</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9.2.投标人投标所使用的资格、信誉、业绩与企业认证必须为本法人所拥有。投标人投标所使用的采购项目实施人员必须为本法人员工（或必须为本法人或控股公司正式员工）（招标文件另有相关规定除外）。</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9.3.投标人应仔细阅读招标文件的所有内容，按照招标文件的要求提交投标文件，并对所提供的全部资料的真实性承担法律责任。</w:t>
      </w:r>
    </w:p>
    <w:p>
      <w:pPr>
        <w:spacing w:line="360" w:lineRule="auto"/>
        <w:ind w:firstLine="480" w:firstLineChars="200"/>
      </w:pPr>
      <w:r>
        <w:rPr>
          <w:rFonts w:hint="eastAsia" w:ascii="微软雅黑" w:hAnsi="微软雅黑" w:eastAsia="微软雅黑" w:cs="微软雅黑"/>
          <w:sz w:val="24"/>
        </w:rPr>
        <w:t>9.4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numPr>
          <w:ilvl w:val="0"/>
          <w:numId w:val="14"/>
        </w:numPr>
        <w:snapToGrid w:val="0"/>
        <w:spacing w:line="360" w:lineRule="auto"/>
        <w:jc w:val="center"/>
        <w:textAlignment w:val="baseline"/>
        <w:rPr>
          <w:rFonts w:ascii="微软雅黑" w:hAnsi="微软雅黑" w:eastAsia="微软雅黑" w:cs="微软雅黑"/>
          <w:b/>
          <w:sz w:val="32"/>
          <w:szCs w:val="32"/>
        </w:rPr>
      </w:pPr>
      <w:bookmarkStart w:id="41" w:name="_Toc13309"/>
      <w:r>
        <w:rPr>
          <w:rFonts w:hint="eastAsia" w:ascii="微软雅黑" w:hAnsi="微软雅黑" w:eastAsia="微软雅黑" w:cs="微软雅黑"/>
          <w:b/>
          <w:sz w:val="32"/>
          <w:szCs w:val="32"/>
        </w:rPr>
        <w:t>招标文件</w:t>
      </w:r>
      <w:bookmarkEnd w:id="41"/>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招标文件构成</w:t>
      </w:r>
    </w:p>
    <w:p>
      <w:pPr>
        <w:tabs>
          <w:tab w:val="left" w:pos="312"/>
        </w:tabs>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10.1招标文件内容如下：</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kern w:val="0"/>
          <w:sz w:val="24"/>
        </w:rPr>
        <w:t>招标</w:t>
      </w:r>
      <w:r>
        <w:rPr>
          <w:rFonts w:hint="eastAsia" w:ascii="微软雅黑" w:hAnsi="微软雅黑" w:eastAsia="微软雅黑" w:cs="微软雅黑"/>
          <w:sz w:val="24"/>
        </w:rPr>
        <w:t>公告</w:t>
      </w:r>
    </w:p>
    <w:p>
      <w:pPr>
        <w:numPr>
          <w:ilvl w:val="0"/>
          <w:numId w:val="16"/>
        </w:numPr>
        <w:adjustRightInd w:val="0"/>
        <w:snapToGrid w:val="0"/>
        <w:spacing w:line="360" w:lineRule="auto"/>
        <w:ind w:firstLine="480" w:firstLineChars="200"/>
        <w:rPr>
          <w:rFonts w:ascii="微软雅黑" w:hAnsi="微软雅黑" w:eastAsia="微软雅黑" w:cs="微软雅黑"/>
          <w:sz w:val="24"/>
        </w:rPr>
      </w:pPr>
      <w:bookmarkStart w:id="42" w:name="_Toc25935_WPSOffice_Level2"/>
      <w:bookmarkStart w:id="43" w:name="_Toc24604_WPSOffice_Level2"/>
      <w:bookmarkStart w:id="44" w:name="_Toc4961_WPSOffice_Level2"/>
      <w:bookmarkStart w:id="45" w:name="_Toc188_WPSOffice_Level2"/>
      <w:r>
        <w:rPr>
          <w:rFonts w:hint="eastAsia" w:ascii="微软雅黑" w:hAnsi="微软雅黑" w:eastAsia="微软雅黑" w:cs="微软雅黑"/>
          <w:sz w:val="24"/>
        </w:rPr>
        <w:t>投标人须知</w:t>
      </w:r>
      <w:bookmarkEnd w:id="42"/>
      <w:bookmarkEnd w:id="43"/>
      <w:bookmarkEnd w:id="44"/>
      <w:bookmarkEnd w:id="45"/>
    </w:p>
    <w:p>
      <w:pPr>
        <w:adjustRightInd w:val="0"/>
        <w:snapToGrid w:val="0"/>
        <w:spacing w:line="360" w:lineRule="auto"/>
        <w:ind w:firstLine="480" w:firstLineChars="200"/>
        <w:rPr>
          <w:rFonts w:ascii="微软雅黑" w:hAnsi="微软雅黑" w:eastAsia="微软雅黑" w:cs="微软雅黑"/>
          <w:sz w:val="24"/>
        </w:rPr>
      </w:pPr>
      <w:bookmarkStart w:id="46" w:name="_Toc2443_WPSOffice_Level2"/>
      <w:bookmarkStart w:id="47" w:name="_Toc32235_WPSOffice_Level2"/>
      <w:bookmarkStart w:id="48" w:name="_Toc31424_WPSOffice_Level2"/>
      <w:bookmarkStart w:id="49" w:name="_Toc13276_WPSOffice_Level2"/>
      <w:r>
        <w:rPr>
          <w:rFonts w:hint="eastAsia" w:ascii="微软雅黑" w:hAnsi="微软雅黑" w:eastAsia="微软雅黑" w:cs="微软雅黑"/>
          <w:sz w:val="24"/>
        </w:rPr>
        <w:t xml:space="preserve">第二章 </w:t>
      </w:r>
      <w:bookmarkEnd w:id="46"/>
      <w:bookmarkEnd w:id="47"/>
      <w:bookmarkEnd w:id="48"/>
      <w:bookmarkEnd w:id="49"/>
      <w:r>
        <w:rPr>
          <w:rFonts w:hint="eastAsia" w:ascii="微软雅黑" w:hAnsi="微软雅黑" w:eastAsia="微软雅黑" w:cs="微软雅黑"/>
          <w:sz w:val="24"/>
        </w:rPr>
        <w:t>招标需求</w:t>
      </w:r>
    </w:p>
    <w:p>
      <w:pPr>
        <w:adjustRightInd w:val="0"/>
        <w:snapToGrid w:val="0"/>
        <w:spacing w:line="360" w:lineRule="auto"/>
        <w:ind w:firstLine="480" w:firstLineChars="200"/>
        <w:rPr>
          <w:rFonts w:ascii="微软雅黑" w:hAnsi="微软雅黑" w:eastAsia="微软雅黑" w:cs="微软雅黑"/>
          <w:sz w:val="24"/>
        </w:rPr>
      </w:pPr>
      <w:bookmarkStart w:id="50" w:name="_Toc4416_WPSOffice_Level2"/>
      <w:bookmarkStart w:id="51" w:name="_Toc16269_WPSOffice_Level2"/>
      <w:bookmarkStart w:id="52" w:name="_Toc7005_WPSOffice_Level2"/>
      <w:bookmarkStart w:id="53" w:name="_Toc24836_WPSOffice_Level2"/>
      <w:r>
        <w:rPr>
          <w:rFonts w:hint="eastAsia" w:ascii="微软雅黑" w:hAnsi="微软雅黑" w:eastAsia="微软雅黑" w:cs="微软雅黑"/>
          <w:sz w:val="24"/>
        </w:rPr>
        <w:t>第三章</w:t>
      </w:r>
      <w:bookmarkEnd w:id="50"/>
      <w:bookmarkEnd w:id="51"/>
      <w:bookmarkEnd w:id="52"/>
      <w:bookmarkEnd w:id="53"/>
      <w:r>
        <w:rPr>
          <w:rFonts w:hint="eastAsia" w:ascii="微软雅黑" w:hAnsi="微软雅黑" w:eastAsia="微软雅黑" w:cs="微软雅黑"/>
          <w:sz w:val="24"/>
        </w:rPr>
        <w:t xml:space="preserve"> 评标办法及评分标准</w:t>
      </w:r>
    </w:p>
    <w:p>
      <w:pPr>
        <w:adjustRightInd w:val="0"/>
        <w:snapToGrid w:val="0"/>
        <w:spacing w:line="360" w:lineRule="auto"/>
        <w:ind w:firstLine="480" w:firstLineChars="200"/>
        <w:rPr>
          <w:rFonts w:ascii="微软雅黑" w:hAnsi="微软雅黑" w:eastAsia="微软雅黑" w:cs="微软雅黑"/>
          <w:sz w:val="24"/>
        </w:rPr>
      </w:pPr>
      <w:bookmarkStart w:id="54" w:name="_Toc16294_WPSOffice_Level2"/>
      <w:bookmarkStart w:id="55" w:name="_Toc25382_WPSOffice_Level2"/>
      <w:bookmarkStart w:id="56" w:name="_Toc16119_WPSOffice_Level2"/>
      <w:bookmarkStart w:id="57" w:name="_Toc23459_WPSOffice_Level2"/>
      <w:r>
        <w:rPr>
          <w:rFonts w:hint="eastAsia" w:ascii="微软雅黑" w:hAnsi="微软雅黑" w:eastAsia="微软雅黑" w:cs="微软雅黑"/>
          <w:sz w:val="24"/>
        </w:rPr>
        <w:t xml:space="preserve">第四章 </w:t>
      </w:r>
      <w:bookmarkEnd w:id="54"/>
      <w:bookmarkEnd w:id="55"/>
      <w:bookmarkEnd w:id="56"/>
      <w:bookmarkEnd w:id="57"/>
      <w:bookmarkStart w:id="58" w:name="_Toc16368_WPSOffice_Level2"/>
      <w:bookmarkStart w:id="59" w:name="_Toc28106_WPSOffice_Level2"/>
      <w:bookmarkStart w:id="60" w:name="_Toc17794_WPSOffice_Level2"/>
      <w:bookmarkStart w:id="61" w:name="_Toc9629_WPSOffice_Level2"/>
      <w:r>
        <w:rPr>
          <w:rFonts w:hint="eastAsia" w:ascii="微软雅黑" w:hAnsi="微软雅黑" w:eastAsia="微软雅黑" w:cs="微软雅黑"/>
          <w:sz w:val="24"/>
        </w:rPr>
        <w:t>合同主要条款</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第五章 </w:t>
      </w:r>
      <w:bookmarkEnd w:id="58"/>
      <w:bookmarkEnd w:id="59"/>
      <w:bookmarkEnd w:id="60"/>
      <w:bookmarkEnd w:id="61"/>
      <w:r>
        <w:rPr>
          <w:rFonts w:hint="eastAsia" w:ascii="微软雅黑" w:hAnsi="微软雅黑" w:eastAsia="微软雅黑" w:cs="微软雅黑"/>
          <w:sz w:val="24"/>
        </w:rPr>
        <w:t>投标文件的格式</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10.2采购代理机构在投标截止时间前，以书面形式发出的对招标文件的澄清或修改内容，均为招标文件的组成部分，对采购人、采购代理机构和投标人起约束作用。</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10.3投标人应认真阅读招标文件所有的事项、格式、条款等。如投标人没有按照招标文件要求提交资料，或者投标文件没有对招标文件做出实质性响应，可能导致其投标被认定为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招标文件的澄清与修改</w:t>
      </w:r>
    </w:p>
    <w:p>
      <w:pPr>
        <w:adjustRightInd w:val="0"/>
        <w:snapToGrid w:val="0"/>
        <w:spacing w:line="360" w:lineRule="auto"/>
        <w:rPr>
          <w:rFonts w:ascii="微软雅黑" w:hAnsi="微软雅黑" w:eastAsia="微软雅黑" w:cs="微软雅黑"/>
          <w:sz w:val="24"/>
        </w:rPr>
      </w:pPr>
      <w:bookmarkStart w:id="62" w:name="_Toc3451"/>
      <w:r>
        <w:rPr>
          <w:rFonts w:hint="eastAsia" w:ascii="微软雅黑" w:hAnsi="微软雅黑" w:eastAsia="微软雅黑" w:cs="微软雅黑"/>
          <w:sz w:val="24"/>
        </w:rPr>
        <w:t>11.1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11.2采购人和采购代理机构可以视采购具体情况，延长投标截止时间和开标时间，并将变更时间通知所有招标文件收受人，并在财政部门指定的政府采购信息发布媒体上发布变更公告。</w:t>
      </w:r>
    </w:p>
    <w:p>
      <w:pPr>
        <w:numPr>
          <w:ilvl w:val="0"/>
          <w:numId w:val="14"/>
        </w:numPr>
        <w:snapToGrid w:val="0"/>
        <w:spacing w:line="360" w:lineRule="auto"/>
        <w:jc w:val="center"/>
        <w:textAlignment w:val="baseline"/>
        <w:rPr>
          <w:rFonts w:ascii="微软雅黑" w:hAnsi="微软雅黑" w:eastAsia="微软雅黑" w:cs="微软雅黑"/>
          <w:b/>
          <w:sz w:val="32"/>
          <w:szCs w:val="32"/>
        </w:rPr>
      </w:pPr>
      <w:r>
        <w:rPr>
          <w:rFonts w:hint="eastAsia" w:ascii="微软雅黑" w:hAnsi="微软雅黑" w:eastAsia="微软雅黑" w:cs="微软雅黑"/>
          <w:b/>
          <w:sz w:val="32"/>
          <w:szCs w:val="32"/>
        </w:rPr>
        <w:t>投标文件的编制要求</w:t>
      </w:r>
      <w:bookmarkEnd w:id="62"/>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投标范围</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12.1项目有分包的，投标人可对招标文件其中某一个分包或几个分包进行投标。</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12.2投标人应当对所投分包在招标文件中“货物需求”所列的所有货物内容进行投标，如仅响应分包中某一部分内容，其该包投标将被认定为投标无效。</w:t>
      </w:r>
    </w:p>
    <w:p>
      <w:pPr>
        <w:adjustRightInd w:val="0"/>
        <w:snapToGrid w:val="0"/>
        <w:spacing w:line="360" w:lineRule="auto"/>
        <w:rPr>
          <w:rFonts w:ascii="微软雅黑" w:hAnsi="微软雅黑" w:eastAsia="微软雅黑" w:cs="微软雅黑"/>
          <w:b/>
          <w:bCs/>
          <w:sz w:val="24"/>
        </w:rPr>
      </w:pPr>
      <w:r>
        <w:rPr>
          <w:rFonts w:hint="eastAsia" w:ascii="微软雅黑" w:hAnsi="微软雅黑" w:eastAsia="微软雅黑" w:cs="微软雅黑"/>
          <w:sz w:val="24"/>
        </w:rPr>
        <w:t>12.3</w:t>
      </w:r>
      <w:r>
        <w:rPr>
          <w:rFonts w:hint="eastAsia" w:ascii="微软雅黑" w:hAnsi="微软雅黑" w:eastAsia="微软雅黑" w:cs="微软雅黑"/>
          <w:b/>
          <w:bCs/>
          <w:sz w:val="24"/>
        </w:rPr>
        <w:t>如一个分包内包含多种产品的，采购人或采购代理机构将在投标人须知表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12.4无论招标文件第三章货物需求中是否要求，投标人所投货物均应符合国家强制性标准。</w:t>
      </w:r>
    </w:p>
    <w:p>
      <w:pPr>
        <w:adjustRightInd w:val="0"/>
        <w:snapToGrid w:val="0"/>
        <w:spacing w:line="360" w:lineRule="auto"/>
        <w:rPr>
          <w:rFonts w:ascii="微软雅黑" w:hAnsi="微软雅黑" w:eastAsia="微软雅黑" w:cs="微软雅黑"/>
          <w:sz w:val="24"/>
        </w:rPr>
      </w:pP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投标文件的形式与效力</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13.1供应商应准备电子投标文件，按政采云平台“政府采购项目电子交易管理操作视频－供应商”及本项目招标文件要求提交；</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13.2投标人在政府采购云平台完成电子加密投标文件的上传递交后，还可以（邮寄形式）在投标截止时间前递交以介质（U盘）存储的数据电文形式的备份投标文件，备份投标文件应当密封包装并在包装上标注投标项目名称、投标单位名称并加盖公章。</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通过政府采购云平台成功上传递交的电子加密投标文件已按时解密的，备份投标文件自动失效；电子加密投标文件解密失败的，启用备份投标文件；启用成功的投标文件作为评标依据。</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投标截止时间前，投标供应商仅递交了“备份投标文件”而未将“电子加密投标文件”成功上传至“政府采购云平台”的，投标无效。</w:t>
      </w:r>
    </w:p>
    <w:p>
      <w:pPr>
        <w:numPr>
          <w:ilvl w:val="0"/>
          <w:numId w:val="15"/>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电子投标文件的组成</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应当按照招标文件的要求编制投标文件。电子投标文件应对招标文件提出的要求和条件做出实质性响应。电子投标文件由《资格部分》、《技术、商务资信及其他部分》和《报价部分》三组成（电子投标文件中所盖公章均采用CA签章）。</w:t>
      </w:r>
    </w:p>
    <w:p>
      <w:pPr>
        <w:spacing w:line="440" w:lineRule="exact"/>
        <w:rPr>
          <w:rFonts w:ascii="微软雅黑" w:hAnsi="微软雅黑" w:eastAsia="微软雅黑" w:cs="微软雅黑"/>
          <w:b/>
          <w:bCs/>
          <w:sz w:val="24"/>
        </w:rPr>
      </w:pPr>
      <w:r>
        <w:rPr>
          <w:rFonts w:hint="eastAsia" w:ascii="微软雅黑" w:hAnsi="微软雅黑" w:eastAsia="微软雅黑" w:cs="微软雅黑"/>
          <w:b/>
          <w:sz w:val="24"/>
        </w:rPr>
        <w:t>14.1资格部分</w:t>
      </w:r>
      <w:r>
        <w:rPr>
          <w:rFonts w:hint="eastAsia" w:ascii="微软雅黑" w:hAnsi="微软雅黑" w:eastAsia="微软雅黑" w:cs="微软雅黑"/>
          <w:b/>
          <w:bCs/>
          <w:sz w:val="24"/>
        </w:rPr>
        <w:t>包括下列内容【标项一、标项二、标项三】：</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14.1.1投标声明书（格式见附件，含重大违法记录声明）；</w:t>
      </w:r>
    </w:p>
    <w:p>
      <w:pPr>
        <w:snapToGrid w:val="0"/>
        <w:spacing w:line="460" w:lineRule="exact"/>
        <w:ind w:firstLine="470" w:firstLineChars="196"/>
        <w:rPr>
          <w:rFonts w:ascii="微软雅黑" w:hAnsi="微软雅黑" w:eastAsia="微软雅黑" w:cs="微软雅黑"/>
          <w:sz w:val="24"/>
        </w:rPr>
      </w:pPr>
      <w:r>
        <w:rPr>
          <w:rFonts w:hint="eastAsia" w:ascii="微软雅黑" w:hAnsi="微软雅黑" w:eastAsia="微软雅黑" w:cs="微软雅黑"/>
          <w:sz w:val="24"/>
        </w:rPr>
        <w:t>14.1.2信用承诺书（格式见附件）；</w:t>
      </w:r>
    </w:p>
    <w:p>
      <w:pPr>
        <w:snapToGrid w:val="0"/>
        <w:spacing w:line="460" w:lineRule="exact"/>
        <w:ind w:firstLine="470" w:firstLineChars="196"/>
        <w:rPr>
          <w:rFonts w:ascii="微软雅黑" w:hAnsi="微软雅黑" w:eastAsia="微软雅黑" w:cs="微软雅黑"/>
          <w:sz w:val="24"/>
        </w:rPr>
      </w:pPr>
      <w:r>
        <w:rPr>
          <w:rFonts w:hint="eastAsia" w:ascii="微软雅黑" w:hAnsi="微软雅黑" w:eastAsia="微软雅黑" w:cs="微软雅黑"/>
          <w:sz w:val="24"/>
        </w:rPr>
        <w:t>14.1.3提供自招标公告发布之日起至投标截止日内任意时间的“信用中国”网站（www.creditchina.gov.cn）、中国政府采购网（www.ccgp.gov.cn）投标人信用查询网页截图（以开标当日采购人或由采购代理机构核实的查询结果为准）。</w:t>
      </w:r>
    </w:p>
    <w:p>
      <w:pPr>
        <w:snapToGrid w:val="0"/>
        <w:spacing w:line="460" w:lineRule="exact"/>
        <w:ind w:firstLine="470" w:firstLineChars="196"/>
        <w:rPr>
          <w:rFonts w:ascii="微软雅黑" w:hAnsi="微软雅黑" w:eastAsia="微软雅黑" w:cs="微软雅黑"/>
          <w:sz w:val="24"/>
        </w:rPr>
      </w:pPr>
      <w:r>
        <w:rPr>
          <w:rFonts w:hint="eastAsia" w:ascii="微软雅黑" w:hAnsi="微软雅黑" w:eastAsia="微软雅黑" w:cs="微软雅黑"/>
          <w:sz w:val="24"/>
        </w:rPr>
        <w:t>14.1.4提供法定代表人授权委托书（原件、格式见附件）、授权代理人有效身份证明（复印件）以及授权代理人个人社保缴纳证明（缴纳凭证或人社部门出具的证明）；</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 xml:space="preserve">14.1.5提供有效的《营业执照》复印件并加盖投标人公章；如为事业单位的，则提供有效的《事业单位法人证书》副本复印件并加盖投标人公章； </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14.1.6提供有效的依法缴纳税收证明（完税凭证或税务部门出具的证明）；</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14.1.7提供有效的依法缴纳社会保障资金证明（缴纳凭证或人社部门出具的证明）；</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14.1.8投标人关联单位的说明；</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14.1.9具有良好的商业信誉和健全的财务会计制度的承诺函（格式见附件）；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14.1.10具备履行合同所必需的设备和专业技术能力声明函（格式见附件）。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14.1.11投标人需要说明的其他资格文件说明。</w:t>
      </w:r>
    </w:p>
    <w:p>
      <w:pPr>
        <w:spacing w:line="440" w:lineRule="exact"/>
        <w:ind w:firstLine="480" w:firstLineChars="200"/>
        <w:rPr>
          <w:rFonts w:ascii="微软雅黑" w:hAnsi="微软雅黑" w:eastAsia="微软雅黑" w:cs="微软雅黑"/>
          <w:sz w:val="24"/>
          <w:u w:val="single"/>
        </w:rPr>
      </w:pPr>
      <w:r>
        <w:rPr>
          <w:rFonts w:hint="eastAsia" w:ascii="微软雅黑" w:hAnsi="微软雅黑" w:eastAsia="微软雅黑" w:cs="微软雅黑"/>
          <w:b/>
          <w:sz w:val="24"/>
          <w:u w:val="single"/>
        </w:rPr>
        <w:t>请将以上资格部分全部上传政采云平台做资格审查，采购人或采购代理机构仅根据上传的资格部分文件材料进行资格审查。</w:t>
      </w:r>
    </w:p>
    <w:p>
      <w:pPr>
        <w:spacing w:line="440" w:lineRule="exact"/>
        <w:rPr>
          <w:rFonts w:ascii="微软雅黑" w:hAnsi="微软雅黑" w:eastAsia="微软雅黑" w:cs="微软雅黑"/>
          <w:b/>
          <w:sz w:val="24"/>
        </w:rPr>
      </w:pPr>
      <w:r>
        <w:rPr>
          <w:rFonts w:hint="eastAsia" w:ascii="微软雅黑" w:hAnsi="微软雅黑" w:eastAsia="微软雅黑" w:cs="微软雅黑"/>
          <w:b/>
          <w:sz w:val="24"/>
        </w:rPr>
        <w:t>14.2技术、商务、资信及其他文件主要包括下列内容</w:t>
      </w:r>
      <w:r>
        <w:rPr>
          <w:rFonts w:hint="eastAsia" w:ascii="微软雅黑" w:hAnsi="微软雅黑" w:eastAsia="微软雅黑" w:cs="微软雅黑"/>
          <w:b/>
          <w:bCs/>
          <w:sz w:val="24"/>
        </w:rPr>
        <w:t>【标项一、标项二、标项三】：</w:t>
      </w:r>
    </w:p>
    <w:p>
      <w:pPr>
        <w:pStyle w:val="84"/>
        <w:spacing w:line="3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14.2.1评分索引表；</w:t>
      </w:r>
    </w:p>
    <w:p>
      <w:pPr>
        <w:pStyle w:val="84"/>
        <w:spacing w:line="3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14.2.2投标函（格式见附件）；</w:t>
      </w:r>
    </w:p>
    <w:p>
      <w:pPr>
        <w:pStyle w:val="84"/>
        <w:spacing w:line="3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14.2.3投标人基本情况表；</w:t>
      </w:r>
    </w:p>
    <w:p>
      <w:pPr>
        <w:pStyle w:val="84"/>
        <w:spacing w:line="3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14.2.4商务</w:t>
      </w:r>
      <w:r>
        <w:rPr>
          <w:rFonts w:hint="eastAsia" w:ascii="微软雅黑" w:hAnsi="微软雅黑" w:eastAsia="微软雅黑" w:cs="微软雅黑"/>
          <w:bCs/>
          <w:sz w:val="24"/>
          <w:lang w:eastAsia="zh-CN"/>
        </w:rPr>
        <w:t>条款偏离表</w:t>
      </w:r>
      <w:r>
        <w:rPr>
          <w:rFonts w:hint="eastAsia" w:ascii="微软雅黑" w:hAnsi="微软雅黑" w:eastAsia="微软雅黑" w:cs="微软雅黑"/>
          <w:bCs/>
          <w:sz w:val="24"/>
        </w:rPr>
        <w:t>；</w:t>
      </w:r>
    </w:p>
    <w:p>
      <w:pPr>
        <w:pStyle w:val="84"/>
        <w:snapToGrid w:val="0"/>
        <w:ind w:firstLine="480" w:firstLineChars="200"/>
        <w:textAlignment w:val="baseline"/>
        <w:rPr>
          <w:rFonts w:ascii="微软雅黑" w:hAnsi="微软雅黑" w:eastAsia="微软雅黑" w:cs="微软雅黑"/>
          <w:bCs/>
          <w:sz w:val="24"/>
        </w:rPr>
      </w:pPr>
      <w:r>
        <w:rPr>
          <w:rFonts w:hint="eastAsia" w:ascii="微软雅黑" w:hAnsi="微软雅黑" w:eastAsia="微软雅黑" w:cs="微软雅黑"/>
          <w:bCs/>
          <w:sz w:val="24"/>
        </w:rPr>
        <w:t>14.2.</w:t>
      </w:r>
      <w:r>
        <w:rPr>
          <w:rFonts w:hint="eastAsia" w:ascii="微软雅黑" w:hAnsi="微软雅黑" w:eastAsia="微软雅黑" w:cs="微软雅黑"/>
          <w:bCs/>
          <w:sz w:val="24"/>
          <w:lang w:val="en-US" w:eastAsia="zh-CN"/>
        </w:rPr>
        <w:t>5</w:t>
      </w:r>
      <w:r>
        <w:rPr>
          <w:rFonts w:hint="eastAsia" w:ascii="微软雅黑" w:hAnsi="微软雅黑" w:eastAsia="微软雅黑" w:cs="微软雅黑"/>
          <w:bCs/>
          <w:sz w:val="24"/>
        </w:rPr>
        <w:t>技术</w:t>
      </w:r>
      <w:r>
        <w:rPr>
          <w:rFonts w:hint="eastAsia" w:ascii="微软雅黑" w:hAnsi="微软雅黑" w:eastAsia="微软雅黑" w:cs="微软雅黑"/>
          <w:bCs/>
          <w:sz w:val="24"/>
          <w:lang w:eastAsia="zh-CN"/>
        </w:rPr>
        <w:t>偏离表</w:t>
      </w:r>
      <w:r>
        <w:rPr>
          <w:rFonts w:hint="eastAsia" w:ascii="微软雅黑" w:hAnsi="微软雅黑" w:eastAsia="微软雅黑" w:cs="微软雅黑"/>
          <w:bCs/>
          <w:sz w:val="24"/>
        </w:rPr>
        <w:t>；</w:t>
      </w:r>
    </w:p>
    <w:p>
      <w:pPr>
        <w:pStyle w:val="84"/>
        <w:snapToGrid w:val="0"/>
        <w:ind w:firstLine="480" w:firstLineChars="200"/>
        <w:textAlignment w:val="baseline"/>
        <w:rPr>
          <w:rFonts w:ascii="微软雅黑" w:hAnsi="微软雅黑" w:eastAsia="微软雅黑" w:cs="微软雅黑"/>
          <w:bCs/>
          <w:sz w:val="24"/>
        </w:rPr>
      </w:pPr>
      <w:r>
        <w:rPr>
          <w:rFonts w:hint="eastAsia" w:ascii="微软雅黑" w:hAnsi="微软雅黑" w:eastAsia="微软雅黑" w:cs="微软雅黑"/>
          <w:bCs/>
          <w:sz w:val="24"/>
        </w:rPr>
        <w:t>14.2.</w:t>
      </w:r>
      <w:r>
        <w:rPr>
          <w:rFonts w:hint="eastAsia" w:ascii="微软雅黑" w:hAnsi="微软雅黑" w:eastAsia="微软雅黑" w:cs="微软雅黑"/>
          <w:bCs/>
          <w:sz w:val="24"/>
          <w:lang w:val="en-US" w:eastAsia="zh-CN"/>
        </w:rPr>
        <w:t>6企业</w:t>
      </w:r>
      <w:r>
        <w:rPr>
          <w:rFonts w:hint="eastAsia" w:ascii="微软雅黑" w:hAnsi="微软雅黑" w:eastAsia="微软雅黑" w:cs="微软雅黑"/>
          <w:bCs/>
          <w:sz w:val="24"/>
        </w:rPr>
        <w:t>业绩；</w:t>
      </w:r>
    </w:p>
    <w:p>
      <w:pPr>
        <w:pStyle w:val="84"/>
        <w:snapToGrid w:val="0"/>
        <w:ind w:firstLine="480" w:firstLineChars="200"/>
        <w:textAlignment w:val="baseline"/>
        <w:rPr>
          <w:rFonts w:ascii="微软雅黑" w:hAnsi="微软雅黑" w:eastAsia="微软雅黑" w:cs="微软雅黑"/>
          <w:bCs/>
          <w:sz w:val="24"/>
        </w:rPr>
      </w:pPr>
      <w:r>
        <w:rPr>
          <w:rFonts w:hint="eastAsia" w:ascii="微软雅黑" w:hAnsi="微软雅黑" w:eastAsia="微软雅黑" w:cs="微软雅黑"/>
          <w:bCs/>
          <w:sz w:val="24"/>
        </w:rPr>
        <w:t>14.2.</w:t>
      </w:r>
      <w:r>
        <w:rPr>
          <w:rFonts w:hint="eastAsia" w:ascii="微软雅黑" w:hAnsi="微软雅黑" w:eastAsia="微软雅黑" w:cs="微软雅黑"/>
          <w:bCs/>
          <w:sz w:val="24"/>
          <w:lang w:val="en-US" w:eastAsia="zh-CN"/>
        </w:rPr>
        <w:t>7</w:t>
      </w:r>
      <w:r>
        <w:rPr>
          <w:rFonts w:hint="eastAsia" w:ascii="微软雅黑" w:hAnsi="微软雅黑" w:eastAsia="微软雅黑" w:cs="微软雅黑"/>
          <w:color w:val="000000"/>
          <w:kern w:val="0"/>
          <w:sz w:val="24"/>
        </w:rPr>
        <w:t>企业证书</w:t>
      </w:r>
      <w:r>
        <w:rPr>
          <w:rFonts w:hint="eastAsia" w:ascii="微软雅黑" w:hAnsi="微软雅黑" w:eastAsia="微软雅黑" w:cs="微软雅黑"/>
          <w:bCs/>
          <w:sz w:val="24"/>
        </w:rPr>
        <w:t>；</w:t>
      </w:r>
    </w:p>
    <w:p>
      <w:pPr>
        <w:pStyle w:val="84"/>
        <w:snapToGrid w:val="0"/>
        <w:ind w:firstLine="480" w:firstLineChars="200"/>
        <w:textAlignment w:val="baseline"/>
        <w:rPr>
          <w:rFonts w:ascii="微软雅黑" w:hAnsi="微软雅黑" w:eastAsia="微软雅黑" w:cs="微软雅黑"/>
          <w:bCs/>
          <w:sz w:val="24"/>
        </w:rPr>
      </w:pPr>
      <w:r>
        <w:rPr>
          <w:rFonts w:hint="eastAsia" w:ascii="微软雅黑" w:hAnsi="微软雅黑" w:eastAsia="微软雅黑" w:cs="微软雅黑"/>
          <w:bCs/>
          <w:sz w:val="24"/>
        </w:rPr>
        <w:t>14.2.</w:t>
      </w:r>
      <w:r>
        <w:rPr>
          <w:rFonts w:hint="eastAsia" w:ascii="微软雅黑" w:hAnsi="微软雅黑" w:eastAsia="微软雅黑" w:cs="微软雅黑"/>
          <w:bCs/>
          <w:sz w:val="24"/>
          <w:lang w:val="en-US" w:eastAsia="zh-CN"/>
        </w:rPr>
        <w:t xml:space="preserve">8 </w:t>
      </w:r>
      <w:r>
        <w:rPr>
          <w:rFonts w:hint="eastAsia" w:ascii="微软雅黑" w:hAnsi="微软雅黑" w:eastAsia="微软雅黑" w:cs="微软雅黑"/>
          <w:color w:val="000000"/>
          <w:kern w:val="0"/>
          <w:sz w:val="24"/>
        </w:rPr>
        <w:t>CMA检测资质实验室</w:t>
      </w:r>
      <w:r>
        <w:rPr>
          <w:rFonts w:hint="eastAsia" w:ascii="微软雅黑" w:hAnsi="微软雅黑" w:eastAsia="微软雅黑" w:cs="微软雅黑"/>
          <w:bCs/>
          <w:sz w:val="24"/>
        </w:rPr>
        <w:t>；</w:t>
      </w:r>
    </w:p>
    <w:p>
      <w:pPr>
        <w:pStyle w:val="84"/>
        <w:snapToGrid w:val="0"/>
        <w:ind w:firstLine="480" w:firstLineChars="200"/>
        <w:textAlignment w:val="baseline"/>
        <w:rPr>
          <w:rFonts w:ascii="微软雅黑" w:hAnsi="微软雅黑" w:eastAsia="微软雅黑" w:cs="微软雅黑"/>
          <w:bCs/>
          <w:sz w:val="24"/>
        </w:rPr>
      </w:pPr>
      <w:r>
        <w:rPr>
          <w:rFonts w:hint="eastAsia" w:ascii="微软雅黑" w:hAnsi="微软雅黑" w:eastAsia="微软雅黑" w:cs="微软雅黑"/>
          <w:bCs/>
          <w:sz w:val="24"/>
        </w:rPr>
        <w:t>14.2.</w:t>
      </w:r>
      <w:r>
        <w:rPr>
          <w:rFonts w:hint="eastAsia" w:ascii="微软雅黑" w:hAnsi="微软雅黑" w:eastAsia="微软雅黑" w:cs="微软雅黑"/>
          <w:bCs/>
          <w:sz w:val="24"/>
          <w:lang w:val="en-US" w:eastAsia="zh-CN"/>
        </w:rPr>
        <w:t xml:space="preserve">9 </w:t>
      </w:r>
      <w:r>
        <w:rPr>
          <w:rFonts w:hint="eastAsia" w:ascii="微软雅黑" w:hAnsi="微软雅黑" w:eastAsia="微软雅黑" w:cs="微软雅黑"/>
          <w:color w:val="000000"/>
          <w:kern w:val="0"/>
          <w:sz w:val="24"/>
        </w:rPr>
        <w:t>提供备机的承诺函</w:t>
      </w:r>
      <w:r>
        <w:rPr>
          <w:rFonts w:hint="eastAsia" w:ascii="微软雅黑" w:hAnsi="微软雅黑" w:eastAsia="微软雅黑" w:cs="微软雅黑"/>
          <w:bCs/>
          <w:sz w:val="24"/>
        </w:rPr>
        <w:t>；</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14.2.</w:t>
      </w:r>
      <w:r>
        <w:rPr>
          <w:rFonts w:hint="eastAsia" w:ascii="微软雅黑" w:hAnsi="微软雅黑" w:eastAsia="微软雅黑" w:cs="微软雅黑"/>
          <w:bCs/>
          <w:sz w:val="24"/>
          <w:lang w:val="en-US" w:eastAsia="zh-CN"/>
        </w:rPr>
        <w:t>10</w:t>
      </w:r>
      <w:r>
        <w:rPr>
          <w:rFonts w:hint="eastAsia" w:ascii="微软雅黑" w:hAnsi="微软雅黑" w:eastAsia="微软雅黑" w:cs="微软雅黑"/>
          <w:color w:val="000000"/>
          <w:kern w:val="0"/>
          <w:sz w:val="24"/>
        </w:rPr>
        <w:t>提供免费应急监测服务的承诺函</w:t>
      </w:r>
      <w:r>
        <w:rPr>
          <w:rFonts w:hint="eastAsia" w:ascii="微软雅黑" w:hAnsi="微软雅黑" w:eastAsia="微软雅黑" w:cs="微软雅黑"/>
          <w:bCs/>
          <w:sz w:val="24"/>
        </w:rPr>
        <w:t>；</w:t>
      </w:r>
    </w:p>
    <w:p>
      <w:pPr>
        <w:ind w:firstLine="480" w:firstLineChars="200"/>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1</w:t>
      </w:r>
      <w:r>
        <w:rPr>
          <w:rFonts w:hint="eastAsia" w:ascii="微软雅黑" w:hAnsi="微软雅黑" w:eastAsia="微软雅黑" w:cs="微软雅黑"/>
          <w:color w:val="000000"/>
          <w:kern w:val="0"/>
          <w:sz w:val="24"/>
        </w:rPr>
        <w:t>拟投入本项目人员团队</w:t>
      </w:r>
      <w:r>
        <w:rPr>
          <w:rFonts w:hint="eastAsia" w:ascii="微软雅黑" w:hAnsi="微软雅黑" w:eastAsia="微软雅黑" w:cs="微软雅黑"/>
          <w:color w:val="000000"/>
          <w:kern w:val="0"/>
          <w:sz w:val="24"/>
          <w:lang w:eastAsia="zh-CN"/>
        </w:rPr>
        <w:t>（项目负责人、</w:t>
      </w:r>
      <w:r>
        <w:rPr>
          <w:rFonts w:hint="eastAsia" w:ascii="微软雅黑" w:hAnsi="微软雅黑" w:eastAsia="微软雅黑" w:cs="微软雅黑"/>
          <w:color w:val="000000"/>
          <w:kern w:val="0"/>
          <w:sz w:val="24"/>
        </w:rPr>
        <w:t>项目组人员配置表</w:t>
      </w:r>
      <w:r>
        <w:rPr>
          <w:rFonts w:hint="eastAsia" w:ascii="微软雅黑" w:hAnsi="微软雅黑" w:eastAsia="微软雅黑" w:cs="微软雅黑"/>
          <w:color w:val="000000"/>
          <w:kern w:val="0"/>
          <w:sz w:val="24"/>
          <w:lang w:eastAsia="zh-CN"/>
        </w:rPr>
        <w:t>）；</w:t>
      </w:r>
    </w:p>
    <w:p>
      <w:pPr>
        <w:ind w:firstLine="480" w:firstLineChars="200"/>
        <w:rPr>
          <w:rFonts w:hint="eastAsia" w:ascii="微软雅黑" w:hAnsi="微软雅黑" w:eastAsia="微软雅黑" w:cs="微软雅黑"/>
          <w:color w:val="00000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2</w:t>
      </w:r>
      <w:r>
        <w:rPr>
          <w:rFonts w:hint="eastAsia" w:ascii="微软雅黑" w:hAnsi="微软雅黑" w:eastAsia="微软雅黑" w:cs="微软雅黑"/>
          <w:color w:val="000000"/>
          <w:sz w:val="24"/>
        </w:rPr>
        <w:t>政策分</w:t>
      </w:r>
      <w:r>
        <w:rPr>
          <w:rFonts w:hint="eastAsia" w:ascii="微软雅黑" w:hAnsi="微软雅黑" w:eastAsia="微软雅黑" w:cs="微软雅黑"/>
          <w:color w:val="000000"/>
          <w:sz w:val="24"/>
          <w:lang w:eastAsia="zh-CN"/>
        </w:rPr>
        <w:t>；</w:t>
      </w:r>
    </w:p>
    <w:p>
      <w:pPr>
        <w:ind w:firstLine="480" w:firstLineChars="200"/>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3</w:t>
      </w:r>
      <w:r>
        <w:rPr>
          <w:rFonts w:hint="eastAsia" w:ascii="微软雅黑" w:hAnsi="微软雅黑" w:eastAsia="微软雅黑" w:cs="微软雅黑"/>
          <w:color w:val="000000"/>
          <w:kern w:val="0"/>
          <w:sz w:val="24"/>
        </w:rPr>
        <w:t>仪器设备的统一稳定性</w:t>
      </w:r>
      <w:r>
        <w:rPr>
          <w:rFonts w:hint="eastAsia" w:ascii="微软雅黑" w:hAnsi="微软雅黑" w:eastAsia="微软雅黑" w:cs="微软雅黑"/>
          <w:color w:val="000000"/>
          <w:kern w:val="0"/>
          <w:sz w:val="24"/>
          <w:lang w:eastAsia="zh-CN"/>
        </w:rPr>
        <w:t>；</w:t>
      </w:r>
    </w:p>
    <w:p>
      <w:pPr>
        <w:ind w:firstLine="480" w:firstLineChars="200"/>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4</w:t>
      </w:r>
      <w:r>
        <w:rPr>
          <w:rFonts w:hint="eastAsia" w:ascii="微软雅黑" w:hAnsi="微软雅黑" w:eastAsia="微软雅黑" w:cs="微软雅黑"/>
          <w:color w:val="000000"/>
          <w:kern w:val="0"/>
          <w:sz w:val="24"/>
        </w:rPr>
        <w:t>水质仪器技术参数</w:t>
      </w:r>
      <w:r>
        <w:rPr>
          <w:rFonts w:hint="eastAsia" w:ascii="微软雅黑" w:hAnsi="微软雅黑" w:eastAsia="微软雅黑" w:cs="微软雅黑"/>
          <w:color w:val="000000"/>
          <w:kern w:val="0"/>
          <w:sz w:val="24"/>
          <w:lang w:eastAsia="zh-CN"/>
        </w:rPr>
        <w:t>；</w:t>
      </w:r>
    </w:p>
    <w:p>
      <w:pPr>
        <w:ind w:firstLine="480" w:firstLineChars="200"/>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5</w:t>
      </w:r>
      <w:r>
        <w:rPr>
          <w:rFonts w:hint="eastAsia" w:ascii="微软雅黑" w:hAnsi="微软雅黑" w:eastAsia="微软雅黑" w:cs="微软雅黑"/>
          <w:color w:val="000000"/>
          <w:kern w:val="0"/>
          <w:sz w:val="24"/>
        </w:rPr>
        <w:t>质保期</w:t>
      </w:r>
      <w:r>
        <w:rPr>
          <w:rFonts w:hint="eastAsia" w:ascii="微软雅黑" w:hAnsi="微软雅黑" w:eastAsia="微软雅黑" w:cs="微软雅黑"/>
          <w:color w:val="000000"/>
          <w:kern w:val="0"/>
          <w:sz w:val="24"/>
          <w:lang w:eastAsia="zh-CN"/>
        </w:rPr>
        <w:t>；</w:t>
      </w:r>
    </w:p>
    <w:p>
      <w:pPr>
        <w:tabs>
          <w:tab w:val="left" w:pos="8789"/>
        </w:tabs>
        <w:snapToGrid w:val="0"/>
        <w:spacing w:beforeLines="20" w:line="360" w:lineRule="exact"/>
        <w:ind w:firstLine="480" w:firstLineChars="200"/>
        <w:jc w:val="both"/>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6</w:t>
      </w:r>
      <w:r>
        <w:rPr>
          <w:rFonts w:hint="eastAsia" w:ascii="微软雅黑" w:hAnsi="微软雅黑" w:eastAsia="微软雅黑" w:cs="微软雅黑"/>
          <w:color w:val="000000"/>
          <w:kern w:val="0"/>
          <w:sz w:val="24"/>
        </w:rPr>
        <w:t>项目实施方案</w:t>
      </w:r>
      <w:r>
        <w:rPr>
          <w:rFonts w:hint="eastAsia" w:ascii="微软雅黑" w:hAnsi="微软雅黑" w:eastAsia="微软雅黑" w:cs="微软雅黑"/>
          <w:color w:val="000000"/>
          <w:kern w:val="0"/>
          <w:sz w:val="24"/>
          <w:lang w:eastAsia="zh-CN"/>
        </w:rPr>
        <w:t>；</w:t>
      </w:r>
    </w:p>
    <w:p>
      <w:pPr>
        <w:tabs>
          <w:tab w:val="left" w:pos="8789"/>
        </w:tabs>
        <w:snapToGrid w:val="0"/>
        <w:spacing w:beforeLines="20" w:line="360" w:lineRule="exact"/>
        <w:ind w:firstLine="480" w:firstLineChars="200"/>
        <w:jc w:val="both"/>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Cs/>
          <w:sz w:val="24"/>
        </w:rPr>
        <w:t>14.2.1</w:t>
      </w:r>
      <w:r>
        <w:rPr>
          <w:rFonts w:hint="eastAsia" w:ascii="微软雅黑" w:hAnsi="微软雅黑" w:eastAsia="微软雅黑" w:cs="微软雅黑"/>
          <w:bCs/>
          <w:sz w:val="24"/>
          <w:lang w:val="en-US" w:eastAsia="zh-CN"/>
        </w:rPr>
        <w:t>7</w:t>
      </w:r>
      <w:r>
        <w:rPr>
          <w:rFonts w:hint="eastAsia" w:ascii="微软雅黑" w:hAnsi="微软雅黑" w:eastAsia="微软雅黑" w:cs="微软雅黑"/>
          <w:sz w:val="24"/>
        </w:rPr>
        <w:t>综合服务能力</w:t>
      </w:r>
      <w:r>
        <w:rPr>
          <w:rFonts w:hint="eastAsia" w:ascii="微软雅黑" w:hAnsi="微软雅黑" w:eastAsia="微软雅黑" w:cs="微软雅黑"/>
          <w:sz w:val="24"/>
          <w:lang w:eastAsia="zh-CN"/>
        </w:rPr>
        <w:t>；</w:t>
      </w:r>
    </w:p>
    <w:p>
      <w:pPr>
        <w:pStyle w:val="28"/>
        <w:snapToGrid w:val="0"/>
        <w:spacing w:line="360" w:lineRule="auto"/>
        <w:ind w:firstLine="480"/>
        <w:textAlignment w:val="baseline"/>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rPr>
        <w:t>14.2.1</w:t>
      </w:r>
      <w:r>
        <w:rPr>
          <w:rFonts w:hint="eastAsia" w:ascii="微软雅黑" w:hAnsi="微软雅黑" w:eastAsia="微软雅黑" w:cs="微软雅黑"/>
          <w:bCs/>
          <w:sz w:val="24"/>
          <w:szCs w:val="24"/>
          <w:lang w:val="en-US" w:eastAsia="zh-CN"/>
        </w:rPr>
        <w:t>8</w:t>
      </w:r>
      <w:r>
        <w:rPr>
          <w:rFonts w:hint="eastAsia" w:ascii="微软雅黑" w:hAnsi="微软雅黑" w:eastAsia="微软雅黑" w:cs="微软雅黑"/>
          <w:sz w:val="24"/>
          <w:szCs w:val="24"/>
        </w:rPr>
        <w:t>投标人需要说明的其他文件和说明</w:t>
      </w:r>
      <w:r>
        <w:rPr>
          <w:rFonts w:hint="eastAsia" w:ascii="微软雅黑" w:hAnsi="微软雅黑" w:eastAsia="微软雅黑" w:cs="微软雅黑"/>
          <w:sz w:val="24"/>
          <w:szCs w:val="24"/>
          <w:lang w:eastAsia="zh-CN"/>
        </w:rPr>
        <w:t>。</w:t>
      </w:r>
    </w:p>
    <w:p>
      <w:pPr>
        <w:snapToGrid w:val="0"/>
        <w:spacing w:line="440" w:lineRule="exact"/>
        <w:jc w:val="left"/>
        <w:rPr>
          <w:rFonts w:ascii="宋体" w:hAnsi="宋体" w:cs="宋体"/>
          <w:b/>
          <w:sz w:val="24"/>
        </w:rPr>
      </w:pPr>
      <w:bookmarkStart w:id="63" w:name="_Toc16193"/>
      <w:r>
        <w:rPr>
          <w:rFonts w:hint="eastAsia" w:ascii="微软雅黑" w:hAnsi="微软雅黑" w:eastAsia="微软雅黑" w:cs="微软雅黑"/>
          <w:b/>
          <w:sz w:val="24"/>
        </w:rPr>
        <w:t>14.3报价文件主要包括下列内容</w:t>
      </w:r>
      <w:r>
        <w:rPr>
          <w:rFonts w:hint="eastAsia" w:ascii="微软雅黑" w:hAnsi="微软雅黑" w:eastAsia="微软雅黑" w:cs="微软雅黑"/>
          <w:b/>
          <w:bCs/>
          <w:sz w:val="24"/>
        </w:rPr>
        <w:t>【标项一、标项二、标项三】：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14.3.1投标函（格式见附件）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14.3.2开标一览表（报价表）（格式见附件）;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14.3.3投标项目报价明细表（格式见附件）; </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14.3.4中小企业声明函（若有，格式见附件）；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w:t>
      </w:r>
      <w:r>
        <w:rPr>
          <w:rFonts w:hint="eastAsia" w:ascii="微软雅黑" w:hAnsi="微软雅黑" w:eastAsia="微软雅黑" w:cs="微软雅黑"/>
          <w:sz w:val="24"/>
          <w:lang w:val="en-US" w:eastAsia="zh-CN"/>
        </w:rPr>
        <w:t>5</w:t>
      </w:r>
      <w:r>
        <w:rPr>
          <w:rFonts w:hint="eastAsia" w:ascii="微软雅黑" w:hAnsi="微软雅黑" w:eastAsia="微软雅黑" w:cs="微软雅黑"/>
          <w:sz w:val="24"/>
        </w:rPr>
        <w:t>残疾人福利企业声明函（若有，格式见附件）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w:t>
      </w:r>
      <w:r>
        <w:rPr>
          <w:rFonts w:hint="eastAsia" w:ascii="微软雅黑" w:hAnsi="微软雅黑" w:eastAsia="微软雅黑" w:cs="微软雅黑"/>
          <w:sz w:val="24"/>
          <w:lang w:val="en-US" w:eastAsia="zh-CN"/>
        </w:rPr>
        <w:t>6</w:t>
      </w:r>
      <w:r>
        <w:rPr>
          <w:rFonts w:hint="eastAsia" w:ascii="微软雅黑" w:hAnsi="微软雅黑" w:eastAsia="微软雅黑" w:cs="微软雅黑"/>
          <w:sz w:val="24"/>
        </w:rPr>
        <w:t>属于监狱企业的证明文件（若有）。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w:t>
      </w:r>
      <w:r>
        <w:rPr>
          <w:rFonts w:hint="eastAsia" w:ascii="微软雅黑" w:hAnsi="微软雅黑" w:eastAsia="微软雅黑" w:cs="微软雅黑"/>
          <w:sz w:val="24"/>
          <w:lang w:val="en-US" w:eastAsia="zh-CN"/>
        </w:rPr>
        <w:t>7</w:t>
      </w:r>
      <w:r>
        <w:rPr>
          <w:rFonts w:hint="eastAsia" w:ascii="微软雅黑" w:hAnsi="微软雅黑" w:eastAsia="微软雅黑" w:cs="微软雅黑"/>
          <w:sz w:val="24"/>
        </w:rPr>
        <w:t>投标人针对报价需要说明的其他文件和说明（格式自拟）。</w:t>
      </w:r>
    </w:p>
    <w:p>
      <w:pPr>
        <w:spacing w:line="440" w:lineRule="exact"/>
        <w:ind w:firstLine="471" w:firstLineChars="196"/>
        <w:rPr>
          <w:rFonts w:ascii="微软雅黑" w:hAnsi="微软雅黑" w:eastAsia="微软雅黑" w:cs="微软雅黑"/>
          <w:b/>
          <w:sz w:val="24"/>
          <w:u w:val="single"/>
        </w:rPr>
      </w:pPr>
      <w:r>
        <w:rPr>
          <w:rFonts w:hint="eastAsia" w:ascii="微软雅黑" w:hAnsi="微软雅黑" w:eastAsia="微软雅黑" w:cs="微软雅黑"/>
          <w:b/>
          <w:sz w:val="24"/>
        </w:rPr>
        <w:t>注：法定代表人授权委托书、投标声明书、投标项目报价明细表必须按招标文件格式要求正确签署并加盖投标人电子签章。</w:t>
      </w:r>
      <w:r>
        <w:rPr>
          <w:rFonts w:hint="eastAsia" w:ascii="微软雅黑" w:hAnsi="微软雅黑" w:eastAsia="微软雅黑" w:cs="微软雅黑"/>
          <w:b/>
          <w:sz w:val="24"/>
          <w:u w:val="single"/>
        </w:rPr>
        <w:t>资格部分、技术、商务、资信及其他文件部分中不得出现项目价格部分内容，否则将作无效标处理。</w:t>
      </w:r>
    </w:p>
    <w:p>
      <w:pPr>
        <w:numPr>
          <w:ilvl w:val="0"/>
          <w:numId w:val="15"/>
        </w:numPr>
        <w:snapToGrid w:val="0"/>
        <w:spacing w:line="440" w:lineRule="exact"/>
        <w:outlineLvl w:val="2"/>
        <w:rPr>
          <w:rFonts w:ascii="微软雅黑" w:hAnsi="微软雅黑" w:eastAsia="微软雅黑" w:cs="微软雅黑"/>
          <w:b/>
          <w:sz w:val="24"/>
        </w:rPr>
      </w:pPr>
      <w:r>
        <w:rPr>
          <w:rFonts w:hint="eastAsia" w:ascii="微软雅黑" w:hAnsi="微软雅黑" w:eastAsia="微软雅黑" w:cs="微软雅黑"/>
          <w:b/>
          <w:sz w:val="24"/>
        </w:rPr>
        <w:t>投标报价</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15.1所有投标文件中的单价、合价、总价全部采用人民币表示。投标人的投标报价应遵守《中华人民共和国价格法》。同时，根据《中华人民共和国政府采购法》第三条的规定，为保证公平竞争，如有服务主体部分的赠与行为，其投标将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15.2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投标人应按招标文件要求在相关表格中标明投标服务及伴随货物的单价和总价，并由法定代表人（非法人组织的负责人）或其委托代理人签署。</w:t>
      </w:r>
    </w:p>
    <w:p>
      <w:pPr>
        <w:adjustRightInd w:val="0"/>
        <w:snapToGrid w:val="0"/>
        <w:spacing w:line="440" w:lineRule="exact"/>
        <w:rPr>
          <w:rFonts w:ascii="微软雅黑" w:hAnsi="微软雅黑" w:eastAsia="微软雅黑" w:cs="微软雅黑"/>
          <w:b/>
          <w:bCs/>
          <w:sz w:val="24"/>
        </w:rPr>
      </w:pPr>
      <w:r>
        <w:rPr>
          <w:rFonts w:hint="eastAsia" w:ascii="微软雅黑" w:hAnsi="微软雅黑" w:eastAsia="微软雅黑" w:cs="微软雅黑"/>
          <w:sz w:val="24"/>
        </w:rPr>
        <w:t>15.3投标人所报的各分项投标单价在合同履行过程中是固定不变的，不得以任何理由予以变更。任何包含价格调整要求的投标，其投标将被认定为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sz w:val="24"/>
        </w:rPr>
        <w:t>投标无效。</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15.4每种货物只能有一个投标报价。采购人不接受具有附加条件的报价。</w:t>
      </w:r>
    </w:p>
    <w:p>
      <w:pPr>
        <w:numPr>
          <w:ilvl w:val="0"/>
          <w:numId w:val="15"/>
        </w:numPr>
        <w:snapToGrid w:val="0"/>
        <w:spacing w:line="440" w:lineRule="exact"/>
        <w:outlineLvl w:val="2"/>
        <w:rPr>
          <w:rFonts w:ascii="微软雅黑" w:hAnsi="微软雅黑" w:eastAsia="微软雅黑" w:cs="微软雅黑"/>
          <w:b/>
          <w:sz w:val="24"/>
        </w:rPr>
      </w:pPr>
      <w:bookmarkStart w:id="64" w:name="_Toc177824880"/>
      <w:bookmarkStart w:id="65" w:name="_Toc293916018"/>
      <w:bookmarkStart w:id="66" w:name="_Toc177824947"/>
      <w:bookmarkStart w:id="67" w:name="_Toc177870550"/>
      <w:bookmarkStart w:id="68" w:name="_Toc293916369"/>
      <w:bookmarkStart w:id="69" w:name="_Toc177825128"/>
      <w:r>
        <w:rPr>
          <w:rFonts w:hint="eastAsia" w:ascii="微软雅黑" w:hAnsi="微软雅黑" w:eastAsia="微软雅黑" w:cs="微软雅黑"/>
          <w:b/>
          <w:sz w:val="24"/>
        </w:rPr>
        <w:t>投标有效期</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16.1投标有效期见本须知前附表（180日历天）所规定的期限，在此期限内，凡符合本招标文件要求的投标文件均保持有效。</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16.2在特殊情况下，采购人和采购代理机构在原定投标有效期内，可以根据需要以书面形式向投标人提出延长投标有效期的要求，对此要求投标人须以书面形式予以答复。投标人可以拒绝采购人和采购代理机构这种要求。同意延长投标有效期的投标人既不能要求也不允许修改其投标文件。</w:t>
      </w:r>
    </w:p>
    <w:p>
      <w:pPr>
        <w:numPr>
          <w:ilvl w:val="0"/>
          <w:numId w:val="15"/>
        </w:numPr>
        <w:snapToGrid w:val="0"/>
        <w:spacing w:line="440" w:lineRule="exact"/>
        <w:outlineLvl w:val="2"/>
        <w:rPr>
          <w:rFonts w:ascii="微软雅黑" w:hAnsi="微软雅黑" w:eastAsia="微软雅黑" w:cs="微软雅黑"/>
          <w:b/>
          <w:sz w:val="24"/>
        </w:rPr>
      </w:pPr>
      <w:r>
        <w:rPr>
          <w:rFonts w:hint="eastAsia" w:ascii="微软雅黑" w:hAnsi="微软雅黑" w:eastAsia="微软雅黑" w:cs="微软雅黑"/>
          <w:b/>
          <w:sz w:val="24"/>
        </w:rPr>
        <w:t>投标保证金</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本项目不向投标人收取投标保证金。</w:t>
      </w:r>
    </w:p>
    <w:p>
      <w:pPr>
        <w:numPr>
          <w:ilvl w:val="0"/>
          <w:numId w:val="15"/>
        </w:numPr>
        <w:snapToGrid w:val="0"/>
        <w:spacing w:line="440" w:lineRule="exact"/>
        <w:outlineLvl w:val="2"/>
        <w:rPr>
          <w:rFonts w:ascii="微软雅黑" w:hAnsi="微软雅黑" w:eastAsia="微软雅黑" w:cs="微软雅黑"/>
          <w:b/>
          <w:bCs/>
          <w:sz w:val="24"/>
        </w:rPr>
      </w:pPr>
      <w:r>
        <w:rPr>
          <w:rFonts w:hint="eastAsia" w:ascii="微软雅黑" w:hAnsi="微软雅黑" w:eastAsia="微软雅黑" w:cs="微软雅黑"/>
          <w:b/>
          <w:sz w:val="24"/>
        </w:rPr>
        <w:t>投标文件的签署</w:t>
      </w:r>
    </w:p>
    <w:p>
      <w:pPr>
        <w:snapToGrid w:val="0"/>
        <w:spacing w:line="440" w:lineRule="exact"/>
        <w:ind w:firstLine="480" w:firstLineChars="200"/>
        <w:outlineLvl w:val="2"/>
        <w:rPr>
          <w:rFonts w:ascii="微软雅黑" w:hAnsi="微软雅黑" w:eastAsia="微软雅黑" w:cs="微软雅黑"/>
          <w:b/>
          <w:bCs/>
          <w:sz w:val="24"/>
        </w:rPr>
      </w:pPr>
      <w:r>
        <w:rPr>
          <w:rFonts w:hint="eastAsia" w:ascii="微软雅黑" w:hAnsi="微软雅黑" w:eastAsia="微软雅黑" w:cs="微软雅黑"/>
          <w:sz w:val="24"/>
        </w:rPr>
        <w:t>供应商应根据政采云平台“政府采购项目电子交易管理操作视频－供应商”及本招标文件规定的格式和顺序编制电子投标文件并进行关联定位。</w:t>
      </w:r>
    </w:p>
    <w:p>
      <w:pPr>
        <w:spacing w:line="44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投标人须按资格部分、商务部分、技术部分和价格部分编制投标文件，资格部分、商务部分和技术部分的投标文件不得体现价格部分内容。</w:t>
      </w:r>
    </w:p>
    <w:p>
      <w:pPr>
        <w:autoSpaceDE w:val="0"/>
        <w:autoSpaceDN w:val="0"/>
        <w:adjustRightInd w:val="0"/>
        <w:spacing w:line="440" w:lineRule="exact"/>
        <w:ind w:firstLine="485" w:firstLineChars="202"/>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投标文件需按招标文件要求的格式填写并签字盖章。</w:t>
      </w:r>
    </w:p>
    <w:p>
      <w:pPr>
        <w:numPr>
          <w:ilvl w:val="0"/>
          <w:numId w:val="14"/>
        </w:numPr>
        <w:snapToGrid w:val="0"/>
        <w:spacing w:line="360" w:lineRule="auto"/>
        <w:jc w:val="center"/>
        <w:textAlignment w:val="baseline"/>
        <w:rPr>
          <w:rFonts w:ascii="微软雅黑" w:hAnsi="微软雅黑" w:eastAsia="微软雅黑" w:cs="微软雅黑"/>
          <w:b/>
          <w:sz w:val="32"/>
          <w:szCs w:val="32"/>
        </w:rPr>
      </w:pPr>
      <w:bookmarkStart w:id="70" w:name="_Toc36454317"/>
      <w:bookmarkStart w:id="71" w:name="_Toc36641141"/>
      <w:r>
        <w:rPr>
          <w:rFonts w:hint="eastAsia" w:ascii="微软雅黑" w:hAnsi="微软雅黑" w:eastAsia="微软雅黑" w:cs="微软雅黑"/>
          <w:b/>
          <w:sz w:val="32"/>
          <w:szCs w:val="32"/>
        </w:rPr>
        <w:t>投标文件的提交</w:t>
      </w:r>
      <w:bookmarkEnd w:id="70"/>
      <w:bookmarkEnd w:id="71"/>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投标文件的提交及提交截止时间</w:t>
      </w:r>
    </w:p>
    <w:p>
      <w:pPr>
        <w:ind w:firstLine="480" w:firstLineChars="200"/>
        <w:rPr>
          <w:rFonts w:ascii="微软雅黑" w:hAnsi="微软雅黑" w:eastAsia="微软雅黑" w:cs="微软雅黑"/>
          <w:b/>
          <w:sz w:val="24"/>
        </w:rPr>
      </w:pPr>
      <w:r>
        <w:rPr>
          <w:rFonts w:hint="eastAsia" w:ascii="微软雅黑" w:hAnsi="微软雅黑" w:eastAsia="微软雅黑" w:cs="微软雅黑"/>
          <w:b/>
          <w:sz w:val="24"/>
        </w:rPr>
        <w:t>19.1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19.2采购代理机构可通过修改招标文件酌情延长投标截止时间，在此情况下，投标人的所有权利和义务以及投标人的投标截止时间均应以延长后新的截止时间为准；</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迟交的投标文件</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投标截止时间后传输提交的投标文件，将被政采云平台拒收。</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投标文件的撤回</w:t>
      </w:r>
    </w:p>
    <w:p>
      <w:pPr>
        <w:spacing w:line="360" w:lineRule="auto"/>
        <w:ind w:left="420"/>
        <w:outlineLvl w:val="1"/>
        <w:rPr>
          <w:rFonts w:ascii="微软雅黑" w:hAnsi="微软雅黑" w:eastAsia="微软雅黑" w:cs="微软雅黑"/>
          <w:b/>
          <w:sz w:val="32"/>
          <w:szCs w:val="32"/>
        </w:rPr>
      </w:pPr>
      <w:r>
        <w:rPr>
          <w:rFonts w:hint="eastAsia" w:ascii="微软雅黑" w:hAnsi="微软雅黑" w:eastAsia="微软雅黑" w:cs="微软雅黑"/>
          <w:sz w:val="24"/>
        </w:rPr>
        <w:t>在投标截止时间至规定的投标有效期满之间的这段时间，投标人不得撤回其投标。</w:t>
      </w:r>
      <w:bookmarkEnd w:id="63"/>
      <w:bookmarkEnd w:id="64"/>
      <w:bookmarkEnd w:id="65"/>
      <w:bookmarkEnd w:id="66"/>
      <w:bookmarkEnd w:id="67"/>
      <w:bookmarkEnd w:id="68"/>
      <w:bookmarkEnd w:id="69"/>
      <w:bookmarkStart w:id="72" w:name="_Toc31705"/>
    </w:p>
    <w:p>
      <w:pPr>
        <w:numPr>
          <w:ilvl w:val="0"/>
          <w:numId w:val="14"/>
        </w:numPr>
        <w:snapToGrid w:val="0"/>
        <w:spacing w:line="360" w:lineRule="auto"/>
        <w:jc w:val="center"/>
        <w:textAlignment w:val="baseline"/>
        <w:rPr>
          <w:rFonts w:ascii="微软雅黑" w:hAnsi="微软雅黑" w:eastAsia="微软雅黑" w:cs="微软雅黑"/>
          <w:b/>
          <w:sz w:val="32"/>
          <w:szCs w:val="32"/>
        </w:rPr>
      </w:pPr>
      <w:r>
        <w:rPr>
          <w:rFonts w:hint="eastAsia" w:ascii="微软雅黑" w:hAnsi="微软雅黑" w:eastAsia="微软雅黑" w:cs="微软雅黑"/>
          <w:b/>
          <w:sz w:val="32"/>
          <w:szCs w:val="32"/>
        </w:rPr>
        <w:t>开标程序</w:t>
      </w:r>
    </w:p>
    <w:p>
      <w:pPr>
        <w:numPr>
          <w:ilvl w:val="0"/>
          <w:numId w:val="15"/>
        </w:numPr>
        <w:snapToGrid w:val="0"/>
        <w:outlineLvl w:val="2"/>
        <w:rPr>
          <w:rFonts w:ascii="微软雅黑" w:hAnsi="微软雅黑" w:eastAsia="微软雅黑" w:cs="微软雅黑"/>
          <w:b/>
          <w:sz w:val="24"/>
        </w:rPr>
      </w:pPr>
      <w:bookmarkStart w:id="73" w:name="_Toc17761"/>
      <w:r>
        <w:rPr>
          <w:rFonts w:hint="eastAsia" w:ascii="微软雅黑" w:hAnsi="微软雅黑" w:eastAsia="微软雅黑" w:cs="微软雅黑"/>
          <w:b/>
          <w:sz w:val="24"/>
        </w:rPr>
        <w:t>开标程序</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22.1采购代理机构和采购人将于按照招标文件规定的时间和地点举行开标会；</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22.2开标会由采购代理机构和采购人共同主持；</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22.3本项目采用政采云电子招投标开标程序</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投标截止时间后，投标人登录政采云平台，用“项目采购－开标评标”功能对电子投标文件进行在线解密。在线解密电子投标文件时间为</w:t>
      </w:r>
      <w:r>
        <w:rPr>
          <w:rFonts w:hint="eastAsia" w:ascii="微软雅黑" w:hAnsi="微软雅黑" w:eastAsia="微软雅黑" w:cs="微软雅黑"/>
          <w:b/>
          <w:sz w:val="24"/>
        </w:rPr>
        <w:t>开标时间起30分钟内</w:t>
      </w:r>
      <w:r>
        <w:rPr>
          <w:rFonts w:hint="eastAsia" w:ascii="微软雅黑" w:hAnsi="微软雅黑" w:eastAsia="微软雅黑" w:cs="微软雅黑"/>
          <w:sz w:val="24"/>
        </w:rPr>
        <w:t>。</w:t>
      </w:r>
      <w:r>
        <w:rPr>
          <w:rFonts w:hint="eastAsia" w:ascii="微软雅黑" w:hAnsi="微软雅黑" w:eastAsia="微软雅黑" w:cs="微软雅黑"/>
          <w:b/>
          <w:sz w:val="24"/>
          <w:u w:val="single"/>
        </w:rPr>
        <w:t>如投标人在开标开始后30分钟内解密失败，投标无效</w:t>
      </w:r>
      <w:r>
        <w:rPr>
          <w:rFonts w:hint="eastAsia" w:ascii="微软雅黑" w:hAnsi="微软雅黑" w:eastAsia="微软雅黑" w:cs="微软雅黑"/>
          <w:sz w:val="24"/>
          <w:u w:val="single"/>
        </w:rPr>
        <w:t>。</w:t>
      </w:r>
    </w:p>
    <w:p>
      <w:pPr>
        <w:spacing w:line="440" w:lineRule="exact"/>
        <w:ind w:firstLine="480" w:firstLineChars="200"/>
        <w:rPr>
          <w:rFonts w:ascii="微软雅黑" w:hAnsi="微软雅黑" w:eastAsia="微软雅黑" w:cs="微软雅黑"/>
          <w:sz w:val="24"/>
          <w:u w:val="single"/>
        </w:rPr>
      </w:pPr>
      <w:r>
        <w:rPr>
          <w:rFonts w:hint="eastAsia" w:ascii="微软雅黑" w:hAnsi="微软雅黑" w:eastAsia="微软雅黑" w:cs="微软雅黑"/>
          <w:sz w:val="24"/>
          <w:u w:val="single"/>
        </w:rPr>
        <w:t>说明：政采云平台如对电子开评标程序有调整的，按调整后的程序操作。</w:t>
      </w:r>
    </w:p>
    <w:p>
      <w:pPr>
        <w:numPr>
          <w:ilvl w:val="0"/>
          <w:numId w:val="14"/>
        </w:numPr>
        <w:snapToGrid w:val="0"/>
        <w:spacing w:line="360" w:lineRule="auto"/>
        <w:jc w:val="center"/>
        <w:textAlignment w:val="baseline"/>
        <w:rPr>
          <w:rFonts w:ascii="微软雅黑" w:hAnsi="微软雅黑" w:eastAsia="微软雅黑" w:cs="微软雅黑"/>
          <w:b/>
          <w:sz w:val="32"/>
          <w:szCs w:val="32"/>
        </w:rPr>
      </w:pPr>
      <w:r>
        <w:rPr>
          <w:rFonts w:hint="eastAsia" w:ascii="微软雅黑" w:hAnsi="微软雅黑" w:eastAsia="微软雅黑" w:cs="微软雅黑"/>
          <w:b/>
          <w:sz w:val="32"/>
          <w:szCs w:val="32"/>
        </w:rPr>
        <w:t>评标</w:t>
      </w:r>
      <w:bookmarkEnd w:id="73"/>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组建评标委员会</w:t>
      </w:r>
    </w:p>
    <w:p>
      <w:pPr>
        <w:spacing w:line="440" w:lineRule="exact"/>
        <w:ind w:firstLine="560"/>
        <w:rPr>
          <w:rFonts w:ascii="微软雅黑" w:hAnsi="微软雅黑" w:eastAsia="微软雅黑" w:cs="微软雅黑"/>
          <w:sz w:val="24"/>
        </w:rPr>
      </w:pPr>
      <w:r>
        <w:rPr>
          <w:rFonts w:hint="eastAsia" w:ascii="微软雅黑" w:hAnsi="微软雅黑" w:eastAsia="微软雅黑" w:cs="微软雅黑"/>
          <w:sz w:val="24"/>
        </w:rPr>
        <w:t>按照《中华人民共和国政府采购法》、《中华人民共和国政府采购法实施条例》有关规定依法组建评标委员会，负责本项目评标工作。评标</w:t>
      </w:r>
      <w:r>
        <w:rPr>
          <w:rFonts w:hint="eastAsia" w:ascii="微软雅黑" w:hAnsi="微软雅黑" w:eastAsia="微软雅黑" w:cs="微软雅黑"/>
          <w:snapToGrid w:val="0"/>
          <w:sz w:val="24"/>
        </w:rPr>
        <w:t>委员会</w:t>
      </w:r>
      <w:r>
        <w:rPr>
          <w:rFonts w:hint="eastAsia" w:ascii="微软雅黑" w:hAnsi="微软雅黑" w:eastAsia="微软雅黑" w:cs="微软雅黑"/>
          <w:sz w:val="24"/>
        </w:rPr>
        <w:t>遵循公正、公平、科学合理，竞争择优的原则。</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评标过程的保密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24.1开标后，直至授予中标供应商合同为止，凡属于对投标文件的审查、澄清、评价和比较的有关资料、中标候选人的推荐情况及与评标有关的其他任何情况均严格保密。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24.2 在投标文件的评审和比较、中标候选人推荐以及授予合同的过程中，投标人向采购人、采购代理机构和评标委员会施加影响的任何行为，都将会导致其投标被拒绝。</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投标文件的澄清</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为有助于投标文件的审查、评价和比较，评标委员会可以要求投标人对于投标文件中含义不明确、同类问题表述不一致或者有明显文字和计算错误的内容作必要的澄清、说明或补正。</w:t>
      </w:r>
    </w:p>
    <w:p>
      <w:pPr>
        <w:spacing w:line="480" w:lineRule="exact"/>
        <w:ind w:firstLine="480" w:firstLineChars="200"/>
        <w:jc w:val="left"/>
        <w:rPr>
          <w:rFonts w:ascii="微软雅黑" w:hAnsi="微软雅黑" w:eastAsia="微软雅黑" w:cs="微软雅黑"/>
          <w:sz w:val="24"/>
        </w:rPr>
      </w:pPr>
      <w:r>
        <w:rPr>
          <w:rFonts w:hint="eastAsia" w:ascii="微软雅黑" w:hAnsi="微软雅黑" w:eastAsia="微软雅黑" w:cs="微软雅黑"/>
          <w:sz w:val="24"/>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投标人通过政采云平台交换的数据电文必须进行电子签章。</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根据本须知第25条规定，凡属于评标委员会在评标中发现的计算错误进行核实的修改不在此列。</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投标文件的评定</w:t>
      </w:r>
    </w:p>
    <w:p>
      <w:pPr>
        <w:spacing w:line="44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26.1资格性审查</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依据法律、法规和招标文件规定，对投标文件中的资格文件逐项进行审查，以确定投标人是否具备投标资格。资格性审查由采购人或采购代理机构负责。未通过资格审查的投标人不能进入评标，其投标将被认定为投标无效。</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26.1.1采购人或采购代理机构将在递交投标文件截止时间前一个工作日至资格性审查结束前的期间内查询投标人的信用记录。投标人存在不良信用记录的，其投标将被认定为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26.1.2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26.1.3 查询及记录方式：采购人或采购代理机构经办人将查询网页打印并存档备查。投标人不良信用记录以采购人或采购代理机构查询结果为准。</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在本招标文件规定的查询时间之后，网站信息发生的任何变更均不再作为评标依据。</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投标人自行提供的与网站信息不一致的其他证明材料亦不作为资格审查依据。</w:t>
      </w:r>
    </w:p>
    <w:p>
      <w:pPr>
        <w:spacing w:line="44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26.2符合性审查</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未通过符合性审查的投标人不能进入下一阶段评审，其投标将被认定为投标无效；通过符合性审查的投标人数量不足3家的，不得作进一步的比较和评价。</w:t>
      </w:r>
    </w:p>
    <w:p>
      <w:pPr>
        <w:spacing w:line="44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26.3如果投标文件实质上不响应招标文件的各项要求，评标委员会将予以拒绝，并且不允许投标人通过修改或撤销其不符合要求的差异或保留，使之成为具有响应性的投标。</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投标文件报价前后不一致的修正</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投标文件报价出现前后不一致的，除本招标文件另有规定外，按照下列规定修正：</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27.1投标文件中开标一览表（报价表）内容与投标文件中</w:t>
      </w:r>
      <w:r>
        <w:rPr>
          <w:rFonts w:hint="eastAsia" w:ascii="微软雅黑" w:hAnsi="微软雅黑" w:eastAsia="微软雅黑" w:cs="微软雅黑"/>
          <w:bCs/>
          <w:sz w:val="24"/>
        </w:rPr>
        <w:t>投标项目报价</w:t>
      </w:r>
      <w:r>
        <w:rPr>
          <w:rFonts w:hint="eastAsia" w:ascii="微软雅黑" w:hAnsi="微软雅黑" w:eastAsia="微软雅黑" w:cs="微软雅黑"/>
          <w:sz w:val="24"/>
        </w:rPr>
        <w:t>明细表内容不一致的，以开标一览表（报价表）为准；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27.2投标文件的大写金额和小写金额不一致的，以大写金额为准；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27.3单价金额小数点或者百分比有明显错位的，以开标一览表的总价为准，并修改单价；</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pacing w:val="-8"/>
          <w:sz w:val="24"/>
        </w:rPr>
        <w:t>27.4</w:t>
      </w:r>
      <w:r>
        <w:rPr>
          <w:rFonts w:hint="eastAsia" w:ascii="微软雅黑" w:hAnsi="微软雅黑" w:eastAsia="微软雅黑" w:cs="微软雅黑"/>
          <w:sz w:val="24"/>
        </w:rPr>
        <w:t>总价金额与按单价汇总金额不一致的，以单价金额计算结果为准。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27.5同时出现两种以上不一致的，按照前款规定的顺序修正。修正后的报价经投标人确认后产生约束力，投标人不确认的，其投标无效。</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.比较与评价</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28.1经符合性审查合格的投标文件，评标委员会将根据招标文件确定的评标方法和标准，对其技术部分和商务部分作进一步的比较和评价。</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28.2评标严格按照招标文件的要求和条件进行。根据实际情况，在投标人须知表27.2款中规定采用下列一种评标方法，详细评标标准见第四章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（1）最低评标价法，是指投标文件满足招标文件全部实质性要求，且投标报价最低的投标人为中标候选人的评标方法。</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（2）综合评分法，是指投标文件满足招标文件全部实质性要求，且按照评审因素的量化指标评审得分最高的投标人为中标候选人的评标方法。</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废标</w:t>
      </w:r>
    </w:p>
    <w:p>
      <w:pPr>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在招标采购中，出现下列情形之一的，应予废标（</w:t>
      </w:r>
      <w:r>
        <w:rPr>
          <w:rFonts w:hint="eastAsia" w:ascii="微软雅黑" w:hAnsi="微软雅黑" w:eastAsia="微软雅黑" w:cs="微软雅黑"/>
          <w:b/>
          <w:snapToGrid w:val="0"/>
          <w:sz w:val="24"/>
        </w:rPr>
        <w:t>法律、法规、规章、省级及以上监管部门规定的其他情形除外）</w:t>
      </w:r>
      <w:r>
        <w:rPr>
          <w:rFonts w:hint="eastAsia" w:ascii="微软雅黑" w:hAnsi="微软雅黑" w:eastAsia="微软雅黑" w:cs="微软雅黑"/>
          <w:b/>
          <w:bCs/>
          <w:sz w:val="24"/>
        </w:rPr>
        <w:t>：</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29.1符合专业条件的供应商或者对招标文件作实质响应的供应商不足三家的；</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29.2出现影响采购公正的违法、违规行为的；</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29.3因重大变故，采购任务取消的；</w:t>
      </w:r>
    </w:p>
    <w:p>
      <w:pPr>
        <w:ind w:firstLine="480" w:firstLineChars="200"/>
        <w:rPr>
          <w:rFonts w:ascii="微软雅黑" w:hAnsi="微软雅黑" w:eastAsia="微软雅黑" w:cs="微软雅黑"/>
          <w:b/>
          <w:snapToGrid w:val="0"/>
          <w:sz w:val="24"/>
        </w:rPr>
      </w:pPr>
      <w:r>
        <w:rPr>
          <w:rFonts w:hint="eastAsia" w:ascii="微软雅黑" w:hAnsi="微软雅黑" w:eastAsia="微软雅黑" w:cs="微软雅黑"/>
          <w:bCs/>
          <w:sz w:val="24"/>
        </w:rPr>
        <w:t>29.4投标人的报价均超出采购预算的，采购人不能支付的。</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定标</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30.1采购代理机构在评标结束后2个工作日内将评标报告送交采购人确认，采购人应在收到评标报告后五个工作日内依法确定中标供应商，并将确认意见书面形式回复采购代理机构，逾期未复视为同意。</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30.2中标供应商确定后，中标结果在财政部门指定的政府采购信息发布媒体上公告。</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30.3在发布公告的同时，采购人和采购代理机构向中标供应商发出中标通知书，中标通知书对采购人和中标供应商具有同等法律效力。</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30.4中标通知书发出后，采购人改变中标结果，或者中标供应商放弃中标，应当承担相应的法律责任。</w:t>
      </w:r>
    </w:p>
    <w:p>
      <w:pPr>
        <w:snapToGrid w:val="0"/>
        <w:ind w:firstLine="480" w:firstLineChars="200"/>
        <w:outlineLvl w:val="2"/>
        <w:rPr>
          <w:rFonts w:ascii="微软雅黑" w:hAnsi="微软雅黑" w:eastAsia="微软雅黑" w:cs="微软雅黑"/>
          <w:b/>
          <w:sz w:val="24"/>
        </w:rPr>
      </w:pPr>
      <w:r>
        <w:rPr>
          <w:rFonts w:hint="eastAsia" w:ascii="微软雅黑" w:hAnsi="微软雅黑" w:eastAsia="微软雅黑" w:cs="微软雅黑"/>
          <w:b/>
          <w:sz w:val="24"/>
        </w:rPr>
        <w:t>30.5出现下述情况之一的，采购单位可以与排位在中标人之后第一位的中标候选人签订政府采购合同，以此类推。采购单位也可重新组织招标。</w:t>
      </w:r>
    </w:p>
    <w:p>
      <w:pPr>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30.5.1中标人因自身原因放弃中标成交或因不可抗力不能履行合同的；</w:t>
      </w:r>
    </w:p>
    <w:p>
      <w:pPr>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30.5.2经质疑，采购代理机构审查确认因中标人在本次采购活动中存在违法违规行为或其他原因使质疑成立的。</w:t>
      </w:r>
    </w:p>
    <w:p>
      <w:pPr>
        <w:numPr>
          <w:ilvl w:val="0"/>
          <w:numId w:val="15"/>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投标无效的情形</w:t>
      </w:r>
    </w:p>
    <w:p>
      <w:pPr>
        <w:spacing w:line="440" w:lineRule="exact"/>
        <w:ind w:firstLine="480" w:firstLineChars="200"/>
        <w:rPr>
          <w:rFonts w:ascii="微软雅黑" w:hAnsi="微软雅黑" w:eastAsia="微软雅黑" w:cs="微软雅黑"/>
          <w:b/>
          <w:sz w:val="24"/>
        </w:rPr>
      </w:pPr>
      <w:r>
        <w:rPr>
          <w:rFonts w:hint="eastAsia" w:ascii="微软雅黑" w:hAnsi="微软雅黑" w:eastAsia="微软雅黑" w:cs="微软雅黑"/>
          <w:b/>
          <w:sz w:val="24"/>
        </w:rPr>
        <w:t>投标文件有下列情况之一者， 投标文件将被视为无效：</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31.1资格审查没有通过的（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31.2电子投标文件在规定时间内解密失败的；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31.3未按照招标文件规定的要求签署、盖章的；</w:t>
      </w:r>
    </w:p>
    <w:p>
      <w:pPr>
        <w:spacing w:line="440" w:lineRule="exact"/>
        <w:ind w:firstLine="470" w:firstLineChars="196"/>
        <w:rPr>
          <w:rFonts w:ascii="微软雅黑" w:hAnsi="微软雅黑" w:eastAsia="微软雅黑" w:cs="微软雅黑"/>
          <w:bCs/>
          <w:sz w:val="24"/>
        </w:rPr>
      </w:pPr>
      <w:r>
        <w:rPr>
          <w:rFonts w:hint="eastAsia" w:ascii="微软雅黑" w:hAnsi="微软雅黑" w:eastAsia="微软雅黑" w:cs="微软雅黑"/>
          <w:bCs/>
          <w:sz w:val="24"/>
        </w:rPr>
        <w:t>31.4投标文件中资格部分、商务部分、技术部分中出现价格部分内容的；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31.5投标人在一份投标文件中对同一采购项目有两个或两个以上报价的；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31.6投标报价超过招标文件中规定的预算金额或者最高限价的；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z w:val="24"/>
        </w:rPr>
        <w:t>31.7投标文件</w:t>
      </w:r>
      <w:r>
        <w:rPr>
          <w:rFonts w:hint="eastAsia" w:ascii="微软雅黑" w:hAnsi="微软雅黑" w:eastAsia="微软雅黑" w:cs="微软雅黑"/>
          <w:bCs/>
          <w:snapToGrid w:val="0"/>
          <w:sz w:val="24"/>
        </w:rPr>
        <w:t>载明的招标项目完成期限超过招标文件规定的期限，采购人不能接受的；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31.8</w:t>
      </w:r>
      <w:r>
        <w:rPr>
          <w:rFonts w:hint="eastAsia" w:ascii="微软雅黑" w:hAnsi="微软雅黑" w:eastAsia="微软雅黑" w:cs="微软雅黑"/>
          <w:bCs/>
          <w:sz w:val="24"/>
        </w:rPr>
        <w:t>投标文件</w:t>
      </w:r>
      <w:r>
        <w:rPr>
          <w:rFonts w:hint="eastAsia" w:ascii="微软雅黑" w:hAnsi="微软雅黑" w:eastAsia="微软雅黑" w:cs="微软雅黑"/>
          <w:bCs/>
          <w:snapToGrid w:val="0"/>
          <w:sz w:val="24"/>
        </w:rPr>
        <w:t>载明的投标有效期、质量保证期少于招标文件规定期限的；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31.9投标文件未响应招标文件规定的付款方式的；</w:t>
      </w:r>
    </w:p>
    <w:p>
      <w:pPr>
        <w:spacing w:line="440" w:lineRule="exact"/>
        <w:ind w:firstLine="470" w:firstLineChars="196"/>
        <w:rPr>
          <w:rFonts w:ascii="微软雅黑" w:hAnsi="微软雅黑" w:eastAsia="微软雅黑" w:cs="微软雅黑"/>
          <w:bCs/>
          <w:snapToGrid w:val="0"/>
          <w:sz w:val="24"/>
        </w:rPr>
      </w:pPr>
      <w:r>
        <w:rPr>
          <w:rFonts w:hint="eastAsia" w:ascii="微软雅黑" w:hAnsi="微软雅黑" w:eastAsia="微软雅黑" w:cs="微软雅黑"/>
          <w:bCs/>
          <w:sz w:val="24"/>
        </w:rPr>
        <w:t>31.10投标服务的</w:t>
      </w:r>
      <w:r>
        <w:rPr>
          <w:rFonts w:hint="eastAsia" w:ascii="微软雅黑" w:hAnsi="微软雅黑" w:eastAsia="微软雅黑" w:cs="微软雅黑"/>
          <w:bCs/>
          <w:snapToGrid w:val="0"/>
          <w:sz w:val="24"/>
        </w:rPr>
        <w:t>技术规范、技术标准明显不符合国家强制性要求的；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31.11投标服务载明的验收标准和方法等不符合国家规定及招标文件要求的；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31.12投标文件字迹模糊辨认不清的（评标委员会一致认为难以确认）；</w:t>
      </w:r>
    </w:p>
    <w:p>
      <w:pPr>
        <w:spacing w:line="440" w:lineRule="exact"/>
        <w:ind w:firstLine="480" w:firstLineChars="200"/>
        <w:rPr>
          <w:rFonts w:ascii="微软雅黑" w:hAnsi="微软雅黑" w:eastAsia="微软雅黑" w:cs="微软雅黑"/>
          <w:bCs/>
          <w:kern w:val="0"/>
          <w:sz w:val="24"/>
        </w:rPr>
      </w:pPr>
      <w:r>
        <w:rPr>
          <w:rFonts w:hint="eastAsia" w:ascii="微软雅黑" w:hAnsi="微软雅黑" w:eastAsia="微软雅黑" w:cs="微软雅黑"/>
          <w:bCs/>
          <w:snapToGrid w:val="0"/>
          <w:sz w:val="24"/>
        </w:rPr>
        <w:t>31.13</w:t>
      </w:r>
      <w:r>
        <w:rPr>
          <w:rFonts w:hint="eastAsia" w:ascii="微软雅黑" w:hAnsi="微软雅黑" w:eastAsia="微软雅黑" w:cs="微软雅黑"/>
          <w:bCs/>
          <w:kern w:val="0"/>
          <w:sz w:val="24"/>
        </w:rPr>
        <w:t>提供不真实资料的；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31.14</w:t>
      </w:r>
      <w:r>
        <w:rPr>
          <w:rFonts w:hint="eastAsia" w:ascii="微软雅黑" w:hAnsi="微软雅黑" w:eastAsia="微软雅黑" w:cs="微软雅黑"/>
          <w:bCs/>
          <w:sz w:val="24"/>
        </w:rPr>
        <w:t>投标服务的</w:t>
      </w:r>
      <w:r>
        <w:rPr>
          <w:rFonts w:hint="eastAsia" w:ascii="微软雅黑" w:hAnsi="微软雅黑" w:eastAsia="微软雅黑" w:cs="微软雅黑"/>
          <w:bCs/>
          <w:snapToGrid w:val="0"/>
          <w:sz w:val="24"/>
        </w:rPr>
        <w:t>技术指标、参数等存在实质性偏离</w:t>
      </w:r>
      <w:r>
        <w:rPr>
          <w:rFonts w:hint="eastAsia" w:ascii="微软雅黑" w:hAnsi="微软雅黑" w:eastAsia="微软雅黑" w:cs="微软雅黑"/>
          <w:bCs/>
          <w:sz w:val="24"/>
        </w:rPr>
        <w:t>（评标委员会一致认定）</w:t>
      </w:r>
      <w:r>
        <w:rPr>
          <w:rFonts w:hint="eastAsia" w:ascii="微软雅黑" w:hAnsi="微软雅黑" w:eastAsia="微软雅黑" w:cs="微软雅黑"/>
          <w:bCs/>
          <w:snapToGrid w:val="0"/>
          <w:sz w:val="24"/>
        </w:rPr>
        <w:t>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31.15未满足招标文件中打“</w:t>
      </w:r>
      <w:r>
        <w:rPr>
          <w:rFonts w:hint="eastAsia" w:ascii="宋体" w:hAnsi="宋体" w:cs="微软雅黑"/>
          <w:sz w:val="24"/>
        </w:rPr>
        <w:t>▲</w:t>
      </w:r>
      <w:r>
        <w:rPr>
          <w:rFonts w:hint="eastAsia" w:ascii="微软雅黑" w:hAnsi="微软雅黑" w:eastAsia="微软雅黑" w:cs="微软雅黑"/>
          <w:bCs/>
          <w:snapToGrid w:val="0"/>
          <w:sz w:val="24"/>
        </w:rPr>
        <w:t>”条款的；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31.16</w:t>
      </w:r>
      <w:r>
        <w:rPr>
          <w:rFonts w:hint="eastAsia" w:ascii="微软雅黑" w:hAnsi="微软雅黑" w:eastAsia="微软雅黑" w:cs="微软雅黑"/>
          <w:bCs/>
          <w:snapToGrid w:val="0"/>
          <w:kern w:val="0"/>
          <w:sz w:val="24"/>
        </w:rPr>
        <w:t>不符合法律、法规和招标文件规定的其他实质</w:t>
      </w:r>
      <w:r>
        <w:rPr>
          <w:rFonts w:hint="eastAsia" w:ascii="微软雅黑" w:hAnsi="微软雅黑" w:eastAsia="微软雅黑" w:cs="微软雅黑"/>
          <w:bCs/>
          <w:snapToGrid w:val="0"/>
          <w:sz w:val="24"/>
        </w:rPr>
        <w:t>性要求</w:t>
      </w:r>
      <w:r>
        <w:rPr>
          <w:rFonts w:hint="eastAsia" w:ascii="微软雅黑" w:hAnsi="微软雅黑" w:eastAsia="微软雅黑" w:cs="微软雅黑"/>
          <w:bCs/>
          <w:sz w:val="24"/>
        </w:rPr>
        <w:t>（评标委员会一致认定）</w:t>
      </w:r>
      <w:r>
        <w:rPr>
          <w:rFonts w:hint="eastAsia" w:ascii="微软雅黑" w:hAnsi="微软雅黑" w:eastAsia="微软雅黑" w:cs="微软雅黑"/>
          <w:bCs/>
          <w:snapToGrid w:val="0"/>
          <w:sz w:val="24"/>
        </w:rPr>
        <w:t>的；</w:t>
      </w:r>
    </w:p>
    <w:p>
      <w:pPr>
        <w:spacing w:line="440" w:lineRule="exact"/>
        <w:ind w:firstLine="470" w:firstLineChars="196"/>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31.17二分之一以上的评委认为供应商报价明显高于市场平均价的；</w:t>
      </w:r>
    </w:p>
    <w:p>
      <w:pPr>
        <w:snapToGrid w:val="0"/>
        <w:spacing w:line="4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31.18</w:t>
      </w:r>
      <w:r>
        <w:rPr>
          <w:rFonts w:hint="eastAsia" w:ascii="微软雅黑" w:hAnsi="微软雅黑" w:eastAsia="微软雅黑" w:cs="微软雅黑"/>
          <w:bCs/>
          <w:sz w:val="24"/>
        </w:rPr>
        <w:t>评标委员会认为投标人的报价明显低于其他通过符合性审查投标人的报价，有可能影响产品质量或者不能诚信履约，且不能在评标现场合理的时间内证明其报价合理性的；</w:t>
      </w:r>
    </w:p>
    <w:p>
      <w:pPr>
        <w:snapToGrid w:val="0"/>
        <w:spacing w:line="4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31.19</w:t>
      </w:r>
      <w:r>
        <w:rPr>
          <w:rFonts w:hint="eastAsia" w:ascii="微软雅黑" w:hAnsi="微软雅黑" w:eastAsia="微软雅黑" w:cs="微软雅黑"/>
          <w:bCs/>
          <w:sz w:val="24"/>
        </w:rPr>
        <w:t>投标文件含有采购人不能接受的附加条件的；</w:t>
      </w:r>
    </w:p>
    <w:p>
      <w:pPr>
        <w:snapToGrid w:val="0"/>
        <w:spacing w:line="46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31.20</w:t>
      </w:r>
      <w:r>
        <w:rPr>
          <w:rFonts w:hint="eastAsia" w:ascii="微软雅黑" w:hAnsi="微软雅黑" w:eastAsia="微软雅黑" w:cs="微软雅黑"/>
          <w:bCs/>
          <w:sz w:val="24"/>
        </w:rPr>
        <w:t>投标人被视为串通投标的；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31.21投标产品为进口产品且未经</w:t>
      </w:r>
      <w:r>
        <w:rPr>
          <w:rFonts w:hint="eastAsia" w:ascii="微软雅黑" w:hAnsi="微软雅黑" w:eastAsia="微软雅黑" w:cs="微软雅黑"/>
          <w:bCs/>
          <w:sz w:val="24"/>
        </w:rPr>
        <w:t>批准</w:t>
      </w:r>
      <w:r>
        <w:rPr>
          <w:rFonts w:hint="eastAsia" w:ascii="微软雅黑" w:hAnsi="微软雅黑" w:eastAsia="微软雅黑" w:cs="微软雅黑"/>
          <w:bCs/>
          <w:snapToGrid w:val="0"/>
          <w:sz w:val="24"/>
        </w:rPr>
        <w:t>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31.22评标委员会按照规定对投标文件的计算错误进行修正后的报价，投标人不予确认的；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31.23招标需求中要求提供的产品属于政府强制采购节能品目的（详见《关于印发节能产品政府采购品目清单的通知》财库〔2019〕19号），投标人未提供认证证书或证书发布平台的投标产品认证证书查询截图的；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31.24法律、法规、规章及省级以上规范性文件等规定的其他情形。</w:t>
      </w:r>
    </w:p>
    <w:p>
      <w:pPr>
        <w:numPr>
          <w:ilvl w:val="0"/>
          <w:numId w:val="14"/>
        </w:numPr>
        <w:snapToGrid w:val="0"/>
        <w:spacing w:line="360" w:lineRule="auto"/>
        <w:jc w:val="center"/>
        <w:textAlignment w:val="baseline"/>
        <w:rPr>
          <w:rFonts w:ascii="微软雅黑" w:hAnsi="微软雅黑" w:eastAsia="微软雅黑" w:cs="微软雅黑"/>
          <w:b/>
          <w:sz w:val="32"/>
          <w:szCs w:val="32"/>
        </w:rPr>
      </w:pPr>
      <w:bookmarkStart w:id="74" w:name="_Toc36641145"/>
      <w:bookmarkStart w:id="75" w:name="_Toc36454321"/>
      <w:r>
        <w:rPr>
          <w:rFonts w:hint="eastAsia" w:ascii="微软雅黑" w:hAnsi="微软雅黑" w:eastAsia="微软雅黑" w:cs="微软雅黑"/>
          <w:b/>
          <w:sz w:val="32"/>
          <w:szCs w:val="32"/>
        </w:rPr>
        <w:t>合同的授予</w:t>
      </w:r>
      <w:bookmarkEnd w:id="74"/>
      <w:bookmarkEnd w:id="75"/>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32.授予合同的依据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32.1采购人和采购代理机构签发的中标通知书；</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32.2招标文件、招标文件的修改及补充文件；</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32.3投标文件和询标时投标人做出的澄清、说明、纠正、承诺；</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32.4《中华人民共和国民法典》的规定。</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33.签署合同的要求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33.1采购人与中标供应商按照中标通知书的规定时间、地点签订书面合同；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33.2签订合同的时间必须在自中标通知书发出之日起三十日内；</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33.3所签订的合同内容不得对招标文件和中标供应商的投标文件作实质性修改；</w:t>
      </w:r>
    </w:p>
    <w:p>
      <w:pPr>
        <w:spacing w:line="400" w:lineRule="exact"/>
        <w:ind w:left="3" w:leftChars="1" w:firstLine="480" w:firstLineChars="200"/>
        <w:jc w:val="left"/>
        <w:rPr>
          <w:rFonts w:ascii="微软雅黑" w:hAnsi="微软雅黑" w:eastAsia="微软雅黑" w:cs="微软雅黑"/>
          <w:spacing w:val="-4"/>
          <w:sz w:val="24"/>
        </w:rPr>
      </w:pPr>
      <w:r>
        <w:rPr>
          <w:rFonts w:hint="eastAsia" w:ascii="微软雅黑" w:hAnsi="微软雅黑" w:eastAsia="微软雅黑" w:cs="微软雅黑"/>
          <w:sz w:val="24"/>
        </w:rPr>
        <w:t>33.4采</w:t>
      </w:r>
      <w:r>
        <w:rPr>
          <w:rFonts w:hint="eastAsia" w:ascii="微软雅黑" w:hAnsi="微软雅黑" w:eastAsia="微软雅黑" w:cs="微软雅黑"/>
          <w:spacing w:val="-4"/>
          <w:sz w:val="24"/>
        </w:rPr>
        <w:t>购人不得向中标供应商提出任何不合理的要求，作为签订合同的条件，不得与中标供应商私下订立背离合同实质性内容的协议；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33.5自采购合同签订之日起七个工作日内，将采购合同副本送采购代理机构一份备案。</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34.中标通知书</w:t>
      </w:r>
    </w:p>
    <w:p>
      <w:pPr>
        <w:spacing w:line="400" w:lineRule="exact"/>
        <w:ind w:firstLine="480" w:firstLineChars="200"/>
        <w:rPr>
          <w:rFonts w:ascii="微软雅黑" w:hAnsi="微软雅黑" w:eastAsia="微软雅黑" w:cs="微软雅黑"/>
          <w:b/>
          <w:sz w:val="24"/>
        </w:rPr>
      </w:pPr>
      <w:r>
        <w:rPr>
          <w:rFonts w:hint="eastAsia" w:ascii="微软雅黑" w:hAnsi="微软雅黑" w:eastAsia="微软雅黑" w:cs="微软雅黑"/>
          <w:sz w:val="24"/>
        </w:rPr>
        <w:t>34.1确定中标供应商后，采购人和采购代理机构将发出中标通知书，通知中标的投标人其投标被接受。</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34.2中标通知书为双方签订合同的依据；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34.3中标供应商应根据中标通知书中规定的时间内，由法定代表人或其授权代理人与采购人签订合同。</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35.履约保证金</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中标供应商在领取中标通知书的同时，应按本须知前附表的规定，向采购人提交履约保证金；</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36.合同签订</w:t>
      </w:r>
    </w:p>
    <w:p>
      <w:pPr>
        <w:spacing w:line="400" w:lineRule="exact"/>
        <w:ind w:firstLine="500"/>
        <w:rPr>
          <w:rFonts w:ascii="微软雅黑" w:hAnsi="微软雅黑" w:eastAsia="微软雅黑" w:cs="微软雅黑"/>
          <w:sz w:val="24"/>
        </w:rPr>
      </w:pPr>
      <w:r>
        <w:rPr>
          <w:rFonts w:hint="eastAsia" w:ascii="微软雅黑" w:hAnsi="微软雅黑" w:eastAsia="微软雅黑" w:cs="微软雅黑"/>
          <w:sz w:val="24"/>
        </w:rPr>
        <w:t>36.1</w:t>
      </w:r>
      <w:r>
        <w:rPr>
          <w:rFonts w:hint="eastAsia" w:ascii="微软雅黑" w:hAnsi="微软雅黑" w:eastAsia="微软雅黑" w:cs="微软雅黑"/>
          <w:snapToGrid w:val="0"/>
          <w:sz w:val="24"/>
        </w:rPr>
        <w:t>采购人与中标供应商将根据《中华人民共和国</w:t>
      </w:r>
      <w:r>
        <w:rPr>
          <w:rFonts w:hint="eastAsia" w:ascii="微软雅黑" w:hAnsi="微软雅黑" w:eastAsia="微软雅黑" w:cs="微软雅黑"/>
          <w:sz w:val="24"/>
        </w:rPr>
        <w:t>民法典</w:t>
      </w:r>
      <w:r>
        <w:rPr>
          <w:rFonts w:hint="eastAsia" w:ascii="微软雅黑" w:hAnsi="微软雅黑" w:eastAsia="微软雅黑" w:cs="微软雅黑"/>
          <w:snapToGrid w:val="0"/>
          <w:sz w:val="24"/>
        </w:rPr>
        <w:t>》的规定，依据招标文件和中标供应商的投标文件签订书面合同。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36.2 采购人如不与中标供应商订立合同，或者采购人、中标供应商订立背离合同实质性内容的协议，由政府有关部门责令改正，同时依法承担相应法律责任；</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36.3中标供应商如不按规定与采购人订立合同，则采购人废除授标，给采购人造成损失的还应当予以赔偿，同时依法承担相应法律责任。</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36.4 中标供应商应当按照合同约定履行义务，完成中标项目各项工作，不得将中标项目违法转让（转包）给他人；</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36.5如果中标供应商未能遵守本须知第34.3条的规定，则可取消其中标资格。</w:t>
      </w:r>
    </w:p>
    <w:p>
      <w:pPr>
        <w:spacing w:line="380" w:lineRule="exact"/>
        <w:rPr>
          <w:rFonts w:ascii="微软雅黑" w:hAnsi="微软雅黑" w:eastAsia="微软雅黑" w:cs="微软雅黑"/>
          <w:b/>
          <w:bCs/>
          <w:sz w:val="24"/>
        </w:rPr>
      </w:pPr>
      <w:r>
        <w:rPr>
          <w:rFonts w:hint="eastAsia" w:ascii="微软雅黑" w:hAnsi="微软雅黑" w:eastAsia="微软雅黑" w:cs="微软雅黑"/>
          <w:b/>
          <w:bCs/>
          <w:sz w:val="24"/>
        </w:rPr>
        <w:t>37.“绿贷通”、“政采贷”</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为有效破解当前中中小企业面临的“融资难、融资贵”困局，充分发挥好政府采购扶持中小企业发展的政策功能，本项目中标供应商可凭中标通知书等材料至“绿贷通平台”网页（</w:t>
      </w:r>
      <w:r>
        <w:rPr>
          <w:rFonts w:hint="eastAsia" w:ascii="微软雅黑" w:hAnsi="微软雅黑" w:eastAsia="微软雅黑" w:cs="微软雅黑"/>
          <w:kern w:val="0"/>
          <w:sz w:val="24"/>
        </w:rPr>
        <w:t>https://lvdt.huzldt.com</w:t>
      </w:r>
      <w:r>
        <w:rPr>
          <w:rFonts w:hint="eastAsia" w:ascii="微软雅黑" w:hAnsi="微软雅黑" w:eastAsia="微软雅黑" w:cs="微软雅黑"/>
          <w:sz w:val="24"/>
        </w:rPr>
        <w:t>）或“政采贷”平台网页（www.zcygov.cn）申请相关融资产品。具体操作方式可在“绿贷通”或“政采贷”平台网站查询，也可向“绿贷通”或“政采贷”平台电话咨询（“绿贷通”联系电话：0572-2392590、“政采贷”联系电话：0572-2151055、18698580797）。</w:t>
      </w:r>
    </w:p>
    <w:p>
      <w:pPr>
        <w:numPr>
          <w:ilvl w:val="0"/>
          <w:numId w:val="14"/>
        </w:numPr>
        <w:snapToGrid w:val="0"/>
        <w:spacing w:line="360" w:lineRule="auto"/>
        <w:jc w:val="center"/>
        <w:textAlignment w:val="baseline"/>
        <w:rPr>
          <w:rFonts w:ascii="微软雅黑" w:hAnsi="微软雅黑" w:eastAsia="微软雅黑" w:cs="微软雅黑"/>
          <w:b/>
          <w:sz w:val="32"/>
          <w:szCs w:val="32"/>
        </w:rPr>
      </w:pPr>
      <w:bookmarkStart w:id="76" w:name="_Toc36454322"/>
      <w:bookmarkStart w:id="77" w:name="_Toc36641146"/>
      <w:r>
        <w:rPr>
          <w:rFonts w:hint="eastAsia" w:ascii="微软雅黑" w:hAnsi="微软雅黑" w:eastAsia="微软雅黑" w:cs="微软雅黑"/>
          <w:b/>
          <w:sz w:val="32"/>
          <w:szCs w:val="32"/>
        </w:rPr>
        <w:t>质疑</w:t>
      </w:r>
      <w:bookmarkEnd w:id="76"/>
      <w:bookmarkEnd w:id="77"/>
    </w:p>
    <w:p>
      <w:pPr>
        <w:spacing w:line="380" w:lineRule="exact"/>
        <w:rPr>
          <w:rFonts w:ascii="微软雅黑" w:hAnsi="微软雅黑" w:eastAsia="微软雅黑" w:cs="微软雅黑"/>
          <w:b/>
          <w:sz w:val="24"/>
        </w:rPr>
      </w:pPr>
      <w:r>
        <w:rPr>
          <w:rFonts w:hint="eastAsia" w:ascii="微软雅黑" w:hAnsi="微软雅黑" w:eastAsia="微软雅黑" w:cs="微软雅黑"/>
          <w:b/>
          <w:sz w:val="24"/>
        </w:rPr>
        <w:t>38.质疑</w:t>
      </w:r>
    </w:p>
    <w:p>
      <w:pPr>
        <w:spacing w:line="380" w:lineRule="exact"/>
        <w:ind w:firstLine="499"/>
        <w:rPr>
          <w:rFonts w:ascii="微软雅黑" w:hAnsi="微软雅黑" w:eastAsia="微软雅黑" w:cs="微软雅黑"/>
          <w:sz w:val="24"/>
        </w:rPr>
      </w:pPr>
      <w:r>
        <w:rPr>
          <w:rFonts w:hint="eastAsia" w:ascii="微软雅黑" w:hAnsi="微软雅黑" w:eastAsia="微软雅黑" w:cs="微软雅黑"/>
          <w:sz w:val="24"/>
        </w:rPr>
        <w:t>38.1 供应商认为招标文件、采购过程、中标或者成交结果使自己的权益受到损害的，可以在知道或者应知其权益受到损害之日起7个工作日内，以书面形式向采购人或采购代理机构提出质疑。</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38.2对招标文件第二章招标需求的质疑由采购人接收并负责答复，其他质疑由采购代理机构接收并负责答复。</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38.3 供应商须在法定质疑期内一次性提出针对同一采购程序环节的质疑，否则采购人或采购代理机构有权拒绝第一次质疑以外其他所有质疑。</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38.4质疑人可以采取直接递交、传真或邮寄方式提交质疑函。以其他方式提出的质疑，采购人或采购代理机构将不予接受。</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以传真方式送达质疑函的，质疑人应当及时将质疑函原件送达采购人或采购代理机构。</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38.5质疑函须采用财政部发布的政府采购供应商质疑函范本</w:t>
      </w:r>
      <w:r>
        <w:rPr>
          <w:rFonts w:hint="eastAsia" w:ascii="微软雅黑" w:hAnsi="微软雅黑" w:eastAsia="微软雅黑" w:cs="微软雅黑"/>
          <w:snapToGrid w:val="0"/>
          <w:sz w:val="24"/>
        </w:rPr>
        <w:t>（参考样式可从</w:t>
      </w:r>
      <w:r>
        <w:rPr>
          <w:rFonts w:hint="eastAsia" w:ascii="微软雅黑" w:hAnsi="微软雅黑" w:eastAsia="微软雅黑" w:cs="微软雅黑"/>
          <w:kern w:val="0"/>
          <w:sz w:val="24"/>
        </w:rPr>
        <w:t>“湖州市公共资源交易信息网－&gt;资料下载－&gt;采购资料下载”栏目下载）</w:t>
      </w:r>
      <w:r>
        <w:rPr>
          <w:rFonts w:hint="eastAsia" w:ascii="微软雅黑" w:hAnsi="微软雅黑" w:eastAsia="微软雅黑" w:cs="微软雅黑"/>
          <w:sz w:val="24"/>
        </w:rPr>
        <w:t>，否则采购人或采购代理机构有权要求质疑人修改以后重新提出。</w:t>
      </w:r>
    </w:p>
    <w:p>
      <w:pPr>
        <w:rPr>
          <w:rFonts w:ascii="微软雅黑" w:hAnsi="微软雅黑" w:eastAsia="微软雅黑" w:cs="微软雅黑"/>
          <w:b/>
          <w:sz w:val="36"/>
          <w:szCs w:val="36"/>
        </w:rPr>
      </w:pPr>
    </w:p>
    <w:p>
      <w:pPr>
        <w:snapToGrid w:val="0"/>
        <w:spacing w:line="360" w:lineRule="auto"/>
        <w:jc w:val="center"/>
        <w:textAlignment w:val="baseline"/>
        <w:rPr>
          <w:rFonts w:ascii="微软雅黑" w:hAnsi="微软雅黑" w:eastAsia="微软雅黑" w:cs="微软雅黑"/>
          <w:b/>
          <w:sz w:val="36"/>
          <w:szCs w:val="36"/>
        </w:rPr>
        <w:sectPr>
          <w:footerReference r:id="rId8" w:type="default"/>
          <w:pgSz w:w="11906" w:h="16838"/>
          <w:pgMar w:top="1440" w:right="1800" w:bottom="1440" w:left="1800" w:header="851" w:footer="992" w:gutter="0"/>
          <w:pgNumType w:fmt="decimal"/>
          <w:cols w:space="720" w:num="1"/>
          <w:docGrid w:type="lines" w:linePitch="312" w:charSpace="0"/>
        </w:sectPr>
      </w:pPr>
    </w:p>
    <w:p>
      <w:pPr>
        <w:snapToGrid w:val="0"/>
        <w:spacing w:line="360" w:lineRule="auto"/>
        <w:jc w:val="center"/>
        <w:textAlignment w:val="baseline"/>
        <w:rPr>
          <w:rFonts w:ascii="微软雅黑" w:hAnsi="微软雅黑" w:eastAsia="微软雅黑" w:cs="微软雅黑"/>
          <w:b/>
          <w:sz w:val="36"/>
          <w:szCs w:val="36"/>
        </w:rPr>
      </w:pPr>
      <w:r>
        <w:rPr>
          <w:rFonts w:hint="eastAsia" w:ascii="微软雅黑" w:hAnsi="微软雅黑" w:eastAsia="微软雅黑" w:cs="微软雅黑"/>
          <w:b/>
          <w:sz w:val="36"/>
          <w:szCs w:val="36"/>
        </w:rPr>
        <w:t>第四章评标办法及评分标准</w:t>
      </w:r>
      <w:bookmarkEnd w:id="72"/>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为公正、公平、科学地选择中标人，根据《中华人民共和国政府采购法》、《政府采购货物和服务招投标管理办法》等有关法律法规的规定，并结合本项目的实际，制定本办法。</w:t>
      </w:r>
    </w:p>
    <w:p>
      <w:pPr>
        <w:snapToGrid w:val="0"/>
        <w:spacing w:line="400" w:lineRule="exact"/>
        <w:ind w:firstLine="480" w:firstLineChars="200"/>
        <w:textAlignment w:val="baseline"/>
        <w:rPr>
          <w:rFonts w:ascii="微软雅黑" w:hAnsi="微软雅黑" w:eastAsia="微软雅黑" w:cs="微软雅黑"/>
          <w:bCs/>
          <w:sz w:val="24"/>
          <w:szCs w:val="48"/>
        </w:rPr>
      </w:pPr>
      <w:r>
        <w:rPr>
          <w:rFonts w:hint="eastAsia" w:ascii="微软雅黑" w:hAnsi="微软雅黑" w:eastAsia="微软雅黑" w:cs="微软雅黑"/>
          <w:sz w:val="24"/>
        </w:rPr>
        <w:t>本办法适用于浙江省湖州生态环境监测中心的</w:t>
      </w:r>
      <w:r>
        <w:rPr>
          <w:rFonts w:hint="eastAsia" w:ascii="微软雅黑" w:hAnsi="微软雅黑" w:eastAsia="微软雅黑" w:cs="微软雅黑"/>
          <w:sz w:val="24"/>
          <w:u w:val="single" w:color="000000"/>
        </w:rPr>
        <w:t>浙江省环境质量自动监测智能化建设项目</w:t>
      </w:r>
      <w:r>
        <w:rPr>
          <w:rFonts w:hint="eastAsia" w:ascii="微软雅黑" w:hAnsi="微软雅黑" w:eastAsia="微软雅黑" w:cs="微软雅黑"/>
          <w:bCs/>
          <w:sz w:val="24"/>
          <w:szCs w:val="48"/>
        </w:rPr>
        <w:t>的评标。</w:t>
      </w:r>
    </w:p>
    <w:p>
      <w:pPr>
        <w:snapToGrid w:val="0"/>
        <w:spacing w:line="400" w:lineRule="exact"/>
        <w:ind w:firstLine="560" w:firstLineChars="200"/>
        <w:textAlignment w:val="baseline"/>
        <w:rPr>
          <w:rFonts w:ascii="微软雅黑" w:hAnsi="微软雅黑" w:eastAsia="微软雅黑" w:cs="微软雅黑"/>
          <w:b/>
          <w:sz w:val="20"/>
          <w:szCs w:val="28"/>
        </w:rPr>
      </w:pPr>
      <w:bookmarkStart w:id="78" w:name="_Toc23132"/>
      <w:r>
        <w:rPr>
          <w:rFonts w:hint="eastAsia" w:ascii="微软雅黑" w:hAnsi="微软雅黑" w:eastAsia="微软雅黑" w:cs="微软雅黑"/>
          <w:b/>
          <w:szCs w:val="28"/>
        </w:rPr>
        <w:t>一、总则</w:t>
      </w:r>
      <w:bookmarkEnd w:id="78"/>
    </w:p>
    <w:p>
      <w:pPr>
        <w:adjustRightInd w:val="0"/>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本次评标采用综合评分法，总分为</w:t>
      </w:r>
      <w:r>
        <w:rPr>
          <w:rFonts w:ascii="微软雅黑" w:hAnsi="微软雅黑" w:eastAsia="微软雅黑" w:cs="微软雅黑"/>
          <w:sz w:val="24"/>
        </w:rPr>
        <w:t>100</w:t>
      </w:r>
      <w:r>
        <w:rPr>
          <w:rFonts w:hint="eastAsia" w:ascii="微软雅黑" w:hAnsi="微软雅黑" w:eastAsia="微软雅黑" w:cs="微软雅黑"/>
          <w:sz w:val="24"/>
        </w:rPr>
        <w:t>分，其中价格分</w:t>
      </w:r>
      <w:r>
        <w:rPr>
          <w:rFonts w:ascii="微软雅黑" w:hAnsi="微软雅黑" w:eastAsia="微软雅黑" w:cs="微软雅黑"/>
          <w:sz w:val="24"/>
        </w:rPr>
        <w:t>30</w:t>
      </w:r>
      <w:r>
        <w:rPr>
          <w:rFonts w:hint="eastAsia" w:ascii="微软雅黑" w:hAnsi="微软雅黑" w:eastAsia="微软雅黑" w:cs="微软雅黑"/>
          <w:sz w:val="24"/>
        </w:rPr>
        <w:t>分；技术、商务、资信及其他</w:t>
      </w:r>
      <w:r>
        <w:rPr>
          <w:rFonts w:ascii="微软雅黑" w:hAnsi="微软雅黑" w:eastAsia="微软雅黑" w:cs="微软雅黑"/>
          <w:sz w:val="24"/>
        </w:rPr>
        <w:t>70</w:t>
      </w:r>
      <w:r>
        <w:rPr>
          <w:rFonts w:hint="eastAsia" w:ascii="微软雅黑" w:hAnsi="微软雅黑" w:eastAsia="微软雅黑" w:cs="微软雅黑"/>
          <w:sz w:val="24"/>
        </w:rPr>
        <w:t>分。合格投标人的评标得分为各项目汇总得分。评标结果按评审后得分由高到低顺序排列。得分相同的，按扣除后的投标报价由低到高顺序排序；按前款不能区分的，按投标报价由低至高顺序排序；按前款不能区分的，优先采购节能产品、环保产品；按前款不能区分的，按技术指标优劣排序；其他情况，由评标委员会投票处理。</w:t>
      </w:r>
    </w:p>
    <w:p>
      <w:pPr>
        <w:spacing w:line="400" w:lineRule="exact"/>
        <w:ind w:firstLine="480" w:firstLineChars="200"/>
        <w:jc w:val="left"/>
        <w:rPr>
          <w:rFonts w:ascii="微软雅黑" w:hAnsi="微软雅黑" w:eastAsia="微软雅黑" w:cs="微软雅黑"/>
          <w:sz w:val="24"/>
          <w:u w:val="single"/>
        </w:rPr>
      </w:pPr>
      <w:r>
        <w:rPr>
          <w:rFonts w:hint="eastAsia" w:ascii="微软雅黑" w:hAnsi="微软雅黑" w:eastAsia="微软雅黑" w:cs="微软雅黑"/>
          <w:sz w:val="24"/>
          <w:u w:val="single"/>
          <w:lang w:eastAsia="zh-TW"/>
        </w:rPr>
        <w:t>本项目共分</w:t>
      </w:r>
      <w:r>
        <w:rPr>
          <w:rFonts w:hint="eastAsia" w:ascii="微软雅黑" w:hAnsi="微软雅黑" w:eastAsia="微软雅黑" w:cs="微软雅黑"/>
          <w:sz w:val="24"/>
          <w:u w:val="single"/>
        </w:rPr>
        <w:t>三</w:t>
      </w:r>
      <w:r>
        <w:rPr>
          <w:rFonts w:hint="eastAsia" w:ascii="微软雅黑" w:hAnsi="微软雅黑" w:eastAsia="微软雅黑" w:cs="微软雅黑"/>
          <w:sz w:val="24"/>
          <w:u w:val="single"/>
          <w:lang w:eastAsia="zh-TW"/>
        </w:rPr>
        <w:t>个标段，按标项</w:t>
      </w:r>
      <w:r>
        <w:rPr>
          <w:rFonts w:ascii="微软雅黑" w:hAnsi="微软雅黑" w:eastAsia="微软雅黑" w:cs="微软雅黑"/>
          <w:sz w:val="24"/>
          <w:u w:val="single"/>
          <w:lang w:eastAsia="zh-TW"/>
        </w:rPr>
        <w:t>1</w:t>
      </w:r>
      <w:r>
        <w:rPr>
          <w:rFonts w:hint="eastAsia" w:ascii="微软雅黑" w:hAnsi="微软雅黑" w:eastAsia="微软雅黑" w:cs="微软雅黑"/>
          <w:sz w:val="24"/>
          <w:u w:val="single"/>
          <w:lang w:eastAsia="zh-TW"/>
        </w:rPr>
        <w:t>、标项</w:t>
      </w:r>
      <w:r>
        <w:rPr>
          <w:rFonts w:ascii="微软雅黑" w:hAnsi="微软雅黑" w:eastAsia="微软雅黑" w:cs="微软雅黑"/>
          <w:sz w:val="24"/>
          <w:u w:val="single"/>
          <w:lang w:eastAsia="zh-TW"/>
        </w:rPr>
        <w:t>2</w:t>
      </w:r>
      <w:r>
        <w:rPr>
          <w:rFonts w:hint="eastAsia" w:ascii="微软雅黑" w:hAnsi="微软雅黑" w:eastAsia="微软雅黑" w:cs="微软雅黑"/>
          <w:sz w:val="24"/>
          <w:u w:val="single"/>
          <w:lang w:eastAsia="zh-TW"/>
        </w:rPr>
        <w:t>、</w:t>
      </w:r>
      <w:r>
        <w:rPr>
          <w:rFonts w:hint="eastAsia" w:ascii="微软雅黑" w:hAnsi="微软雅黑" w:eastAsia="微软雅黑" w:cs="微软雅黑"/>
          <w:sz w:val="24"/>
          <w:u w:val="single"/>
        </w:rPr>
        <w:t>标项3</w:t>
      </w:r>
      <w:r>
        <w:rPr>
          <w:rFonts w:hint="eastAsia" w:ascii="微软雅黑" w:hAnsi="微软雅黑" w:eastAsia="微软雅黑" w:cs="微软雅黑"/>
          <w:sz w:val="24"/>
          <w:u w:val="single"/>
          <w:lang w:eastAsia="zh-TW"/>
        </w:rPr>
        <w:t>标段顺序开标、评标，采取兼投不兼中原则，投标人可以参加所有标段的投标，但同一投标人不得兼中，当该投标人在多个标项中同时得分最高时，则按照标项顺序进行中标，且该投标人在其所投剩余标项中，只参加评审、不参加排序（排序为空）和推荐中标。评标委员会将按标项顺序进行评审，根据详细评审后的综合评分排序为招标人推荐各标段排名第一的供应商为中标候选人。已被推荐为排序在前的标段的第一中标候选人将不再作为后续各标的推荐中标候选人，按综合评分排序由后续投标人依次递补。</w:t>
      </w:r>
    </w:p>
    <w:p>
      <w:pPr>
        <w:adjustRightInd w:val="0"/>
        <w:snapToGrid w:val="0"/>
        <w:spacing w:line="40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特别说明：同一品牌产品</w:t>
      </w:r>
    </w:p>
    <w:p>
      <w:pPr>
        <w:numPr>
          <w:ilvl w:val="0"/>
          <w:numId w:val="17"/>
        </w:numPr>
        <w:adjustRightInd w:val="0"/>
        <w:snapToGrid w:val="0"/>
        <w:rPr>
          <w:rFonts w:ascii="微软雅黑" w:hAnsi="微软雅黑" w:eastAsia="微软雅黑" w:cs="微软雅黑"/>
          <w:b/>
          <w:bCs/>
          <w:sz w:val="24"/>
          <w:szCs w:val="20"/>
        </w:rPr>
      </w:pPr>
      <w:r>
        <w:rPr>
          <w:rFonts w:hint="eastAsia" w:ascii="微软雅黑" w:hAnsi="微软雅黑" w:eastAsia="微软雅黑" w:cs="微软雅黑"/>
          <w:b/>
          <w:bCs/>
          <w:sz w:val="24"/>
          <w:szCs w:val="20"/>
        </w:rPr>
        <w:t>通过资格审查、符合性审查的不同品牌投标人不足3家的，按照</w:t>
      </w:r>
      <w:r>
        <w:rPr>
          <w:rFonts w:hint="eastAsia" w:ascii="微软雅黑" w:hAnsi="微软雅黑" w:eastAsia="微软雅黑" w:cs="微软雅黑"/>
          <w:b/>
          <w:bCs/>
          <w:kern w:val="0"/>
          <w:sz w:val="24"/>
          <w:szCs w:val="20"/>
        </w:rPr>
        <w:t>投标人须知28条第（1）款</w:t>
      </w:r>
      <w:r>
        <w:rPr>
          <w:rFonts w:hint="eastAsia" w:ascii="微软雅黑" w:hAnsi="微软雅黑" w:eastAsia="微软雅黑" w:cs="微软雅黑"/>
          <w:b/>
          <w:bCs/>
          <w:sz w:val="24"/>
          <w:szCs w:val="20"/>
        </w:rPr>
        <w:t>执行</w:t>
      </w:r>
      <w:r>
        <w:rPr>
          <w:rFonts w:hint="eastAsia" w:ascii="微软雅黑" w:hAnsi="微软雅黑" w:eastAsia="微软雅黑" w:cs="微软雅黑"/>
          <w:b/>
          <w:bCs/>
          <w:kern w:val="0"/>
          <w:sz w:val="24"/>
          <w:szCs w:val="20"/>
        </w:rPr>
        <w:t>。</w:t>
      </w:r>
    </w:p>
    <w:p>
      <w:pPr>
        <w:numPr>
          <w:ilvl w:val="0"/>
          <w:numId w:val="17"/>
        </w:numPr>
        <w:adjustRightInd w:val="0"/>
        <w:snapToGrid w:val="0"/>
        <w:rPr>
          <w:rFonts w:ascii="微软雅黑" w:hAnsi="微软雅黑" w:eastAsia="微软雅黑" w:cs="微软雅黑"/>
          <w:b/>
          <w:bCs/>
          <w:sz w:val="24"/>
          <w:szCs w:val="20"/>
        </w:rPr>
      </w:pPr>
      <w:r>
        <w:rPr>
          <w:rFonts w:hint="eastAsia" w:ascii="微软雅黑" w:hAnsi="微软雅黑" w:eastAsia="微软雅黑" w:cs="微软雅黑"/>
          <w:b/>
          <w:bCs/>
          <w:sz w:val="24"/>
          <w:szCs w:val="20"/>
        </w:rPr>
        <w:t>提供相同品牌产品且通过资格审查、符合性审查的不同投标人，按一家投标人计算。</w:t>
      </w:r>
    </w:p>
    <w:p>
      <w:pPr>
        <w:numPr>
          <w:ilvl w:val="0"/>
          <w:numId w:val="17"/>
        </w:numPr>
        <w:adjustRightInd w:val="0"/>
        <w:snapToGrid w:val="0"/>
        <w:rPr>
          <w:rFonts w:ascii="微软雅黑" w:hAnsi="微软雅黑" w:eastAsia="微软雅黑" w:cs="微软雅黑"/>
          <w:b/>
          <w:bCs/>
          <w:sz w:val="24"/>
          <w:szCs w:val="20"/>
        </w:rPr>
      </w:pPr>
      <w:r>
        <w:rPr>
          <w:rFonts w:hint="eastAsia" w:ascii="微软雅黑" w:hAnsi="微软雅黑" w:eastAsia="微软雅黑" w:cs="微软雅黑"/>
          <w:b/>
          <w:bCs/>
          <w:sz w:val="24"/>
          <w:szCs w:val="20"/>
        </w:rPr>
        <w:t>招标文件中载明各标项核心产品，多家投标人提供的核心产品品牌相同的，按如下方式处理：</w:t>
      </w:r>
    </w:p>
    <w:p>
      <w:pPr>
        <w:adjustRightInd w:val="0"/>
        <w:snapToGrid w:val="0"/>
        <w:ind w:left="400" w:firstLine="480" w:firstLineChars="200"/>
        <w:rPr>
          <w:rFonts w:ascii="微软雅黑" w:hAnsi="微软雅黑" w:eastAsia="微软雅黑" w:cs="微软雅黑"/>
          <w:b/>
          <w:bCs/>
          <w:sz w:val="24"/>
          <w:szCs w:val="20"/>
        </w:rPr>
      </w:pPr>
      <w:r>
        <w:rPr>
          <w:rFonts w:hint="eastAsia" w:ascii="微软雅黑" w:hAnsi="微软雅黑" w:eastAsia="微软雅黑" w:cs="微软雅黑"/>
          <w:b/>
          <w:bCs/>
          <w:sz w:val="24"/>
          <w:szCs w:val="20"/>
        </w:rPr>
        <w:t>本项目使用综合评分法，评审后得分最高的同品牌投标人获得中标人推荐资格；评审得分相同的，按扣除后的投标报价由低到高顺序排序；按前款不能区分的，按投标报价由低至高顺序排序；按前款不能区分的，优先采购节能产品、环保产品；按前款不能区分的，按技术指标优劣排序；其他情况，由评标委员会投票处理，其他同品牌投标人不作为中标候选人。</w:t>
      </w:r>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评分过程中采用四舍五入法，并保留小数</w:t>
      </w:r>
      <w:r>
        <w:rPr>
          <w:rFonts w:ascii="微软雅黑" w:hAnsi="微软雅黑" w:eastAsia="微软雅黑" w:cs="微软雅黑"/>
          <w:sz w:val="24"/>
        </w:rPr>
        <w:t>2</w:t>
      </w:r>
      <w:r>
        <w:rPr>
          <w:rFonts w:hint="eastAsia" w:ascii="微软雅黑" w:hAnsi="微软雅黑" w:eastAsia="微软雅黑" w:cs="微软雅黑"/>
          <w:sz w:val="24"/>
        </w:rPr>
        <w:t>位。</w:t>
      </w:r>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投标人评标综合得分</w:t>
      </w:r>
      <w:r>
        <w:rPr>
          <w:rFonts w:ascii="微软雅黑" w:hAnsi="微软雅黑" w:eastAsia="微软雅黑" w:cs="微软雅黑"/>
          <w:sz w:val="24"/>
        </w:rPr>
        <w:t>=</w:t>
      </w:r>
      <w:r>
        <w:rPr>
          <w:rFonts w:hint="eastAsia" w:ascii="微软雅黑" w:hAnsi="微软雅黑" w:eastAsia="微软雅黑" w:cs="微软雅黑"/>
          <w:sz w:val="24"/>
        </w:rPr>
        <w:t>价格分</w:t>
      </w:r>
      <w:r>
        <w:rPr>
          <w:rFonts w:ascii="微软雅黑" w:hAnsi="微软雅黑" w:eastAsia="微软雅黑" w:cs="微软雅黑"/>
          <w:sz w:val="24"/>
        </w:rPr>
        <w:t>+</w:t>
      </w:r>
      <w:r>
        <w:rPr>
          <w:rFonts w:hint="eastAsia" w:ascii="微软雅黑" w:hAnsi="微软雅黑" w:eastAsia="微软雅黑" w:cs="微软雅黑"/>
          <w:sz w:val="24"/>
        </w:rPr>
        <w:t>技术、商务资信及其他分</w:t>
      </w:r>
    </w:p>
    <w:p>
      <w:pPr>
        <w:numPr>
          <w:ilvl w:val="0"/>
          <w:numId w:val="18"/>
        </w:numPr>
        <w:snapToGrid w:val="0"/>
        <w:spacing w:line="360" w:lineRule="auto"/>
        <w:ind w:firstLine="560" w:firstLineChars="200"/>
        <w:textAlignment w:val="baseline"/>
        <w:rPr>
          <w:rFonts w:ascii="微软雅黑" w:hAnsi="微软雅黑" w:eastAsia="微软雅黑" w:cs="微软雅黑"/>
          <w:b/>
          <w:szCs w:val="28"/>
        </w:rPr>
      </w:pPr>
      <w:bookmarkStart w:id="79" w:name="_Toc25886"/>
      <w:r>
        <w:rPr>
          <w:rFonts w:hint="eastAsia" w:ascii="微软雅黑" w:hAnsi="微软雅黑" w:eastAsia="微软雅黑" w:cs="微软雅黑"/>
          <w:b/>
          <w:szCs w:val="28"/>
        </w:rPr>
        <w:t>评标内容及标准</w:t>
      </w:r>
      <w:bookmarkEnd w:id="79"/>
    </w:p>
    <w:p>
      <w:pPr>
        <w:pStyle w:val="3"/>
        <w:snapToGrid w:val="0"/>
        <w:spacing w:line="360" w:lineRule="auto"/>
        <w:ind w:firstLine="480" w:firstLineChars="200"/>
        <w:textAlignment w:val="baseline"/>
        <w:rPr>
          <w:rFonts w:ascii="微软雅黑" w:hAnsi="微软雅黑" w:eastAsia="微软雅黑" w:cs="微软雅黑"/>
          <w:b/>
          <w:bCs/>
          <w:sz w:val="24"/>
        </w:rPr>
      </w:pPr>
      <w:r>
        <w:rPr>
          <w:rFonts w:hint="eastAsia" w:ascii="微软雅黑" w:hAnsi="微软雅黑" w:eastAsia="微软雅黑" w:cs="微软雅黑"/>
          <w:b/>
          <w:sz w:val="24"/>
        </w:rPr>
        <w:t>（一）</w:t>
      </w:r>
      <w:r>
        <w:rPr>
          <w:rFonts w:hint="eastAsia" w:ascii="微软雅黑" w:hAnsi="微软雅黑" w:eastAsia="微软雅黑" w:cs="微软雅黑"/>
          <w:b/>
          <w:bCs/>
          <w:sz w:val="24"/>
        </w:rPr>
        <w:t>价格分（</w:t>
      </w:r>
      <w:r>
        <w:rPr>
          <w:rFonts w:ascii="微软雅黑" w:hAnsi="微软雅黑" w:eastAsia="微软雅黑" w:cs="微软雅黑"/>
          <w:b/>
          <w:bCs/>
          <w:sz w:val="24"/>
        </w:rPr>
        <w:t>30</w:t>
      </w:r>
      <w:r>
        <w:rPr>
          <w:rFonts w:hint="eastAsia" w:ascii="微软雅黑" w:hAnsi="微软雅黑" w:eastAsia="微软雅黑" w:cs="微软雅黑"/>
          <w:b/>
          <w:bCs/>
          <w:sz w:val="24"/>
        </w:rPr>
        <w:t>分）</w:t>
      </w:r>
      <w:r>
        <w:rPr>
          <w:rFonts w:hint="eastAsia" w:ascii="微软雅黑" w:hAnsi="微软雅黑" w:eastAsia="微软雅黑" w:cs="微软雅黑"/>
          <w:b/>
          <w:sz w:val="24"/>
        </w:rPr>
        <w:t>；</w:t>
      </w:r>
    </w:p>
    <w:p>
      <w:pPr>
        <w:snapToGrid w:val="0"/>
        <w:spacing w:line="400" w:lineRule="exact"/>
        <w:ind w:firstLine="536" w:firstLineChars="200"/>
        <w:jc w:val="left"/>
        <w:textAlignment w:val="baseline"/>
        <w:rPr>
          <w:rFonts w:ascii="微软雅黑" w:hAnsi="微软雅黑" w:eastAsia="微软雅黑" w:cs="微软雅黑"/>
          <w:spacing w:val="14"/>
          <w:sz w:val="24"/>
        </w:rPr>
      </w:pPr>
      <w:r>
        <w:rPr>
          <w:rFonts w:ascii="微软雅黑" w:hAnsi="微软雅黑" w:eastAsia="微软雅黑" w:cs="微软雅黑"/>
          <w:b/>
          <w:spacing w:val="14"/>
          <w:sz w:val="24"/>
        </w:rPr>
        <w:t>1.1</w:t>
      </w:r>
      <w:r>
        <w:rPr>
          <w:rFonts w:hint="eastAsia" w:ascii="微软雅黑" w:hAnsi="微软雅黑" w:eastAsia="微软雅黑" w:cs="微软雅黑"/>
          <w:spacing w:val="14"/>
          <w:sz w:val="24"/>
        </w:rPr>
        <w:t>以有效投标价格最低的投标报价为评标基准价，其价格分为</w:t>
      </w:r>
      <w:r>
        <w:rPr>
          <w:rFonts w:ascii="微软雅黑" w:hAnsi="微软雅黑" w:eastAsia="微软雅黑" w:cs="微软雅黑"/>
          <w:spacing w:val="14"/>
          <w:sz w:val="24"/>
        </w:rPr>
        <w:t>30</w:t>
      </w:r>
      <w:r>
        <w:rPr>
          <w:rFonts w:hint="eastAsia" w:ascii="微软雅黑" w:hAnsi="微软雅黑" w:eastAsia="微软雅黑" w:cs="微软雅黑"/>
          <w:spacing w:val="14"/>
          <w:sz w:val="24"/>
        </w:rPr>
        <w:t>分。其他投标人的报价分按照下列公式计算：</w:t>
      </w:r>
    </w:p>
    <w:p>
      <w:pPr>
        <w:snapToGrid w:val="0"/>
        <w:spacing w:line="400" w:lineRule="exact"/>
        <w:ind w:firstLine="536" w:firstLineChars="200"/>
        <w:jc w:val="left"/>
        <w:textAlignment w:val="baseline"/>
        <w:rPr>
          <w:rFonts w:ascii="微软雅黑" w:hAnsi="微软雅黑" w:eastAsia="微软雅黑" w:cs="微软雅黑"/>
          <w:b/>
          <w:bCs/>
          <w:spacing w:val="14"/>
          <w:sz w:val="24"/>
        </w:rPr>
      </w:pPr>
      <w:r>
        <w:rPr>
          <w:rFonts w:hint="eastAsia" w:ascii="微软雅黑" w:hAnsi="微软雅黑" w:eastAsia="微软雅黑" w:cs="微软雅黑"/>
          <w:b/>
          <w:bCs/>
          <w:spacing w:val="14"/>
          <w:sz w:val="24"/>
        </w:rPr>
        <w:t>投标报价得分</w:t>
      </w:r>
      <w:r>
        <w:rPr>
          <w:rFonts w:ascii="微软雅黑" w:hAnsi="微软雅黑" w:eastAsia="微软雅黑" w:cs="微软雅黑"/>
          <w:b/>
          <w:bCs/>
          <w:spacing w:val="14"/>
          <w:sz w:val="24"/>
        </w:rPr>
        <w:t>=</w:t>
      </w:r>
      <w:r>
        <w:rPr>
          <w:rFonts w:hint="eastAsia" w:ascii="微软雅黑" w:hAnsi="微软雅黑" w:eastAsia="微软雅黑" w:cs="微软雅黑"/>
          <w:b/>
          <w:bCs/>
          <w:spacing w:val="14"/>
          <w:sz w:val="24"/>
        </w:rPr>
        <w:t>（评标基准价</w:t>
      </w:r>
      <w:r>
        <w:rPr>
          <w:rFonts w:ascii="微软雅黑" w:hAnsi="微软雅黑" w:eastAsia="微软雅黑" w:cs="微软雅黑"/>
          <w:b/>
          <w:bCs/>
          <w:spacing w:val="14"/>
          <w:sz w:val="24"/>
        </w:rPr>
        <w:t>/</w:t>
      </w:r>
      <w:r>
        <w:rPr>
          <w:rFonts w:hint="eastAsia" w:ascii="微软雅黑" w:hAnsi="微软雅黑" w:eastAsia="微软雅黑" w:cs="微软雅黑"/>
          <w:b/>
          <w:bCs/>
          <w:spacing w:val="14"/>
          <w:sz w:val="24"/>
        </w:rPr>
        <w:t>投标报价）×</w:t>
      </w:r>
      <w:r>
        <w:rPr>
          <w:rFonts w:ascii="微软雅黑" w:hAnsi="微软雅黑" w:eastAsia="微软雅黑" w:cs="微软雅黑"/>
          <w:b/>
          <w:bCs/>
          <w:spacing w:val="14"/>
          <w:sz w:val="24"/>
        </w:rPr>
        <w:t>30%</w:t>
      </w:r>
      <w:r>
        <w:rPr>
          <w:rFonts w:hint="eastAsia" w:ascii="微软雅黑" w:hAnsi="微软雅黑" w:eastAsia="微软雅黑" w:cs="微软雅黑"/>
          <w:b/>
          <w:bCs/>
          <w:spacing w:val="14"/>
          <w:sz w:val="24"/>
        </w:rPr>
        <w:t>×</w:t>
      </w:r>
      <w:r>
        <w:rPr>
          <w:rFonts w:ascii="微软雅黑" w:hAnsi="微软雅黑" w:eastAsia="微软雅黑" w:cs="微软雅黑"/>
          <w:b/>
          <w:bCs/>
          <w:spacing w:val="14"/>
          <w:sz w:val="24"/>
        </w:rPr>
        <w:t>100</w:t>
      </w:r>
    </w:p>
    <w:p>
      <w:pPr>
        <w:snapToGrid w:val="0"/>
        <w:spacing w:line="400" w:lineRule="exact"/>
        <w:ind w:firstLine="480" w:firstLineChars="200"/>
        <w:textAlignment w:val="baseline"/>
        <w:rPr>
          <w:rFonts w:ascii="微软雅黑" w:hAnsi="微软雅黑" w:eastAsia="微软雅黑" w:cs="微软雅黑"/>
          <w:sz w:val="24"/>
        </w:rPr>
      </w:pPr>
      <w:r>
        <w:rPr>
          <w:rFonts w:ascii="微软雅黑" w:hAnsi="微软雅黑" w:eastAsia="微软雅黑" w:cs="微软雅黑"/>
          <w:sz w:val="24"/>
        </w:rPr>
        <w:t>1.2</w:t>
      </w:r>
      <w:r>
        <w:rPr>
          <w:rFonts w:hint="eastAsia" w:ascii="微软雅黑" w:hAnsi="微软雅黑" w:eastAsia="微软雅黑" w:cs="微软雅黑"/>
          <w:sz w:val="24"/>
        </w:rPr>
        <w:t>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二分之一以上的评委认为供应商报价明显高于市场平均价的将作为无效投标处理；</w:t>
      </w:r>
    </w:p>
    <w:p>
      <w:pPr>
        <w:snapToGrid w:val="0"/>
        <w:spacing w:line="400" w:lineRule="exact"/>
        <w:ind w:firstLine="480" w:firstLineChars="200"/>
        <w:textAlignment w:val="baseline"/>
        <w:rPr>
          <w:rFonts w:ascii="微软雅黑" w:hAnsi="微软雅黑" w:eastAsia="微软雅黑" w:cs="微软雅黑"/>
          <w:b/>
          <w:bCs/>
          <w:sz w:val="24"/>
        </w:rPr>
      </w:pPr>
      <w:r>
        <w:rPr>
          <w:rFonts w:ascii="微软雅黑" w:hAnsi="微软雅黑" w:eastAsia="微软雅黑" w:cs="微软雅黑"/>
          <w:sz w:val="24"/>
        </w:rPr>
        <w:t>1.3</w:t>
      </w:r>
      <w:r>
        <w:rPr>
          <w:rFonts w:hint="eastAsia" w:ascii="微软雅黑" w:hAnsi="微软雅黑" w:eastAsia="微软雅黑" w:cs="微软雅黑"/>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80" w:firstLineChars="200"/>
        <w:textAlignment w:val="baseline"/>
        <w:rPr>
          <w:rFonts w:ascii="微软雅黑" w:hAnsi="微软雅黑" w:eastAsia="微软雅黑" w:cs="微软雅黑"/>
          <w:b/>
          <w:bCs/>
          <w:sz w:val="24"/>
        </w:rPr>
      </w:pPr>
      <w:r>
        <w:rPr>
          <w:rFonts w:ascii="微软雅黑" w:hAnsi="微软雅黑" w:eastAsia="微软雅黑" w:cs="微软雅黑"/>
          <w:b/>
          <w:bCs/>
          <w:sz w:val="24"/>
        </w:rPr>
        <w:t>1.4</w:t>
      </w:r>
      <w:r>
        <w:rPr>
          <w:rFonts w:hint="eastAsia" w:ascii="微软雅黑" w:hAnsi="微软雅黑" w:eastAsia="微软雅黑" w:cs="微软雅黑"/>
          <w:b/>
          <w:bCs/>
          <w:sz w:val="24"/>
        </w:rPr>
        <w:t>价格计算扣除：</w:t>
      </w:r>
    </w:p>
    <w:p>
      <w:pPr>
        <w:pStyle w:val="28"/>
        <w:snapToGrid w:val="0"/>
        <w:spacing w:line="400" w:lineRule="exact"/>
        <w:ind w:firstLine="480"/>
        <w:textAlignment w:val="baseline"/>
        <w:rPr>
          <w:rFonts w:ascii="微软雅黑" w:hAnsi="微软雅黑" w:eastAsia="微软雅黑" w:cs="微软雅黑"/>
          <w:bCs/>
          <w:sz w:val="24"/>
          <w:szCs w:val="24"/>
        </w:rPr>
      </w:pPr>
      <w:r>
        <w:rPr>
          <w:rFonts w:ascii="微软雅黑" w:hAnsi="微软雅黑" w:eastAsia="微软雅黑" w:cs="微软雅黑"/>
          <w:bCs/>
          <w:sz w:val="24"/>
          <w:szCs w:val="24"/>
        </w:rPr>
        <w:t>1.4.1</w:t>
      </w:r>
      <w:r>
        <w:rPr>
          <w:rFonts w:hint="eastAsia" w:ascii="微软雅黑" w:hAnsi="微软雅黑" w:eastAsia="微软雅黑" w:cs="微软雅黑"/>
          <w:bCs/>
          <w:sz w:val="24"/>
          <w:szCs w:val="24"/>
        </w:rPr>
        <w:t>根据规定，在评审时对小型和微型企业的投标报价给予20</w:t>
      </w:r>
      <w:r>
        <w:rPr>
          <w:rFonts w:ascii="微软雅黑" w:hAnsi="微软雅黑" w:eastAsia="微软雅黑" w:cs="微软雅黑"/>
          <w:bCs/>
          <w:sz w:val="24"/>
          <w:szCs w:val="24"/>
        </w:rPr>
        <w:t>%</w:t>
      </w:r>
      <w:r>
        <w:rPr>
          <w:rFonts w:hint="eastAsia" w:ascii="微软雅黑" w:hAnsi="微软雅黑" w:eastAsia="微软雅黑" w:cs="微软雅黑"/>
          <w:bCs/>
          <w:sz w:val="24"/>
          <w:szCs w:val="24"/>
        </w:rPr>
        <w:t>的扣除，取扣除后的价格作为最终投标报价（此最终投标报价仅作为价格分计算）。属于小型和微型企业的，投标文件中投标人必须提供的《中小企业声明函》。</w:t>
      </w:r>
    </w:p>
    <w:p>
      <w:pPr>
        <w:pStyle w:val="28"/>
        <w:snapToGrid w:val="0"/>
        <w:spacing w:line="400" w:lineRule="exact"/>
        <w:ind w:firstLine="480"/>
        <w:textAlignment w:val="baseline"/>
        <w:rPr>
          <w:rFonts w:ascii="微软雅黑" w:hAnsi="微软雅黑" w:eastAsia="微软雅黑" w:cs="微软雅黑"/>
          <w:b/>
          <w:sz w:val="24"/>
          <w:szCs w:val="24"/>
          <w:u w:val="single"/>
        </w:rPr>
      </w:pPr>
      <w:r>
        <w:rPr>
          <w:rFonts w:hint="eastAsia" w:ascii="微软雅黑" w:hAnsi="微软雅黑" w:eastAsia="微软雅黑" w:cs="微软雅黑"/>
          <w:b/>
          <w:sz w:val="24"/>
          <w:szCs w:val="24"/>
          <w:u w:val="single"/>
        </w:rPr>
        <w:t>本项目属性：货物类。本项目对应的中小企业划分标准所属行业：工业。</w:t>
      </w:r>
    </w:p>
    <w:p>
      <w:pPr>
        <w:pStyle w:val="28"/>
        <w:snapToGrid w:val="0"/>
        <w:spacing w:line="400" w:lineRule="exact"/>
        <w:ind w:firstLine="480"/>
        <w:textAlignment w:val="baseline"/>
        <w:rPr>
          <w:rFonts w:ascii="微软雅黑" w:hAnsi="微软雅黑" w:eastAsia="微软雅黑" w:cs="微软雅黑"/>
          <w:bCs/>
          <w:sz w:val="24"/>
          <w:szCs w:val="24"/>
        </w:rPr>
      </w:pPr>
      <w:r>
        <w:rPr>
          <w:rFonts w:hint="eastAsia" w:ascii="微软雅黑" w:hAnsi="微软雅黑" w:eastAsia="微软雅黑" w:cs="微软雅黑"/>
          <w:bCs/>
          <w:sz w:val="24"/>
          <w:szCs w:val="24"/>
        </w:rPr>
        <w:t>特别说明：</w:t>
      </w:r>
      <w:r>
        <w:rPr>
          <w:rFonts w:hint="eastAsia" w:ascii="微软雅黑" w:hAnsi="微软雅黑" w:eastAsia="微软雅黑" w:cs="微软雅黑"/>
          <w:kern w:val="0"/>
          <w:sz w:val="24"/>
        </w:rPr>
        <w:t>按照《政府采购促进中小企业发展管理办法》（财库〔</w:t>
      </w:r>
      <w:r>
        <w:rPr>
          <w:rFonts w:ascii="微软雅黑" w:hAnsi="微软雅黑" w:eastAsia="微软雅黑" w:cs="微软雅黑"/>
          <w:kern w:val="0"/>
          <w:sz w:val="24"/>
        </w:rPr>
        <w:t>2020</w:t>
      </w:r>
      <w:r>
        <w:rPr>
          <w:rFonts w:hint="eastAsia" w:ascii="微软雅黑" w:hAnsi="微软雅黑" w:eastAsia="微软雅黑" w:cs="微软雅黑"/>
          <w:kern w:val="0"/>
          <w:sz w:val="24"/>
        </w:rPr>
        <w:t>〕</w:t>
      </w:r>
      <w:r>
        <w:rPr>
          <w:rFonts w:ascii="微软雅黑" w:hAnsi="微软雅黑" w:eastAsia="微软雅黑" w:cs="微软雅黑"/>
          <w:kern w:val="0"/>
          <w:sz w:val="24"/>
        </w:rPr>
        <w:t>46</w:t>
      </w:r>
      <w:r>
        <w:rPr>
          <w:rFonts w:hint="eastAsia" w:ascii="微软雅黑" w:hAnsi="微软雅黑" w:eastAsia="微软雅黑" w:cs="微软雅黑"/>
          <w:kern w:val="0"/>
          <w:sz w:val="24"/>
        </w:rPr>
        <w:t>号，以下称《办法》）规定，在货物采购项目中，货物由中小企业制造（货物由中小企业生产且使用该中小企业商号或者注册商标）的，可享受中小企业扶持政策。如果一个采购项目或采购包含有多个采购标的的，则每个采购标的均应由中小企业制造。</w:t>
      </w:r>
    </w:p>
    <w:p>
      <w:pPr>
        <w:pStyle w:val="28"/>
        <w:snapToGrid w:val="0"/>
        <w:spacing w:line="400" w:lineRule="exact"/>
        <w:ind w:firstLine="480"/>
        <w:textAlignment w:val="baseline"/>
        <w:rPr>
          <w:rFonts w:ascii="微软雅黑" w:hAnsi="微软雅黑" w:eastAsia="微软雅黑" w:cs="微软雅黑"/>
          <w:bCs/>
          <w:sz w:val="24"/>
          <w:szCs w:val="24"/>
        </w:rPr>
      </w:pPr>
      <w:r>
        <w:rPr>
          <w:rFonts w:ascii="微软雅黑" w:hAnsi="微软雅黑" w:eastAsia="微软雅黑" w:cs="微软雅黑"/>
          <w:bCs/>
          <w:sz w:val="24"/>
          <w:szCs w:val="24"/>
        </w:rPr>
        <w:t>1.4.2</w:t>
      </w:r>
      <w:r>
        <w:rPr>
          <w:rFonts w:hint="eastAsia" w:ascii="微软雅黑" w:hAnsi="微软雅黑" w:eastAsia="微软雅黑" w:cs="微软雅黑"/>
          <w:bCs/>
          <w:sz w:val="24"/>
          <w:szCs w:val="24"/>
        </w:rPr>
        <w:t>根据规定，在政府采购活动中，残疾人福利性单位视同小型、微型企业，享受评审中价格扣除政策。属于享受政府采购支持政策的残疾人福利性单位，应满足财库</w:t>
      </w:r>
      <w:r>
        <w:rPr>
          <w:rFonts w:ascii="微软雅黑" w:hAnsi="微软雅黑" w:eastAsia="微软雅黑" w:cs="微软雅黑"/>
          <w:bCs/>
          <w:sz w:val="24"/>
          <w:szCs w:val="24"/>
        </w:rPr>
        <w:t>[2017]141</w:t>
      </w:r>
      <w:r>
        <w:rPr>
          <w:rFonts w:hint="eastAsia" w:ascii="微软雅黑" w:hAnsi="微软雅黑" w:eastAsia="微软雅黑" w:cs="微软雅黑"/>
          <w:bCs/>
          <w:sz w:val="24"/>
          <w:szCs w:val="24"/>
        </w:rPr>
        <w:t>号文件第一条的规定，并在投标文件中提供残疾人福利性单位声明函（见附件）。</w:t>
      </w:r>
    </w:p>
    <w:p>
      <w:pPr>
        <w:pStyle w:val="28"/>
        <w:snapToGrid w:val="0"/>
        <w:spacing w:line="400" w:lineRule="exact"/>
        <w:ind w:firstLine="480"/>
        <w:textAlignment w:val="baseline"/>
        <w:rPr>
          <w:rFonts w:ascii="微软雅黑" w:hAnsi="微软雅黑" w:eastAsia="微软雅黑" w:cs="微软雅黑"/>
          <w:bCs/>
          <w:sz w:val="24"/>
          <w:szCs w:val="24"/>
        </w:rPr>
      </w:pPr>
      <w:r>
        <w:rPr>
          <w:rFonts w:ascii="微软雅黑" w:hAnsi="微软雅黑" w:eastAsia="微软雅黑" w:cs="微软雅黑"/>
          <w:bCs/>
          <w:sz w:val="24"/>
          <w:szCs w:val="24"/>
        </w:rPr>
        <w:t>1.4.3</w:t>
      </w:r>
      <w:r>
        <w:rPr>
          <w:rFonts w:hint="eastAsia" w:ascii="微软雅黑" w:hAnsi="微软雅黑" w:eastAsia="微软雅黑" w:cs="微软雅黑"/>
          <w:bCs/>
          <w:sz w:val="24"/>
          <w:szCs w:val="24"/>
        </w:rPr>
        <w:t>根据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28"/>
        <w:snapToGrid w:val="0"/>
        <w:spacing w:line="400" w:lineRule="exact"/>
        <w:ind w:firstLine="480"/>
        <w:textAlignment w:val="baseline"/>
        <w:rPr>
          <w:rFonts w:ascii="微软雅黑" w:hAnsi="微软雅黑" w:eastAsia="微软雅黑" w:cs="微软雅黑"/>
          <w:bCs/>
          <w:sz w:val="24"/>
          <w:szCs w:val="24"/>
        </w:rPr>
      </w:pPr>
      <w:r>
        <w:rPr>
          <w:rFonts w:hint="eastAsia" w:ascii="微软雅黑" w:hAnsi="微软雅黑" w:eastAsia="微软雅黑" w:cs="微软雅黑"/>
          <w:bCs/>
          <w:sz w:val="24"/>
          <w:szCs w:val="24"/>
        </w:rPr>
        <w:t>上述计算扣除不累计计算，最高扣除20</w:t>
      </w:r>
      <w:r>
        <w:rPr>
          <w:rFonts w:ascii="微软雅黑" w:hAnsi="微软雅黑" w:eastAsia="微软雅黑" w:cs="微软雅黑"/>
          <w:bCs/>
          <w:sz w:val="24"/>
          <w:szCs w:val="24"/>
        </w:rPr>
        <w:t>%</w:t>
      </w:r>
      <w:r>
        <w:rPr>
          <w:rFonts w:hint="eastAsia" w:ascii="微软雅黑" w:hAnsi="微软雅黑" w:eastAsia="微软雅黑" w:cs="微软雅黑"/>
          <w:bCs/>
          <w:sz w:val="24"/>
          <w:szCs w:val="24"/>
        </w:rPr>
        <w:t>；未提供以上材料的，均不给予价格计算扣除。</w:t>
      </w:r>
    </w:p>
    <w:p>
      <w:pPr>
        <w:pStyle w:val="3"/>
        <w:numPr>
          <w:ilvl w:val="0"/>
          <w:numId w:val="19"/>
        </w:numPr>
        <w:snapToGrid w:val="0"/>
        <w:spacing w:line="360" w:lineRule="auto"/>
        <w:ind w:firstLine="480" w:firstLineChars="200"/>
        <w:textAlignment w:val="baseline"/>
        <w:rPr>
          <w:rFonts w:ascii="微软雅黑" w:hAnsi="微软雅黑" w:eastAsia="微软雅黑" w:cs="微软雅黑"/>
          <w:b/>
          <w:bCs/>
          <w:sz w:val="24"/>
        </w:rPr>
      </w:pPr>
      <w:r>
        <w:rPr>
          <w:rFonts w:hint="eastAsia" w:ascii="微软雅黑" w:hAnsi="微软雅黑" w:eastAsia="微软雅黑" w:cs="微软雅黑"/>
          <w:b/>
          <w:bCs/>
          <w:sz w:val="24"/>
        </w:rPr>
        <w:t>技术、商务、资信及其他分（</w:t>
      </w:r>
      <w:r>
        <w:rPr>
          <w:rFonts w:ascii="微软雅黑" w:hAnsi="微软雅黑" w:eastAsia="微软雅黑" w:cs="微软雅黑"/>
          <w:b/>
          <w:bCs/>
          <w:sz w:val="24"/>
        </w:rPr>
        <w:t>70</w:t>
      </w:r>
      <w:r>
        <w:rPr>
          <w:rFonts w:hint="eastAsia" w:ascii="微软雅黑" w:hAnsi="微软雅黑" w:eastAsia="微软雅黑" w:cs="微软雅黑"/>
          <w:b/>
          <w:bCs/>
          <w:sz w:val="24"/>
        </w:rPr>
        <w:t>分）</w:t>
      </w:r>
    </w:p>
    <w:p>
      <w:pPr>
        <w:snapToGrid w:val="0"/>
        <w:spacing w:line="360" w:lineRule="auto"/>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技术、商务、资信及其他分按照全体评标委员会成员的独立评分结果的算术平均分计算，结果保留</w:t>
      </w:r>
      <w:r>
        <w:rPr>
          <w:rFonts w:ascii="微软雅黑" w:hAnsi="微软雅黑" w:eastAsia="微软雅黑" w:cs="微软雅黑"/>
          <w:sz w:val="24"/>
        </w:rPr>
        <w:t>2</w:t>
      </w:r>
      <w:r>
        <w:rPr>
          <w:rFonts w:hint="eastAsia" w:ascii="微软雅黑" w:hAnsi="微软雅黑" w:eastAsia="微软雅黑" w:cs="微软雅黑"/>
          <w:sz w:val="24"/>
        </w:rPr>
        <w:t>位小数，第</w:t>
      </w:r>
      <w:r>
        <w:rPr>
          <w:rFonts w:ascii="微软雅黑" w:hAnsi="微软雅黑" w:eastAsia="微软雅黑" w:cs="微软雅黑"/>
          <w:sz w:val="24"/>
        </w:rPr>
        <w:t>3</w:t>
      </w:r>
      <w:r>
        <w:rPr>
          <w:rFonts w:hint="eastAsia" w:ascii="微软雅黑" w:hAnsi="微软雅黑" w:eastAsia="微软雅黑" w:cs="微软雅黑"/>
          <w:sz w:val="24"/>
        </w:rPr>
        <w:t>位四舍五入。计算公式为：</w:t>
      </w:r>
    </w:p>
    <w:p>
      <w:pPr>
        <w:pStyle w:val="84"/>
        <w:snapToGrid w:val="0"/>
        <w:ind w:firstLine="240"/>
        <w:textAlignment w:val="baseline"/>
        <w:rPr>
          <w:rFonts w:ascii="微软雅黑" w:hAnsi="微软雅黑" w:eastAsia="微软雅黑" w:cs="微软雅黑"/>
          <w:sz w:val="24"/>
        </w:rPr>
      </w:pPr>
      <w:r>
        <w:rPr>
          <w:rFonts w:hint="eastAsia" w:ascii="微软雅黑" w:hAnsi="微软雅黑" w:eastAsia="微软雅黑" w:cs="微软雅黑"/>
          <w:sz w:val="24"/>
        </w:rPr>
        <w:t>技术商务资信分</w:t>
      </w:r>
      <w:r>
        <w:rPr>
          <w:rFonts w:ascii="微软雅黑" w:hAnsi="微软雅黑" w:eastAsia="微软雅黑" w:cs="微软雅黑"/>
          <w:sz w:val="24"/>
        </w:rPr>
        <w:t>=</w:t>
      </w:r>
      <w:r>
        <w:rPr>
          <w:rFonts w:hint="eastAsia" w:ascii="微软雅黑" w:hAnsi="微软雅黑" w:eastAsia="微软雅黑" w:cs="微软雅黑"/>
          <w:sz w:val="24"/>
        </w:rPr>
        <w:t>（评标委员会所有成员评分合计数）</w:t>
      </w:r>
      <w:r>
        <w:rPr>
          <w:rFonts w:ascii="微软雅黑" w:hAnsi="微软雅黑" w:eastAsia="微软雅黑" w:cs="微软雅黑"/>
          <w:sz w:val="24"/>
        </w:rPr>
        <w:t>/</w:t>
      </w:r>
      <w:r>
        <w:rPr>
          <w:rFonts w:hint="eastAsia" w:ascii="微软雅黑" w:hAnsi="微软雅黑" w:eastAsia="微软雅黑" w:cs="微软雅黑"/>
          <w:sz w:val="24"/>
        </w:rPr>
        <w:t>（评标委员会组成人员数）</w:t>
      </w:r>
    </w:p>
    <w:p>
      <w:pPr>
        <w:snapToGrid w:val="0"/>
        <w:textAlignment w:val="baseline"/>
        <w:rPr>
          <w:rFonts w:ascii="微软雅黑" w:hAnsi="微软雅黑" w:eastAsia="微软雅黑" w:cs="微软雅黑"/>
          <w:b/>
          <w:bCs/>
          <w:szCs w:val="36"/>
        </w:rPr>
      </w:pPr>
      <w:bookmarkStart w:id="80" w:name="_Toc11931"/>
      <w:r>
        <w:rPr>
          <w:rFonts w:hint="eastAsia" w:ascii="微软雅黑" w:hAnsi="微软雅黑" w:eastAsia="微软雅黑" w:cs="微软雅黑"/>
          <w:b/>
          <w:bCs/>
          <w:szCs w:val="36"/>
        </w:rPr>
        <w:t>技术、商务、资信及其他分评分细则</w:t>
      </w:r>
    </w:p>
    <w:tbl>
      <w:tblPr>
        <w:tblStyle w:val="38"/>
        <w:tblW w:w="10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525"/>
        <w:gridCol w:w="1356"/>
        <w:gridCol w:w="6969"/>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9" w:type="dxa"/>
            <w:vAlign w:val="center"/>
          </w:tcPr>
          <w:p>
            <w:pPr>
              <w:spacing w:beforeLines="20" w:line="360" w:lineRule="exact"/>
              <w:jc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分项</w:t>
            </w:r>
          </w:p>
        </w:tc>
        <w:tc>
          <w:tcPr>
            <w:tcW w:w="525" w:type="dxa"/>
            <w:vAlign w:val="center"/>
          </w:tcPr>
          <w:p>
            <w:pPr>
              <w:spacing w:beforeLines="20" w:line="360" w:lineRule="exact"/>
              <w:jc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序号</w:t>
            </w:r>
          </w:p>
        </w:tc>
        <w:tc>
          <w:tcPr>
            <w:tcW w:w="1356" w:type="dxa"/>
            <w:vAlign w:val="center"/>
          </w:tcPr>
          <w:p>
            <w:pPr>
              <w:spacing w:beforeLines="20" w:line="360" w:lineRule="exact"/>
              <w:jc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评分内容</w:t>
            </w:r>
          </w:p>
        </w:tc>
        <w:tc>
          <w:tcPr>
            <w:tcW w:w="6969" w:type="dxa"/>
            <w:vAlign w:val="center"/>
          </w:tcPr>
          <w:p>
            <w:pPr>
              <w:spacing w:beforeLines="20" w:line="360" w:lineRule="exact"/>
              <w:ind w:left="-11" w:leftChars="-207" w:hanging="569" w:hangingChars="237"/>
              <w:jc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评分方法</w:t>
            </w:r>
          </w:p>
        </w:tc>
        <w:tc>
          <w:tcPr>
            <w:tcW w:w="923" w:type="dxa"/>
            <w:vAlign w:val="center"/>
          </w:tcPr>
          <w:p>
            <w:pPr>
              <w:spacing w:beforeLines="20" w:line="360" w:lineRule="exact"/>
              <w:jc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5" w:hRule="atLeast"/>
          <w:jc w:val="center"/>
        </w:trPr>
        <w:tc>
          <w:tcPr>
            <w:tcW w:w="1119" w:type="dxa"/>
            <w:vMerge w:val="restart"/>
            <w:vAlign w:val="center"/>
          </w:tcPr>
          <w:p>
            <w:pPr>
              <w:snapToGrid w:val="0"/>
              <w:spacing w:beforeLines="20" w:line="360" w:lineRule="exact"/>
              <w:jc w:val="center"/>
              <w:rPr>
                <w:rFonts w:ascii="微软雅黑" w:hAnsi="微软雅黑" w:eastAsia="微软雅黑" w:cs="微软雅黑"/>
                <w:b/>
                <w:color w:val="000000"/>
                <w:sz w:val="24"/>
              </w:rPr>
            </w:pPr>
            <w:r>
              <w:rPr>
                <w:rFonts w:hint="eastAsia" w:ascii="微软雅黑" w:hAnsi="微软雅黑" w:eastAsia="微软雅黑" w:cs="微软雅黑"/>
                <w:b/>
                <w:color w:val="000000"/>
                <w:sz w:val="24"/>
              </w:rPr>
              <w:t>资信分</w:t>
            </w:r>
          </w:p>
          <w:p>
            <w:pPr>
              <w:snapToGrid w:val="0"/>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b/>
                <w:color w:val="000000"/>
                <w:sz w:val="24"/>
              </w:rPr>
              <w:t>（30分）</w:t>
            </w:r>
          </w:p>
        </w:tc>
        <w:tc>
          <w:tcPr>
            <w:tcW w:w="525" w:type="dxa"/>
            <w:vAlign w:val="center"/>
          </w:tcPr>
          <w:p>
            <w:pPr>
              <w:snapToGrid w:val="0"/>
              <w:spacing w:beforeLines="20" w:line="360" w:lineRule="exac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1</w:t>
            </w:r>
          </w:p>
        </w:tc>
        <w:tc>
          <w:tcPr>
            <w:tcW w:w="1356" w:type="dxa"/>
            <w:vAlign w:val="center"/>
          </w:tcPr>
          <w:p>
            <w:pPr>
              <w:snapToGrid w:val="0"/>
              <w:spacing w:beforeLines="20" w:line="360" w:lineRule="exac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业绩</w:t>
            </w:r>
          </w:p>
        </w:tc>
        <w:tc>
          <w:tcPr>
            <w:tcW w:w="6969" w:type="dxa"/>
            <w:vAlign w:val="center"/>
          </w:tcPr>
          <w:p>
            <w:pPr>
              <w:widowControl/>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1、投标人2019年1月1日至今，承担过省控及以上水质自动监测站运维的，每2个站点得1分。本项最高2分。</w:t>
            </w:r>
          </w:p>
          <w:p>
            <w:pPr>
              <w:snapToGrid w:val="0"/>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注：需提供合同复印件或中标通知书或验收材料，标书里未提供证明材料的不得分。</w:t>
            </w:r>
          </w:p>
          <w:p>
            <w:pPr>
              <w:snapToGrid w:val="0"/>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2、投标人2019年1月1日至今，投标人运维省控及以上地表水自动监测站或饮用水源地站运维工作满1年，每运维1个站点（运维指标至少覆盖常规五参数、高锰酸盐指数、氨氮、总磷、总氮9个指标）得0.1分。</w:t>
            </w:r>
            <w:r>
              <w:rPr>
                <w:rFonts w:hint="eastAsia" w:ascii="微软雅黑" w:hAnsi="微软雅黑" w:eastAsia="微软雅黑" w:cs="微软雅黑"/>
                <w:color w:val="000000"/>
                <w:kern w:val="0"/>
                <w:sz w:val="24"/>
                <w:lang w:eastAsia="zh-CN"/>
              </w:rPr>
              <w:t>本项</w:t>
            </w:r>
            <w:r>
              <w:rPr>
                <w:rFonts w:hint="eastAsia" w:ascii="微软雅黑" w:hAnsi="微软雅黑" w:eastAsia="微软雅黑" w:cs="微软雅黑"/>
                <w:color w:val="000000"/>
                <w:kern w:val="0"/>
                <w:sz w:val="24"/>
              </w:rPr>
              <w:t>最高1分。</w:t>
            </w:r>
          </w:p>
          <w:p>
            <w:pPr>
              <w:snapToGrid w:val="0"/>
              <w:spacing w:beforeLines="20"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注：需提供合同复印件或中标通知书或验收材料，未提供证明材料的不得分。</w:t>
            </w:r>
          </w:p>
        </w:tc>
        <w:tc>
          <w:tcPr>
            <w:tcW w:w="923"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0-3分</w:t>
            </w:r>
          </w:p>
          <w:p>
            <w:pPr>
              <w:spacing w:beforeLines="20" w:line="360" w:lineRule="exact"/>
              <w:jc w:val="center"/>
              <w:rPr>
                <w:rFonts w:ascii="微软雅黑" w:hAnsi="微软雅黑" w:eastAsia="微软雅黑" w:cs="微软雅黑"/>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Merge w:val="restart"/>
            <w:vAlign w:val="center"/>
          </w:tcPr>
          <w:p>
            <w:pPr>
              <w:snapToGrid w:val="0"/>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2</w:t>
            </w:r>
          </w:p>
        </w:tc>
        <w:tc>
          <w:tcPr>
            <w:tcW w:w="1356" w:type="dxa"/>
            <w:vMerge w:val="restart"/>
            <w:vAlign w:val="center"/>
          </w:tcPr>
          <w:p>
            <w:pPr>
              <w:snapToGrid w:val="0"/>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投标人实力</w:t>
            </w:r>
          </w:p>
        </w:tc>
        <w:tc>
          <w:tcPr>
            <w:tcW w:w="6969" w:type="dxa"/>
            <w:vMerge w:val="restart"/>
            <w:vAlign w:val="center"/>
          </w:tcPr>
          <w:p>
            <w:pPr>
              <w:widowControl/>
              <w:adjustRightInd w:val="0"/>
              <w:snapToGrid w:val="0"/>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企业证书：</w:t>
            </w:r>
          </w:p>
          <w:p>
            <w:pPr>
              <w:widowControl/>
              <w:adjustRightInd w:val="0"/>
              <w:snapToGrid w:val="0"/>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1、投标人或分析仪器设备厂家具有软件能力成熟度模型集成资质证书的得1分，</w:t>
            </w:r>
            <w:r>
              <w:rPr>
                <w:rFonts w:hint="eastAsia" w:ascii="微软雅黑" w:hAnsi="微软雅黑" w:eastAsia="微软雅黑" w:cs="微软雅黑"/>
                <w:sz w:val="24"/>
              </w:rPr>
              <w:t>软件其他功能完整，能提供软件著作权证书的得1分</w:t>
            </w:r>
            <w:r>
              <w:rPr>
                <w:rFonts w:hint="eastAsia" w:ascii="微软雅黑" w:hAnsi="微软雅黑" w:eastAsia="微软雅黑" w:cs="微软雅黑"/>
                <w:color w:val="000000"/>
                <w:kern w:val="0"/>
                <w:sz w:val="24"/>
              </w:rPr>
              <w:t>。（</w:t>
            </w:r>
            <w:r>
              <w:rPr>
                <w:rFonts w:hint="eastAsia" w:ascii="微软雅黑" w:hAnsi="微软雅黑" w:eastAsia="微软雅黑" w:cs="微软雅黑"/>
                <w:color w:val="000000"/>
                <w:sz w:val="24"/>
              </w:rPr>
              <w:t>0-2分</w:t>
            </w:r>
            <w:r>
              <w:rPr>
                <w:rFonts w:hint="eastAsia" w:ascii="微软雅黑" w:hAnsi="微软雅黑" w:eastAsia="微软雅黑" w:cs="微软雅黑"/>
                <w:color w:val="000000"/>
                <w:kern w:val="0"/>
                <w:sz w:val="24"/>
              </w:rPr>
              <w:t>）</w:t>
            </w:r>
          </w:p>
          <w:p>
            <w:pPr>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2、投标人具有有效的（</w:t>
            </w:r>
            <w:r>
              <w:rPr>
                <w:rFonts w:hint="eastAsia" w:ascii="微软雅黑" w:hAnsi="微软雅黑" w:eastAsia="微软雅黑" w:cs="微软雅黑"/>
                <w:sz w:val="24"/>
              </w:rPr>
              <w:t>ISO9001</w:t>
            </w:r>
            <w:r>
              <w:rPr>
                <w:rFonts w:hint="eastAsia" w:ascii="微软雅黑" w:hAnsi="微软雅黑" w:eastAsia="微软雅黑" w:cs="微软雅黑"/>
                <w:color w:val="000000"/>
                <w:kern w:val="0"/>
                <w:sz w:val="24"/>
              </w:rPr>
              <w:t>）质量管理体系认证证书、环境管理体系认证证书、职业健康安全管理体系认证证书、信息技术服务管理体系认证证书、信息安全管理体系认证证书、五星级售后服务认证证书，每个得0.5分，最高得3分。（</w:t>
            </w:r>
            <w:r>
              <w:rPr>
                <w:rFonts w:hint="eastAsia" w:ascii="微软雅黑" w:hAnsi="微软雅黑" w:eastAsia="微软雅黑" w:cs="微软雅黑"/>
                <w:color w:val="000000"/>
                <w:sz w:val="24"/>
              </w:rPr>
              <w:t>0-3分</w:t>
            </w:r>
            <w:r>
              <w:rPr>
                <w:rFonts w:hint="eastAsia" w:ascii="微软雅黑" w:hAnsi="微软雅黑" w:eastAsia="微软雅黑" w:cs="微软雅黑"/>
                <w:color w:val="000000"/>
                <w:kern w:val="0"/>
                <w:sz w:val="24"/>
              </w:rPr>
              <w:t>）</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sz w:val="24"/>
              </w:rPr>
              <w:t>3、投标人具有水质自动监测站运营服务能力（内容包含高锰酸盐指数、氨氮、总磷、总氮、常规五参数）一级证书</w:t>
            </w:r>
            <w:r>
              <w:rPr>
                <w:rFonts w:hint="eastAsia" w:ascii="微软雅黑" w:hAnsi="微软雅黑" w:eastAsia="微软雅黑" w:cs="微软雅黑"/>
                <w:color w:val="000000"/>
                <w:sz w:val="24"/>
                <w:lang w:val="zh-CN"/>
              </w:rPr>
              <w:t>得1分，二级证书得</w:t>
            </w:r>
            <w:r>
              <w:rPr>
                <w:rFonts w:hint="eastAsia" w:ascii="微软雅黑" w:hAnsi="微软雅黑" w:eastAsia="微软雅黑" w:cs="微软雅黑"/>
                <w:color w:val="000000"/>
                <w:sz w:val="24"/>
              </w:rPr>
              <w:t>0.5</w:t>
            </w:r>
            <w:r>
              <w:rPr>
                <w:rFonts w:hint="eastAsia" w:ascii="微软雅黑" w:hAnsi="微软雅黑" w:eastAsia="微软雅黑" w:cs="微软雅黑"/>
                <w:color w:val="000000"/>
                <w:sz w:val="24"/>
                <w:lang w:val="zh-CN"/>
              </w:rPr>
              <w:t>分，其他不得分。（</w:t>
            </w:r>
            <w:r>
              <w:rPr>
                <w:rFonts w:hint="eastAsia" w:ascii="微软雅黑" w:hAnsi="微软雅黑" w:eastAsia="微软雅黑" w:cs="微软雅黑"/>
                <w:color w:val="000000"/>
                <w:sz w:val="24"/>
              </w:rPr>
              <w:t>0-1分</w:t>
            </w:r>
            <w:r>
              <w:rPr>
                <w:rFonts w:hint="eastAsia" w:ascii="微软雅黑" w:hAnsi="微软雅黑" w:eastAsia="微软雅黑" w:cs="微软雅黑"/>
                <w:color w:val="000000"/>
                <w:sz w:val="24"/>
                <w:lang w:val="zh-CN"/>
              </w:rPr>
              <w:t>）</w:t>
            </w:r>
          </w:p>
          <w:p>
            <w:pPr>
              <w:spacing w:line="36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4、投标人获得省级及以上行政管理部门颁发的高新技术企业证书的得3分。（0-3分）</w:t>
            </w:r>
          </w:p>
          <w:p>
            <w:pPr>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sz w:val="24"/>
              </w:rPr>
              <w:t>以上得分点均需提供证书清晰扫描件或复印件，不提供不得分。</w:t>
            </w:r>
          </w:p>
        </w:tc>
        <w:tc>
          <w:tcPr>
            <w:tcW w:w="923" w:type="dxa"/>
            <w:vMerge w:val="restart"/>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1356"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6969" w:type="dxa"/>
            <w:vMerge w:val="continue"/>
            <w:vAlign w:val="center"/>
          </w:tcPr>
          <w:p>
            <w:pPr>
              <w:spacing w:line="360" w:lineRule="exact"/>
              <w:rPr>
                <w:rFonts w:ascii="微软雅黑" w:hAnsi="微软雅黑" w:eastAsia="微软雅黑" w:cs="微软雅黑"/>
                <w:color w:val="000000"/>
                <w:kern w:val="0"/>
                <w:sz w:val="24"/>
              </w:rPr>
            </w:pPr>
          </w:p>
        </w:tc>
        <w:tc>
          <w:tcPr>
            <w:tcW w:w="923" w:type="dxa"/>
            <w:vMerge w:val="continue"/>
            <w:vAlign w:val="center"/>
          </w:tcPr>
          <w:p>
            <w:pPr>
              <w:spacing w:beforeLines="20" w:line="360" w:lineRule="exact"/>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1356"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6969" w:type="dxa"/>
            <w:vMerge w:val="continue"/>
            <w:vAlign w:val="center"/>
          </w:tcPr>
          <w:p>
            <w:pPr>
              <w:snapToGrid w:val="0"/>
              <w:spacing w:beforeLines="20" w:line="360" w:lineRule="exact"/>
              <w:jc w:val="left"/>
              <w:rPr>
                <w:rFonts w:ascii="微软雅黑" w:hAnsi="微软雅黑" w:eastAsia="微软雅黑" w:cs="微软雅黑"/>
                <w:color w:val="000000"/>
                <w:kern w:val="0"/>
                <w:sz w:val="24"/>
              </w:rPr>
            </w:pPr>
          </w:p>
        </w:tc>
        <w:tc>
          <w:tcPr>
            <w:tcW w:w="923" w:type="dxa"/>
            <w:vMerge w:val="continue"/>
            <w:vAlign w:val="center"/>
          </w:tcPr>
          <w:p>
            <w:pPr>
              <w:spacing w:beforeLines="20" w:line="360" w:lineRule="exact"/>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1356"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6969" w:type="dxa"/>
            <w:vMerge w:val="continue"/>
            <w:vAlign w:val="center"/>
          </w:tcPr>
          <w:p>
            <w:pPr>
              <w:spacing w:line="360" w:lineRule="exact"/>
              <w:rPr>
                <w:rFonts w:ascii="微软雅黑" w:hAnsi="微软雅黑" w:eastAsia="微软雅黑" w:cs="微软雅黑"/>
                <w:color w:val="000000"/>
                <w:kern w:val="0"/>
                <w:sz w:val="24"/>
              </w:rPr>
            </w:pPr>
          </w:p>
        </w:tc>
        <w:tc>
          <w:tcPr>
            <w:tcW w:w="923" w:type="dxa"/>
            <w:vMerge w:val="continue"/>
            <w:vAlign w:val="center"/>
          </w:tcPr>
          <w:p>
            <w:pPr>
              <w:spacing w:beforeLines="20" w:line="360" w:lineRule="exact"/>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3</w:t>
            </w:r>
          </w:p>
        </w:tc>
        <w:tc>
          <w:tcPr>
            <w:tcW w:w="1356"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6969" w:type="dxa"/>
            <w:vAlign w:val="center"/>
          </w:tcPr>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1、投标人</w:t>
            </w:r>
            <w:r>
              <w:rPr>
                <w:rFonts w:hint="eastAsia" w:ascii="微软雅黑" w:hAnsi="微软雅黑" w:eastAsia="微软雅黑" w:cs="微软雅黑"/>
                <w:b/>
                <w:bCs/>
                <w:color w:val="000000"/>
                <w:kern w:val="0"/>
                <w:sz w:val="24"/>
              </w:rPr>
              <w:t>自有</w:t>
            </w:r>
            <w:r>
              <w:rPr>
                <w:rFonts w:hint="eastAsia" w:ascii="微软雅黑" w:hAnsi="微软雅黑" w:eastAsia="微软雅黑" w:cs="微软雅黑"/>
                <w:color w:val="000000"/>
                <w:kern w:val="0"/>
                <w:sz w:val="24"/>
              </w:rPr>
              <w:t>CMA检测资质实验室，且资质认定范围覆盖水质常规五参数、高锰酸盐指数、氨氮、总磷、总氮等，得</w:t>
            </w:r>
            <w:r>
              <w:rPr>
                <w:rFonts w:hint="eastAsia" w:ascii="微软雅黑" w:hAnsi="微软雅黑" w:eastAsia="微软雅黑" w:cs="微软雅黑"/>
                <w:b/>
                <w:bCs/>
                <w:color w:val="000000"/>
                <w:kern w:val="0"/>
                <w:sz w:val="24"/>
              </w:rPr>
              <w:t>3分</w:t>
            </w:r>
            <w:r>
              <w:rPr>
                <w:rFonts w:hint="eastAsia" w:ascii="微软雅黑" w:hAnsi="微软雅黑" w:eastAsia="微软雅黑" w:cs="微软雅黑"/>
                <w:color w:val="000000"/>
                <w:kern w:val="0"/>
                <w:sz w:val="24"/>
              </w:rPr>
              <w:t>；有</w:t>
            </w:r>
            <w:r>
              <w:rPr>
                <w:rFonts w:hint="eastAsia" w:ascii="微软雅黑" w:hAnsi="微软雅黑" w:eastAsia="微软雅黑" w:cs="微软雅黑"/>
                <w:b/>
                <w:bCs/>
                <w:color w:val="000000"/>
                <w:kern w:val="0"/>
                <w:sz w:val="24"/>
              </w:rPr>
              <w:t>持股的得2分</w:t>
            </w:r>
            <w:r>
              <w:rPr>
                <w:rFonts w:hint="eastAsia" w:ascii="微软雅黑" w:hAnsi="微软雅黑" w:eastAsia="微软雅黑" w:cs="微软雅黑"/>
                <w:color w:val="000000"/>
                <w:kern w:val="0"/>
                <w:sz w:val="24"/>
              </w:rPr>
              <w:t>；省内实验室系长期</w:t>
            </w:r>
            <w:r>
              <w:rPr>
                <w:rFonts w:hint="eastAsia" w:ascii="微软雅黑" w:hAnsi="微软雅黑" w:eastAsia="微软雅黑" w:cs="微软雅黑"/>
                <w:b/>
                <w:bCs/>
                <w:color w:val="000000"/>
                <w:kern w:val="0"/>
                <w:sz w:val="24"/>
              </w:rPr>
              <w:t>合作</w:t>
            </w:r>
            <w:r>
              <w:rPr>
                <w:rFonts w:hint="eastAsia" w:ascii="微软雅黑" w:hAnsi="微软雅黑" w:eastAsia="微软雅黑" w:cs="微软雅黑"/>
                <w:color w:val="000000"/>
                <w:kern w:val="0"/>
                <w:sz w:val="24"/>
              </w:rPr>
              <w:t>关系的，得</w:t>
            </w:r>
            <w:r>
              <w:rPr>
                <w:rFonts w:hint="eastAsia" w:ascii="微软雅黑" w:hAnsi="微软雅黑" w:eastAsia="微软雅黑" w:cs="微软雅黑"/>
                <w:b/>
                <w:bCs/>
                <w:color w:val="000000"/>
                <w:kern w:val="0"/>
                <w:sz w:val="24"/>
              </w:rPr>
              <w:t>1</w:t>
            </w:r>
            <w:r>
              <w:rPr>
                <w:rFonts w:hint="eastAsia" w:ascii="微软雅黑" w:hAnsi="微软雅黑" w:eastAsia="微软雅黑" w:cs="微软雅黑"/>
                <w:color w:val="000000"/>
                <w:kern w:val="0"/>
                <w:sz w:val="24"/>
              </w:rPr>
              <w:t>分。检测指标存在缺项的，缺一项扣1分，扣完为止。（0-</w:t>
            </w:r>
            <w:r>
              <w:rPr>
                <w:rFonts w:hint="eastAsia" w:ascii="微软雅黑" w:hAnsi="微软雅黑" w:eastAsia="微软雅黑" w:cs="微软雅黑"/>
                <w:color w:val="000000"/>
                <w:kern w:val="0"/>
                <w:sz w:val="24"/>
                <w:lang w:val="en-US" w:eastAsia="zh-CN"/>
              </w:rPr>
              <w:t>3</w:t>
            </w:r>
            <w:r>
              <w:rPr>
                <w:rFonts w:hint="eastAsia" w:ascii="微软雅黑" w:hAnsi="微软雅黑" w:eastAsia="微软雅黑" w:cs="微软雅黑"/>
                <w:color w:val="000000"/>
                <w:kern w:val="0"/>
                <w:sz w:val="24"/>
              </w:rPr>
              <w:t>分）</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注：</w:t>
            </w:r>
          </w:p>
          <w:p>
            <w:pPr>
              <w:snapToGrid w:val="0"/>
              <w:spacing w:beforeLines="20" w:line="360" w:lineRule="exact"/>
              <w:jc w:val="left"/>
              <w:rPr>
                <w:rFonts w:ascii="微软雅黑" w:hAnsi="微软雅黑" w:eastAsia="微软雅黑" w:cs="微软雅黑"/>
                <w:color w:val="000000" w:themeColor="text1"/>
                <w:kern w:val="0"/>
                <w:sz w:val="24"/>
              </w:rPr>
            </w:pPr>
            <w:r>
              <w:rPr>
                <w:rFonts w:hint="eastAsia" w:ascii="微软雅黑" w:hAnsi="微软雅黑" w:eastAsia="微软雅黑" w:cs="微软雅黑"/>
                <w:color w:val="000000" w:themeColor="text1"/>
                <w:kern w:val="0"/>
                <w:sz w:val="24"/>
              </w:rPr>
              <w:t>①自有实验室指CMA资质证书名称与投标人名称一致或实验室与投标人属于同一控股人所有；</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②须提供实验室所在省市、详细地址、联系人及电话等；CMA资质证书及含有上述检测项目附表的复印件；</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③如为直接持股的实验室，须同时提供持股证明文件；</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④有长期合作实验室须提供投标日起半年的合同。</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⑤未按上述要求提供证明材料的，一律不予认可。</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2、</w:t>
            </w:r>
            <w:r>
              <w:rPr>
                <w:rFonts w:hint="eastAsia" w:ascii="微软雅黑" w:hAnsi="微软雅黑" w:eastAsia="微软雅黑" w:cs="微软雅黑"/>
                <w:b/>
                <w:bCs/>
                <w:color w:val="000000"/>
                <w:kern w:val="0"/>
                <w:sz w:val="24"/>
              </w:rPr>
              <w:t>投标人能及时响应，实验室距招标人车程2h内的得1分；3h内的得0.5分。（0-1分）</w:t>
            </w:r>
            <w:r>
              <w:rPr>
                <w:rFonts w:hint="eastAsia" w:ascii="微软雅黑" w:hAnsi="微软雅黑" w:eastAsia="微软雅黑" w:cs="微软雅黑"/>
                <w:color w:val="000000"/>
                <w:kern w:val="0"/>
                <w:sz w:val="24"/>
              </w:rPr>
              <w:t>（提供</w:t>
            </w:r>
            <w:r>
              <w:rPr>
                <w:rFonts w:hint="eastAsia" w:ascii="微软雅黑" w:hAnsi="微软雅黑" w:eastAsia="微软雅黑" w:cs="微软雅黑"/>
                <w:color w:val="000000"/>
                <w:sz w:val="24"/>
              </w:rPr>
              <w:t>车程提供导航截图，不提供不得分</w:t>
            </w:r>
            <w:r>
              <w:rPr>
                <w:rFonts w:hint="eastAsia" w:ascii="微软雅黑" w:hAnsi="微软雅黑" w:eastAsia="微软雅黑" w:cs="微软雅黑"/>
                <w:color w:val="000000"/>
                <w:kern w:val="0"/>
                <w:sz w:val="24"/>
              </w:rPr>
              <w:t>）</w:t>
            </w:r>
          </w:p>
        </w:tc>
        <w:tc>
          <w:tcPr>
            <w:tcW w:w="923"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4</w:t>
            </w:r>
          </w:p>
        </w:tc>
        <w:tc>
          <w:tcPr>
            <w:tcW w:w="1356"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6969" w:type="dxa"/>
            <w:vAlign w:val="center"/>
          </w:tcPr>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投标人能够承诺如因原设备导致的无法正常升级，提供相应类型分析设备备机（氨氮水质自动分析仪、高锰酸盐指数水质自动分析仪、总磷水质自动分析仪、总氮水质自动分析仪）应急使用的得2分，缺项不得分。（0-2分）（提供备机的承诺函，不提供不得分）</w:t>
            </w:r>
          </w:p>
        </w:tc>
        <w:tc>
          <w:tcPr>
            <w:tcW w:w="923"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snapToGrid w:val="0"/>
              <w:spacing w:beforeLines="20" w:line="360" w:lineRule="exact"/>
              <w:jc w:val="left"/>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5</w:t>
            </w:r>
          </w:p>
        </w:tc>
        <w:tc>
          <w:tcPr>
            <w:tcW w:w="1356"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6969" w:type="dxa"/>
            <w:vAlign w:val="center"/>
          </w:tcPr>
          <w:p>
            <w:pPr>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投标人或所投设备制造商为本项目在应急水污染事故时提供免费应急监测服务的，得1分。（0-1分）（提供承诺函，不提供不得分）</w:t>
            </w:r>
          </w:p>
        </w:tc>
        <w:tc>
          <w:tcPr>
            <w:tcW w:w="923"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5"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widowControl/>
              <w:spacing w:beforeLines="20" w:line="360" w:lineRule="exact"/>
              <w:jc w:val="center"/>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color w:val="000000"/>
                <w:kern w:val="0"/>
                <w:sz w:val="24"/>
                <w:lang w:val="en-US" w:eastAsia="zh-CN"/>
              </w:rPr>
              <w:t>6</w:t>
            </w:r>
          </w:p>
        </w:tc>
        <w:tc>
          <w:tcPr>
            <w:tcW w:w="1356" w:type="dxa"/>
            <w:vAlign w:val="center"/>
          </w:tcPr>
          <w:p>
            <w:pPr>
              <w:widowControl/>
              <w:spacing w:beforeLines="20" w:line="360" w:lineRule="exac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投标人拟投入本项目人员团队</w:t>
            </w:r>
          </w:p>
        </w:tc>
        <w:tc>
          <w:tcPr>
            <w:tcW w:w="6969" w:type="dxa"/>
            <w:vAlign w:val="center"/>
          </w:tcPr>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sz w:val="24"/>
              </w:rPr>
              <w:t xml:space="preserve">1、项目负责人为环保专业高级工程师及以上职称得2分，工程师职称得1分，没有不得分；持有注册环保工程师证书得2分，没有不得分. </w:t>
            </w:r>
            <w:r>
              <w:rPr>
                <w:rFonts w:hint="eastAsia" w:ascii="微软雅黑" w:hAnsi="微软雅黑" w:eastAsia="微软雅黑" w:cs="微软雅黑"/>
                <w:color w:val="000000"/>
                <w:kern w:val="0"/>
                <w:sz w:val="24"/>
              </w:rPr>
              <w:t>（0-4分）</w:t>
            </w:r>
          </w:p>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提供相应证书及社保证明清晰扫描件活复印件加盖投标人公章，社保证明是指社保机构出具的连续近3个月的社保证明，投标人也可通过网上社保查询系统进行打印并盖企业公章。未提供不得分。</w:t>
            </w:r>
          </w:p>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2、</w:t>
            </w:r>
            <w:r>
              <w:rPr>
                <w:rFonts w:hint="eastAsia" w:ascii="微软雅黑" w:hAnsi="微软雅黑" w:eastAsia="微软雅黑" w:cs="微软雅黑"/>
                <w:color w:val="000000"/>
                <w:kern w:val="0"/>
                <w:sz w:val="24"/>
              </w:rPr>
              <w:t>除项目负责人外，项目团队拟派人员</w:t>
            </w:r>
            <w:r>
              <w:rPr>
                <w:rFonts w:hint="eastAsia" w:ascii="微软雅黑" w:hAnsi="微软雅黑" w:eastAsia="微软雅黑" w:cs="微软雅黑"/>
                <w:color w:val="000000"/>
                <w:sz w:val="24"/>
              </w:rPr>
              <w:t>持有人社部门颁发的高层次人才证书及环保专业高级工程师及以上职称证书，每人得1分；持有环保专业高级工程师及以上证书，每人得1分。本项最高得2分。（0-2分）</w:t>
            </w:r>
          </w:p>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注：1、2两项得分点须提供相应证书及社保证明清晰扫描件活复印件加盖投标人公章，社保证明是指社保机构出具的连续近3个月的社保证明，投标人也可通过网上社保查询系统进行打印并盖企业公章。未提供不得分。</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3、拟派1名及以上运维人员对水站进行维护保养：拟派本项目的运维人员具有省环境监测协会或总站相关上岗证且有两年以上运维经验，每人得1分，最高得2分。无证、过期或运维经验未达到本项不得分。</w:t>
            </w:r>
            <w:r>
              <w:rPr>
                <w:rFonts w:hint="eastAsia" w:ascii="微软雅黑" w:hAnsi="微软雅黑" w:eastAsia="微软雅黑" w:cs="微软雅黑"/>
                <w:color w:val="000000"/>
                <w:sz w:val="24"/>
              </w:rPr>
              <w:t>（0-2分）</w:t>
            </w:r>
          </w:p>
          <w:p>
            <w:pPr>
              <w:spacing w:line="360" w:lineRule="exac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注：须提供运维人员参与相关水站运维项目的证明文件（例如合同、用户证明、验收证明等材料）、有效证书、最近1个月社保证明的扫描件。</w:t>
            </w:r>
          </w:p>
        </w:tc>
        <w:tc>
          <w:tcPr>
            <w:tcW w:w="923"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snapToGrid w:val="0"/>
              <w:spacing w:beforeLines="20" w:line="360" w:lineRule="exact"/>
              <w:jc w:val="center"/>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lang w:val="en-US" w:eastAsia="zh-CN"/>
              </w:rPr>
              <w:t>7</w:t>
            </w:r>
          </w:p>
        </w:tc>
        <w:tc>
          <w:tcPr>
            <w:tcW w:w="1356" w:type="dxa"/>
            <w:vAlign w:val="center"/>
          </w:tcPr>
          <w:p>
            <w:pPr>
              <w:snapToGrid w:val="0"/>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政策分</w:t>
            </w:r>
          </w:p>
        </w:tc>
        <w:tc>
          <w:tcPr>
            <w:tcW w:w="6969" w:type="dxa"/>
            <w:vAlign w:val="center"/>
          </w:tcPr>
          <w:p>
            <w:pPr>
              <w:snapToGrid w:val="0"/>
              <w:spacing w:beforeLines="20" w:line="360" w:lineRule="exact"/>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投标单位凡在投标截止时间前三年受到行政处罚、行政处理（含通报）或记入不良行为的，此项得0分；若无处罚、行政处理（含通报）或记入不良行为的得1分（投标单位自行提供，如有不良记录又虚假隐瞒的，一经发现将取消投标资格）。</w:t>
            </w:r>
          </w:p>
          <w:p>
            <w:pPr>
              <w:snapToGrid w:val="0"/>
              <w:spacing w:beforeLines="20" w:line="360" w:lineRule="exact"/>
              <w:jc w:val="left"/>
            </w:pPr>
            <w:r>
              <w:rPr>
                <w:rFonts w:hint="eastAsia" w:ascii="微软雅黑" w:hAnsi="微软雅黑" w:eastAsia="微软雅黑" w:cs="微软雅黑"/>
                <w:color w:val="000000"/>
                <w:sz w:val="24"/>
                <w:lang w:val="en-US" w:eastAsia="zh-CN"/>
              </w:rPr>
              <w:t>（自行提供承诺书）（0-1分）</w:t>
            </w:r>
          </w:p>
        </w:tc>
        <w:tc>
          <w:tcPr>
            <w:tcW w:w="923" w:type="dxa"/>
            <w:vAlign w:val="center"/>
          </w:tcPr>
          <w:p>
            <w:pPr>
              <w:spacing w:line="36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19" w:type="dxa"/>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snapToGrid w:val="0"/>
              <w:spacing w:beforeLines="20" w:line="360" w:lineRule="exact"/>
              <w:jc w:val="center"/>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kern w:val="0"/>
                <w:sz w:val="24"/>
                <w:lang w:val="en-US" w:eastAsia="zh-CN"/>
              </w:rPr>
              <w:t>8</w:t>
            </w:r>
          </w:p>
        </w:tc>
        <w:tc>
          <w:tcPr>
            <w:tcW w:w="1356" w:type="dxa"/>
            <w:vAlign w:val="center"/>
          </w:tcPr>
          <w:p>
            <w:pPr>
              <w:snapToGrid w:val="0"/>
              <w:spacing w:beforeLines="20" w:line="360" w:lineRule="exact"/>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kern w:val="0"/>
                <w:sz w:val="24"/>
              </w:rPr>
              <w:t>仪器设备的统一稳定性</w:t>
            </w:r>
          </w:p>
        </w:tc>
        <w:tc>
          <w:tcPr>
            <w:tcW w:w="6969" w:type="dxa"/>
            <w:vAlign w:val="center"/>
          </w:tcPr>
          <w:p>
            <w:pPr>
              <w:snapToGrid w:val="0"/>
              <w:spacing w:beforeLines="20" w:line="360" w:lineRule="exact"/>
              <w:jc w:val="left"/>
              <w:rPr>
                <w:rFonts w:hint="eastAsia"/>
              </w:rPr>
            </w:pPr>
            <w:r>
              <w:rPr>
                <w:rFonts w:hint="eastAsia" w:ascii="微软雅黑" w:hAnsi="微软雅黑" w:eastAsia="微软雅黑" w:cs="微软雅黑"/>
                <w:color w:val="000000"/>
                <w:kern w:val="0"/>
                <w:sz w:val="24"/>
              </w:rPr>
              <w:t>为确保监测仪器设备监测尺度的一致性及后期维护、配件更换的便捷性，投标人拟提供给招标人的</w:t>
            </w:r>
            <w:r>
              <w:rPr>
                <w:rFonts w:hint="eastAsia" w:ascii="微软雅黑" w:hAnsi="微软雅黑" w:eastAsia="微软雅黑" w:cs="微软雅黑"/>
                <w:b/>
                <w:bCs/>
                <w:color w:val="000000" w:themeColor="text1"/>
                <w:kern w:val="0"/>
                <w:sz w:val="24"/>
              </w:rPr>
              <w:t>地表水</w:t>
            </w:r>
            <w:r>
              <w:rPr>
                <w:rFonts w:hint="eastAsia" w:ascii="微软雅黑" w:hAnsi="微软雅黑" w:eastAsia="微软雅黑" w:cs="微软雅黑"/>
                <w:b/>
                <w:color w:val="000000"/>
                <w:kern w:val="0"/>
                <w:sz w:val="24"/>
              </w:rPr>
              <w:t>水质五参数、氨氮、高锰酸盐指数、总磷、总氮自动分析仪或质控设备</w:t>
            </w:r>
            <w:r>
              <w:rPr>
                <w:rFonts w:hint="eastAsia" w:ascii="微软雅黑" w:hAnsi="微软雅黑" w:eastAsia="微软雅黑" w:cs="微软雅黑"/>
                <w:color w:val="000000"/>
                <w:kern w:val="0"/>
                <w:sz w:val="24"/>
              </w:rPr>
              <w:t>为同一品牌得2分，2种不同品牌的得0.5分，三种及以上品牌的不得分。</w:t>
            </w:r>
            <w:r>
              <w:rPr>
                <w:rFonts w:hint="eastAsia" w:ascii="微软雅黑" w:hAnsi="微软雅黑" w:eastAsia="微软雅黑" w:cs="微软雅黑"/>
                <w:color w:val="000000"/>
                <w:sz w:val="24"/>
              </w:rPr>
              <w:t>（0-2分）</w:t>
            </w:r>
          </w:p>
        </w:tc>
        <w:tc>
          <w:tcPr>
            <w:tcW w:w="923" w:type="dxa"/>
            <w:vAlign w:val="center"/>
          </w:tcPr>
          <w:p>
            <w:pPr>
              <w:snapToGrid w:val="0"/>
              <w:spacing w:beforeLines="20" w:line="360" w:lineRule="exact"/>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119" w:type="dxa"/>
            <w:vMerge w:val="restart"/>
            <w:vAlign w:val="center"/>
          </w:tcPr>
          <w:p>
            <w:pPr>
              <w:snapToGrid w:val="0"/>
              <w:spacing w:beforeLines="20" w:line="360" w:lineRule="exact"/>
              <w:jc w:val="center"/>
              <w:rPr>
                <w:rFonts w:ascii="微软雅黑" w:hAnsi="微软雅黑" w:eastAsia="微软雅黑" w:cs="微软雅黑"/>
                <w:b/>
                <w:color w:val="000000"/>
                <w:sz w:val="24"/>
              </w:rPr>
            </w:pPr>
            <w:r>
              <w:rPr>
                <w:rFonts w:hint="eastAsia" w:ascii="微软雅黑" w:hAnsi="微软雅黑" w:eastAsia="微软雅黑" w:cs="微软雅黑"/>
                <w:b/>
                <w:color w:val="000000"/>
                <w:sz w:val="24"/>
              </w:rPr>
              <w:t>技术分</w:t>
            </w:r>
          </w:p>
          <w:p>
            <w:pPr>
              <w:pStyle w:val="86"/>
              <w:spacing w:beforeLines="20" w:after="0" w:line="360" w:lineRule="exact"/>
              <w:ind w:left="0" w:leftChars="0" w:firstLine="0" w:firstLineChars="0"/>
              <w:rPr>
                <w:rFonts w:ascii="微软雅黑" w:hAnsi="微软雅黑" w:eastAsia="微软雅黑" w:cs="微软雅黑"/>
                <w:color w:val="000000"/>
                <w:sz w:val="24"/>
              </w:rPr>
            </w:pPr>
            <w:r>
              <w:rPr>
                <w:rFonts w:hint="eastAsia" w:ascii="微软雅黑" w:hAnsi="微软雅黑" w:eastAsia="微软雅黑" w:cs="微软雅黑"/>
                <w:b/>
                <w:color w:val="000000"/>
                <w:sz w:val="24"/>
              </w:rPr>
              <w:t>（40分）</w:t>
            </w:r>
          </w:p>
        </w:tc>
        <w:tc>
          <w:tcPr>
            <w:tcW w:w="525" w:type="dxa"/>
            <w:vAlign w:val="center"/>
          </w:tcPr>
          <w:p>
            <w:pPr>
              <w:snapToGrid w:val="0"/>
              <w:spacing w:beforeLines="20" w:line="360" w:lineRule="exact"/>
              <w:jc w:val="center"/>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color w:val="000000"/>
                <w:kern w:val="0"/>
                <w:sz w:val="24"/>
                <w:lang w:val="en-US" w:eastAsia="zh-CN"/>
              </w:rPr>
              <w:t>9</w:t>
            </w:r>
          </w:p>
        </w:tc>
        <w:tc>
          <w:tcPr>
            <w:tcW w:w="1356" w:type="dxa"/>
            <w:vAlign w:val="center"/>
          </w:tcPr>
          <w:p>
            <w:pPr>
              <w:snapToGrid w:val="0"/>
              <w:spacing w:beforeLines="20" w:line="360" w:lineRule="exac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水质仪器技术参数</w:t>
            </w:r>
          </w:p>
        </w:tc>
        <w:tc>
          <w:tcPr>
            <w:tcW w:w="6969" w:type="dxa"/>
            <w:vAlign w:val="center"/>
          </w:tcPr>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水质自动在线监测仪器中氨氮、高锰酸盐指数、总磷、总氮自动分析仪、质控仪技术参数完全满足招标要求的得30分。</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A：其中有1项未达到常规技术指标1项，扣1分，扣完为止；</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B：其中有1项未达到技术指标①但达到技术指标②，扣1分，扣完为止；</w:t>
            </w:r>
          </w:p>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C：</w:t>
            </w:r>
            <w:r>
              <w:rPr>
                <w:rFonts w:hint="eastAsia" w:ascii="微软雅黑" w:hAnsi="微软雅黑" w:eastAsia="微软雅黑" w:cs="微软雅黑"/>
                <w:color w:val="000000"/>
                <w:sz w:val="24"/>
              </w:rPr>
              <w:t>其中有1项未达到技术指标②，扣2分，扣完为止。</w:t>
            </w:r>
          </w:p>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注：各项功能均需提供省级及以上计量部门出具的技术评价分析报告或省级及以上质量监督检验中心出具的检测报告进行佐证，不满足或不提供的不得分。（0-30分）</w:t>
            </w:r>
          </w:p>
        </w:tc>
        <w:tc>
          <w:tcPr>
            <w:tcW w:w="923" w:type="dxa"/>
            <w:vAlign w:val="center"/>
          </w:tcPr>
          <w:p>
            <w:pPr>
              <w:spacing w:beforeLines="20" w:line="36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spacing w:beforeLines="20" w:line="360" w:lineRule="exact"/>
              <w:jc w:val="center"/>
              <w:rPr>
                <w:rFonts w:hint="default" w:ascii="微软雅黑" w:hAnsi="微软雅黑" w:eastAsia="微软雅黑" w:cs="微软雅黑"/>
                <w:color w:val="000000"/>
                <w:kern w:val="0"/>
                <w:sz w:val="24"/>
                <w:lang w:val="en-US" w:eastAsia="zh-CN"/>
              </w:rPr>
            </w:pPr>
            <w:r>
              <w:rPr>
                <w:rFonts w:hint="eastAsia" w:ascii="微软雅黑" w:hAnsi="微软雅黑" w:eastAsia="微软雅黑" w:cs="微软雅黑"/>
                <w:color w:val="000000"/>
                <w:kern w:val="0"/>
                <w:sz w:val="24"/>
                <w:lang w:val="en-US" w:eastAsia="zh-CN"/>
              </w:rPr>
              <w:t>10</w:t>
            </w:r>
          </w:p>
        </w:tc>
        <w:tc>
          <w:tcPr>
            <w:tcW w:w="1356"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质保期</w:t>
            </w:r>
          </w:p>
        </w:tc>
        <w:tc>
          <w:tcPr>
            <w:tcW w:w="6969" w:type="dxa"/>
            <w:vAlign w:val="center"/>
          </w:tcPr>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质保期满足招标文件两年的得1分，每增加一年加1分，最高得2分。（0-2分）</w:t>
            </w:r>
          </w:p>
        </w:tc>
        <w:tc>
          <w:tcPr>
            <w:tcW w:w="923" w:type="dxa"/>
            <w:vAlign w:val="center"/>
          </w:tcPr>
          <w:p>
            <w:pPr>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119" w:type="dxa"/>
            <w:vMerge w:val="continue"/>
            <w:vAlign w:val="center"/>
          </w:tcPr>
          <w:p>
            <w:pPr>
              <w:snapToGrid w:val="0"/>
              <w:spacing w:beforeLines="20" w:line="360" w:lineRule="exact"/>
              <w:jc w:val="left"/>
              <w:rPr>
                <w:rFonts w:ascii="微软雅黑" w:hAnsi="微软雅黑" w:eastAsia="微软雅黑" w:cs="微软雅黑"/>
                <w:color w:val="000000"/>
                <w:sz w:val="24"/>
              </w:rPr>
            </w:pPr>
          </w:p>
        </w:tc>
        <w:tc>
          <w:tcPr>
            <w:tcW w:w="525" w:type="dxa"/>
            <w:vAlign w:val="center"/>
          </w:tcPr>
          <w:p>
            <w:pPr>
              <w:tabs>
                <w:tab w:val="left" w:pos="8789"/>
              </w:tabs>
              <w:snapToGrid w:val="0"/>
              <w:spacing w:beforeLines="20" w:line="360" w:lineRule="exact"/>
              <w:jc w:val="center"/>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color w:val="000000"/>
                <w:kern w:val="0"/>
                <w:sz w:val="24"/>
              </w:rPr>
              <w:t>1</w:t>
            </w:r>
            <w:r>
              <w:rPr>
                <w:rFonts w:hint="eastAsia" w:ascii="微软雅黑" w:hAnsi="微软雅黑" w:eastAsia="微软雅黑" w:cs="微软雅黑"/>
                <w:color w:val="000000"/>
                <w:kern w:val="0"/>
                <w:sz w:val="24"/>
                <w:lang w:val="en-US" w:eastAsia="zh-CN"/>
              </w:rPr>
              <w:t>1</w:t>
            </w:r>
          </w:p>
        </w:tc>
        <w:tc>
          <w:tcPr>
            <w:tcW w:w="1356" w:type="dxa"/>
            <w:vAlign w:val="center"/>
          </w:tcPr>
          <w:p>
            <w:pPr>
              <w:tabs>
                <w:tab w:val="left" w:pos="8789"/>
              </w:tabs>
              <w:snapToGrid w:val="0"/>
              <w:spacing w:beforeLines="20" w:line="360" w:lineRule="exac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项目实施</w:t>
            </w:r>
          </w:p>
          <w:p>
            <w:pPr>
              <w:tabs>
                <w:tab w:val="left" w:pos="8789"/>
              </w:tabs>
              <w:snapToGrid w:val="0"/>
              <w:spacing w:beforeLines="20" w:line="360" w:lineRule="exac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方案</w:t>
            </w:r>
          </w:p>
        </w:tc>
        <w:tc>
          <w:tcPr>
            <w:tcW w:w="6969" w:type="dxa"/>
            <w:vAlign w:val="center"/>
          </w:tcPr>
          <w:p>
            <w:pPr>
              <w:snapToGrid w:val="0"/>
              <w:spacing w:beforeLines="20" w:line="360" w:lineRule="exact"/>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投标人针对水站提供完整的包含配水及预处理单元、控制单元、分析单元、留样单元、辅助单元等，具有合理、先进、完整的系统集成方案，具备智能化、标准化、流程化和可溯源的质量控制体系，确保采水、预处理、分析、质控、清洗以及数据采集和传输等环节的准确可靠。（0-4分）</w:t>
            </w:r>
          </w:p>
        </w:tc>
        <w:tc>
          <w:tcPr>
            <w:tcW w:w="923" w:type="dxa"/>
            <w:vAlign w:val="center"/>
          </w:tcPr>
          <w:p>
            <w:pPr>
              <w:snapToGrid w:val="0"/>
              <w:spacing w:beforeLines="20" w:line="360" w:lineRule="exact"/>
              <w:ind w:firstLine="120" w:firstLineChars="50"/>
              <w:rPr>
                <w:rFonts w:ascii="微软雅黑" w:hAnsi="微软雅黑" w:eastAsia="微软雅黑" w:cs="微软雅黑"/>
                <w:color w:val="000000"/>
                <w:sz w:val="24"/>
              </w:rPr>
            </w:pPr>
            <w:r>
              <w:rPr>
                <w:rFonts w:hint="eastAsia" w:ascii="微软雅黑" w:hAnsi="微软雅黑" w:eastAsia="微软雅黑" w:cs="微软雅黑"/>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119" w:type="dxa"/>
            <w:vMerge w:val="continue"/>
            <w:tcBorders>
              <w:bottom w:val="single" w:color="auto" w:sz="4" w:space="0"/>
            </w:tcBorders>
            <w:vAlign w:val="center"/>
          </w:tcPr>
          <w:p>
            <w:pPr>
              <w:snapToGrid w:val="0"/>
              <w:spacing w:beforeLines="20" w:line="360" w:lineRule="exact"/>
              <w:jc w:val="left"/>
              <w:rPr>
                <w:rFonts w:ascii="微软雅黑" w:hAnsi="微软雅黑" w:eastAsia="微软雅黑" w:cs="微软雅黑"/>
                <w:color w:val="000000"/>
                <w:sz w:val="24"/>
              </w:rPr>
            </w:pPr>
          </w:p>
        </w:tc>
        <w:tc>
          <w:tcPr>
            <w:tcW w:w="525" w:type="dxa"/>
            <w:tcBorders>
              <w:bottom w:val="single" w:color="auto" w:sz="4" w:space="0"/>
            </w:tcBorders>
            <w:vAlign w:val="center"/>
          </w:tcPr>
          <w:p>
            <w:pPr>
              <w:tabs>
                <w:tab w:val="left" w:pos="8789"/>
              </w:tabs>
              <w:snapToGrid w:val="0"/>
              <w:spacing w:line="360" w:lineRule="exact"/>
              <w:jc w:val="center"/>
              <w:rPr>
                <w:rFonts w:hint="eastAsia" w:ascii="微软雅黑" w:hAnsi="微软雅黑" w:eastAsia="微软雅黑" w:cs="微软雅黑"/>
                <w:sz w:val="24"/>
                <w:lang w:eastAsia="zh-CN"/>
              </w:rPr>
            </w:pPr>
            <w:r>
              <w:rPr>
                <w:rFonts w:hint="eastAsia" w:ascii="微软雅黑" w:hAnsi="微软雅黑" w:eastAsia="微软雅黑" w:cs="微软雅黑"/>
                <w:sz w:val="24"/>
              </w:rPr>
              <w:t>1</w:t>
            </w:r>
            <w:r>
              <w:rPr>
                <w:rFonts w:hint="eastAsia" w:ascii="微软雅黑" w:hAnsi="微软雅黑" w:eastAsia="微软雅黑" w:cs="微软雅黑"/>
                <w:sz w:val="24"/>
                <w:lang w:val="en-US" w:eastAsia="zh-CN"/>
              </w:rPr>
              <w:t>2</w:t>
            </w:r>
          </w:p>
        </w:tc>
        <w:tc>
          <w:tcPr>
            <w:tcW w:w="1356" w:type="dxa"/>
            <w:tcBorders>
              <w:bottom w:val="single" w:color="auto" w:sz="4" w:space="0"/>
            </w:tcBorders>
            <w:vAlign w:val="center"/>
          </w:tcPr>
          <w:p>
            <w:pPr>
              <w:tabs>
                <w:tab w:val="left" w:pos="8789"/>
              </w:tabs>
              <w:snapToGrid w:val="0"/>
              <w:spacing w:line="360" w:lineRule="exact"/>
              <w:jc w:val="center"/>
              <w:rPr>
                <w:rFonts w:ascii="微软雅黑" w:hAnsi="微软雅黑" w:eastAsia="微软雅黑" w:cs="微软雅黑"/>
                <w:kern w:val="0"/>
                <w:sz w:val="24"/>
              </w:rPr>
            </w:pPr>
            <w:r>
              <w:rPr>
                <w:rFonts w:hint="eastAsia" w:ascii="微软雅黑" w:hAnsi="微软雅黑" w:eastAsia="微软雅黑" w:cs="微软雅黑"/>
                <w:sz w:val="24"/>
              </w:rPr>
              <w:t>综合服务能力</w:t>
            </w:r>
          </w:p>
        </w:tc>
        <w:tc>
          <w:tcPr>
            <w:tcW w:w="6969" w:type="dxa"/>
            <w:tcBorders>
              <w:bottom w:val="single" w:color="auto" w:sz="4" w:space="0"/>
            </w:tcBorders>
            <w:vAlign w:val="center"/>
          </w:tcPr>
          <w:p>
            <w:pPr>
              <w:numPr>
                <w:ilvl w:val="0"/>
                <w:numId w:val="20"/>
              </w:numPr>
              <w:snapToGrid w:val="0"/>
              <w:spacing w:beforeLines="20" w:line="360" w:lineRule="exact"/>
              <w:jc w:val="left"/>
              <w:rPr>
                <w:rFonts w:ascii="微软雅黑" w:hAnsi="微软雅黑" w:eastAsia="微软雅黑" w:cs="微软雅黑"/>
                <w:sz w:val="24"/>
              </w:rPr>
            </w:pPr>
            <w:r>
              <w:rPr>
                <w:rFonts w:hint="eastAsia" w:ascii="微软雅黑" w:hAnsi="微软雅黑" w:eastAsia="微软雅黑" w:cs="微软雅黑"/>
                <w:sz w:val="24"/>
              </w:rPr>
              <w:t>评标委员会根据投标人的服务响应能力情况（包括但不限于备品、备件库；服务网点设置及车辆配置情况）进行评议。（0-2分）（满足1项得1分，提供服务网点的房产租赁合同及打款凭证）</w:t>
            </w:r>
          </w:p>
          <w:p>
            <w:pPr>
              <w:numPr>
                <w:ilvl w:val="0"/>
                <w:numId w:val="20"/>
              </w:numPr>
              <w:snapToGrid w:val="0"/>
              <w:spacing w:beforeLines="20" w:line="360" w:lineRule="exact"/>
              <w:jc w:val="left"/>
              <w:rPr>
                <w:rFonts w:ascii="微软雅黑" w:hAnsi="微软雅黑" w:eastAsia="微软雅黑" w:cs="微软雅黑"/>
                <w:sz w:val="24"/>
              </w:rPr>
            </w:pPr>
            <w:r>
              <w:rPr>
                <w:rFonts w:hint="eastAsia" w:ascii="微软雅黑" w:hAnsi="微软雅黑" w:eastAsia="微软雅黑" w:cs="微软雅黑"/>
                <w:sz w:val="24"/>
              </w:rPr>
              <w:t>投标人具有现场端信息系统（数据采集）运营服务认证资格的得2分。（0-2分）（提供相应佐证材料，未提供不得分）</w:t>
            </w:r>
          </w:p>
        </w:tc>
        <w:tc>
          <w:tcPr>
            <w:tcW w:w="923" w:type="dxa"/>
            <w:tcBorders>
              <w:bottom w:val="single" w:color="auto" w:sz="4" w:space="0"/>
            </w:tcBorders>
            <w:vAlign w:val="center"/>
          </w:tcPr>
          <w:p>
            <w:pPr>
              <w:snapToGrid w:val="0"/>
              <w:spacing w:beforeLines="20" w:line="360" w:lineRule="exact"/>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0-4分</w:t>
            </w:r>
          </w:p>
        </w:tc>
      </w:tr>
    </w:tbl>
    <w:p>
      <w:pPr>
        <w:pStyle w:val="26"/>
        <w:spacing w:before="120" w:line="360" w:lineRule="auto"/>
        <w:jc w:val="center"/>
        <w:textAlignment w:val="baseline"/>
        <w:rPr>
          <w:rFonts w:ascii="微软雅黑" w:hAnsi="微软雅黑" w:eastAsia="微软雅黑" w:cs="微软雅黑"/>
          <w:b/>
          <w:sz w:val="44"/>
          <w:szCs w:val="44"/>
        </w:rPr>
        <w:sectPr>
          <w:pgSz w:w="11906" w:h="16838"/>
          <w:pgMar w:top="1440" w:right="1800" w:bottom="1440" w:left="1800" w:header="851" w:footer="992" w:gutter="0"/>
          <w:pgNumType w:fmt="decimal"/>
          <w:cols w:space="720" w:num="1"/>
          <w:docGrid w:type="lines" w:linePitch="312" w:charSpace="0"/>
        </w:sectPr>
      </w:pPr>
    </w:p>
    <w:p>
      <w:pPr>
        <w:pStyle w:val="26"/>
        <w:spacing w:before="120" w:line="360" w:lineRule="auto"/>
        <w:jc w:val="center"/>
        <w:textAlignment w:val="baseline"/>
        <w:rPr>
          <w:rFonts w:ascii="微软雅黑" w:hAnsi="微软雅黑" w:eastAsia="微软雅黑" w:cs="微软雅黑"/>
          <w:b/>
          <w:sz w:val="44"/>
          <w:szCs w:val="44"/>
        </w:rPr>
      </w:pPr>
      <w:r>
        <w:rPr>
          <w:rFonts w:hint="eastAsia" w:ascii="微软雅黑" w:hAnsi="微软雅黑" w:eastAsia="微软雅黑" w:cs="微软雅黑"/>
          <w:b/>
          <w:sz w:val="44"/>
          <w:szCs w:val="44"/>
        </w:rPr>
        <w:t>第五章合同主要条款</w:t>
      </w:r>
    </w:p>
    <w:p>
      <w:pPr>
        <w:snapToGrid w:val="0"/>
        <w:spacing w:line="400" w:lineRule="exact"/>
        <w:jc w:val="center"/>
        <w:textAlignment w:val="baseline"/>
        <w:rPr>
          <w:rFonts w:ascii="微软雅黑" w:hAnsi="微软雅黑" w:eastAsia="微软雅黑" w:cs="微软雅黑"/>
          <w:sz w:val="24"/>
        </w:rPr>
      </w:pPr>
      <w:r>
        <w:rPr>
          <w:rFonts w:hint="eastAsia" w:ascii="微软雅黑" w:hAnsi="微软雅黑" w:eastAsia="微软雅黑" w:cs="微软雅黑"/>
          <w:sz w:val="24"/>
        </w:rPr>
        <w:t>（本合同仅供参考）</w:t>
      </w:r>
    </w:p>
    <w:p>
      <w:pPr>
        <w:snapToGrid w:val="0"/>
        <w:spacing w:line="360" w:lineRule="auto"/>
        <w:jc w:val="center"/>
        <w:textAlignment w:val="baseline"/>
        <w:rPr>
          <w:rFonts w:ascii="微软雅黑" w:hAnsi="微软雅黑" w:eastAsia="微软雅黑" w:cs="微软雅黑"/>
          <w:b/>
          <w:bCs/>
          <w:spacing w:val="-20"/>
          <w:sz w:val="24"/>
        </w:rPr>
      </w:pPr>
      <w:r>
        <w:rPr>
          <w:rFonts w:hint="eastAsia" w:ascii="微软雅黑" w:hAnsi="微软雅黑" w:eastAsia="微软雅黑" w:cs="微软雅黑"/>
          <w:b/>
          <w:bCs/>
          <w:spacing w:val="-20"/>
          <w:sz w:val="24"/>
        </w:rPr>
        <w:t>财政审批编号：湖财采确临【2022】   号；</w:t>
      </w:r>
    </w:p>
    <w:p>
      <w:pPr>
        <w:snapToGrid w:val="0"/>
        <w:spacing w:line="360" w:lineRule="auto"/>
        <w:jc w:val="center"/>
        <w:textAlignment w:val="baseline"/>
        <w:rPr>
          <w:rFonts w:ascii="微软雅黑" w:hAnsi="微软雅黑" w:eastAsia="微软雅黑" w:cs="微软雅黑"/>
          <w:b/>
          <w:bCs/>
          <w:spacing w:val="-20"/>
          <w:sz w:val="24"/>
        </w:rPr>
      </w:pPr>
      <w:r>
        <w:rPr>
          <w:rFonts w:hint="eastAsia" w:ascii="微软雅黑" w:hAnsi="微软雅黑" w:eastAsia="微软雅黑" w:cs="微软雅黑"/>
          <w:b/>
          <w:bCs/>
          <w:spacing w:val="-20"/>
          <w:sz w:val="24"/>
        </w:rPr>
        <w:t xml:space="preserve">招标文件编号：浙华采字【2022】hzf-7077号 </w:t>
      </w:r>
    </w:p>
    <w:p>
      <w:pPr>
        <w:pStyle w:val="84"/>
        <w:snapToGrid w:val="0"/>
        <w:ind w:firstLine="280"/>
        <w:textAlignment w:val="baseline"/>
        <w:rPr>
          <w:rFonts w:ascii="微软雅黑" w:hAnsi="微软雅黑" w:eastAsia="微软雅黑" w:cs="微软雅黑"/>
        </w:rPr>
      </w:pPr>
    </w:p>
    <w:p>
      <w:pPr>
        <w:snapToGrid w:val="0"/>
        <w:spacing w:line="44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 xml:space="preserve">项目名称： </w:t>
      </w:r>
    </w:p>
    <w:p>
      <w:pPr>
        <w:snapToGrid w:val="0"/>
        <w:spacing w:line="44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甲方：</w:t>
      </w:r>
    </w:p>
    <w:p>
      <w:pPr>
        <w:snapToGrid w:val="0"/>
        <w:spacing w:line="44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乙方：</w:t>
      </w:r>
    </w:p>
    <w:p>
      <w:pPr>
        <w:snapToGrid w:val="0"/>
        <w:spacing w:line="44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甲乙双方根据浙江华夏工程管理有限公司关于</w:t>
      </w:r>
      <w:r>
        <w:rPr>
          <w:rFonts w:hint="eastAsia" w:ascii="微软雅黑" w:hAnsi="微软雅黑" w:eastAsia="微软雅黑" w:cs="微软雅黑"/>
          <w:sz w:val="24"/>
          <w:u w:val="single"/>
        </w:rPr>
        <w:t>浙江省环境质量自动监测智能化建设项目</w:t>
      </w:r>
      <w:r>
        <w:rPr>
          <w:rFonts w:hint="eastAsia" w:ascii="微软雅黑" w:hAnsi="微软雅黑" w:eastAsia="微软雅黑" w:cs="微软雅黑"/>
          <w:sz w:val="24"/>
        </w:rPr>
        <w:t>招标的结果，签署本合同。</w:t>
      </w:r>
    </w:p>
    <w:bookmarkEnd w:id="80"/>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1.定义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本合同中的下列术语应解释为：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1.1“合同”系指供需双方签署的、合同格式中载明的供需双方所达成的协议，包括所有的附件、附录和构成合同的所有文件；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1.2“合同价”系指根据合同规定，采购人在供应商完全履行合同义务后应付给的价格；</w:t>
      </w:r>
    </w:p>
    <w:p>
      <w:pPr>
        <w:spacing w:line="440" w:lineRule="exact"/>
        <w:ind w:firstLine="480" w:firstLineChars="200"/>
        <w:jc w:val="left"/>
        <w:rPr>
          <w:rFonts w:ascii="微软雅黑" w:hAnsi="微软雅黑" w:eastAsia="微软雅黑" w:cs="微软雅黑"/>
          <w:sz w:val="24"/>
        </w:rPr>
      </w:pPr>
      <w:r>
        <w:rPr>
          <w:rFonts w:hint="eastAsia" w:ascii="微软雅黑" w:hAnsi="微软雅黑" w:eastAsia="微软雅黑" w:cs="微软雅黑"/>
          <w:sz w:val="24"/>
        </w:rPr>
        <w:t>1.3“货物”系指供应商根据合同规定向采购人提供的一切货物、质量保证书和其他技术资料及技术参数；</w:t>
      </w:r>
    </w:p>
    <w:p>
      <w:pPr>
        <w:spacing w:line="440" w:lineRule="exact"/>
        <w:ind w:firstLine="480" w:firstLineChars="200"/>
        <w:jc w:val="left"/>
        <w:rPr>
          <w:rFonts w:ascii="微软雅黑" w:hAnsi="微软雅黑" w:eastAsia="微软雅黑" w:cs="微软雅黑"/>
          <w:sz w:val="24"/>
        </w:rPr>
      </w:pPr>
      <w:r>
        <w:rPr>
          <w:rFonts w:hint="eastAsia" w:ascii="微软雅黑" w:hAnsi="微软雅黑" w:eastAsia="微软雅黑" w:cs="微软雅黑"/>
          <w:sz w:val="24"/>
        </w:rPr>
        <w:t>1.4“服务”系指根据合同规定供应商承担与供货有关的辅助服务，如运输、装卸、安装、保险以及其他的服务，例如安装、调试提供技术援助、培训和其他类似的义务；</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1.5“采购人”系指</w:t>
      </w:r>
      <w:r>
        <w:rPr>
          <w:rFonts w:hint="eastAsia" w:ascii="微软雅黑" w:hAnsi="微软雅黑" w:eastAsia="微软雅黑" w:cs="微软雅黑"/>
          <w:bCs/>
          <w:sz w:val="24"/>
        </w:rPr>
        <w:t>具体使用货物和接受服务的使用单位；</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1.6“供应商”系指根据合同规定提供采购项目货物和服务的具有法人资格的公司、企业或实体；</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1.7“财政审批编号”系指湖州市财政局审批编号。</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2.合同项目与内容</w:t>
      </w:r>
    </w:p>
    <w:p>
      <w:pPr>
        <w:spacing w:line="440" w:lineRule="exact"/>
        <w:ind w:firstLine="840" w:firstLineChars="350"/>
        <w:rPr>
          <w:rFonts w:ascii="微软雅黑" w:hAnsi="微软雅黑" w:eastAsia="微软雅黑" w:cs="微软雅黑"/>
          <w:sz w:val="24"/>
        </w:rPr>
      </w:pPr>
      <w:r>
        <w:rPr>
          <w:rFonts w:hint="eastAsia" w:ascii="微软雅黑" w:hAnsi="微软雅黑" w:eastAsia="微软雅黑" w:cs="微软雅黑"/>
          <w:sz w:val="24"/>
        </w:rPr>
        <w:t>XXXXXXX采购项目</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3.供货时间与交货地点</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供货时间：详见招标文件要求；</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供货地点：由采购单位指定。</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4.标准</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4.1国家有强制性标准的，执行国家强制性标准。</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4.2货物质量按最新颁发的国家标准执行；国家没有规定的按地方标准执行，国家与地方均没有的，按行业或厂商规定执行。国家、地方规定标准低于行业或厂商标准的按行业或厂商标准执行，就高不就低。</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5.技术规范</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本合同执行国家及本省、市现行施工及验收规范及有关条例、实施办法等。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提供和交付的货物及相关服务的技术规范应与招标文件规定的技术规范相一致。</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6.知识产权</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供应商保证所提供的服务及货物均不存在知识产权纠纷。供应商应保证采购人在使用时不受第三方提出侵犯其专利权、商标权等知识产权的诉讼。</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7.包装</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应商应提供货物运至合同规定的最终目的地所需要的包装，以防止货物在转运中损坏。这类包装应采取防潮、防晒、防锈防腐蚀、防震动及防止其他损坏的必要保护措施，从而保护货物能够经受多次搬运、装卸和内陆的长途运输。供应商应承担由于其包装或其防护措施不妥而引起货物锈蚀、损坏和丢失的任何损失的责任或费用。</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8.装运标记</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8.1供应商应在每一包装箱的四面用不可擦除的油漆和明显的中文字样做出以下标记：</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8.1.1收货人；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8.1.2合同号；</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8.1.3发货标记（唛头）；</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8.1.4收货人编号；</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8.1.5目的港；</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8.1.6货物名称、品目号和箱号；</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8.1.7毛重/净重（用kg表示）；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8.1.8尺寸（长×宽×高用cm表示）。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8.2如果单件包装箱的重量在2吨或2吨以上，供应商应在包装箱两侧用通用的运输标记标准“重心”和“起吊点”以便装卸和搬运。</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根据货物的特点和运输的不同要求，供应商应在包装箱上清楚地标注“小心轻放”，“此端朝上，请勿倒置”、“保持干燥”等标记。</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9.装卸要求</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除合同另有规定外，供应商提供的全部货物，均应按标准采取保护措施，确保货物安全无损运抵现场。由于装卸或运输途中一切不善所造成的损失均由供应商承担。</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10.装运条件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供应商负责安排运输，运输中的一切费用由供应商承担；</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11.装运通知</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供应商应在合同规定的装运日期之前，将合同号、货物名称、数量、箱数、总毛重、总体积（用m</w:t>
      </w:r>
      <w:r>
        <w:rPr>
          <w:rFonts w:hint="eastAsia" w:ascii="微软雅黑" w:hAnsi="微软雅黑" w:eastAsia="微软雅黑" w:cs="微软雅黑"/>
          <w:sz w:val="24"/>
          <w:vertAlign w:val="superscript"/>
        </w:rPr>
        <w:t>3</w:t>
      </w:r>
      <w:r>
        <w:rPr>
          <w:rFonts w:hint="eastAsia" w:ascii="微软雅黑" w:hAnsi="微软雅黑" w:eastAsia="微软雅黑" w:cs="微软雅黑"/>
          <w:sz w:val="24"/>
        </w:rPr>
        <w:t>表示）运输工具以传真形式通知采购人。具体安装时间以采购人通知为准。</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12.货物就位</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供应商负责所供货物就位，如受条件影响就位，供应商负责货物拆装，就位一切费用供应商负责。</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13.付款方法和条件</w:t>
      </w:r>
    </w:p>
    <w:p>
      <w:pPr>
        <w:spacing w:line="440" w:lineRule="exact"/>
        <w:ind w:firstLine="720" w:firstLineChars="300"/>
        <w:rPr>
          <w:rFonts w:ascii="微软雅黑" w:hAnsi="微软雅黑" w:eastAsia="微软雅黑" w:cs="微软雅黑"/>
          <w:bCs/>
          <w:color w:val="FF0000"/>
          <w:sz w:val="24"/>
        </w:rPr>
      </w:pPr>
      <w:r>
        <w:rPr>
          <w:rFonts w:hint="eastAsia" w:ascii="微软雅黑" w:hAnsi="微软雅黑" w:eastAsia="微软雅黑" w:cs="微软雅黑"/>
          <w:bCs/>
          <w:color w:val="FF0000"/>
          <w:sz w:val="24"/>
        </w:rPr>
        <w:t>签订合同后7个工作日内支付合同总额的40%，设备安装调试完成后以及通过验收后付设备款的60%。</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14.支付</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14.1支付应使用人民币；</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14.2提交下列单据后结算：</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14.2.1生产厂家出具的出厂合格证书和质量检验报告；</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14.2.2商业发票一份，其金额为合同约定的相应金额；</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14.2.3双方签字验收的验收证书一份。</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15.技术服务及货物的安装、调试</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15.1供应商应负责安排采购人相关人员进行操作、维修的培训。具体时间及培训内容在投标时由供应商提出建议；</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15.2合同所指的货物到达采购人工地现场后，供应商应在收到采购人通知后，派专业安装技术人员前往采购人现场进行安装调试，并提供详细的作业流程图及相关人数、技术级别、服务内容和逗留时间等；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15.3安装调试期间的一切费用由供应商自理。</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16.履约保证及售后服务</w:t>
      </w:r>
    </w:p>
    <w:p>
      <w:pPr>
        <w:spacing w:line="44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16.1 供应商应在签订本合同之日起x日内提供履约保证金x元，或提供由银行、保险公司出具保函形式提交履约保证金。</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16.2供应商应明确承诺售后服务各项内容和措施，提供详细的服务地点、联系人、电话等有关资料；</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16.3</w:t>
      </w:r>
      <w:r>
        <w:rPr>
          <w:rFonts w:hint="eastAsia" w:ascii="微软雅黑" w:hAnsi="微软雅黑" w:eastAsia="微软雅黑" w:cs="微软雅黑"/>
          <w:b/>
          <w:bCs/>
          <w:sz w:val="24"/>
        </w:rPr>
        <w:t>质保期：详见招标文件要求</w:t>
      </w:r>
      <w:r>
        <w:rPr>
          <w:rFonts w:hint="eastAsia" w:ascii="微软雅黑" w:hAnsi="微软雅黑" w:eastAsia="微软雅黑" w:cs="微软雅黑"/>
          <w:bCs/>
          <w:sz w:val="24"/>
        </w:rPr>
        <w:t>。在质保期内，因货物的维修和保养所发生的一切费用均由供应商承担；</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16.4货物签约的同时，双方可签订质保修期满后的维修保养协议或合同；</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16.5供应商在收到采购人维修通知后须按投标文件的承诺及时进行现场响应。</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16.6 在本合同履行完毕后，采购人扣除供应商在履约过程中产生的本合同涉及的相关赔偿金额后，在x日内将剩余履约保证金退还至供应商。</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17.备件</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sz w:val="24"/>
        </w:rPr>
        <w:t>正如合同条款所规定，供应商可能被要求提供下列与备件有关的材料、通知和资料：</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17.1采购人从供应商选购备件，但前提条件是该选择并不能免除供应商在合同保证期内所承担的义务；</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17.2在备件停产的情况下，供应商应事先将要停止生产的计划通知采购人使采购人有足够的时间采购所需的备件；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bCs/>
          <w:sz w:val="24"/>
        </w:rPr>
        <w:t>17.3在备件停产后，如果采购人要求，供应商应免费向采购人提供备件的蓝图等相关技术资料。</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18.技术质量保证</w:t>
      </w:r>
    </w:p>
    <w:p>
      <w:pPr>
        <w:spacing w:line="440" w:lineRule="exact"/>
        <w:ind w:firstLine="480" w:firstLineChars="200"/>
        <w:rPr>
          <w:rFonts w:ascii="微软雅黑" w:hAnsi="微软雅黑" w:eastAsia="微软雅黑" w:cs="微软雅黑"/>
          <w:spacing w:val="-4"/>
          <w:sz w:val="24"/>
        </w:rPr>
      </w:pPr>
      <w:r>
        <w:rPr>
          <w:rFonts w:hint="eastAsia" w:ascii="微软雅黑" w:hAnsi="微软雅黑" w:eastAsia="微软雅黑" w:cs="微软雅黑"/>
          <w:sz w:val="24"/>
        </w:rPr>
        <w:t>18.1</w:t>
      </w:r>
      <w:r>
        <w:rPr>
          <w:rFonts w:hint="eastAsia" w:ascii="微软雅黑" w:hAnsi="微软雅黑" w:eastAsia="微软雅黑" w:cs="微软雅黑"/>
          <w:spacing w:val="-4"/>
          <w:sz w:val="24"/>
        </w:rPr>
        <w:t>供应商应保证提供的货物是最近生产的原装合格正品，并完全符合规定的质量、规格和性能的要求。供应商应保证货物经过正确安装、正常使用和保养条件下，在其使用寿命内应具有满意的性能。</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18.2合同货物提交前，供应商应将其有关技术资料一套，如使用指南或服务手册和示意图提交给采购人；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18.3质保期以项目安装完毕并经采购人组织验收合格起计算；</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18.4供应商对提供的货物执行一定的保质期限，供应商应对保质期内由于货物的缺陷（非人为因素）而引发的任何不足负责，费用由供应商承担；</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18.5采购人应尽快以书面形式通知供应商由于货物缺陷而发生的索赔；</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18.6供应商在收到通知后3天内应免费更换有缺陷的材料；</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18.7如果供应商在收到通知后3天内没有弥补缺陷，采购人可采取必要的补救措施，但风险和费用将由供应商负责。</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19.检验和测试</w:t>
      </w:r>
    </w:p>
    <w:p>
      <w:pPr>
        <w:widowControl/>
        <w:autoSpaceDE w:val="0"/>
        <w:autoSpaceDN w:val="0"/>
        <w:spacing w:line="440" w:lineRule="exact"/>
        <w:ind w:firstLine="480" w:firstLineChars="200"/>
        <w:textAlignment w:val="bottom"/>
        <w:rPr>
          <w:rFonts w:ascii="微软雅黑" w:hAnsi="微软雅黑" w:eastAsia="微软雅黑" w:cs="微软雅黑"/>
          <w:sz w:val="24"/>
        </w:rPr>
      </w:pPr>
      <w:r>
        <w:rPr>
          <w:rFonts w:hint="eastAsia" w:ascii="微软雅黑" w:hAnsi="微软雅黑" w:eastAsia="微软雅黑" w:cs="微软雅黑"/>
          <w:sz w:val="24"/>
        </w:rPr>
        <w:t>19.1采购人或其代表应有权在生产阶段检验或测试货物，以确认货物是否符合合同规定的要求，并且不承担额外的费用。合同条款和技术规格应说明采购人要求进行的检验和测试。采购人应及时以书面形式把检验或采购人测试代表的身份通知供应商；</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19.2检验和测试应在货物的最终目的地进行；</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19.3如果任何被检验或测试的货物不能满足规定要求，采购人可以拒绝接受该货物，供应商应更换被拒绝的货物，或者免费进行必要的修改以满足规定的要求；</w:t>
      </w:r>
    </w:p>
    <w:p>
      <w:pPr>
        <w:widowControl/>
        <w:autoSpaceDE w:val="0"/>
        <w:autoSpaceDN w:val="0"/>
        <w:spacing w:line="440" w:lineRule="exact"/>
        <w:ind w:firstLine="480" w:firstLineChars="200"/>
        <w:textAlignment w:val="bottom"/>
        <w:rPr>
          <w:rFonts w:ascii="微软雅黑" w:hAnsi="微软雅黑" w:eastAsia="微软雅黑" w:cs="微软雅黑"/>
          <w:sz w:val="24"/>
        </w:rPr>
      </w:pPr>
      <w:r>
        <w:rPr>
          <w:rFonts w:hint="eastAsia" w:ascii="微软雅黑" w:hAnsi="微软雅黑" w:eastAsia="微软雅黑" w:cs="微软雅黑"/>
          <w:sz w:val="24"/>
        </w:rPr>
        <w:t>19.4 在交货前，供应商应指定制造商对货物的质量、规格、性能、数量和重量等进行详细而全面的检验，并出具一份证明货物符合合同规定的检验证书，检验证书是付款时提交给采购人的重要文件，但不能作为有关质量、规格、性能、数量或重量的最终检验。</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20.验收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采购人同意后，按双方商定的标准执行。</w:t>
      </w:r>
    </w:p>
    <w:p>
      <w:pPr>
        <w:widowControl/>
        <w:autoSpaceDE w:val="0"/>
        <w:autoSpaceDN w:val="0"/>
        <w:spacing w:line="440" w:lineRule="exact"/>
        <w:ind w:firstLine="480" w:firstLineChars="200"/>
        <w:textAlignment w:val="bottom"/>
        <w:rPr>
          <w:rFonts w:ascii="微软雅黑" w:hAnsi="微软雅黑" w:eastAsia="微软雅黑" w:cs="微软雅黑"/>
          <w:sz w:val="24"/>
        </w:rPr>
      </w:pPr>
      <w:r>
        <w:rPr>
          <w:rFonts w:hint="eastAsia" w:ascii="微软雅黑" w:hAnsi="微软雅黑" w:eastAsia="微软雅黑" w:cs="微软雅黑"/>
          <w:sz w:val="24"/>
        </w:rPr>
        <w:t>20.2 验收费用由供应商承担。</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21.索赔</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21.1如果供应商对货物偏差负有责任而采购人在合同条款规定的检验、安装、调试、验收和质量保证期内提出了索赔，供应商应按照采购人同意的下列一种或几种方式结合起来解决索赔事宜：</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21.1.1供应商同意退货并用合同规定的货币将货款退还给采购人，并承担由此发生的一切损失和费用，包括利息、银行手续费、运费、保险费、检验费、仓储费、装卸费以及为看管和保护退回货物等所需的直接费用，以及包括延误项目实施造成的经济损失；</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21.1.2根据货物的偏差情况、损坏程度以及采购人所遭受损失的金额，经供需双方商定降低货物的价格；</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21.1.3用符合合同规定的规格、质量和性能要求的新零件、部件和/或货物来更换有缺陷的部分和/或修补缺陷部分，供应商应承担一切费用和风险并负担采购人蒙受的全部直接损失费用，同时，供应商应按合同规定，相应延长所更换货物的质量保证期。</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21.1.4如果在采购人发出索赔通知后三十（30）天内，供应商未作答复，上述索赔应视为已被供应商接受，如供应商未能在采购人发出索赔通知后三十（30）天内或采购人同意的延长期限内，按照采购人同意的上述规定的任何一种方法解决索赔事宜，采购人将以合同付款或从供应商开具的履约保证金中扣回索赔金额。</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21.1.5如果在合同条款规定的保质期内，根据质量检验机构的检验结果，发现货物的质量或规格与合同要求不符，或货物被证实有缺陷、包括潜在的缺陷或使用不合适的材料，采购人应向供应商提出索赔； </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21.1.6合同条款的规定不能免除供应商在本合同项下的保证义务或其他义务。</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22.迟延交货</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22.1采购人的“供货计划一览表”在合同签订的同时提交给供应商。供应商需按照采购人提供的“供货计划一览表”中规定的时间、数量交货和提供服务；</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22.2在供货期间，如遇中标货物型号停产或市场断货，供应商可在不改变品牌并获取采购人书面同意后提供相当于（或优于）中标货物技术性能、档次的替代产品；</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22.3如果供应商毫无理由地拖延交货，将受到以下制裁：赔偿损失或终止合同；</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22.4在履行合同过程中，如果供应商遇到不能按时交货和提供服务的情况，应及时以书面形式将不能按时交货的理由、延误时间通知采购人，并承担由此造成的法律和经济责任；</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22.5供应商按照“供货计划一览表”中规定的时间、数量如期供货，采购人由于自身原因无法及时验收，造成货物积压，采购人应赔偿由此给供应商所造成的直接损失费用。</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23.不可抗力</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23.1如果双方任何一方由于严重火灾、水灾、台风和地震以及其他经双方同意属于不可抗力的事故，致使影响合同履行时，履行合同的期限应予以延长，延长的期限应相当于事故所影响的时间；</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23.2受事故影响的一方应在不可抗力发生后3天内以电报或电传通知另一方，并在事故发生后14天内，将有关部门出具的证明文件寄给另一方。</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24.税</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本合同执行中相关的一切税费均由供应商负担。</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25.供应商履约延误</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25.1供应商应按照“供货计划一览表”中采购人规定的时间表交货和提供服务；</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25.2在履行合同过程中，如果供应商不能按时交货和提供服务的情况时，应及时以书面形式将拖延的事实、可能拖延的时间和原因通知采购人。采购人在收到供应商通知后，应尽快对情况进行评价，并确定是否同意延长交货时间以及是否收取误期赔偿费。延期应通过修改合同的方式由双方认可；</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25.3除了合同条款规定的情况外，除非拖延是根据合同条款的规定并取得双方同意而不收取误期赔偿费之外，供应商延误交货将按合同条款的规定被收取误期赔偿费。</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26.误期赔偿费</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除了合同条款规定的情况外，如果供应商没有按照合同规定的时间交货和提供服务，采购人应在不影响合同项下的其他补救措施的情况下，以合同价款中扣除误期赔偿费。延期10天以内每延期一天扣罚合同价款的百分之零点五（0.5%），延期10天以上每延期一天扣罚合同价款的百分之一（1%），累计在履约保证金中扣除，若履约保证金扣完不够，继续从合同价款中扣除。</w:t>
      </w:r>
    </w:p>
    <w:p>
      <w:pPr>
        <w:spacing w:line="440" w:lineRule="exact"/>
        <w:rPr>
          <w:rFonts w:ascii="微软雅黑" w:hAnsi="微软雅黑" w:eastAsia="微软雅黑" w:cs="微软雅黑"/>
          <w:sz w:val="24"/>
        </w:rPr>
      </w:pPr>
      <w:r>
        <w:rPr>
          <w:rFonts w:hint="eastAsia" w:ascii="微软雅黑" w:hAnsi="微软雅黑" w:eastAsia="微软雅黑" w:cs="微软雅黑"/>
          <w:sz w:val="24"/>
        </w:rPr>
        <w:t>27.违约责任</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27.1 采购人无正当理由拒收接受货物的，采购人向供应商偿付合同款项百分之五作为违约金。</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27.2 采购人无故逾期验收和办理款项支付手续的，采购人应按逾期付款总额每日万分之五向供应商支付违约金。</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27.3 供应商不按约定时间提供采购项目对应的货物的，每日向采购人支付千分之x违约金。逾期提供货物超过约定日期10个工作日的，采购人可解除本合同。供应商因逾期提供货物或因其他违约行为导致采购人解除合同的，供应商应向采购人支付合同总值5%的违约金，如造成采购人损失超过违约金的，超出部分由供应商继续承担赔偿责任。</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27.4</w:t>
      </w:r>
      <w:r>
        <w:rPr>
          <w:rFonts w:hint="eastAsia" w:ascii="微软雅黑" w:hAnsi="微软雅黑" w:eastAsia="微软雅黑" w:cs="微软雅黑"/>
          <w:sz w:val="24"/>
        </w:rPr>
        <w:t>如供应商提供的货物存在知识产权纠纷而导致本合同无法继续履行，在采购人发函要求解决相关知识产权问题后x日内仍未解决的，则采购人有权单方终止本合同的履行，并要求供应商承担相应赔偿责任。</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28.合同终止</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28.1在采购人对供应商违约而采取的任何补救措施不受影响的情况下，采购人可向供应商发出书面违约通知书，并有权单方终止部分或全部合同；</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28.2下列情形下，采购人有权单方终止本协议的部分或全部：</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28.2.1如果供应商未能在合同规定的期限内或采购人根据合同条款的规定同意延长的期限内提供部分或全部货物；</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28.2.3如果供应商未能履行合同规定的其他任何义务；</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28.2.4如果采购人认为供应商在本招投标竞争和合同实施过程中有腐败和欺诈行为。为此目的，定义下述条件：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 “腐败行为”是指提供、给予、接受或索取任何有价值的物品来影响公共官员在采购过程或合同实施过程中的行为；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 “欺诈行为”是指为了影响采购过程或合同实施过程而谎报事实，损害采购人利益的行为。</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28.3如果采购人根据合同条款的规定，终止了全部或部分合同，采购人可以依其认为适当的条件和方法购买与未交货物类似的货物，供应商应对购买类似货物所超出的那部分费用负责。但是，供应商应继续执行合同中未终止的部分。</w:t>
      </w:r>
    </w:p>
    <w:p>
      <w:pPr>
        <w:spacing w:line="440" w:lineRule="exact"/>
        <w:rPr>
          <w:rFonts w:ascii="微软雅黑" w:hAnsi="微软雅黑" w:eastAsia="微软雅黑" w:cs="微软雅黑"/>
          <w:sz w:val="24"/>
        </w:rPr>
      </w:pP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29.争议解决</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29.1在执行本合同中所发生的或与本合同有关的一切争端，合同双方应通过友好协商解决，经过协商仍不能解决，双方选择通过下列第x种方式解决：</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（1）将争端提交湖州仲裁委员会仲裁</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（2）直接向采购人所在地有管辖权的人民法院起诉。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29.2仲裁费用或诉讼费用应由败诉方负担。</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29.3在仲裁或诉讼期间，除进行仲裁或诉讼的部分外，本合同其他部分应继续执行。</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30.转让或分包</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29.1本合同范围的货物，应由供应商直接供应，不得转让他人供应；</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29.2除非得到采购人的书面同意后，供应商可以将其中部分依法分包给他人供应和实施。采购人有绝对权力阻止分包。虽然采购人之前未有阻止分包，采购人仍有权抛弃任何分包人，并有权要求任何分包人脱离本货物的供应和服务；</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29.3本合同全部或部分的分包不能减轻供应商承担的责任，供应商仍须将分包人的任何行动、错误或疏忽当作是自己完成的并负全责；</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29.4在任何分包合同中，须注明分包人按分包合同的范围履行，在供应商按本合同的履行终止时（不论任何原因），亦同时一并终止；</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29.5如有转让和未经采购人同意的分包行为，采购人有权给予终止合同。</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31.适用法律</w:t>
      </w:r>
    </w:p>
    <w:p>
      <w:pPr>
        <w:spacing w:line="440" w:lineRule="exact"/>
        <w:ind w:firstLine="448" w:firstLineChars="200"/>
        <w:rPr>
          <w:rFonts w:ascii="微软雅黑" w:hAnsi="微软雅黑" w:eastAsia="微软雅黑" w:cs="微软雅黑"/>
          <w:spacing w:val="-8"/>
          <w:sz w:val="24"/>
        </w:rPr>
      </w:pPr>
      <w:r>
        <w:rPr>
          <w:rFonts w:hint="eastAsia" w:ascii="微软雅黑" w:hAnsi="微软雅黑" w:eastAsia="微软雅黑" w:cs="微软雅黑"/>
          <w:spacing w:val="-8"/>
          <w:sz w:val="24"/>
        </w:rPr>
        <w:t>合同适用法律有《中华人民共和国政府采购法》、《中华人民共和国民法典》、《中华人民共和国产品质量法》和浙江省有关条例等。</w:t>
      </w:r>
    </w:p>
    <w:p>
      <w:pPr>
        <w:spacing w:line="440" w:lineRule="exact"/>
        <w:rPr>
          <w:rFonts w:ascii="微软雅黑" w:hAnsi="微软雅黑" w:eastAsia="微软雅黑" w:cs="微软雅黑"/>
          <w:b/>
          <w:bCs/>
          <w:sz w:val="24"/>
        </w:rPr>
      </w:pPr>
      <w:r>
        <w:rPr>
          <w:rFonts w:hint="eastAsia" w:ascii="微软雅黑" w:hAnsi="微软雅黑" w:eastAsia="微软雅黑" w:cs="微软雅黑"/>
          <w:b/>
          <w:bCs/>
          <w:sz w:val="24"/>
        </w:rPr>
        <w:t>32.合同生效及其他</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31.1本合同经双方法人及法定代表人签字盖章生效；</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31.2本合同一式四份，供应商、采购人各执二份。</w:t>
      </w:r>
    </w:p>
    <w:p>
      <w:pPr>
        <w:pStyle w:val="9"/>
        <w:snapToGrid w:val="0"/>
        <w:spacing w:before="195"/>
        <w:ind w:left="0" w:right="757" w:firstLine="0"/>
        <w:jc w:val="both"/>
        <w:textAlignment w:val="baseline"/>
        <w:rPr>
          <w:rFonts w:ascii="微软雅黑" w:hAnsi="微软雅黑" w:eastAsia="微软雅黑" w:cs="微软雅黑"/>
        </w:rPr>
      </w:pPr>
    </w:p>
    <w:p>
      <w:pPr>
        <w:adjustRightInd w:val="0"/>
        <w:snapToGrid w:val="0"/>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需方（公章）:                        供方（公章）:</w:t>
      </w:r>
    </w:p>
    <w:p>
      <w:pPr>
        <w:adjustRightInd w:val="0"/>
        <w:snapToGrid w:val="0"/>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法定代表人或授权代表人（签字）:         法定代表人或授权代表人（签字）:</w:t>
      </w:r>
    </w:p>
    <w:p>
      <w:pPr>
        <w:adjustRightInd w:val="0"/>
        <w:snapToGrid w:val="0"/>
        <w:spacing w:line="360" w:lineRule="auto"/>
        <w:rPr>
          <w:rFonts w:ascii="微软雅黑" w:hAnsi="微软雅黑" w:eastAsia="微软雅黑" w:cs="微软雅黑"/>
          <w:sz w:val="24"/>
          <w:u w:val="single"/>
        </w:rPr>
      </w:pPr>
      <w:r>
        <w:rPr>
          <w:rFonts w:hint="eastAsia" w:ascii="微软雅黑" w:hAnsi="微软雅黑" w:eastAsia="微软雅黑" w:cs="微软雅黑"/>
          <w:sz w:val="24"/>
        </w:rPr>
        <w:t>地址：                               地址：</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联系人：                             联系人：</w:t>
      </w:r>
    </w:p>
    <w:p>
      <w:pPr>
        <w:adjustRightInd w:val="0"/>
        <w:snapToGrid w:val="0"/>
        <w:spacing w:line="360" w:lineRule="auto"/>
        <w:rPr>
          <w:rFonts w:ascii="微软雅黑" w:hAnsi="微软雅黑" w:eastAsia="微软雅黑" w:cs="微软雅黑"/>
          <w:sz w:val="24"/>
          <w:u w:val="single"/>
        </w:rPr>
      </w:pPr>
      <w:r>
        <w:rPr>
          <w:rFonts w:hint="eastAsia" w:ascii="微软雅黑" w:hAnsi="微软雅黑" w:eastAsia="微软雅黑" w:cs="微软雅黑"/>
          <w:sz w:val="24"/>
        </w:rPr>
        <w:t>电话：                                电话：</w:t>
      </w:r>
    </w:p>
    <w:p>
      <w:pPr>
        <w:adjustRightInd w:val="0"/>
        <w:snapToGrid w:val="0"/>
        <w:spacing w:line="360" w:lineRule="auto"/>
        <w:rPr>
          <w:rFonts w:ascii="微软雅黑" w:hAnsi="微软雅黑" w:eastAsia="微软雅黑" w:cs="微软雅黑"/>
          <w:sz w:val="24"/>
          <w:u w:val="single"/>
        </w:rPr>
      </w:pPr>
      <w:r>
        <w:rPr>
          <w:rFonts w:hint="eastAsia" w:ascii="微软雅黑" w:hAnsi="微软雅黑" w:eastAsia="微软雅黑" w:cs="微软雅黑"/>
          <w:sz w:val="24"/>
        </w:rPr>
        <w:t>传真：                                传真：</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邮编：                               邮编：</w:t>
      </w:r>
    </w:p>
    <w:p>
      <w:pPr>
        <w:adjustRightInd w:val="0"/>
        <w:snapToGrid w:val="0"/>
        <w:spacing w:line="360" w:lineRule="auto"/>
        <w:rPr>
          <w:rFonts w:ascii="微软雅黑" w:hAnsi="微软雅黑" w:eastAsia="微软雅黑" w:cs="微软雅黑"/>
          <w:b/>
          <w:sz w:val="24"/>
        </w:rPr>
      </w:pPr>
      <w:r>
        <w:rPr>
          <w:rFonts w:hint="eastAsia" w:ascii="微软雅黑" w:hAnsi="微软雅黑" w:eastAsia="微软雅黑" w:cs="微软雅黑"/>
          <w:sz w:val="24"/>
        </w:rPr>
        <w:t>日期：</w:t>
      </w:r>
      <w:r>
        <w:rPr>
          <w:rFonts w:hint="eastAsia" w:ascii="微软雅黑" w:hAnsi="微软雅黑" w:eastAsia="微软雅黑" w:cs="微软雅黑"/>
          <w:sz w:val="24"/>
          <w:u w:val="single"/>
        </w:rPr>
        <w:t xml:space="preserve">      年      月      日</w:t>
      </w:r>
      <w:r>
        <w:rPr>
          <w:rFonts w:hint="eastAsia" w:ascii="微软雅黑" w:hAnsi="微软雅黑" w:eastAsia="微软雅黑" w:cs="微软雅黑"/>
          <w:sz w:val="24"/>
        </w:rPr>
        <w:t xml:space="preserve">      日期：</w:t>
      </w:r>
      <w:r>
        <w:rPr>
          <w:rFonts w:hint="eastAsia" w:ascii="微软雅黑" w:hAnsi="微软雅黑" w:eastAsia="微软雅黑" w:cs="微软雅黑"/>
          <w:sz w:val="24"/>
          <w:u w:val="single"/>
        </w:rPr>
        <w:t xml:space="preserve">       年      月     日</w:t>
      </w:r>
    </w:p>
    <w:p>
      <w:pPr>
        <w:rPr>
          <w:rFonts w:ascii="微软雅黑" w:hAnsi="微软雅黑" w:eastAsia="微软雅黑" w:cs="微软雅黑"/>
          <w:b/>
          <w:sz w:val="24"/>
        </w:rPr>
      </w:pPr>
    </w:p>
    <w:p>
      <w:pPr>
        <w:rPr>
          <w:rFonts w:ascii="微软雅黑" w:hAnsi="微软雅黑" w:eastAsia="微软雅黑" w:cs="微软雅黑"/>
          <w:b/>
          <w:sz w:val="24"/>
        </w:rPr>
      </w:pPr>
      <w:r>
        <w:rPr>
          <w:rFonts w:hint="eastAsia" w:ascii="微软雅黑" w:hAnsi="微软雅黑" w:eastAsia="微软雅黑" w:cs="微软雅黑"/>
          <w:b/>
          <w:sz w:val="24"/>
        </w:rPr>
        <w:br w:type="page"/>
      </w:r>
    </w:p>
    <w:p>
      <w:pPr>
        <w:rPr>
          <w:rFonts w:ascii="微软雅黑" w:hAnsi="微软雅黑" w:eastAsia="微软雅黑" w:cs="微软雅黑"/>
          <w:b/>
          <w:sz w:val="24"/>
        </w:rPr>
      </w:pPr>
      <w:r>
        <w:rPr>
          <w:rFonts w:hint="eastAsia" w:ascii="微软雅黑" w:hAnsi="微软雅黑" w:eastAsia="微软雅黑" w:cs="微软雅黑"/>
          <w:b/>
          <w:sz w:val="24"/>
        </w:rPr>
        <w:t>（本章仅提供部分标准通用表格，其余请根据招标文件要求格式自拟。）</w:t>
      </w:r>
    </w:p>
    <w:p>
      <w:pPr>
        <w:snapToGrid w:val="0"/>
        <w:spacing w:before="156" w:after="50"/>
        <w:textAlignment w:val="baseline"/>
        <w:rPr>
          <w:rFonts w:ascii="微软雅黑" w:hAnsi="微软雅黑" w:eastAsia="微软雅黑" w:cs="微软雅黑"/>
          <w:b/>
          <w:bCs/>
          <w:sz w:val="20"/>
          <w:szCs w:val="28"/>
        </w:rPr>
      </w:pPr>
    </w:p>
    <w:p>
      <w:pPr>
        <w:snapToGrid w:val="0"/>
        <w:spacing w:before="156" w:after="50"/>
        <w:textAlignment w:val="baseline"/>
        <w:rPr>
          <w:rFonts w:ascii="微软雅黑" w:hAnsi="微软雅黑" w:eastAsia="微软雅黑" w:cs="微软雅黑"/>
          <w:b/>
          <w:sz w:val="20"/>
          <w:szCs w:val="28"/>
        </w:rPr>
      </w:pPr>
      <w:r>
        <w:rPr>
          <w:rFonts w:hint="eastAsia" w:ascii="微软雅黑" w:hAnsi="微软雅黑" w:eastAsia="微软雅黑" w:cs="微软雅黑"/>
          <w:b/>
          <w:szCs w:val="21"/>
        </w:rPr>
        <w:t>资格证明文件</w:t>
      </w:r>
      <w:r>
        <w:rPr>
          <w:rFonts w:ascii="微软雅黑" w:hAnsi="微软雅黑" w:eastAsia="微软雅黑" w:cs="微软雅黑"/>
          <w:b/>
          <w:szCs w:val="21"/>
        </w:rPr>
        <w:t>/</w:t>
      </w:r>
      <w:r>
        <w:rPr>
          <w:rFonts w:hint="eastAsia" w:ascii="微软雅黑" w:hAnsi="微软雅黑" w:eastAsia="微软雅黑" w:cs="微软雅黑"/>
          <w:b/>
          <w:szCs w:val="21"/>
        </w:rPr>
        <w:t>技术、商务、资信及其他文件</w:t>
      </w:r>
      <w:r>
        <w:rPr>
          <w:rFonts w:ascii="微软雅黑" w:hAnsi="微软雅黑" w:eastAsia="微软雅黑" w:cs="微软雅黑"/>
          <w:b/>
          <w:szCs w:val="21"/>
        </w:rPr>
        <w:t>/</w:t>
      </w:r>
      <w:r>
        <w:rPr>
          <w:rFonts w:hint="eastAsia" w:ascii="微软雅黑" w:hAnsi="微软雅黑" w:eastAsia="微软雅黑" w:cs="微软雅黑"/>
          <w:b/>
          <w:szCs w:val="21"/>
        </w:rPr>
        <w:t>报价文件封面格式：</w:t>
      </w:r>
    </w:p>
    <w:p>
      <w:pPr>
        <w:pStyle w:val="84"/>
        <w:snapToGrid w:val="0"/>
        <w:ind w:firstLine="280"/>
        <w:textAlignment w:val="baseline"/>
        <w:rPr>
          <w:rFonts w:ascii="微软雅黑" w:hAnsi="微软雅黑" w:eastAsia="微软雅黑" w:cs="微软雅黑"/>
          <w:b/>
          <w:bCs/>
          <w:szCs w:val="28"/>
        </w:rPr>
      </w:pPr>
    </w:p>
    <w:p>
      <w:pPr>
        <w:pStyle w:val="84"/>
        <w:snapToGrid w:val="0"/>
        <w:ind w:firstLine="280"/>
        <w:textAlignment w:val="baseline"/>
        <w:rPr>
          <w:rFonts w:ascii="微软雅黑" w:hAnsi="微软雅黑" w:eastAsia="微软雅黑" w:cs="微软雅黑"/>
          <w:b/>
          <w:bCs/>
          <w:szCs w:val="28"/>
        </w:rPr>
      </w:pPr>
    </w:p>
    <w:p>
      <w:pPr>
        <w:snapToGrid w:val="0"/>
        <w:spacing w:line="360" w:lineRule="auto"/>
        <w:jc w:val="center"/>
        <w:textAlignment w:val="baseline"/>
        <w:rPr>
          <w:rFonts w:ascii="微软雅黑" w:hAnsi="微软雅黑" w:eastAsia="微软雅黑" w:cs="微软雅黑"/>
          <w:b/>
          <w:sz w:val="44"/>
          <w:szCs w:val="44"/>
        </w:rPr>
      </w:pPr>
      <w:r>
        <w:rPr>
          <w:rFonts w:hint="eastAsia" w:ascii="微软雅黑" w:hAnsi="微软雅黑" w:eastAsia="微软雅黑" w:cs="微软雅黑"/>
          <w:bCs/>
          <w:sz w:val="44"/>
          <w:szCs w:val="44"/>
        </w:rPr>
        <w:t>浙江省环境质量自动监测智能化建设项目</w:t>
      </w:r>
    </w:p>
    <w:p>
      <w:pPr>
        <w:snapToGrid w:val="0"/>
        <w:spacing w:before="156" w:after="50"/>
        <w:textAlignment w:val="baseline"/>
        <w:rPr>
          <w:rFonts w:ascii="微软雅黑" w:hAnsi="微软雅黑" w:eastAsia="微软雅黑" w:cs="微软雅黑"/>
          <w:sz w:val="24"/>
          <w:szCs w:val="20"/>
        </w:rPr>
      </w:pPr>
    </w:p>
    <w:p>
      <w:pPr>
        <w:snapToGrid w:val="0"/>
        <w:spacing w:before="156" w:after="50"/>
        <w:jc w:val="center"/>
        <w:textAlignment w:val="baseline"/>
        <w:rPr>
          <w:rFonts w:ascii="微软雅黑" w:hAnsi="微软雅黑" w:eastAsia="微软雅黑" w:cs="微软雅黑"/>
          <w:bCs/>
          <w:sz w:val="24"/>
          <w:szCs w:val="20"/>
        </w:rPr>
      </w:pPr>
    </w:p>
    <w:p>
      <w:pPr>
        <w:snapToGrid w:val="0"/>
        <w:spacing w:before="156" w:after="50"/>
        <w:jc w:val="center"/>
        <w:textAlignment w:val="baseline"/>
        <w:rPr>
          <w:rFonts w:ascii="微软雅黑" w:hAnsi="微软雅黑" w:eastAsia="微软雅黑" w:cs="微软雅黑"/>
          <w:bCs/>
          <w:sz w:val="30"/>
          <w:szCs w:val="30"/>
        </w:rPr>
      </w:pPr>
      <w:r>
        <w:rPr>
          <w:rFonts w:hint="eastAsia" w:ascii="微软雅黑" w:hAnsi="微软雅黑" w:eastAsia="微软雅黑" w:cs="微软雅黑"/>
          <w:bCs/>
          <w:sz w:val="30"/>
          <w:szCs w:val="30"/>
        </w:rPr>
        <w:t>资格文件</w:t>
      </w:r>
      <w:r>
        <w:rPr>
          <w:rFonts w:ascii="微软雅黑" w:hAnsi="微软雅黑" w:eastAsia="微软雅黑" w:cs="微软雅黑"/>
          <w:bCs/>
          <w:sz w:val="30"/>
          <w:szCs w:val="30"/>
        </w:rPr>
        <w:t>/</w:t>
      </w:r>
      <w:r>
        <w:rPr>
          <w:rFonts w:hint="eastAsia" w:ascii="微软雅黑" w:hAnsi="微软雅黑" w:eastAsia="微软雅黑" w:cs="微软雅黑"/>
          <w:bCs/>
          <w:sz w:val="30"/>
          <w:szCs w:val="30"/>
        </w:rPr>
        <w:t>技术、商务、资信及其他部分文件</w:t>
      </w:r>
      <w:r>
        <w:rPr>
          <w:rFonts w:ascii="微软雅黑" w:hAnsi="微软雅黑" w:eastAsia="微软雅黑" w:cs="微软雅黑"/>
          <w:bCs/>
          <w:sz w:val="30"/>
          <w:szCs w:val="30"/>
        </w:rPr>
        <w:t>/</w:t>
      </w:r>
      <w:r>
        <w:rPr>
          <w:rFonts w:hint="eastAsia" w:ascii="微软雅黑" w:hAnsi="微软雅黑" w:eastAsia="微软雅黑" w:cs="微软雅黑"/>
          <w:bCs/>
          <w:sz w:val="30"/>
          <w:szCs w:val="30"/>
        </w:rPr>
        <w:t>报价文件</w:t>
      </w:r>
    </w:p>
    <w:p>
      <w:pPr>
        <w:snapToGrid w:val="0"/>
        <w:spacing w:before="156" w:after="50"/>
        <w:jc w:val="center"/>
        <w:textAlignment w:val="baseline"/>
        <w:rPr>
          <w:rFonts w:ascii="微软雅黑" w:hAnsi="微软雅黑" w:eastAsia="微软雅黑" w:cs="微软雅黑"/>
          <w:bCs/>
          <w:sz w:val="30"/>
          <w:szCs w:val="30"/>
        </w:rPr>
      </w:pPr>
    </w:p>
    <w:p>
      <w:pPr>
        <w:snapToGrid w:val="0"/>
        <w:spacing w:before="156" w:after="50"/>
        <w:jc w:val="center"/>
        <w:textAlignment w:val="baseline"/>
        <w:rPr>
          <w:rFonts w:ascii="微软雅黑" w:hAnsi="微软雅黑" w:eastAsia="微软雅黑" w:cs="微软雅黑"/>
          <w:bCs/>
          <w:sz w:val="24"/>
          <w:szCs w:val="20"/>
        </w:rPr>
      </w:pPr>
    </w:p>
    <w:p>
      <w:pPr>
        <w:snapToGrid w:val="0"/>
        <w:spacing w:before="156" w:after="50"/>
        <w:jc w:val="center"/>
        <w:textAlignment w:val="baseline"/>
        <w:rPr>
          <w:rFonts w:ascii="微软雅黑" w:hAnsi="微软雅黑" w:eastAsia="微软雅黑" w:cs="微软雅黑"/>
          <w:bCs/>
          <w:sz w:val="24"/>
          <w:szCs w:val="20"/>
        </w:rPr>
      </w:pPr>
    </w:p>
    <w:p>
      <w:pPr>
        <w:snapToGrid w:val="0"/>
        <w:spacing w:before="156" w:after="156" w:line="500" w:lineRule="exact"/>
        <w:ind w:firstLine="1120" w:firstLineChars="400"/>
        <w:textAlignment w:val="baseline"/>
        <w:rPr>
          <w:rFonts w:ascii="微软雅黑" w:hAnsi="微软雅黑" w:eastAsia="微软雅黑" w:cs="微软雅黑"/>
          <w:bCs/>
          <w:sz w:val="20"/>
          <w:szCs w:val="21"/>
          <w:u w:val="single"/>
        </w:rPr>
      </w:pPr>
      <w:r>
        <w:rPr>
          <w:rFonts w:hint="eastAsia" w:ascii="微软雅黑" w:hAnsi="微软雅黑" w:eastAsia="微软雅黑" w:cs="微软雅黑"/>
          <w:bCs/>
          <w:szCs w:val="21"/>
        </w:rPr>
        <w:t>项目名称：</w:t>
      </w:r>
    </w:p>
    <w:p>
      <w:pPr>
        <w:snapToGrid w:val="0"/>
        <w:spacing w:before="156" w:after="156" w:line="500" w:lineRule="exact"/>
        <w:ind w:firstLine="1120" w:firstLineChars="400"/>
        <w:textAlignment w:val="baseline"/>
        <w:rPr>
          <w:rFonts w:ascii="微软雅黑" w:hAnsi="微软雅黑" w:eastAsia="微软雅黑" w:cs="微软雅黑"/>
          <w:bCs/>
          <w:sz w:val="20"/>
          <w:szCs w:val="21"/>
          <w:u w:val="single"/>
        </w:rPr>
      </w:pPr>
      <w:r>
        <w:rPr>
          <w:rFonts w:hint="eastAsia" w:ascii="微软雅黑" w:hAnsi="微软雅黑" w:eastAsia="微软雅黑" w:cs="微软雅黑"/>
          <w:bCs/>
          <w:szCs w:val="21"/>
        </w:rPr>
        <w:t>项目编号：</w:t>
      </w:r>
    </w:p>
    <w:p>
      <w:pPr>
        <w:snapToGrid w:val="0"/>
        <w:spacing w:before="156" w:after="156" w:line="500" w:lineRule="exact"/>
        <w:ind w:firstLine="1120" w:firstLineChars="4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投标人名称（盖章）：</w:t>
      </w:r>
    </w:p>
    <w:p>
      <w:pPr>
        <w:snapToGrid w:val="0"/>
        <w:spacing w:before="156" w:after="156" w:line="500" w:lineRule="exact"/>
        <w:ind w:firstLine="1120" w:firstLineChars="4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投标人地址：</w:t>
      </w:r>
    </w:p>
    <w:p>
      <w:pPr>
        <w:snapToGrid w:val="0"/>
        <w:spacing w:before="156" w:after="156" w:line="500" w:lineRule="exact"/>
        <w:ind w:firstLine="1120" w:firstLineChars="400"/>
        <w:textAlignment w:val="baseline"/>
        <w:rPr>
          <w:rFonts w:ascii="微软雅黑" w:hAnsi="微软雅黑" w:eastAsia="微软雅黑" w:cs="微软雅黑"/>
          <w:bCs/>
          <w:sz w:val="20"/>
          <w:szCs w:val="21"/>
        </w:rPr>
      </w:pPr>
      <w:r>
        <w:rPr>
          <w:rFonts w:hint="eastAsia" w:ascii="微软雅黑" w:hAnsi="微软雅黑" w:eastAsia="微软雅黑" w:cs="微软雅黑"/>
          <w:bCs/>
          <w:szCs w:val="21"/>
        </w:rPr>
        <w:t>授权代表签字：</w:t>
      </w:r>
    </w:p>
    <w:p>
      <w:pPr>
        <w:snapToGrid w:val="0"/>
        <w:spacing w:before="156" w:after="156" w:line="500" w:lineRule="exact"/>
        <w:ind w:firstLine="1120" w:firstLineChars="400"/>
        <w:textAlignment w:val="baseline"/>
        <w:rPr>
          <w:rFonts w:ascii="微软雅黑" w:hAnsi="微软雅黑" w:eastAsia="微软雅黑" w:cs="微软雅黑"/>
          <w:bCs/>
          <w:sz w:val="20"/>
          <w:szCs w:val="21"/>
        </w:rPr>
      </w:pPr>
      <w:r>
        <w:rPr>
          <w:rFonts w:hint="eastAsia" w:ascii="微软雅黑" w:hAnsi="微软雅黑" w:eastAsia="微软雅黑" w:cs="微软雅黑"/>
          <w:bCs/>
          <w:szCs w:val="21"/>
        </w:rPr>
        <w:t>年月日</w:t>
      </w:r>
    </w:p>
    <w:p>
      <w:pPr>
        <w:pStyle w:val="84"/>
        <w:snapToGrid w:val="0"/>
        <w:ind w:firstLine="280"/>
        <w:textAlignment w:val="baseline"/>
        <w:rPr>
          <w:rFonts w:ascii="微软雅黑" w:hAnsi="微软雅黑" w:eastAsia="微软雅黑" w:cs="微软雅黑"/>
        </w:rPr>
      </w:pPr>
    </w:p>
    <w:p>
      <w:pPr>
        <w:snapToGrid w:val="0"/>
        <w:textAlignment w:val="baseline"/>
        <w:rPr>
          <w:rFonts w:ascii="微软雅黑" w:hAnsi="微软雅黑" w:eastAsia="微软雅黑" w:cs="微软雅黑"/>
          <w:sz w:val="20"/>
        </w:rPr>
      </w:pPr>
    </w:p>
    <w:p>
      <w:pPr>
        <w:snapToGrid w:val="0"/>
        <w:spacing w:line="360" w:lineRule="exact"/>
        <w:textAlignment w:val="baseline"/>
        <w:rPr>
          <w:rFonts w:ascii="微软雅黑" w:hAnsi="微软雅黑" w:eastAsia="微软雅黑" w:cs="微软雅黑"/>
          <w:b/>
          <w:szCs w:val="21"/>
        </w:rPr>
      </w:pPr>
    </w:p>
    <w:p>
      <w:pPr>
        <w:snapToGrid w:val="0"/>
        <w:spacing w:line="360" w:lineRule="exact"/>
        <w:textAlignment w:val="baseline"/>
        <w:rPr>
          <w:rFonts w:ascii="微软雅黑" w:hAnsi="微软雅黑" w:eastAsia="微软雅黑" w:cs="微软雅黑"/>
          <w:b/>
          <w:szCs w:val="21"/>
        </w:rPr>
      </w:pPr>
    </w:p>
    <w:p>
      <w:pPr>
        <w:snapToGrid w:val="0"/>
        <w:spacing w:line="360" w:lineRule="exact"/>
        <w:textAlignment w:val="baseline"/>
        <w:rPr>
          <w:rFonts w:ascii="微软雅黑" w:hAnsi="微软雅黑" w:eastAsia="微软雅黑" w:cs="微软雅黑"/>
          <w:b/>
          <w:szCs w:val="21"/>
        </w:rPr>
      </w:pPr>
    </w:p>
    <w:p>
      <w:pPr>
        <w:snapToGrid w:val="0"/>
        <w:spacing w:line="440" w:lineRule="exact"/>
        <w:jc w:val="left"/>
        <w:textAlignment w:val="baseline"/>
        <w:rPr>
          <w:rFonts w:ascii="微软雅黑" w:hAnsi="微软雅黑" w:eastAsia="微软雅黑" w:cs="微软雅黑"/>
          <w:b/>
          <w:sz w:val="24"/>
        </w:rPr>
      </w:pPr>
      <w:r>
        <w:rPr>
          <w:rFonts w:hint="eastAsia" w:ascii="微软雅黑" w:hAnsi="微软雅黑" w:eastAsia="微软雅黑" w:cs="微软雅黑"/>
          <w:b/>
          <w:sz w:val="24"/>
        </w:rPr>
        <w:t>三、资格证明文件目录（具体参考第三章投标须知“投标文件的组成”）</w:t>
      </w:r>
    </w:p>
    <w:p>
      <w:pPr>
        <w:snapToGrid w:val="0"/>
        <w:spacing w:line="440" w:lineRule="exact"/>
        <w:jc w:val="left"/>
        <w:textAlignment w:val="baseline"/>
        <w:rPr>
          <w:rFonts w:ascii="微软雅黑" w:hAnsi="微软雅黑" w:eastAsia="微软雅黑" w:cs="微软雅黑"/>
          <w:b/>
          <w:sz w:val="24"/>
        </w:rPr>
      </w:pPr>
      <w:r>
        <w:rPr>
          <w:rFonts w:hint="eastAsia" w:ascii="微软雅黑" w:hAnsi="微软雅黑" w:eastAsia="微软雅黑" w:cs="微软雅黑"/>
          <w:b/>
          <w:sz w:val="24"/>
        </w:rPr>
        <w:t>四、技术、商务、资信及其他文件目录</w:t>
      </w:r>
      <w:r>
        <w:rPr>
          <w:rFonts w:hint="eastAsia" w:ascii="微软雅黑" w:hAnsi="微软雅黑" w:eastAsia="微软雅黑" w:cs="微软雅黑"/>
          <w:b/>
          <w:sz w:val="24"/>
          <w:szCs w:val="21"/>
        </w:rPr>
        <w:t>（具体参考第三章投标须知“投标文件的组成”）</w:t>
      </w:r>
    </w:p>
    <w:p>
      <w:pPr>
        <w:snapToGrid w:val="0"/>
        <w:spacing w:line="440" w:lineRule="exact"/>
        <w:jc w:val="left"/>
        <w:textAlignment w:val="baseline"/>
        <w:rPr>
          <w:rFonts w:ascii="微软雅黑" w:hAnsi="微软雅黑" w:eastAsia="微软雅黑" w:cs="微软雅黑"/>
          <w:b/>
          <w:sz w:val="24"/>
        </w:rPr>
      </w:pPr>
      <w:r>
        <w:rPr>
          <w:rFonts w:hint="eastAsia" w:ascii="微软雅黑" w:hAnsi="微软雅黑" w:eastAsia="微软雅黑" w:cs="微软雅黑"/>
          <w:b/>
          <w:sz w:val="24"/>
        </w:rPr>
        <w:t>五．报价文件目录</w:t>
      </w:r>
      <w:r>
        <w:rPr>
          <w:rFonts w:hint="eastAsia" w:ascii="微软雅黑" w:hAnsi="微软雅黑" w:eastAsia="微软雅黑" w:cs="微软雅黑"/>
          <w:b/>
          <w:sz w:val="24"/>
          <w:szCs w:val="21"/>
        </w:rPr>
        <w:t>（具体参考第三章投标须知“投标文件的组成”）</w:t>
      </w:r>
    </w:p>
    <w:p>
      <w:pPr>
        <w:pStyle w:val="84"/>
        <w:snapToGrid w:val="0"/>
        <w:ind w:left="400" w:firstLine="0" w:firstLineChars="0"/>
        <w:textAlignment w:val="baseline"/>
        <w:rPr>
          <w:rFonts w:ascii="微软雅黑" w:hAnsi="微软雅黑" w:eastAsia="微软雅黑" w:cs="微软雅黑"/>
          <w:b/>
          <w:szCs w:val="21"/>
        </w:rPr>
      </w:pPr>
    </w:p>
    <w:p>
      <w:pPr>
        <w:pStyle w:val="84"/>
        <w:snapToGrid w:val="0"/>
        <w:ind w:firstLine="440"/>
        <w:textAlignment w:val="baseline"/>
        <w:rPr>
          <w:rFonts w:ascii="微软雅黑" w:hAnsi="微软雅黑" w:eastAsia="微软雅黑" w:cs="微软雅黑"/>
          <w:b/>
          <w:sz w:val="44"/>
          <w:szCs w:val="44"/>
        </w:rPr>
        <w:sectPr>
          <w:pgSz w:w="11906" w:h="16838"/>
          <w:pgMar w:top="1440" w:right="1800" w:bottom="1440" w:left="1800" w:header="851" w:footer="992" w:gutter="0"/>
          <w:pgNumType w:fmt="decimal"/>
          <w:cols w:space="720" w:num="1"/>
          <w:docGrid w:type="lines" w:linePitch="312" w:charSpace="0"/>
        </w:sectPr>
      </w:pPr>
    </w:p>
    <w:p>
      <w:pPr>
        <w:pStyle w:val="78"/>
        <w:ind w:left="2800"/>
      </w:pPr>
    </w:p>
    <w:p>
      <w:pPr>
        <w:snapToGrid w:val="0"/>
        <w:spacing w:before="156" w:after="156" w:line="500" w:lineRule="exact"/>
        <w:textAlignment w:val="baseline"/>
        <w:rPr>
          <w:rFonts w:ascii="微软雅黑" w:hAnsi="微软雅黑" w:eastAsia="微软雅黑" w:cs="微软雅黑"/>
          <w:b/>
          <w:sz w:val="20"/>
          <w:szCs w:val="21"/>
        </w:rPr>
      </w:pPr>
      <w:r>
        <w:rPr>
          <w:rFonts w:ascii="微软雅黑" w:hAnsi="微软雅黑" w:eastAsia="微软雅黑" w:cs="微软雅黑"/>
          <w:b/>
          <w:szCs w:val="21"/>
        </w:rPr>
        <w:t>1</w:t>
      </w:r>
      <w:r>
        <w:rPr>
          <w:rFonts w:hint="eastAsia" w:ascii="微软雅黑" w:hAnsi="微软雅黑" w:eastAsia="微软雅黑" w:cs="微软雅黑"/>
          <w:b/>
          <w:szCs w:val="21"/>
        </w:rPr>
        <w:t>、投标声明书格式：</w:t>
      </w:r>
    </w:p>
    <w:p>
      <w:pPr>
        <w:snapToGrid w:val="0"/>
        <w:spacing w:line="440" w:lineRule="exact"/>
        <w:jc w:val="center"/>
        <w:textAlignment w:val="baseline"/>
        <w:rPr>
          <w:rFonts w:ascii="微软雅黑" w:hAnsi="微软雅黑" w:eastAsia="微软雅黑" w:cs="微软雅黑"/>
          <w:b/>
          <w:sz w:val="20"/>
          <w:szCs w:val="21"/>
        </w:rPr>
      </w:pPr>
      <w:r>
        <w:rPr>
          <w:rFonts w:hint="eastAsia" w:ascii="微软雅黑" w:hAnsi="微软雅黑" w:eastAsia="微软雅黑" w:cs="微软雅黑"/>
          <w:b/>
          <w:szCs w:val="21"/>
        </w:rPr>
        <w:t>投标声明书</w:t>
      </w:r>
    </w:p>
    <w:p>
      <w:pPr>
        <w:snapToGrid w:val="0"/>
        <w:spacing w:line="440" w:lineRule="exact"/>
        <w:textAlignment w:val="baseline"/>
        <w:rPr>
          <w:rFonts w:ascii="微软雅黑" w:hAnsi="微软雅黑" w:eastAsia="微软雅黑" w:cs="微软雅黑"/>
          <w:sz w:val="20"/>
          <w:szCs w:val="21"/>
        </w:rPr>
      </w:pPr>
    </w:p>
    <w:p>
      <w:pPr>
        <w:snapToGrid w:val="0"/>
        <w:spacing w:line="440" w:lineRule="exact"/>
        <w:textAlignment w:val="baseline"/>
        <w:rPr>
          <w:rFonts w:ascii="微软雅黑" w:hAnsi="微软雅黑" w:eastAsia="微软雅黑" w:cs="微软雅黑"/>
          <w:sz w:val="20"/>
          <w:szCs w:val="21"/>
        </w:rPr>
      </w:pPr>
      <w:r>
        <w:rPr>
          <w:rFonts w:hint="eastAsia" w:ascii="微软雅黑" w:hAnsi="微软雅黑" w:eastAsia="微软雅黑" w:cs="微软雅黑"/>
          <w:szCs w:val="21"/>
        </w:rPr>
        <w:t>致：（招标采购单位名称）：</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（投标人名称）系中华人民共和国合法企业，经营地址。</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我（姓名）系（投标人名称）的法定代表人，我方愿意参加贵方组织的项目的投标，为便于贵方公正、择优地确定中标人及其投标产品和服务，我方就本次投标有关事项郑重声明如下：</w:t>
      </w:r>
    </w:p>
    <w:p>
      <w:pPr>
        <w:snapToGrid w:val="0"/>
        <w:spacing w:line="440" w:lineRule="exact"/>
        <w:ind w:firstLine="560" w:firstLineChars="200"/>
        <w:textAlignment w:val="baseline"/>
        <w:rPr>
          <w:rFonts w:ascii="微软雅黑" w:hAnsi="微软雅黑" w:eastAsia="微软雅黑" w:cs="微软雅黑"/>
          <w:sz w:val="20"/>
          <w:szCs w:val="21"/>
        </w:rPr>
      </w:pPr>
      <w:r>
        <w:rPr>
          <w:rFonts w:ascii="微软雅黑" w:hAnsi="微软雅黑" w:eastAsia="微软雅黑" w:cs="微软雅黑"/>
          <w:szCs w:val="21"/>
        </w:rPr>
        <w:t>1.</w:t>
      </w:r>
      <w:r>
        <w:rPr>
          <w:rFonts w:hint="eastAsia" w:ascii="微软雅黑" w:hAnsi="微软雅黑" w:eastAsia="微软雅黑" w:cs="微软雅黑"/>
          <w:szCs w:val="21"/>
        </w:rPr>
        <w:t>我方向贵方提交的所有投标文件、资料都是准确的和真实的。</w:t>
      </w:r>
    </w:p>
    <w:p>
      <w:pPr>
        <w:snapToGrid w:val="0"/>
        <w:spacing w:line="440" w:lineRule="exact"/>
        <w:ind w:firstLine="560" w:firstLineChars="200"/>
        <w:textAlignment w:val="baseline"/>
        <w:rPr>
          <w:rFonts w:ascii="微软雅黑" w:hAnsi="微软雅黑" w:eastAsia="微软雅黑" w:cs="微软雅黑"/>
          <w:sz w:val="20"/>
          <w:szCs w:val="21"/>
        </w:rPr>
      </w:pPr>
      <w:r>
        <w:rPr>
          <w:rFonts w:ascii="微软雅黑" w:hAnsi="微软雅黑" w:eastAsia="微软雅黑" w:cs="微软雅黑"/>
          <w:szCs w:val="21"/>
        </w:rPr>
        <w:t>2.</w:t>
      </w:r>
      <w:r>
        <w:rPr>
          <w:rFonts w:hint="eastAsia" w:ascii="微软雅黑" w:hAnsi="微软雅黑" w:eastAsia="微软雅黑" w:cs="微软雅黑"/>
          <w:szCs w:val="21"/>
        </w:rPr>
        <w:t>我方不是采购人的附属机构；在获知本项目采购信息后，与采购人聘请的为此项目提供咨询服务的公司及其附属机构没有任何联系。　　　　　　　　　　　　　　　　　　　　　　　　　</w:t>
      </w:r>
    </w:p>
    <w:p>
      <w:pPr>
        <w:snapToGrid w:val="0"/>
        <w:spacing w:line="440" w:lineRule="exact"/>
        <w:ind w:firstLine="560" w:firstLineChars="200"/>
        <w:textAlignment w:val="baseline"/>
        <w:rPr>
          <w:rFonts w:ascii="微软雅黑" w:hAnsi="微软雅黑" w:eastAsia="微软雅黑" w:cs="微软雅黑"/>
          <w:sz w:val="20"/>
          <w:szCs w:val="21"/>
        </w:rPr>
      </w:pPr>
      <w:r>
        <w:rPr>
          <w:rFonts w:ascii="微软雅黑" w:hAnsi="微软雅黑" w:eastAsia="微软雅黑" w:cs="微软雅黑"/>
          <w:szCs w:val="21"/>
        </w:rPr>
        <w:t>3.</w:t>
      </w:r>
      <w:r>
        <w:rPr>
          <w:rFonts w:hint="eastAsia" w:ascii="微软雅黑" w:hAnsi="微软雅黑" w:eastAsia="微软雅黑" w:cs="微软雅黑"/>
          <w:szCs w:val="21"/>
        </w:rPr>
        <w:t>我方及由本人担任法定代表人的其他机构最近三年内被通报或者被处罚的违法行为有：　　　　　　　　　　　　　　　　　　　　　　　　　　</w:t>
      </w:r>
    </w:p>
    <w:p>
      <w:pPr>
        <w:snapToGrid w:val="0"/>
        <w:spacing w:line="440" w:lineRule="exact"/>
        <w:ind w:firstLine="560" w:firstLineChars="200"/>
        <w:textAlignment w:val="baseline"/>
        <w:rPr>
          <w:rFonts w:ascii="微软雅黑" w:hAnsi="微软雅黑" w:eastAsia="微软雅黑" w:cs="微软雅黑"/>
          <w:sz w:val="20"/>
          <w:szCs w:val="21"/>
        </w:rPr>
      </w:pPr>
      <w:r>
        <w:rPr>
          <w:rFonts w:ascii="微软雅黑" w:hAnsi="微软雅黑" w:eastAsia="微软雅黑" w:cs="微软雅黑"/>
          <w:szCs w:val="21"/>
        </w:rPr>
        <w:t>4.</w:t>
      </w:r>
      <w:r>
        <w:rPr>
          <w:rFonts w:hint="eastAsia" w:ascii="微软雅黑" w:hAnsi="微软雅黑" w:eastAsia="微软雅黑" w:cs="微软雅黑"/>
          <w:szCs w:val="21"/>
        </w:rPr>
        <w:t>以上事项如有虚假或隐瞒，我方愿意承担一切后果，并不再寻求任何旨在减轻或免除法律责任的辩解。</w:t>
      </w:r>
    </w:p>
    <w:p>
      <w:pPr>
        <w:snapToGrid w:val="0"/>
        <w:spacing w:line="440" w:lineRule="exact"/>
        <w:ind w:firstLine="400" w:firstLineChars="200"/>
        <w:textAlignment w:val="baseline"/>
        <w:rPr>
          <w:rFonts w:ascii="微软雅黑" w:hAnsi="微软雅黑" w:eastAsia="微软雅黑" w:cs="微软雅黑"/>
          <w:sz w:val="20"/>
          <w:szCs w:val="21"/>
        </w:rPr>
      </w:pPr>
    </w:p>
    <w:p>
      <w:pPr>
        <w:snapToGrid w:val="0"/>
        <w:spacing w:line="440" w:lineRule="exact"/>
        <w:ind w:firstLine="400" w:firstLineChars="200"/>
        <w:textAlignment w:val="baseline"/>
        <w:rPr>
          <w:rFonts w:ascii="微软雅黑" w:hAnsi="微软雅黑" w:eastAsia="微软雅黑" w:cs="微软雅黑"/>
          <w:sz w:val="20"/>
          <w:szCs w:val="21"/>
        </w:rPr>
      </w:pPr>
    </w:p>
    <w:p>
      <w:pPr>
        <w:snapToGrid w:val="0"/>
        <w:spacing w:line="440" w:lineRule="exact"/>
        <w:ind w:firstLine="400" w:firstLineChars="200"/>
        <w:textAlignment w:val="baseline"/>
        <w:rPr>
          <w:rFonts w:ascii="微软雅黑" w:hAnsi="微软雅黑" w:eastAsia="微软雅黑" w:cs="微软雅黑"/>
          <w:sz w:val="20"/>
          <w:szCs w:val="21"/>
        </w:rPr>
      </w:pPr>
    </w:p>
    <w:p>
      <w:pPr>
        <w:snapToGrid w:val="0"/>
        <w:spacing w:line="440" w:lineRule="exact"/>
        <w:ind w:firstLine="560" w:firstLineChars="200"/>
        <w:textAlignment w:val="baseline"/>
        <w:rPr>
          <w:rFonts w:ascii="微软雅黑" w:hAnsi="微软雅黑" w:eastAsia="微软雅黑" w:cs="微软雅黑"/>
          <w:sz w:val="20"/>
          <w:szCs w:val="21"/>
          <w:u w:val="single"/>
        </w:rPr>
      </w:pPr>
      <w:r>
        <w:rPr>
          <w:rFonts w:hint="eastAsia" w:ascii="微软雅黑" w:hAnsi="微软雅黑" w:eastAsia="微软雅黑" w:cs="微软雅黑"/>
          <w:szCs w:val="21"/>
        </w:rPr>
        <w:t>法定代表人签字：</w:t>
      </w:r>
    </w:p>
    <w:p>
      <w:pPr>
        <w:snapToGrid w:val="0"/>
        <w:spacing w:line="440" w:lineRule="exact"/>
        <w:ind w:firstLine="560" w:firstLineChars="200"/>
        <w:textAlignment w:val="baseline"/>
        <w:rPr>
          <w:rFonts w:ascii="微软雅黑" w:hAnsi="微软雅黑" w:eastAsia="微软雅黑" w:cs="微软雅黑"/>
          <w:sz w:val="20"/>
          <w:szCs w:val="21"/>
          <w:u w:val="single"/>
        </w:rPr>
      </w:pPr>
      <w:r>
        <w:rPr>
          <w:rFonts w:hint="eastAsia" w:ascii="微软雅黑" w:hAnsi="微软雅黑" w:eastAsia="微软雅黑" w:cs="微软雅黑"/>
          <w:szCs w:val="21"/>
        </w:rPr>
        <w:t>投标人盖章：</w:t>
      </w:r>
    </w:p>
    <w:p>
      <w:pPr>
        <w:snapToGrid w:val="0"/>
        <w:spacing w:line="360" w:lineRule="exact"/>
        <w:ind w:firstLine="560" w:firstLineChars="200"/>
        <w:textAlignment w:val="baseline"/>
        <w:rPr>
          <w:rFonts w:ascii="微软雅黑" w:hAnsi="微软雅黑" w:eastAsia="微软雅黑" w:cs="微软雅黑"/>
          <w:b/>
          <w:sz w:val="20"/>
          <w:szCs w:val="21"/>
        </w:rPr>
      </w:pPr>
      <w:r>
        <w:rPr>
          <w:rFonts w:hint="eastAsia" w:ascii="微软雅黑" w:hAnsi="微软雅黑" w:eastAsia="微软雅黑" w:cs="微软雅黑"/>
          <w:bCs/>
          <w:szCs w:val="21"/>
        </w:rPr>
        <w:t>年月日</w:t>
      </w:r>
    </w:p>
    <w:p>
      <w:pPr>
        <w:snapToGrid w:val="0"/>
        <w:spacing w:line="360" w:lineRule="exact"/>
        <w:textAlignment w:val="baseline"/>
        <w:rPr>
          <w:rFonts w:ascii="微软雅黑" w:hAnsi="微软雅黑" w:eastAsia="微软雅黑" w:cs="微软雅黑"/>
          <w:b/>
          <w:sz w:val="20"/>
          <w:szCs w:val="21"/>
        </w:rPr>
      </w:pPr>
    </w:p>
    <w:p>
      <w:pPr>
        <w:snapToGrid w:val="0"/>
        <w:spacing w:line="360" w:lineRule="auto"/>
        <w:ind w:right="560"/>
        <w:textAlignment w:val="baseline"/>
        <w:rPr>
          <w:rFonts w:ascii="微软雅黑" w:hAnsi="微软雅黑" w:eastAsia="微软雅黑" w:cs="微软雅黑"/>
          <w:b/>
          <w:sz w:val="24"/>
        </w:rPr>
      </w:pPr>
    </w:p>
    <w:p>
      <w:pPr>
        <w:snapToGrid w:val="0"/>
        <w:spacing w:before="156" w:after="50" w:line="360" w:lineRule="auto"/>
        <w:textAlignment w:val="baseline"/>
        <w:rPr>
          <w:rFonts w:ascii="微软雅黑" w:hAnsi="微软雅黑" w:eastAsia="微软雅黑" w:cs="微软雅黑"/>
          <w:b/>
          <w:sz w:val="20"/>
          <w:szCs w:val="28"/>
        </w:rPr>
      </w:pPr>
    </w:p>
    <w:p>
      <w:pPr>
        <w:pStyle w:val="14"/>
        <w:snapToGrid w:val="0"/>
        <w:spacing w:line="500" w:lineRule="exact"/>
        <w:ind w:firstLine="0"/>
        <w:jc w:val="center"/>
        <w:textAlignment w:val="baseline"/>
        <w:rPr>
          <w:rFonts w:ascii="微软雅黑" w:hAnsi="微软雅黑" w:eastAsia="微软雅黑" w:cs="微软雅黑"/>
          <w:b/>
          <w:szCs w:val="28"/>
        </w:rPr>
      </w:pPr>
    </w:p>
    <w:p>
      <w:pPr>
        <w:pStyle w:val="14"/>
        <w:snapToGrid w:val="0"/>
        <w:spacing w:line="500" w:lineRule="exact"/>
        <w:ind w:firstLine="0"/>
        <w:jc w:val="center"/>
        <w:textAlignment w:val="baseline"/>
        <w:rPr>
          <w:rFonts w:ascii="微软雅黑" w:hAnsi="微软雅黑" w:eastAsia="微软雅黑" w:cs="微软雅黑"/>
          <w:b/>
          <w:szCs w:val="28"/>
        </w:rPr>
      </w:pPr>
    </w:p>
    <w:p>
      <w:pPr>
        <w:pStyle w:val="14"/>
        <w:snapToGrid w:val="0"/>
        <w:spacing w:line="500" w:lineRule="exact"/>
        <w:ind w:firstLine="0"/>
        <w:jc w:val="center"/>
        <w:textAlignment w:val="baseline"/>
        <w:rPr>
          <w:rFonts w:ascii="微软雅黑" w:hAnsi="微软雅黑" w:eastAsia="微软雅黑" w:cs="微软雅黑"/>
          <w:b/>
          <w:szCs w:val="28"/>
        </w:rPr>
      </w:pPr>
    </w:p>
    <w:p>
      <w:pPr>
        <w:snapToGrid w:val="0"/>
        <w:spacing w:before="156" w:after="156" w:line="500" w:lineRule="exact"/>
        <w:textAlignment w:val="baseline"/>
        <w:rPr>
          <w:rFonts w:ascii="微软雅黑" w:hAnsi="微软雅黑" w:eastAsia="微软雅黑" w:cs="微软雅黑"/>
          <w:b/>
          <w:sz w:val="20"/>
          <w:szCs w:val="21"/>
        </w:rPr>
      </w:pPr>
      <w:r>
        <w:rPr>
          <w:rFonts w:ascii="微软雅黑" w:hAnsi="微软雅黑" w:eastAsia="微软雅黑" w:cs="微软雅黑"/>
          <w:b/>
          <w:szCs w:val="21"/>
        </w:rPr>
        <w:t>2</w:t>
      </w:r>
      <w:r>
        <w:rPr>
          <w:rFonts w:hint="eastAsia" w:ascii="微软雅黑" w:hAnsi="微软雅黑" w:eastAsia="微软雅黑" w:cs="微软雅黑"/>
          <w:b/>
          <w:szCs w:val="21"/>
        </w:rPr>
        <w:t>、法定代表人身份证明书格式：</w:t>
      </w:r>
    </w:p>
    <w:p>
      <w:pPr>
        <w:snapToGrid w:val="0"/>
        <w:jc w:val="center"/>
        <w:textAlignment w:val="baseline"/>
        <w:rPr>
          <w:rFonts w:ascii="微软雅黑" w:hAnsi="微软雅黑" w:eastAsia="微软雅黑" w:cs="微软雅黑"/>
          <w:b/>
          <w:sz w:val="20"/>
          <w:szCs w:val="21"/>
        </w:rPr>
      </w:pPr>
    </w:p>
    <w:p>
      <w:pPr>
        <w:snapToGrid w:val="0"/>
        <w:spacing w:line="440" w:lineRule="exact"/>
        <w:jc w:val="center"/>
        <w:textAlignment w:val="baseline"/>
        <w:rPr>
          <w:rFonts w:ascii="微软雅黑" w:hAnsi="微软雅黑" w:eastAsia="微软雅黑" w:cs="微软雅黑"/>
          <w:b/>
          <w:sz w:val="20"/>
          <w:szCs w:val="21"/>
        </w:rPr>
      </w:pPr>
      <w:r>
        <w:rPr>
          <w:rFonts w:hint="eastAsia" w:ascii="微软雅黑" w:hAnsi="微软雅黑" w:eastAsia="微软雅黑" w:cs="微软雅黑"/>
          <w:b/>
          <w:szCs w:val="21"/>
        </w:rPr>
        <w:t>法定代表人身份证明书</w:t>
      </w:r>
    </w:p>
    <w:p>
      <w:pPr>
        <w:snapToGrid w:val="0"/>
        <w:jc w:val="center"/>
        <w:textAlignment w:val="baseline"/>
        <w:rPr>
          <w:rFonts w:ascii="微软雅黑" w:hAnsi="微软雅黑" w:eastAsia="微软雅黑" w:cs="微软雅黑"/>
          <w:b/>
          <w:sz w:val="20"/>
          <w:szCs w:val="21"/>
        </w:rPr>
      </w:pPr>
    </w:p>
    <w:p>
      <w:pPr>
        <w:snapToGrid w:val="0"/>
        <w:spacing w:line="480" w:lineRule="exact"/>
        <w:ind w:firstLine="560" w:firstLineChars="200"/>
        <w:textAlignment w:val="baseline"/>
        <w:rPr>
          <w:rFonts w:ascii="微软雅黑" w:hAnsi="微软雅黑" w:eastAsia="微软雅黑" w:cs="微软雅黑"/>
          <w:sz w:val="20"/>
          <w:szCs w:val="21"/>
          <w:u w:val="single"/>
        </w:rPr>
      </w:pPr>
      <w:r>
        <w:rPr>
          <w:rFonts w:hint="eastAsia" w:ascii="微软雅黑" w:hAnsi="微软雅黑" w:eastAsia="微软雅黑" w:cs="微软雅黑"/>
          <w:szCs w:val="21"/>
        </w:rPr>
        <w:t>（姓名）是（单位名称）的法定代表人，身份证号码为，性别，职务，联系电话，传真，联系地址：，邮编</w:t>
      </w:r>
    </w:p>
    <w:p>
      <w:pPr>
        <w:snapToGrid w:val="0"/>
        <w:spacing w:line="480" w:lineRule="exact"/>
        <w:ind w:firstLine="400" w:firstLineChars="200"/>
        <w:textAlignment w:val="baseline"/>
        <w:rPr>
          <w:rFonts w:ascii="微软雅黑" w:hAnsi="微软雅黑" w:eastAsia="微软雅黑" w:cs="微软雅黑"/>
          <w:sz w:val="20"/>
          <w:szCs w:val="21"/>
        </w:rPr>
      </w:pPr>
    </w:p>
    <w:p>
      <w:pPr>
        <w:snapToGrid w:val="0"/>
        <w:spacing w:line="480" w:lineRule="exact"/>
        <w:ind w:firstLine="840" w:firstLineChars="3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特此证明。</w:t>
      </w:r>
    </w:p>
    <w:p>
      <w:pPr>
        <w:snapToGrid w:val="0"/>
        <w:spacing w:line="480" w:lineRule="exact"/>
        <w:ind w:firstLine="298" w:firstLineChars="149"/>
        <w:textAlignment w:val="baseline"/>
        <w:rPr>
          <w:rFonts w:ascii="微软雅黑" w:hAnsi="微软雅黑" w:eastAsia="微软雅黑" w:cs="微软雅黑"/>
          <w:sz w:val="20"/>
          <w:szCs w:val="21"/>
        </w:rPr>
      </w:pPr>
    </w:p>
    <w:p>
      <w:pPr>
        <w:snapToGrid w:val="0"/>
        <w:spacing w:line="480" w:lineRule="exact"/>
        <w:ind w:firstLine="2604" w:firstLineChars="930"/>
        <w:jc w:val="right"/>
        <w:textAlignment w:val="baseline"/>
        <w:rPr>
          <w:rFonts w:ascii="微软雅黑" w:hAnsi="微软雅黑" w:eastAsia="微软雅黑" w:cs="微软雅黑"/>
          <w:sz w:val="20"/>
          <w:szCs w:val="21"/>
          <w:u w:val="single"/>
        </w:rPr>
      </w:pPr>
      <w:r>
        <w:rPr>
          <w:rFonts w:hint="eastAsia" w:ascii="微软雅黑" w:hAnsi="微软雅黑" w:eastAsia="微软雅黑" w:cs="微软雅黑"/>
          <w:szCs w:val="21"/>
        </w:rPr>
        <w:t>投标人：</w:t>
      </w:r>
      <w:r>
        <w:rPr>
          <w:rFonts w:hint="eastAsia" w:ascii="微软雅黑" w:hAnsi="微软雅黑" w:eastAsia="微软雅黑" w:cs="微软雅黑"/>
          <w:szCs w:val="21"/>
          <w:u w:val="single" w:color="000000"/>
        </w:rPr>
        <w:t>（盖章）</w:t>
      </w:r>
    </w:p>
    <w:p>
      <w:pPr>
        <w:snapToGrid w:val="0"/>
        <w:spacing w:line="480" w:lineRule="exact"/>
        <w:ind w:firstLine="2604" w:firstLineChars="930"/>
        <w:jc w:val="righ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法定代表人：</w:t>
      </w:r>
      <w:r>
        <w:rPr>
          <w:rFonts w:hint="eastAsia" w:ascii="微软雅黑" w:hAnsi="微软雅黑" w:eastAsia="微软雅黑" w:cs="微软雅黑"/>
          <w:szCs w:val="21"/>
          <w:u w:val="single" w:color="000000"/>
        </w:rPr>
        <w:t>（签名、盖章）</w:t>
      </w:r>
    </w:p>
    <w:p>
      <w:pPr>
        <w:snapToGrid w:val="0"/>
        <w:spacing w:line="480" w:lineRule="exact"/>
        <w:ind w:firstLine="417" w:firstLineChars="149"/>
        <w:jc w:val="righ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日期：年月日</w:t>
      </w:r>
    </w:p>
    <w:p>
      <w:pPr>
        <w:snapToGrid w:val="0"/>
        <w:spacing w:line="440" w:lineRule="exact"/>
        <w:jc w:val="left"/>
        <w:textAlignment w:val="baseline"/>
        <w:rPr>
          <w:rFonts w:ascii="微软雅黑" w:hAnsi="微软雅黑" w:eastAsia="微软雅黑" w:cs="微软雅黑"/>
          <w:b/>
          <w:sz w:val="20"/>
          <w:szCs w:val="21"/>
        </w:rPr>
      </w:pPr>
    </w:p>
    <w:p>
      <w:pPr>
        <w:snapToGrid w:val="0"/>
        <w:spacing w:line="440" w:lineRule="exact"/>
        <w:jc w:val="left"/>
        <w:textAlignment w:val="baseline"/>
        <w:rPr>
          <w:rFonts w:ascii="微软雅黑" w:hAnsi="微软雅黑" w:eastAsia="微软雅黑" w:cs="微软雅黑"/>
          <w:b/>
          <w:sz w:val="20"/>
          <w:szCs w:val="21"/>
        </w:rPr>
      </w:pPr>
    </w:p>
    <w:p>
      <w:pPr>
        <w:pStyle w:val="14"/>
        <w:snapToGrid w:val="0"/>
        <w:spacing w:line="440" w:lineRule="exact"/>
        <w:ind w:firstLine="0"/>
        <w:jc w:val="center"/>
        <w:textAlignment w:val="baseline"/>
        <w:rPr>
          <w:rFonts w:ascii="微软雅黑" w:hAnsi="微软雅黑" w:eastAsia="微软雅黑" w:cs="微软雅黑"/>
          <w:szCs w:val="21"/>
        </w:rPr>
      </w:pPr>
      <w:r>
        <w:rPr>
          <w:rFonts w:ascii="微软雅黑" w:hAnsi="微软雅黑" w:eastAsia="微软雅黑" w:cs="微软雅黑"/>
          <w:szCs w:val="21"/>
        </w:rPr>
        <w:t>--------------------------------------------------------------------------------</w:t>
      </w:r>
    </w:p>
    <w:p>
      <w:pPr>
        <w:pStyle w:val="14"/>
        <w:snapToGrid w:val="0"/>
        <w:spacing w:line="440" w:lineRule="exact"/>
        <w:ind w:firstLine="0"/>
        <w:jc w:val="center"/>
        <w:textAlignment w:val="baseline"/>
        <w:rPr>
          <w:rFonts w:ascii="微软雅黑" w:hAnsi="微软雅黑" w:eastAsia="微软雅黑" w:cs="微软雅黑"/>
          <w:szCs w:val="21"/>
        </w:rPr>
      </w:pPr>
    </w:p>
    <w:p>
      <w:pPr>
        <w:pStyle w:val="14"/>
        <w:snapToGrid w:val="0"/>
        <w:spacing w:line="440" w:lineRule="exact"/>
        <w:ind w:firstLineChars="200"/>
        <w:textAlignment w:val="baseline"/>
        <w:rPr>
          <w:rFonts w:ascii="微软雅黑" w:hAnsi="微软雅黑" w:eastAsia="微软雅黑" w:cs="微软雅黑"/>
          <w:szCs w:val="21"/>
        </w:rPr>
      </w:pPr>
    </w:p>
    <w:p>
      <w:pPr>
        <w:pStyle w:val="14"/>
        <w:snapToGrid w:val="0"/>
        <w:spacing w:line="440" w:lineRule="exact"/>
        <w:ind w:firstLineChars="200"/>
        <w:jc w:val="center"/>
        <w:textAlignment w:val="baseline"/>
        <w:rPr>
          <w:rFonts w:ascii="微软雅黑" w:hAnsi="微软雅黑" w:eastAsia="微软雅黑" w:cs="微软雅黑"/>
          <w:szCs w:val="21"/>
        </w:rPr>
      </w:pPr>
    </w:p>
    <w:p>
      <w:pPr>
        <w:pStyle w:val="14"/>
        <w:snapToGrid w:val="0"/>
        <w:spacing w:line="440" w:lineRule="exact"/>
        <w:ind w:firstLineChars="200"/>
        <w:jc w:val="center"/>
        <w:textAlignment w:val="baseline"/>
        <w:rPr>
          <w:rFonts w:ascii="微软雅黑" w:hAnsi="微软雅黑" w:eastAsia="微软雅黑" w:cs="微软雅黑"/>
          <w:szCs w:val="21"/>
        </w:rPr>
      </w:pPr>
    </w:p>
    <w:p>
      <w:pPr>
        <w:pStyle w:val="14"/>
        <w:snapToGrid w:val="0"/>
        <w:spacing w:line="440" w:lineRule="exact"/>
        <w:ind w:firstLine="640" w:firstLineChars="200"/>
        <w:jc w:val="center"/>
        <w:textAlignment w:val="baseline"/>
        <w:rPr>
          <w:rFonts w:ascii="微软雅黑" w:hAnsi="微软雅黑" w:eastAsia="微软雅黑" w:cs="微软雅黑"/>
          <w:sz w:val="32"/>
          <w:szCs w:val="32"/>
        </w:rPr>
      </w:pPr>
      <w:r>
        <w:rPr>
          <w:rFonts w:hint="eastAsia" w:ascii="微软雅黑" w:hAnsi="微软雅黑" w:eastAsia="微软雅黑" w:cs="微软雅黑"/>
          <w:sz w:val="32"/>
          <w:szCs w:val="32"/>
        </w:rPr>
        <w:t>有效身份证明复印件粘贴处</w:t>
      </w:r>
    </w:p>
    <w:p>
      <w:pPr>
        <w:snapToGrid w:val="0"/>
        <w:spacing w:line="360" w:lineRule="auto"/>
        <w:ind w:right="560"/>
        <w:textAlignment w:val="baseline"/>
        <w:rPr>
          <w:rFonts w:ascii="微软雅黑" w:hAnsi="微软雅黑" w:eastAsia="微软雅黑" w:cs="微软雅黑"/>
          <w:b/>
          <w:sz w:val="20"/>
          <w:szCs w:val="21"/>
        </w:rPr>
      </w:pPr>
      <w:r>
        <w:rPr>
          <w:rFonts w:ascii="微软雅黑" w:hAnsi="微软雅黑" w:eastAsia="微软雅黑" w:cs="微软雅黑"/>
          <w:b/>
          <w:szCs w:val="28"/>
        </w:rPr>
        <w:br w:type="page"/>
      </w:r>
    </w:p>
    <w:p>
      <w:pPr>
        <w:snapToGrid w:val="0"/>
        <w:spacing w:line="360" w:lineRule="auto"/>
        <w:ind w:right="560"/>
        <w:textAlignment w:val="baseline"/>
        <w:rPr>
          <w:rFonts w:ascii="微软雅黑" w:hAnsi="微软雅黑" w:eastAsia="微软雅黑" w:cs="微软雅黑"/>
          <w:b/>
          <w:sz w:val="20"/>
        </w:rPr>
      </w:pPr>
      <w:r>
        <w:rPr>
          <w:rFonts w:ascii="微软雅黑" w:hAnsi="微软雅黑" w:eastAsia="微软雅黑" w:cs="微软雅黑"/>
          <w:b/>
          <w:szCs w:val="28"/>
        </w:rPr>
        <w:t>3</w:t>
      </w:r>
      <w:r>
        <w:rPr>
          <w:rFonts w:hint="eastAsia" w:ascii="微软雅黑" w:hAnsi="微软雅黑" w:eastAsia="微软雅黑" w:cs="微软雅黑"/>
          <w:b/>
          <w:szCs w:val="28"/>
        </w:rPr>
        <w:t>、</w:t>
      </w:r>
      <w:r>
        <w:rPr>
          <w:rFonts w:hint="eastAsia" w:ascii="微软雅黑" w:hAnsi="微软雅黑" w:eastAsia="微软雅黑" w:cs="微软雅黑"/>
          <w:b/>
          <w:szCs w:val="21"/>
        </w:rPr>
        <w:t>法定代表人授权委托书格式：</w:t>
      </w:r>
    </w:p>
    <w:p>
      <w:pPr>
        <w:snapToGrid w:val="0"/>
        <w:spacing w:line="440" w:lineRule="exact"/>
        <w:jc w:val="center"/>
        <w:textAlignment w:val="baseline"/>
        <w:rPr>
          <w:rFonts w:ascii="微软雅黑" w:hAnsi="微软雅黑" w:eastAsia="微软雅黑" w:cs="微软雅黑"/>
          <w:b/>
          <w:sz w:val="20"/>
          <w:szCs w:val="21"/>
        </w:rPr>
      </w:pPr>
    </w:p>
    <w:p>
      <w:pPr>
        <w:snapToGrid w:val="0"/>
        <w:spacing w:line="440" w:lineRule="exact"/>
        <w:jc w:val="center"/>
        <w:textAlignment w:val="baseline"/>
        <w:rPr>
          <w:rFonts w:ascii="微软雅黑" w:hAnsi="微软雅黑" w:eastAsia="微软雅黑" w:cs="微软雅黑"/>
          <w:b/>
          <w:sz w:val="20"/>
          <w:szCs w:val="21"/>
        </w:rPr>
      </w:pPr>
      <w:r>
        <w:rPr>
          <w:rFonts w:hint="eastAsia" w:ascii="微软雅黑" w:hAnsi="微软雅黑" w:eastAsia="微软雅黑" w:cs="微软雅黑"/>
          <w:b/>
          <w:szCs w:val="21"/>
        </w:rPr>
        <w:t>法定代表人授权委托书</w:t>
      </w:r>
    </w:p>
    <w:p>
      <w:pPr>
        <w:snapToGrid w:val="0"/>
        <w:spacing w:line="440" w:lineRule="exact"/>
        <w:textAlignment w:val="baseline"/>
        <w:rPr>
          <w:rFonts w:ascii="微软雅黑" w:hAnsi="微软雅黑" w:eastAsia="微软雅黑" w:cs="微软雅黑"/>
          <w:bCs/>
          <w:sz w:val="20"/>
          <w:szCs w:val="21"/>
        </w:rPr>
      </w:pPr>
    </w:p>
    <w:p>
      <w:pPr>
        <w:snapToGrid w:val="0"/>
        <w:spacing w:line="440" w:lineRule="exact"/>
        <w:textAlignment w:val="baseline"/>
        <w:rPr>
          <w:rFonts w:ascii="微软雅黑" w:hAnsi="微软雅黑" w:eastAsia="微软雅黑" w:cs="微软雅黑"/>
          <w:b/>
          <w:bCs/>
          <w:sz w:val="20"/>
          <w:szCs w:val="21"/>
        </w:rPr>
      </w:pPr>
      <w:r>
        <w:rPr>
          <w:rFonts w:hint="eastAsia" w:ascii="微软雅黑" w:hAnsi="微软雅黑" w:eastAsia="微软雅黑" w:cs="微软雅黑"/>
          <w:bCs/>
          <w:szCs w:val="21"/>
        </w:rPr>
        <w:t>致：</w:t>
      </w:r>
      <w:r>
        <w:rPr>
          <w:rFonts w:hint="eastAsia" w:ascii="微软雅黑" w:hAnsi="微软雅黑" w:eastAsia="微软雅黑" w:cs="微软雅黑"/>
          <w:szCs w:val="21"/>
        </w:rPr>
        <w:t>：</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本授权委托书声明，我（姓名）系（投标人名称）的法定代表人，现授权委托本单位在职职工（姓名）以我方的名义参加项目的投标活动，并代表我方全权办理针对上述项目的投标、开标、评标、签约等具体事务和签署相关文件。</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我方对被授权人的签名负全部责任。</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在撤销授权的书面通知以前，本授权书一直有效。被授权人在授权书有效期内签署的所有文件不因授权的撤销而失效。</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被授权人无转委托权，特此委托。</w:t>
      </w:r>
    </w:p>
    <w:p>
      <w:pPr>
        <w:snapToGrid w:val="0"/>
        <w:spacing w:line="440" w:lineRule="exact"/>
        <w:ind w:firstLine="400" w:firstLineChars="200"/>
        <w:textAlignment w:val="baseline"/>
        <w:rPr>
          <w:rFonts w:ascii="微软雅黑" w:hAnsi="微软雅黑" w:eastAsia="微软雅黑" w:cs="微软雅黑"/>
          <w:sz w:val="20"/>
          <w:szCs w:val="21"/>
        </w:rPr>
      </w:pPr>
    </w:p>
    <w:p>
      <w:pPr>
        <w:snapToGrid w:val="0"/>
        <w:spacing w:line="440" w:lineRule="exact"/>
        <w:ind w:firstLine="560" w:firstLineChars="200"/>
        <w:textAlignment w:val="baseline"/>
        <w:rPr>
          <w:rFonts w:ascii="微软雅黑" w:hAnsi="微软雅黑" w:eastAsia="微软雅黑" w:cs="微软雅黑"/>
          <w:sz w:val="20"/>
          <w:szCs w:val="21"/>
          <w:u w:val="single"/>
        </w:rPr>
      </w:pPr>
      <w:r>
        <w:rPr>
          <w:rFonts w:hint="eastAsia" w:ascii="微软雅黑" w:hAnsi="微软雅黑" w:eastAsia="微软雅黑" w:cs="微软雅黑"/>
          <w:szCs w:val="21"/>
        </w:rPr>
        <w:t>被授权人签名：法定代表人签名：</w:t>
      </w: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被授权人身份证号码：</w:t>
      </w:r>
    </w:p>
    <w:p>
      <w:pPr>
        <w:snapToGrid w:val="0"/>
        <w:spacing w:line="440" w:lineRule="exact"/>
        <w:ind w:firstLine="400" w:firstLineChars="200"/>
        <w:textAlignment w:val="baseline"/>
        <w:rPr>
          <w:rFonts w:ascii="微软雅黑" w:hAnsi="微软雅黑" w:eastAsia="微软雅黑" w:cs="微软雅黑"/>
          <w:sz w:val="20"/>
          <w:szCs w:val="21"/>
        </w:rPr>
      </w:pPr>
    </w:p>
    <w:p>
      <w:pPr>
        <w:snapToGrid w:val="0"/>
        <w:spacing w:line="440" w:lineRule="exact"/>
        <w:ind w:firstLine="560" w:firstLineChars="200"/>
        <w:textAlignment w:val="baseline"/>
        <w:rPr>
          <w:rFonts w:ascii="微软雅黑" w:hAnsi="微软雅黑" w:eastAsia="微软雅黑" w:cs="微软雅黑"/>
          <w:sz w:val="20"/>
          <w:szCs w:val="21"/>
        </w:rPr>
      </w:pPr>
      <w:r>
        <w:rPr>
          <w:rFonts w:hint="eastAsia" w:ascii="微软雅黑" w:hAnsi="微软雅黑" w:eastAsia="微软雅黑" w:cs="微软雅黑"/>
          <w:szCs w:val="21"/>
        </w:rPr>
        <w:t>投标人盖章：</w:t>
      </w:r>
    </w:p>
    <w:p>
      <w:pPr>
        <w:snapToGrid w:val="0"/>
        <w:spacing w:line="440" w:lineRule="exact"/>
        <w:ind w:firstLine="560" w:firstLineChars="200"/>
        <w:textAlignment w:val="baseline"/>
        <w:rPr>
          <w:rFonts w:ascii="微软雅黑" w:hAnsi="微软雅黑" w:eastAsia="微软雅黑" w:cs="微软雅黑"/>
          <w:bCs/>
          <w:sz w:val="20"/>
          <w:szCs w:val="21"/>
        </w:rPr>
      </w:pPr>
      <w:r>
        <w:rPr>
          <w:rFonts w:hint="eastAsia" w:ascii="微软雅黑" w:hAnsi="微软雅黑" w:eastAsia="微软雅黑" w:cs="微软雅黑"/>
          <w:bCs/>
          <w:szCs w:val="21"/>
        </w:rPr>
        <w:t>年月日</w:t>
      </w:r>
    </w:p>
    <w:p>
      <w:pPr>
        <w:pStyle w:val="14"/>
        <w:snapToGrid w:val="0"/>
        <w:spacing w:line="440" w:lineRule="exact"/>
        <w:ind w:firstLineChars="200"/>
        <w:textAlignment w:val="baseline"/>
        <w:rPr>
          <w:rFonts w:ascii="微软雅黑" w:hAnsi="微软雅黑" w:eastAsia="微软雅黑" w:cs="微软雅黑"/>
          <w:szCs w:val="21"/>
        </w:rPr>
      </w:pPr>
    </w:p>
    <w:p>
      <w:pPr>
        <w:pStyle w:val="14"/>
        <w:snapToGrid w:val="0"/>
        <w:spacing w:line="440" w:lineRule="exact"/>
        <w:ind w:firstLineChars="200"/>
        <w:textAlignment w:val="baseline"/>
        <w:rPr>
          <w:rFonts w:ascii="微软雅黑" w:hAnsi="微软雅黑" w:eastAsia="微软雅黑" w:cs="微软雅黑"/>
          <w:szCs w:val="21"/>
        </w:rPr>
      </w:pPr>
      <w:r>
        <w:rPr>
          <w:rFonts w:ascii="微软雅黑" w:hAnsi="微软雅黑" w:eastAsia="微软雅黑" w:cs="微软雅黑"/>
          <w:szCs w:val="21"/>
        </w:rPr>
        <w:t>----------------------------------------------------------------------------</w:t>
      </w:r>
    </w:p>
    <w:p>
      <w:pPr>
        <w:pStyle w:val="14"/>
        <w:snapToGrid w:val="0"/>
        <w:spacing w:line="440" w:lineRule="exact"/>
        <w:ind w:firstLineChars="200"/>
        <w:textAlignment w:val="baseline"/>
        <w:rPr>
          <w:rFonts w:ascii="微软雅黑" w:hAnsi="微软雅黑" w:eastAsia="微软雅黑" w:cs="微软雅黑"/>
          <w:szCs w:val="21"/>
        </w:rPr>
      </w:pPr>
    </w:p>
    <w:p>
      <w:pPr>
        <w:pStyle w:val="14"/>
        <w:snapToGrid w:val="0"/>
        <w:spacing w:line="440" w:lineRule="exact"/>
        <w:ind w:firstLineChars="200"/>
        <w:jc w:val="center"/>
        <w:textAlignment w:val="baseline"/>
        <w:rPr>
          <w:rFonts w:ascii="微软雅黑" w:hAnsi="微软雅黑" w:eastAsia="微软雅黑" w:cs="微软雅黑"/>
          <w:szCs w:val="21"/>
        </w:rPr>
      </w:pPr>
    </w:p>
    <w:p>
      <w:pPr>
        <w:pStyle w:val="14"/>
        <w:snapToGrid w:val="0"/>
        <w:spacing w:line="440" w:lineRule="exact"/>
        <w:ind w:firstLineChars="200"/>
        <w:jc w:val="center"/>
        <w:textAlignment w:val="baseline"/>
        <w:rPr>
          <w:rFonts w:ascii="微软雅黑" w:hAnsi="微软雅黑" w:eastAsia="微软雅黑" w:cs="微软雅黑"/>
          <w:szCs w:val="21"/>
        </w:rPr>
      </w:pPr>
    </w:p>
    <w:p>
      <w:pPr>
        <w:pStyle w:val="14"/>
        <w:snapToGrid w:val="0"/>
        <w:spacing w:line="440" w:lineRule="exact"/>
        <w:ind w:firstLineChars="200"/>
        <w:jc w:val="center"/>
        <w:textAlignment w:val="baseline"/>
        <w:rPr>
          <w:rFonts w:ascii="微软雅黑" w:hAnsi="微软雅黑" w:eastAsia="微软雅黑" w:cs="微软雅黑"/>
          <w:szCs w:val="21"/>
        </w:rPr>
      </w:pPr>
      <w:r>
        <w:rPr>
          <w:rFonts w:hint="eastAsia" w:ascii="微软雅黑" w:hAnsi="微软雅黑" w:eastAsia="微软雅黑" w:cs="微软雅黑"/>
          <w:szCs w:val="21"/>
        </w:rPr>
        <w:t>授权代理人有效身份证明复印件粘贴处</w:t>
      </w:r>
    </w:p>
    <w:p>
      <w:pPr>
        <w:snapToGrid w:val="0"/>
        <w:spacing w:line="440" w:lineRule="exact"/>
        <w:textAlignment w:val="baseline"/>
        <w:rPr>
          <w:rFonts w:ascii="微软雅黑" w:hAnsi="微软雅黑" w:eastAsia="微软雅黑" w:cs="微软雅黑"/>
          <w:sz w:val="20"/>
          <w:szCs w:val="21"/>
        </w:rPr>
      </w:pPr>
    </w:p>
    <w:p>
      <w:pPr>
        <w:snapToGrid w:val="0"/>
        <w:jc w:val="left"/>
        <w:textAlignment w:val="baseline"/>
        <w:rPr>
          <w:rFonts w:ascii="微软雅黑" w:hAnsi="微软雅黑" w:eastAsia="微软雅黑" w:cs="微软雅黑"/>
          <w:sz w:val="24"/>
        </w:rPr>
      </w:pPr>
    </w:p>
    <w:p>
      <w:pPr>
        <w:snapToGrid w:val="0"/>
        <w:jc w:val="left"/>
        <w:textAlignment w:val="baseline"/>
        <w:rPr>
          <w:rFonts w:ascii="微软雅黑" w:hAnsi="微软雅黑" w:eastAsia="微软雅黑" w:cs="微软雅黑"/>
          <w:sz w:val="24"/>
        </w:rPr>
      </w:pPr>
    </w:p>
    <w:p>
      <w:pPr>
        <w:snapToGrid w:val="0"/>
        <w:jc w:val="left"/>
        <w:textAlignment w:val="baseline"/>
        <w:rPr>
          <w:rFonts w:ascii="微软雅黑" w:hAnsi="微软雅黑" w:eastAsia="微软雅黑" w:cs="微软雅黑"/>
          <w:sz w:val="20"/>
        </w:rPr>
      </w:pPr>
      <w:r>
        <w:rPr>
          <w:rFonts w:hint="eastAsia" w:ascii="微软雅黑" w:hAnsi="微软雅黑" w:eastAsia="微软雅黑" w:cs="微软雅黑"/>
          <w:sz w:val="24"/>
        </w:rPr>
        <w:t>附：被授权人社保缴费证明</w:t>
      </w:r>
    </w:p>
    <w:p>
      <w:pPr>
        <w:tabs>
          <w:tab w:val="left" w:pos="1650"/>
        </w:tabs>
        <w:snapToGrid w:val="0"/>
        <w:spacing w:line="560" w:lineRule="exact"/>
        <w:jc w:val="left"/>
        <w:textAlignment w:val="baseline"/>
        <w:rPr>
          <w:rFonts w:ascii="微软雅黑" w:hAnsi="微软雅黑" w:eastAsia="微软雅黑" w:cs="微软雅黑"/>
          <w:b/>
          <w:bCs/>
        </w:rPr>
      </w:pPr>
    </w:p>
    <w:p>
      <w:pPr>
        <w:tabs>
          <w:tab w:val="left" w:pos="1650"/>
        </w:tabs>
        <w:snapToGrid w:val="0"/>
        <w:spacing w:line="560" w:lineRule="exact"/>
        <w:jc w:val="left"/>
        <w:textAlignment w:val="baseline"/>
        <w:rPr>
          <w:rFonts w:ascii="微软雅黑" w:hAnsi="微软雅黑" w:eastAsia="微软雅黑" w:cs="微软雅黑"/>
          <w:b/>
          <w:bCs/>
          <w:sz w:val="20"/>
        </w:rPr>
      </w:pPr>
      <w:r>
        <w:rPr>
          <w:rFonts w:ascii="微软雅黑" w:hAnsi="微软雅黑" w:eastAsia="微软雅黑" w:cs="微软雅黑"/>
          <w:b/>
          <w:bCs/>
        </w:rPr>
        <w:t>4</w:t>
      </w:r>
      <w:r>
        <w:rPr>
          <w:rFonts w:hint="eastAsia" w:ascii="微软雅黑" w:hAnsi="微软雅黑" w:eastAsia="微软雅黑" w:cs="微软雅黑"/>
          <w:b/>
          <w:bCs/>
        </w:rPr>
        <w:t>、信用承诺书格式</w:t>
      </w:r>
    </w:p>
    <w:p>
      <w:pPr>
        <w:tabs>
          <w:tab w:val="left" w:pos="1650"/>
        </w:tabs>
        <w:snapToGrid w:val="0"/>
        <w:spacing w:line="560" w:lineRule="exact"/>
        <w:jc w:val="center"/>
        <w:textAlignment w:val="baseline"/>
        <w:rPr>
          <w:rFonts w:ascii="微软雅黑" w:hAnsi="微软雅黑" w:eastAsia="微软雅黑" w:cs="微软雅黑"/>
          <w:b/>
          <w:bCs/>
          <w:sz w:val="20"/>
        </w:rPr>
      </w:pPr>
      <w:r>
        <w:rPr>
          <w:rFonts w:hint="eastAsia" w:ascii="微软雅黑" w:hAnsi="微软雅黑" w:eastAsia="微软雅黑" w:cs="微软雅黑"/>
          <w:b/>
          <w:bCs/>
        </w:rPr>
        <w:t>信用承诺书</w:t>
      </w:r>
    </w:p>
    <w:p>
      <w:pPr>
        <w:tabs>
          <w:tab w:val="left" w:pos="1650"/>
        </w:tabs>
        <w:snapToGrid w:val="0"/>
        <w:spacing w:line="560" w:lineRule="exact"/>
        <w:textAlignment w:val="baseline"/>
        <w:rPr>
          <w:rFonts w:ascii="微软雅黑" w:hAnsi="微软雅黑" w:eastAsia="微软雅黑" w:cs="微软雅黑"/>
          <w:sz w:val="20"/>
        </w:rPr>
      </w:pPr>
    </w:p>
    <w:p>
      <w:pPr>
        <w:tabs>
          <w:tab w:val="left" w:pos="1650"/>
        </w:tabs>
        <w:snapToGrid w:val="0"/>
        <w:jc w:val="left"/>
        <w:textAlignment w:val="baseline"/>
        <w:rPr>
          <w:rFonts w:ascii="微软雅黑" w:hAnsi="微软雅黑" w:eastAsia="微软雅黑" w:cs="微软雅黑"/>
          <w:sz w:val="20"/>
        </w:rPr>
      </w:pPr>
      <w:r>
        <w:rPr>
          <w:rFonts w:hint="eastAsia" w:ascii="微软雅黑" w:hAnsi="微软雅黑" w:eastAsia="微软雅黑" w:cs="微软雅黑"/>
        </w:rPr>
        <w:t>（投标单位）现参加（采购项目）政府采购活动，郑重承诺如下：</w:t>
      </w:r>
    </w:p>
    <w:p>
      <w:pPr>
        <w:tabs>
          <w:tab w:val="left" w:pos="1650"/>
        </w:tabs>
        <w:snapToGrid w:val="0"/>
        <w:spacing w:line="560" w:lineRule="exact"/>
        <w:ind w:firstLine="630"/>
        <w:textAlignment w:val="baseline"/>
        <w:rPr>
          <w:rFonts w:ascii="微软雅黑" w:hAnsi="微软雅黑" w:eastAsia="微软雅黑" w:cs="微软雅黑"/>
          <w:sz w:val="20"/>
        </w:rPr>
      </w:pPr>
      <w:r>
        <w:rPr>
          <w:rFonts w:hint="eastAsia" w:ascii="微软雅黑" w:hAnsi="微软雅黑" w:eastAsia="微软雅黑" w:cs="微软雅黑"/>
        </w:rPr>
        <w:t>对所提供的资料合法性、真实性、准确性和有效性负责；</w:t>
      </w:r>
    </w:p>
    <w:p>
      <w:pPr>
        <w:tabs>
          <w:tab w:val="left" w:pos="1650"/>
        </w:tabs>
        <w:snapToGrid w:val="0"/>
        <w:spacing w:line="560" w:lineRule="exact"/>
        <w:ind w:firstLine="630"/>
        <w:textAlignment w:val="baseline"/>
        <w:rPr>
          <w:rFonts w:ascii="微软雅黑" w:hAnsi="微软雅黑" w:eastAsia="微软雅黑" w:cs="微软雅黑"/>
          <w:sz w:val="20"/>
        </w:rPr>
      </w:pPr>
      <w:r>
        <w:rPr>
          <w:rFonts w:hint="eastAsia" w:ascii="微软雅黑" w:hAnsi="微软雅黑" w:eastAsia="微软雅黑" w:cs="微软雅黑"/>
        </w:rPr>
        <w:t>严格按照国家法律、法规和规章，依法开展相关经济活动，全面履行应尽的责任和义务；</w:t>
      </w:r>
    </w:p>
    <w:p>
      <w:pPr>
        <w:tabs>
          <w:tab w:val="left" w:pos="1650"/>
        </w:tabs>
        <w:snapToGrid w:val="0"/>
        <w:spacing w:line="560" w:lineRule="exact"/>
        <w:ind w:firstLine="630"/>
        <w:textAlignment w:val="baseline"/>
        <w:rPr>
          <w:rFonts w:ascii="微软雅黑" w:hAnsi="微软雅黑" w:eastAsia="微软雅黑" w:cs="微软雅黑"/>
          <w:sz w:val="20"/>
        </w:rPr>
      </w:pPr>
      <w:r>
        <w:rPr>
          <w:rFonts w:hint="eastAsia" w:ascii="微软雅黑" w:hAnsi="微软雅黑" w:eastAsia="微软雅黑" w:cs="微软雅黑"/>
        </w:rPr>
        <w:t>加强自我约束、自我规范、自我管理，不制假售假、不虚假宣传、不违约毁约、不恶意逃债、不偷税漏税，诚信依法经营；</w:t>
      </w:r>
    </w:p>
    <w:p>
      <w:pPr>
        <w:tabs>
          <w:tab w:val="left" w:pos="1650"/>
        </w:tabs>
        <w:snapToGrid w:val="0"/>
        <w:spacing w:line="560" w:lineRule="exact"/>
        <w:ind w:firstLine="630"/>
        <w:textAlignment w:val="baseline"/>
        <w:rPr>
          <w:rFonts w:ascii="微软雅黑" w:hAnsi="微软雅黑" w:eastAsia="微软雅黑" w:cs="微软雅黑"/>
          <w:sz w:val="20"/>
        </w:rPr>
      </w:pPr>
      <w:r>
        <w:rPr>
          <w:rFonts w:hint="eastAsia" w:ascii="微软雅黑" w:hAnsi="微软雅黑" w:eastAsia="微软雅黑" w:cs="微软雅黑"/>
        </w:rPr>
        <w:t>自愿接受行政主管部门的依法检查、违背承诺约定将自愿承担违约责任，并接受法律法规和相关部门规章制度的惩戒和约束；</w:t>
      </w:r>
    </w:p>
    <w:p>
      <w:pPr>
        <w:tabs>
          <w:tab w:val="left" w:pos="1650"/>
        </w:tabs>
        <w:snapToGrid w:val="0"/>
        <w:spacing w:line="560" w:lineRule="exact"/>
        <w:ind w:firstLine="630"/>
        <w:textAlignment w:val="baseline"/>
        <w:rPr>
          <w:rFonts w:ascii="微软雅黑" w:hAnsi="微软雅黑" w:eastAsia="微软雅黑" w:cs="微软雅黑"/>
          <w:sz w:val="20"/>
        </w:rPr>
      </w:pPr>
      <w:r>
        <w:rPr>
          <w:rFonts w:hint="eastAsia" w:ascii="微软雅黑" w:hAnsi="微软雅黑" w:eastAsia="微软雅黑" w:cs="微软雅黑"/>
          <w:color w:val="333333"/>
          <w:kern w:val="0"/>
        </w:rPr>
        <w:t>按照信用信息管理有关要求，本单位（个人）同意将以上承诺在信用湖州网站公示，若违背以上承诺，依据相关规定记入企业（个人）信用</w:t>
      </w:r>
      <w:r>
        <w:rPr>
          <w:rFonts w:hint="eastAsia" w:ascii="微软雅黑" w:hAnsi="微软雅黑" w:eastAsia="微软雅黑" w:cs="微软雅黑"/>
          <w:color w:val="000000"/>
          <w:kern w:val="0"/>
        </w:rPr>
        <w:t>档案；性质严重的，承担相应法律后果和责任，并依法依规列入严重失信名单。</w:t>
      </w:r>
    </w:p>
    <w:p>
      <w:pPr>
        <w:tabs>
          <w:tab w:val="left" w:pos="1650"/>
        </w:tabs>
        <w:snapToGrid w:val="0"/>
        <w:spacing w:line="560" w:lineRule="exact"/>
        <w:textAlignment w:val="baseline"/>
        <w:rPr>
          <w:rFonts w:ascii="微软雅黑" w:hAnsi="微软雅黑" w:eastAsia="微软雅黑" w:cs="微软雅黑"/>
          <w:sz w:val="20"/>
          <w:u w:val="single"/>
        </w:rPr>
      </w:pPr>
    </w:p>
    <w:p>
      <w:pPr>
        <w:widowControl/>
        <w:snapToGrid w:val="0"/>
        <w:spacing w:line="560" w:lineRule="exact"/>
        <w:ind w:firstLine="700" w:firstLineChars="250"/>
        <w:jc w:val="left"/>
        <w:textAlignment w:val="baseline"/>
        <w:rPr>
          <w:rFonts w:ascii="微软雅黑" w:hAnsi="微软雅黑" w:eastAsia="微软雅黑" w:cs="微软雅黑"/>
          <w:color w:val="000000"/>
          <w:spacing w:val="-7"/>
          <w:kern w:val="0"/>
          <w:sz w:val="20"/>
        </w:rPr>
      </w:pPr>
      <w:r>
        <w:rPr>
          <w:rFonts w:hint="eastAsia" w:ascii="微软雅黑" w:hAnsi="微软雅黑" w:eastAsia="微软雅黑" w:cs="微软雅黑"/>
        </w:rPr>
        <w:t>统一社会信用代码：</w:t>
      </w:r>
    </w:p>
    <w:p>
      <w:pPr>
        <w:widowControl/>
        <w:snapToGrid w:val="0"/>
        <w:spacing w:line="560" w:lineRule="exact"/>
        <w:jc w:val="left"/>
        <w:textAlignment w:val="baseline"/>
        <w:rPr>
          <w:rFonts w:ascii="微软雅黑" w:hAnsi="微软雅黑" w:eastAsia="微软雅黑" w:cs="微软雅黑"/>
          <w:color w:val="000000"/>
          <w:kern w:val="0"/>
          <w:sz w:val="20"/>
        </w:rPr>
      </w:pPr>
    </w:p>
    <w:p>
      <w:pPr>
        <w:widowControl/>
        <w:snapToGrid w:val="0"/>
        <w:spacing w:line="560" w:lineRule="exact"/>
        <w:ind w:firstLine="700" w:firstLineChars="250"/>
        <w:jc w:val="left"/>
        <w:textAlignment w:val="baseline"/>
        <w:rPr>
          <w:rFonts w:ascii="微软雅黑" w:hAnsi="微软雅黑" w:eastAsia="微软雅黑" w:cs="微软雅黑"/>
        </w:rPr>
      </w:pPr>
      <w:r>
        <w:rPr>
          <w:rFonts w:hint="eastAsia" w:ascii="微软雅黑" w:hAnsi="微软雅黑" w:eastAsia="微软雅黑" w:cs="微软雅黑"/>
        </w:rPr>
        <w:t>承诺单位：（盖单位章）</w:t>
      </w:r>
    </w:p>
    <w:p>
      <w:pPr>
        <w:widowControl/>
        <w:snapToGrid w:val="0"/>
        <w:spacing w:line="560" w:lineRule="exact"/>
        <w:ind w:firstLine="700" w:firstLineChars="250"/>
        <w:jc w:val="left"/>
        <w:textAlignment w:val="baseline"/>
        <w:rPr>
          <w:rFonts w:ascii="微软雅黑" w:hAnsi="微软雅黑" w:eastAsia="微软雅黑" w:cs="微软雅黑"/>
        </w:rPr>
      </w:pPr>
      <w:r>
        <w:rPr>
          <w:rFonts w:hint="eastAsia" w:ascii="微软雅黑" w:hAnsi="微软雅黑" w:eastAsia="微软雅黑" w:cs="微软雅黑"/>
        </w:rPr>
        <w:t>法定代表人：（签字或盖章）</w:t>
      </w:r>
    </w:p>
    <w:p>
      <w:pPr>
        <w:widowControl/>
        <w:snapToGrid w:val="0"/>
        <w:spacing w:line="560" w:lineRule="exact"/>
        <w:ind w:firstLine="700" w:firstLineChars="250"/>
        <w:jc w:val="left"/>
        <w:textAlignment w:val="baseline"/>
        <w:rPr>
          <w:rFonts w:ascii="微软雅黑" w:hAnsi="微软雅黑" w:eastAsia="微软雅黑" w:cs="微软雅黑"/>
        </w:rPr>
      </w:pPr>
    </w:p>
    <w:p>
      <w:pPr>
        <w:snapToGrid w:val="0"/>
        <w:spacing w:line="320" w:lineRule="exact"/>
        <w:textAlignment w:val="baseline"/>
        <w:rPr>
          <w:rFonts w:ascii="微软雅黑" w:hAnsi="微软雅黑" w:eastAsia="微软雅黑" w:cs="微软雅黑"/>
          <w:sz w:val="20"/>
        </w:rPr>
      </w:pPr>
      <w:r>
        <w:rPr>
          <w:rFonts w:hint="eastAsia" w:ascii="微软雅黑" w:hAnsi="微软雅黑" w:eastAsia="微软雅黑" w:cs="微软雅黑"/>
        </w:rPr>
        <w:t>时间：年月日</w:t>
      </w:r>
    </w:p>
    <w:p>
      <w:pPr>
        <w:snapToGrid w:val="0"/>
        <w:spacing w:line="360" w:lineRule="auto"/>
        <w:ind w:right="560"/>
        <w:textAlignment w:val="baseline"/>
        <w:rPr>
          <w:rFonts w:ascii="微软雅黑" w:hAnsi="微软雅黑" w:eastAsia="微软雅黑" w:cs="微软雅黑"/>
          <w:sz w:val="24"/>
        </w:rPr>
      </w:pPr>
    </w:p>
    <w:p>
      <w:pPr>
        <w:snapToGrid w:val="0"/>
        <w:spacing w:line="360" w:lineRule="auto"/>
        <w:ind w:right="560"/>
        <w:textAlignment w:val="baseline"/>
        <w:rPr>
          <w:rFonts w:ascii="微软雅黑" w:hAnsi="微软雅黑" w:eastAsia="微软雅黑" w:cs="微软雅黑"/>
          <w:sz w:val="24"/>
        </w:rPr>
      </w:pPr>
    </w:p>
    <w:p>
      <w:pPr>
        <w:snapToGrid w:val="0"/>
        <w:spacing w:line="360" w:lineRule="auto"/>
        <w:jc w:val="left"/>
        <w:textAlignment w:val="baseline"/>
        <w:rPr>
          <w:rFonts w:ascii="微软雅黑" w:hAnsi="微软雅黑" w:eastAsia="微软雅黑" w:cs="微软雅黑"/>
          <w:b/>
          <w:sz w:val="24"/>
        </w:rPr>
      </w:pPr>
    </w:p>
    <w:p>
      <w:pPr>
        <w:adjustRightInd w:val="0"/>
        <w:snapToGrid w:val="0"/>
        <w:spacing w:beforeLines="100" w:afterLines="100" w:line="360" w:lineRule="auto"/>
        <w:ind w:right="140" w:rightChars="50"/>
        <w:jc w:val="center"/>
        <w:rPr>
          <w:rFonts w:ascii="仿宋_GB2312" w:hAnsi="仿宋_GB2312" w:eastAsia="仿宋_GB2312" w:cs="仿宋_GB2312"/>
          <w:b/>
          <w:bCs/>
          <w:sz w:val="32"/>
          <w:szCs w:val="32"/>
        </w:rPr>
      </w:pPr>
      <w:bookmarkStart w:id="81" w:name="_Toc20929_WPSOffice_Level2"/>
      <w:bookmarkStart w:id="82" w:name="_Toc9410_WPSOffice_Level2"/>
      <w:r>
        <w:rPr>
          <w:rFonts w:hint="eastAsia" w:ascii="仿宋_GB2312" w:hAnsi="仿宋_GB2312" w:eastAsia="仿宋_GB2312" w:cs="仿宋_GB2312"/>
          <w:b/>
          <w:bCs/>
          <w:sz w:val="32"/>
          <w:szCs w:val="32"/>
        </w:rPr>
        <w:t>投标人关联单位的说明</w:t>
      </w:r>
      <w:bookmarkEnd w:id="81"/>
      <w:bookmarkEnd w:id="82"/>
    </w:p>
    <w:p>
      <w:pPr>
        <w:adjustRightInd w:val="0"/>
        <w:snapToGrid w:val="0"/>
        <w:spacing w:line="360" w:lineRule="auto"/>
        <w:ind w:right="140" w:rightChars="50" w:firstLine="635"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adjustRightInd w:val="0"/>
        <w:snapToGrid w:val="0"/>
        <w:spacing w:line="360" w:lineRule="auto"/>
        <w:ind w:right="140" w:rightChars="50" w:firstLine="635" w:firstLineChars="227"/>
        <w:jc w:val="left"/>
        <w:rPr>
          <w:rFonts w:ascii="仿宋_GB2312" w:hAnsi="仿宋_GB2312" w:eastAsia="仿宋_GB2312" w:cs="仿宋_GB2312"/>
          <w:szCs w:val="21"/>
        </w:rPr>
      </w:pPr>
      <w:bookmarkStart w:id="83" w:name="_Toc2074_WPSOffice_Level2"/>
      <w:bookmarkStart w:id="84" w:name="_Toc31070_WPSOffice_Level2"/>
      <w:r>
        <w:rPr>
          <w:rFonts w:hint="eastAsia" w:ascii="仿宋_GB2312" w:hAnsi="仿宋_GB2312" w:eastAsia="仿宋_GB2312" w:cs="仿宋_GB2312"/>
          <w:szCs w:val="21"/>
        </w:rPr>
        <w:t>（1）与投标人单位法定代表人（或非法人组织负责人）为同一人的其他单位；</w:t>
      </w:r>
      <w:bookmarkEnd w:id="83"/>
      <w:bookmarkEnd w:id="84"/>
    </w:p>
    <w:p>
      <w:pPr>
        <w:adjustRightInd w:val="0"/>
        <w:snapToGrid w:val="0"/>
        <w:spacing w:line="360" w:lineRule="auto"/>
        <w:ind w:right="140" w:rightChars="50" w:firstLine="635" w:firstLineChars="227"/>
        <w:jc w:val="left"/>
        <w:rPr>
          <w:rFonts w:ascii="仿宋_GB2312" w:hAnsi="仿宋_GB2312" w:eastAsia="仿宋_GB2312" w:cs="仿宋_GB2312"/>
          <w:szCs w:val="21"/>
        </w:rPr>
      </w:pPr>
      <w:bookmarkStart w:id="85" w:name="_Toc27053_WPSOffice_Level2"/>
      <w:bookmarkStart w:id="86" w:name="_Toc889_WPSOffice_Level2"/>
      <w:r>
        <w:rPr>
          <w:rFonts w:hint="eastAsia" w:ascii="仿宋_GB2312" w:hAnsi="仿宋_GB2312" w:eastAsia="仿宋_GB2312" w:cs="仿宋_GB2312"/>
          <w:szCs w:val="21"/>
        </w:rPr>
        <w:t>（2）与投标人存在直接控股、管理关系的其他单位。</w:t>
      </w:r>
      <w:bookmarkEnd w:id="85"/>
      <w:bookmarkEnd w:id="86"/>
    </w:p>
    <w:p>
      <w:pPr>
        <w:adjustRightInd w:val="0"/>
        <w:snapToGrid w:val="0"/>
        <w:spacing w:line="360" w:lineRule="auto"/>
        <w:ind w:right="140" w:rightChars="50" w:firstLine="635" w:firstLineChars="227"/>
        <w:jc w:val="left"/>
        <w:rPr>
          <w:rFonts w:ascii="仿宋_GB2312" w:hAnsi="仿宋_GB2312" w:eastAsia="仿宋_GB2312" w:cs="仿宋_GB2312"/>
          <w:szCs w:val="21"/>
        </w:rPr>
      </w:pPr>
    </w:p>
    <w:p>
      <w:pPr>
        <w:adjustRightInd w:val="0"/>
        <w:snapToGrid w:val="0"/>
        <w:spacing w:line="360" w:lineRule="auto"/>
        <w:ind w:right="140" w:rightChars="50" w:firstLine="635"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40" w:rightChars="50" w:firstLine="635" w:firstLineChars="227"/>
        <w:jc w:val="left"/>
        <w:rPr>
          <w:rFonts w:ascii="仿宋_GB2312" w:hAnsi="仿宋_GB2312" w:eastAsia="仿宋_GB2312" w:cs="仿宋_GB2312"/>
          <w:szCs w:val="21"/>
        </w:rPr>
      </w:pPr>
    </w:p>
    <w:p>
      <w:pPr>
        <w:adjustRightInd w:val="0"/>
        <w:snapToGrid w:val="0"/>
        <w:spacing w:line="360" w:lineRule="auto"/>
        <w:ind w:right="140" w:rightChars="50" w:firstLine="635" w:firstLineChars="227"/>
        <w:jc w:val="left"/>
        <w:rPr>
          <w:rFonts w:ascii="仿宋_GB2312" w:hAnsi="仿宋_GB2312" w:eastAsia="仿宋_GB2312" w:cs="仿宋_GB2312"/>
          <w:szCs w:val="21"/>
        </w:rPr>
      </w:pPr>
    </w:p>
    <w:p>
      <w:pPr>
        <w:adjustRightInd w:val="0"/>
        <w:snapToGrid w:val="0"/>
        <w:spacing w:line="360" w:lineRule="auto"/>
        <w:ind w:right="140" w:rightChars="50" w:firstLine="635" w:firstLineChars="227"/>
        <w:jc w:val="left"/>
        <w:rPr>
          <w:rFonts w:ascii="仿宋_GB2312" w:hAnsi="仿宋_GB2312" w:eastAsia="仿宋_GB2312" w:cs="仿宋_GB2312"/>
          <w:szCs w:val="21"/>
        </w:rPr>
      </w:pPr>
    </w:p>
    <w:p>
      <w:pPr>
        <w:adjustRightInd w:val="0"/>
        <w:snapToGrid w:val="0"/>
        <w:spacing w:line="360" w:lineRule="auto"/>
        <w:ind w:right="140" w:rightChars="50" w:firstLine="635" w:firstLineChars="227"/>
        <w:jc w:val="left"/>
        <w:rPr>
          <w:rFonts w:ascii="仿宋_GB2312" w:hAnsi="仿宋_GB2312" w:eastAsia="仿宋_GB2312" w:cs="仿宋_GB2312"/>
          <w:szCs w:val="21"/>
        </w:rPr>
      </w:pPr>
    </w:p>
    <w:p>
      <w:pPr>
        <w:adjustRightInd w:val="0"/>
        <w:snapToGrid w:val="0"/>
        <w:spacing w:line="360" w:lineRule="auto"/>
        <w:ind w:right="140" w:rightChars="50" w:firstLine="635"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p>
    <w:p>
      <w:pPr>
        <w:adjustRightInd w:val="0"/>
        <w:snapToGrid w:val="0"/>
        <w:spacing w:line="360" w:lineRule="auto"/>
        <w:ind w:right="140" w:rightChars="50"/>
        <w:jc w:val="left"/>
        <w:rPr>
          <w:rFonts w:ascii="仿宋_GB2312" w:hAnsi="仿宋_GB2312" w:eastAsia="仿宋_GB2312" w:cs="仿宋_GB2312"/>
          <w:szCs w:val="21"/>
        </w:rPr>
      </w:pPr>
    </w:p>
    <w:p>
      <w:pPr>
        <w:pStyle w:val="84"/>
        <w:snapToGrid w:val="0"/>
        <w:ind w:firstLine="240"/>
        <w:textAlignment w:val="baseline"/>
        <w:rPr>
          <w:rFonts w:ascii="微软雅黑" w:hAnsi="微软雅黑" w:eastAsia="微软雅黑" w:cs="微软雅黑"/>
          <w:b/>
          <w:sz w:val="24"/>
        </w:rPr>
        <w:sectPr>
          <w:pgSz w:w="11906" w:h="16838"/>
          <w:pgMar w:top="1440" w:right="1800" w:bottom="1440" w:left="1800" w:header="851" w:footer="992" w:gutter="0"/>
          <w:pgNumType w:fmt="decimal"/>
          <w:cols w:space="720" w:num="1"/>
          <w:docGrid w:type="lines" w:linePitch="312" w:charSpace="0"/>
        </w:sectPr>
      </w:pPr>
    </w:p>
    <w:p>
      <w:pPr>
        <w:pStyle w:val="78"/>
        <w:ind w:left="2800"/>
      </w:pPr>
    </w:p>
    <w:p>
      <w:pPr>
        <w:pStyle w:val="84"/>
        <w:snapToGrid w:val="0"/>
        <w:ind w:firstLine="240"/>
        <w:textAlignment w:val="baseline"/>
        <w:rPr>
          <w:rFonts w:ascii="微软雅黑" w:hAnsi="微软雅黑" w:eastAsia="微软雅黑" w:cs="微软雅黑"/>
          <w:b/>
          <w:sz w:val="24"/>
        </w:rPr>
      </w:pPr>
    </w:p>
    <w:p>
      <w:pPr>
        <w:spacing w:beforeLines="100" w:afterLines="100" w:line="360" w:lineRule="auto"/>
        <w:ind w:right="-28" w:rightChars="-10"/>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具有良好的商业信誉和健全的财务会计制度的承诺函</w:t>
      </w:r>
    </w:p>
    <w:p>
      <w:pPr>
        <w:spacing w:beforeLines="100" w:afterLines="100" w:line="480" w:lineRule="exact"/>
        <w:ind w:right="840" w:rightChars="300"/>
        <w:jc w:val="center"/>
        <w:rPr>
          <w:rFonts w:ascii="微软雅黑" w:hAnsi="微软雅黑" w:eastAsia="微软雅黑" w:cs="微软雅黑"/>
          <w:szCs w:val="28"/>
        </w:rPr>
      </w:pPr>
      <w:r>
        <w:rPr>
          <w:rFonts w:hint="eastAsia" w:ascii="微软雅黑" w:hAnsi="微软雅黑" w:eastAsia="微软雅黑" w:cs="微软雅黑"/>
          <w:szCs w:val="28"/>
        </w:rPr>
        <w:t>（格式自拟）</w:t>
      </w: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snapToGrid w:val="0"/>
        <w:spacing w:line="480" w:lineRule="auto"/>
        <w:rPr>
          <w:rFonts w:ascii="微软雅黑" w:hAnsi="微软雅黑" w:eastAsia="微软雅黑" w:cs="微软雅黑"/>
        </w:rPr>
      </w:pPr>
      <w:r>
        <w:rPr>
          <w:rFonts w:hint="eastAsia" w:ascii="微软雅黑" w:hAnsi="微软雅黑" w:eastAsia="微软雅黑" w:cs="微软雅黑"/>
        </w:rPr>
        <w:t>投标人名称（加盖单位公章）：</w:t>
      </w:r>
    </w:p>
    <w:p>
      <w:pPr>
        <w:snapToGrid w:val="0"/>
        <w:spacing w:line="480" w:lineRule="auto"/>
        <w:rPr>
          <w:rFonts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w:t>
      </w:r>
      <w:r>
        <w:rPr>
          <w:rFonts w:hint="eastAsia" w:ascii="微软雅黑" w:hAnsi="微软雅黑" w:eastAsia="微软雅黑" w:cs="微软雅黑"/>
          <w:szCs w:val="21"/>
        </w:rPr>
        <w:t>授权</w:t>
      </w:r>
      <w:r>
        <w:rPr>
          <w:rFonts w:hint="eastAsia" w:ascii="微软雅黑" w:hAnsi="微软雅黑" w:eastAsia="微软雅黑" w:cs="微软雅黑"/>
        </w:rPr>
        <w:t>委托</w:t>
      </w:r>
      <w:r>
        <w:rPr>
          <w:rFonts w:hint="eastAsia" w:ascii="微软雅黑" w:hAnsi="微软雅黑" w:eastAsia="微软雅黑" w:cs="微软雅黑"/>
          <w:szCs w:val="21"/>
        </w:rPr>
        <w:t>人（</w:t>
      </w:r>
      <w:r>
        <w:rPr>
          <w:rFonts w:hint="eastAsia" w:ascii="微软雅黑" w:hAnsi="微软雅黑" w:eastAsia="微软雅黑" w:cs="微软雅黑"/>
        </w:rPr>
        <w:t>签字或盖章）：</w:t>
      </w:r>
    </w:p>
    <w:p>
      <w:pPr>
        <w:adjustRightInd w:val="0"/>
        <w:snapToGrid w:val="0"/>
        <w:spacing w:line="360" w:lineRule="auto"/>
        <w:ind w:right="140" w:rightChars="50"/>
        <w:jc w:val="left"/>
        <w:rPr>
          <w:rFonts w:ascii="微软雅黑" w:hAnsi="微软雅黑" w:eastAsia="微软雅黑" w:cs="微软雅黑"/>
          <w:u w:val="single"/>
        </w:rPr>
      </w:pPr>
      <w:r>
        <w:rPr>
          <w:rFonts w:hint="eastAsia" w:ascii="微软雅黑" w:hAnsi="微软雅黑" w:eastAsia="微软雅黑" w:cs="微软雅黑"/>
        </w:rPr>
        <w:t>日期：</w:t>
      </w:r>
    </w:p>
    <w:p>
      <w:pPr>
        <w:adjustRightInd w:val="0"/>
        <w:snapToGrid w:val="0"/>
        <w:spacing w:line="360" w:lineRule="auto"/>
        <w:ind w:right="140" w:rightChars="50"/>
        <w:jc w:val="left"/>
        <w:rPr>
          <w:rFonts w:ascii="微软雅黑" w:hAnsi="微软雅黑" w:eastAsia="微软雅黑" w:cs="微软雅黑"/>
          <w:u w:val="single"/>
        </w:rPr>
      </w:pPr>
    </w:p>
    <w:p>
      <w:pPr>
        <w:spacing w:beforeLines="100" w:afterLines="100" w:line="360" w:lineRule="auto"/>
        <w:ind w:right="-28" w:rightChars="-10"/>
        <w:jc w:val="center"/>
        <w:rPr>
          <w:rFonts w:hint="eastAsia" w:ascii="微软雅黑" w:hAnsi="微软雅黑" w:eastAsia="微软雅黑" w:cs="微软雅黑"/>
          <w:b/>
          <w:sz w:val="32"/>
          <w:szCs w:val="32"/>
        </w:rPr>
        <w:sectPr>
          <w:footerReference r:id="rId10" w:type="first"/>
          <w:footerReference r:id="rId9" w:type="default"/>
          <w:pgSz w:w="11906" w:h="16838"/>
          <w:pgMar w:top="1134" w:right="1134" w:bottom="1134" w:left="1134" w:header="567" w:footer="567" w:gutter="0"/>
          <w:pgNumType w:fmt="decimal"/>
          <w:cols w:space="720" w:num="1"/>
          <w:titlePg/>
          <w:docGrid w:type="lines" w:linePitch="312" w:charSpace="0"/>
        </w:sectPr>
      </w:pPr>
      <w:bookmarkStart w:id="87" w:name="_Toc12037_WPSOffice_Level2"/>
      <w:bookmarkStart w:id="88" w:name="_Toc23728_WPSOffice_Level2"/>
    </w:p>
    <w:p>
      <w:pPr>
        <w:spacing w:beforeLines="100" w:afterLines="100" w:line="360" w:lineRule="auto"/>
        <w:ind w:right="-28" w:rightChars="-10"/>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具备履行合同所必需的设备和专业技术能力声明函</w:t>
      </w:r>
      <w:bookmarkEnd w:id="87"/>
      <w:bookmarkEnd w:id="88"/>
    </w:p>
    <w:p>
      <w:pPr>
        <w:spacing w:beforeLines="100" w:afterLines="100" w:line="480" w:lineRule="exact"/>
        <w:ind w:right="840" w:rightChars="300"/>
        <w:jc w:val="center"/>
        <w:rPr>
          <w:rFonts w:ascii="微软雅黑" w:hAnsi="微软雅黑" w:eastAsia="微软雅黑" w:cs="微软雅黑"/>
          <w:szCs w:val="28"/>
        </w:rPr>
      </w:pPr>
      <w:bookmarkStart w:id="89" w:name="_Toc1917_WPSOffice_Level2"/>
      <w:bookmarkStart w:id="90" w:name="_Toc28831_WPSOffice_Level2"/>
      <w:r>
        <w:rPr>
          <w:rFonts w:hint="eastAsia" w:ascii="微软雅黑" w:hAnsi="微软雅黑" w:eastAsia="微软雅黑" w:cs="微软雅黑"/>
          <w:szCs w:val="28"/>
        </w:rPr>
        <w:t>（格式自拟）</w:t>
      </w:r>
      <w:bookmarkEnd w:id="89"/>
      <w:bookmarkEnd w:id="90"/>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snapToGrid w:val="0"/>
        <w:spacing w:line="480" w:lineRule="auto"/>
        <w:rPr>
          <w:rFonts w:ascii="微软雅黑" w:hAnsi="微软雅黑" w:eastAsia="微软雅黑" w:cs="微软雅黑"/>
        </w:rPr>
      </w:pPr>
      <w:r>
        <w:rPr>
          <w:rFonts w:hint="eastAsia" w:ascii="微软雅黑" w:hAnsi="微软雅黑" w:eastAsia="微软雅黑" w:cs="微软雅黑"/>
        </w:rPr>
        <w:t>投标人名称（加盖单位公章）：</w:t>
      </w:r>
    </w:p>
    <w:p>
      <w:pPr>
        <w:snapToGrid w:val="0"/>
        <w:spacing w:line="480" w:lineRule="auto"/>
        <w:rPr>
          <w:rFonts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w:t>
      </w:r>
      <w:r>
        <w:rPr>
          <w:rFonts w:hint="eastAsia" w:ascii="微软雅黑" w:hAnsi="微软雅黑" w:eastAsia="微软雅黑" w:cs="微软雅黑"/>
          <w:szCs w:val="21"/>
        </w:rPr>
        <w:t>授权</w:t>
      </w:r>
      <w:r>
        <w:rPr>
          <w:rFonts w:hint="eastAsia" w:ascii="微软雅黑" w:hAnsi="微软雅黑" w:eastAsia="微软雅黑" w:cs="微软雅黑"/>
        </w:rPr>
        <w:t>委托</w:t>
      </w:r>
      <w:r>
        <w:rPr>
          <w:rFonts w:hint="eastAsia" w:ascii="微软雅黑" w:hAnsi="微软雅黑" w:eastAsia="微软雅黑" w:cs="微软雅黑"/>
          <w:szCs w:val="21"/>
        </w:rPr>
        <w:t>人（</w:t>
      </w:r>
      <w:r>
        <w:rPr>
          <w:rFonts w:hint="eastAsia" w:ascii="微软雅黑" w:hAnsi="微软雅黑" w:eastAsia="微软雅黑" w:cs="微软雅黑"/>
        </w:rPr>
        <w:t>签字或盖章）：</w:t>
      </w:r>
    </w:p>
    <w:p>
      <w:pPr>
        <w:adjustRightInd w:val="0"/>
        <w:snapToGrid w:val="0"/>
        <w:spacing w:line="360" w:lineRule="auto"/>
        <w:ind w:right="140" w:rightChars="50"/>
        <w:jc w:val="left"/>
        <w:rPr>
          <w:rFonts w:ascii="微软雅黑" w:hAnsi="微软雅黑" w:eastAsia="微软雅黑" w:cs="微软雅黑"/>
          <w:u w:val="single"/>
        </w:rPr>
      </w:pPr>
      <w:r>
        <w:rPr>
          <w:rFonts w:hint="eastAsia" w:ascii="微软雅黑" w:hAnsi="微软雅黑" w:eastAsia="微软雅黑" w:cs="微软雅黑"/>
        </w:rPr>
        <w:t>日期：</w:t>
      </w:r>
    </w:p>
    <w:p>
      <w:pPr>
        <w:adjustRightInd w:val="0"/>
        <w:snapToGrid w:val="0"/>
        <w:spacing w:line="360" w:lineRule="auto"/>
        <w:ind w:right="140" w:rightChars="50"/>
        <w:jc w:val="left"/>
        <w:rPr>
          <w:rFonts w:ascii="微软雅黑" w:hAnsi="微软雅黑" w:eastAsia="微软雅黑" w:cs="微软雅黑"/>
          <w:u w:val="single"/>
        </w:rPr>
      </w:pPr>
    </w:p>
    <w:p>
      <w:pPr>
        <w:adjustRightInd w:val="0"/>
        <w:snapToGrid w:val="0"/>
        <w:spacing w:line="360" w:lineRule="auto"/>
        <w:ind w:right="140" w:rightChars="50"/>
        <w:jc w:val="left"/>
        <w:rPr>
          <w:rFonts w:ascii="微软雅黑" w:hAnsi="微软雅黑" w:eastAsia="微软雅黑" w:cs="微软雅黑"/>
          <w:b/>
          <w:szCs w:val="28"/>
        </w:rPr>
      </w:pPr>
    </w:p>
    <w:p>
      <w:pPr>
        <w:widowControl/>
        <w:jc w:val="center"/>
        <w:rPr>
          <w:rFonts w:ascii="微软雅黑" w:hAnsi="微软雅黑" w:eastAsia="微软雅黑" w:cs="微软雅黑"/>
          <w:b/>
          <w:szCs w:val="28"/>
        </w:rPr>
      </w:pPr>
      <w:r>
        <w:rPr>
          <w:rFonts w:ascii="微软雅黑" w:hAnsi="微软雅黑" w:eastAsia="微软雅黑" w:cs="微软雅黑"/>
          <w:szCs w:val="28"/>
        </w:rPr>
        <w:br w:type="page"/>
      </w:r>
      <w:bookmarkStart w:id="91" w:name="_Toc7498_WPSOffice_Level2"/>
      <w:bookmarkStart w:id="92" w:name="_Toc11967_WPSOffice_Level2"/>
      <w:r>
        <w:rPr>
          <w:rFonts w:hint="eastAsia" w:ascii="微软雅黑" w:hAnsi="微软雅黑" w:eastAsia="微软雅黑" w:cs="微软雅黑"/>
          <w:b/>
          <w:szCs w:val="28"/>
        </w:rPr>
        <w:t>参加政府采购活动前</w:t>
      </w:r>
      <w:r>
        <w:rPr>
          <w:rFonts w:ascii="微软雅黑" w:hAnsi="微软雅黑" w:eastAsia="微软雅黑" w:cs="微软雅黑"/>
          <w:b/>
          <w:szCs w:val="28"/>
        </w:rPr>
        <w:t>3</w:t>
      </w:r>
      <w:r>
        <w:rPr>
          <w:rFonts w:hint="eastAsia" w:ascii="微软雅黑" w:hAnsi="微软雅黑" w:eastAsia="微软雅黑" w:cs="微软雅黑"/>
          <w:b/>
          <w:szCs w:val="28"/>
        </w:rPr>
        <w:t>年内在经营活动中没有重大违法记录的书面声明</w:t>
      </w:r>
      <w:bookmarkEnd w:id="91"/>
      <w:bookmarkEnd w:id="92"/>
    </w:p>
    <w:p>
      <w:pPr>
        <w:spacing w:line="360" w:lineRule="auto"/>
        <w:ind w:right="840" w:rightChars="300"/>
        <w:rPr>
          <w:rFonts w:ascii="微软雅黑" w:hAnsi="微软雅黑" w:eastAsia="微软雅黑" w:cs="微软雅黑"/>
          <w:b/>
          <w:szCs w:val="21"/>
        </w:rPr>
      </w:pPr>
      <w:r>
        <w:rPr>
          <w:rFonts w:hint="eastAsia" w:ascii="微软雅黑" w:hAnsi="微软雅黑" w:eastAsia="微软雅黑" w:cs="微软雅黑"/>
          <w:b/>
          <w:szCs w:val="21"/>
          <w:u w:val="single"/>
        </w:rPr>
        <w:t>（采购人或采购代理机构名称）</w:t>
      </w:r>
      <w:r>
        <w:rPr>
          <w:rFonts w:hint="eastAsia" w:ascii="微软雅黑" w:hAnsi="微软雅黑" w:eastAsia="微软雅黑" w:cs="微软雅黑"/>
          <w:b/>
          <w:szCs w:val="21"/>
        </w:rPr>
        <w:t>：</w:t>
      </w:r>
    </w:p>
    <w:p>
      <w:pPr>
        <w:spacing w:line="360" w:lineRule="auto"/>
        <w:ind w:right="-28" w:rightChars="-10" w:firstLine="658" w:firstLineChars="235"/>
        <w:rPr>
          <w:rFonts w:ascii="微软雅黑" w:hAnsi="微软雅黑" w:eastAsia="微软雅黑" w:cs="微软雅黑"/>
          <w:szCs w:val="21"/>
        </w:rPr>
      </w:pPr>
      <w:r>
        <w:rPr>
          <w:rFonts w:hint="eastAsia" w:ascii="微软雅黑" w:hAnsi="微软雅黑" w:eastAsia="微软雅黑" w:cs="微软雅黑"/>
          <w:szCs w:val="21"/>
        </w:rPr>
        <w:t>在本项目递交投标文件截止时间前，我单位参加本次政府采购活动前</w:t>
      </w:r>
      <w:r>
        <w:rPr>
          <w:rFonts w:ascii="微软雅黑" w:hAnsi="微软雅黑" w:eastAsia="微软雅黑" w:cs="微软雅黑"/>
          <w:szCs w:val="21"/>
        </w:rPr>
        <w:t>3</w:t>
      </w:r>
      <w:r>
        <w:rPr>
          <w:rFonts w:hint="eastAsia" w:ascii="微软雅黑" w:hAnsi="微软雅黑" w:eastAsia="微软雅黑" w:cs="微软雅黑"/>
          <w:szCs w:val="21"/>
        </w:rPr>
        <w:t>年内在经营活动中没有因违法经营受到刑事处罚或者责令停产停业、吊销许可证或者执照、较大数额罚款等行政处罚的重大违法记录；通过“信用中国”（网站：</w:t>
      </w:r>
      <w:r>
        <w:rPr>
          <w:rFonts w:ascii="微软雅黑" w:hAnsi="微软雅黑" w:eastAsia="微软雅黑" w:cs="微软雅黑"/>
          <w:szCs w:val="21"/>
        </w:rPr>
        <w:t>www.creditchina.gov.cn/)</w:t>
      </w:r>
      <w:r>
        <w:rPr>
          <w:rFonts w:hint="eastAsia" w:ascii="微软雅黑" w:hAnsi="微软雅黑" w:eastAsia="微软雅黑" w:cs="微软雅黑"/>
          <w:szCs w:val="21"/>
        </w:rPr>
        <w:t>、“中国政府采购网”（网站</w:t>
      </w:r>
      <w:r>
        <w:rPr>
          <w:rFonts w:ascii="微软雅黑" w:hAnsi="微软雅黑" w:eastAsia="微软雅黑" w:cs="微软雅黑"/>
          <w:szCs w:val="21"/>
        </w:rPr>
        <w:t>www.ccgp.gov.cn</w:t>
      </w:r>
      <w:r>
        <w:rPr>
          <w:rFonts w:hint="eastAsia" w:ascii="微软雅黑" w:hAnsi="微软雅黑" w:eastAsia="微软雅黑" w:cs="微软雅黑"/>
          <w:szCs w:val="21"/>
        </w:rPr>
        <w:t>）等渠道查询，我单位未被列入失信被执行人、重大税收违法案件当事人名单、政府采购严重违法失信行为记录名单。</w:t>
      </w:r>
    </w:p>
    <w:p>
      <w:pPr>
        <w:tabs>
          <w:tab w:val="left" w:pos="10065"/>
        </w:tabs>
        <w:spacing w:line="360" w:lineRule="auto"/>
        <w:ind w:right="-28" w:rightChars="-10" w:firstLine="495" w:firstLineChars="177"/>
        <w:rPr>
          <w:rFonts w:ascii="微软雅黑" w:hAnsi="微软雅黑" w:eastAsia="微软雅黑" w:cs="微软雅黑"/>
          <w:szCs w:val="21"/>
        </w:rPr>
      </w:pPr>
      <w:r>
        <w:rPr>
          <w:rFonts w:hint="eastAsia" w:ascii="微软雅黑" w:hAnsi="微软雅黑" w:eastAsia="微软雅黑" w:cs="微软雅黑"/>
          <w:szCs w:val="21"/>
        </w:rPr>
        <w:t>如发现我单位提供的声明函不实时，我单位将按照《政府采购法》有关提供虚假材料的规定，接受处罚。</w:t>
      </w:r>
    </w:p>
    <w:p>
      <w:pPr>
        <w:spacing w:line="360" w:lineRule="auto"/>
        <w:ind w:right="1400" w:rightChars="500" w:firstLine="560" w:firstLineChars="200"/>
        <w:rPr>
          <w:rFonts w:ascii="微软雅黑" w:hAnsi="微软雅黑" w:eastAsia="微软雅黑" w:cs="微软雅黑"/>
          <w:szCs w:val="21"/>
        </w:rPr>
      </w:pPr>
      <w:r>
        <w:rPr>
          <w:rFonts w:hint="eastAsia" w:ascii="微软雅黑" w:hAnsi="微软雅黑" w:eastAsia="微软雅黑" w:cs="微软雅黑"/>
          <w:szCs w:val="21"/>
        </w:rPr>
        <w:t>特此声明。</w:t>
      </w:r>
    </w:p>
    <w:p>
      <w:pPr>
        <w:spacing w:line="500" w:lineRule="exact"/>
        <w:ind w:right="1400" w:rightChars="500"/>
        <w:rPr>
          <w:rFonts w:ascii="微软雅黑" w:hAnsi="微软雅黑" w:eastAsia="微软雅黑" w:cs="微软雅黑"/>
          <w:szCs w:val="21"/>
        </w:rPr>
      </w:pPr>
    </w:p>
    <w:p>
      <w:pPr>
        <w:spacing w:beforeLines="50" w:afterLines="50" w:line="400" w:lineRule="exact"/>
        <w:ind w:right="1400" w:rightChars="500"/>
        <w:rPr>
          <w:rFonts w:ascii="微软雅黑" w:hAnsi="微软雅黑" w:eastAsia="微软雅黑" w:cs="微软雅黑"/>
          <w:szCs w:val="21"/>
        </w:rPr>
      </w:pPr>
    </w:p>
    <w:p>
      <w:pPr>
        <w:spacing w:beforeLines="50" w:afterLines="50" w:line="400" w:lineRule="exact"/>
        <w:ind w:right="1400" w:rightChars="500"/>
        <w:rPr>
          <w:rFonts w:ascii="微软雅黑" w:hAnsi="微软雅黑" w:eastAsia="微软雅黑" w:cs="微软雅黑"/>
          <w:szCs w:val="21"/>
        </w:rPr>
      </w:pPr>
      <w:r>
        <w:rPr>
          <w:rFonts w:hint="eastAsia" w:ascii="微软雅黑" w:hAnsi="微软雅黑" w:eastAsia="微软雅黑" w:cs="微软雅黑"/>
          <w:szCs w:val="21"/>
        </w:rPr>
        <w:t>注：附“信用中国”（网站：</w:t>
      </w:r>
      <w:r>
        <w:rPr>
          <w:rFonts w:ascii="微软雅黑" w:hAnsi="微软雅黑" w:eastAsia="微软雅黑" w:cs="微软雅黑"/>
          <w:szCs w:val="21"/>
        </w:rPr>
        <w:t>www.creditchina.gov.cn/)</w:t>
      </w:r>
      <w:r>
        <w:rPr>
          <w:rFonts w:hint="eastAsia" w:ascii="微软雅黑" w:hAnsi="微软雅黑" w:eastAsia="微软雅黑" w:cs="微软雅黑"/>
          <w:szCs w:val="21"/>
        </w:rPr>
        <w:t>、“中国政府采购网”（网站</w:t>
      </w:r>
      <w:r>
        <w:rPr>
          <w:rFonts w:ascii="微软雅黑" w:hAnsi="微软雅黑" w:eastAsia="微软雅黑" w:cs="微软雅黑"/>
          <w:szCs w:val="21"/>
        </w:rPr>
        <w:t>www.ccgp.gov.cn</w:t>
      </w:r>
      <w:r>
        <w:rPr>
          <w:rFonts w:hint="eastAsia" w:ascii="微软雅黑" w:hAnsi="微软雅黑" w:eastAsia="微软雅黑" w:cs="微软雅黑"/>
          <w:szCs w:val="21"/>
        </w:rPr>
        <w:t>）等渠道查询页面截图。</w:t>
      </w:r>
    </w:p>
    <w:p>
      <w:pPr>
        <w:spacing w:beforeLines="50" w:afterLines="50" w:line="400" w:lineRule="exact"/>
        <w:ind w:right="1400" w:rightChars="500"/>
        <w:rPr>
          <w:rFonts w:ascii="微软雅黑" w:hAnsi="微软雅黑" w:eastAsia="微软雅黑" w:cs="微软雅黑"/>
          <w:szCs w:val="21"/>
        </w:rPr>
      </w:pPr>
    </w:p>
    <w:p>
      <w:pPr>
        <w:spacing w:line="360" w:lineRule="exact"/>
        <w:ind w:right="1400" w:rightChars="500"/>
        <w:rPr>
          <w:rFonts w:ascii="微软雅黑" w:hAnsi="微软雅黑" w:eastAsia="微软雅黑" w:cs="微软雅黑"/>
          <w:szCs w:val="21"/>
        </w:rPr>
      </w:pPr>
    </w:p>
    <w:p>
      <w:pPr>
        <w:spacing w:line="480" w:lineRule="auto"/>
        <w:rPr>
          <w:rFonts w:ascii="微软雅黑" w:hAnsi="微软雅黑" w:eastAsia="微软雅黑" w:cs="微软雅黑"/>
        </w:rPr>
      </w:pPr>
      <w:r>
        <w:rPr>
          <w:rFonts w:hint="eastAsia" w:ascii="微软雅黑" w:hAnsi="微软雅黑" w:eastAsia="微软雅黑" w:cs="微软雅黑"/>
        </w:rPr>
        <w:t>投标人名称（加盖单位公章）：</w:t>
      </w:r>
    </w:p>
    <w:p>
      <w:pPr>
        <w:spacing w:line="480" w:lineRule="auto"/>
        <w:rPr>
          <w:rFonts w:ascii="微软雅黑" w:hAnsi="微软雅黑" w:eastAsia="微软雅黑" w:cs="微软雅黑"/>
        </w:rPr>
      </w:pPr>
      <w:r>
        <w:rPr>
          <w:rFonts w:hint="eastAsia" w:ascii="微软雅黑" w:hAnsi="微软雅黑" w:eastAsia="微软雅黑" w:cs="微软雅黑"/>
        </w:rPr>
        <w:t>法定代表人</w:t>
      </w:r>
      <w:r>
        <w:rPr>
          <w:rFonts w:hint="eastAsia" w:ascii="微软雅黑" w:hAnsi="微软雅黑" w:eastAsia="微软雅黑" w:cs="微软雅黑"/>
          <w:szCs w:val="21"/>
        </w:rPr>
        <w:t>或</w:t>
      </w:r>
      <w:r>
        <w:rPr>
          <w:rFonts w:hint="eastAsia" w:ascii="微软雅黑" w:hAnsi="微软雅黑" w:eastAsia="微软雅黑" w:cs="微软雅黑"/>
        </w:rPr>
        <w:t>其</w:t>
      </w:r>
      <w:r>
        <w:rPr>
          <w:rFonts w:hint="eastAsia" w:ascii="微软雅黑" w:hAnsi="微软雅黑" w:eastAsia="微软雅黑" w:cs="微软雅黑"/>
          <w:szCs w:val="21"/>
        </w:rPr>
        <w:t>授权</w:t>
      </w:r>
      <w:r>
        <w:rPr>
          <w:rFonts w:hint="eastAsia" w:ascii="微软雅黑" w:hAnsi="微软雅黑" w:eastAsia="微软雅黑" w:cs="微软雅黑"/>
        </w:rPr>
        <w:t>委托</w:t>
      </w:r>
      <w:r>
        <w:rPr>
          <w:rFonts w:hint="eastAsia" w:ascii="微软雅黑" w:hAnsi="微软雅黑" w:eastAsia="微软雅黑" w:cs="微软雅黑"/>
          <w:szCs w:val="21"/>
        </w:rPr>
        <w:t>人（</w:t>
      </w:r>
      <w:r>
        <w:rPr>
          <w:rFonts w:hint="eastAsia" w:ascii="微软雅黑" w:hAnsi="微软雅黑" w:eastAsia="微软雅黑" w:cs="微软雅黑"/>
        </w:rPr>
        <w:t>签字或盖章）：</w:t>
      </w:r>
    </w:p>
    <w:p>
      <w:pPr>
        <w:adjustRightInd w:val="0"/>
        <w:snapToGrid w:val="0"/>
        <w:spacing w:line="360" w:lineRule="auto"/>
        <w:jc w:val="center"/>
        <w:rPr>
          <w:rFonts w:hint="eastAsia" w:ascii="微软雅黑" w:hAnsi="微软雅黑" w:eastAsia="微软雅黑" w:cs="微软雅黑"/>
        </w:rPr>
        <w:sectPr>
          <w:footerReference r:id="rId12" w:type="first"/>
          <w:footerReference r:id="rId11" w:type="default"/>
          <w:pgSz w:w="11906" w:h="16838"/>
          <w:pgMar w:top="1134" w:right="1134" w:bottom="1134" w:left="1134" w:header="567" w:footer="567" w:gutter="0"/>
          <w:pgNumType w:fmt="decimal" w:start="79"/>
          <w:cols w:space="720" w:num="1"/>
          <w:titlePg/>
          <w:docGrid w:type="lines" w:linePitch="312" w:charSpace="0"/>
        </w:sectPr>
      </w:pPr>
      <w:r>
        <w:rPr>
          <w:rFonts w:hint="eastAsia" w:ascii="微软雅黑" w:hAnsi="微软雅黑" w:eastAsia="微软雅黑" w:cs="微软雅黑"/>
        </w:rPr>
        <w:t>日期：</w:t>
      </w:r>
    </w:p>
    <w:p>
      <w:pPr>
        <w:adjustRightInd w:val="0"/>
        <w:snapToGrid w:val="0"/>
        <w:spacing w:line="360" w:lineRule="auto"/>
        <w:jc w:val="center"/>
        <w:rPr>
          <w:rFonts w:hint="eastAsia" w:ascii="微软雅黑" w:hAnsi="微软雅黑" w:eastAsia="微软雅黑" w:cs="微软雅黑"/>
          <w:b/>
          <w:color w:val="000000"/>
          <w:sz w:val="36"/>
          <w:szCs w:val="36"/>
        </w:rPr>
      </w:pPr>
      <w:r>
        <w:rPr>
          <w:rFonts w:hint="eastAsia" w:ascii="微软雅黑" w:hAnsi="微软雅黑" w:eastAsia="微软雅黑" w:cs="微软雅黑"/>
          <w:b/>
          <w:bCs/>
          <w:color w:val="000000"/>
          <w:kern w:val="0"/>
          <w:sz w:val="36"/>
          <w:szCs w:val="36"/>
          <w:lang w:eastAsia="zh-CN"/>
        </w:rPr>
        <w:t>投标人基本</w:t>
      </w:r>
      <w:r>
        <w:rPr>
          <w:rFonts w:hint="eastAsia" w:ascii="微软雅黑" w:hAnsi="微软雅黑" w:eastAsia="微软雅黑" w:cs="微软雅黑"/>
          <w:b/>
          <w:color w:val="000000"/>
          <w:sz w:val="36"/>
          <w:szCs w:val="36"/>
        </w:rPr>
        <w:t>情况一览表</w:t>
      </w:r>
    </w:p>
    <w:tbl>
      <w:tblPr>
        <w:tblStyle w:val="38"/>
        <w:tblW w:w="9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62"/>
        <w:gridCol w:w="1945"/>
        <w:gridCol w:w="2102"/>
        <w:gridCol w:w="1987"/>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公司名称</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注册资金</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地址、邮编</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主要业务范围</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企业性质</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成立时间</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3936" w:type="dxa"/>
            <w:gridSpan w:val="3"/>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生产经营场所规模（平方）</w:t>
            </w:r>
          </w:p>
        </w:tc>
        <w:tc>
          <w:tcPr>
            <w:tcW w:w="5923" w:type="dxa"/>
            <w:gridSpan w:val="3"/>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9859" w:type="dxa"/>
            <w:gridSpan w:val="6"/>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法人代表</w:t>
            </w:r>
          </w:p>
        </w:tc>
        <w:tc>
          <w:tcPr>
            <w:tcW w:w="1945"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公司经理</w:t>
            </w:r>
          </w:p>
        </w:tc>
        <w:tc>
          <w:tcPr>
            <w:tcW w:w="2102"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总工程师</w:t>
            </w:r>
          </w:p>
        </w:tc>
        <w:tc>
          <w:tcPr>
            <w:tcW w:w="1987"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总经济师</w:t>
            </w:r>
          </w:p>
        </w:tc>
        <w:tc>
          <w:tcPr>
            <w:tcW w:w="1834"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noWrap w:val="0"/>
            <w:vAlign w:val="center"/>
          </w:tcPr>
          <w:p>
            <w:pPr>
              <w:spacing w:line="240" w:lineRule="atLeast"/>
              <w:rPr>
                <w:rFonts w:hint="eastAsia" w:ascii="微软雅黑" w:hAnsi="微软雅黑" w:eastAsia="微软雅黑" w:cs="微软雅黑"/>
                <w:sz w:val="24"/>
                <w:szCs w:val="20"/>
              </w:rPr>
            </w:pPr>
          </w:p>
        </w:tc>
        <w:tc>
          <w:tcPr>
            <w:tcW w:w="1945" w:type="dxa"/>
            <w:noWrap w:val="0"/>
            <w:vAlign w:val="center"/>
          </w:tcPr>
          <w:p>
            <w:pPr>
              <w:spacing w:line="240" w:lineRule="atLeast"/>
              <w:rPr>
                <w:rFonts w:hint="eastAsia" w:ascii="微软雅黑" w:hAnsi="微软雅黑" w:eastAsia="微软雅黑" w:cs="微软雅黑"/>
                <w:sz w:val="24"/>
                <w:szCs w:val="20"/>
              </w:rPr>
            </w:pPr>
          </w:p>
        </w:tc>
        <w:tc>
          <w:tcPr>
            <w:tcW w:w="2102" w:type="dxa"/>
            <w:noWrap w:val="0"/>
            <w:vAlign w:val="center"/>
          </w:tcPr>
          <w:p>
            <w:pPr>
              <w:spacing w:line="240" w:lineRule="atLeast"/>
              <w:rPr>
                <w:rFonts w:hint="eastAsia" w:ascii="微软雅黑" w:hAnsi="微软雅黑" w:eastAsia="微软雅黑" w:cs="微软雅黑"/>
                <w:sz w:val="24"/>
                <w:szCs w:val="20"/>
              </w:rPr>
            </w:pPr>
          </w:p>
        </w:tc>
        <w:tc>
          <w:tcPr>
            <w:tcW w:w="1987" w:type="dxa"/>
            <w:noWrap w:val="0"/>
            <w:vAlign w:val="center"/>
          </w:tcPr>
          <w:p>
            <w:pPr>
              <w:spacing w:line="240" w:lineRule="atLeast"/>
              <w:rPr>
                <w:rFonts w:hint="eastAsia" w:ascii="微软雅黑" w:hAnsi="微软雅黑" w:eastAsia="微软雅黑" w:cs="微软雅黑"/>
                <w:sz w:val="24"/>
                <w:szCs w:val="20"/>
              </w:rPr>
            </w:pPr>
          </w:p>
        </w:tc>
        <w:tc>
          <w:tcPr>
            <w:tcW w:w="1834" w:type="dxa"/>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9859" w:type="dxa"/>
            <w:gridSpan w:val="6"/>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vMerge w:val="restart"/>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人员总数（人）</w:t>
            </w:r>
          </w:p>
        </w:tc>
        <w:tc>
          <w:tcPr>
            <w:tcW w:w="1945"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高级职称</w:t>
            </w:r>
          </w:p>
        </w:tc>
        <w:tc>
          <w:tcPr>
            <w:tcW w:w="2102"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中级职称</w:t>
            </w:r>
          </w:p>
        </w:tc>
        <w:tc>
          <w:tcPr>
            <w:tcW w:w="1987"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初级职称</w:t>
            </w:r>
          </w:p>
        </w:tc>
        <w:tc>
          <w:tcPr>
            <w:tcW w:w="1834"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vMerge w:val="continue"/>
            <w:noWrap w:val="0"/>
            <w:vAlign w:val="center"/>
          </w:tcPr>
          <w:p>
            <w:pPr>
              <w:spacing w:line="240" w:lineRule="atLeast"/>
              <w:rPr>
                <w:rFonts w:hint="eastAsia" w:ascii="微软雅黑" w:hAnsi="微软雅黑" w:eastAsia="微软雅黑" w:cs="微软雅黑"/>
                <w:sz w:val="24"/>
                <w:szCs w:val="20"/>
              </w:rPr>
            </w:pPr>
          </w:p>
        </w:tc>
        <w:tc>
          <w:tcPr>
            <w:tcW w:w="1945" w:type="dxa"/>
            <w:noWrap w:val="0"/>
            <w:vAlign w:val="center"/>
          </w:tcPr>
          <w:p>
            <w:pPr>
              <w:spacing w:line="240" w:lineRule="atLeast"/>
              <w:rPr>
                <w:rFonts w:hint="eastAsia" w:ascii="微软雅黑" w:hAnsi="微软雅黑" w:eastAsia="微软雅黑" w:cs="微软雅黑"/>
                <w:sz w:val="24"/>
                <w:szCs w:val="20"/>
              </w:rPr>
            </w:pPr>
          </w:p>
        </w:tc>
        <w:tc>
          <w:tcPr>
            <w:tcW w:w="2102" w:type="dxa"/>
            <w:noWrap w:val="0"/>
            <w:vAlign w:val="center"/>
          </w:tcPr>
          <w:p>
            <w:pPr>
              <w:spacing w:line="240" w:lineRule="atLeast"/>
              <w:rPr>
                <w:rFonts w:hint="eastAsia" w:ascii="微软雅黑" w:hAnsi="微软雅黑" w:eastAsia="微软雅黑" w:cs="微软雅黑"/>
                <w:sz w:val="24"/>
                <w:szCs w:val="20"/>
              </w:rPr>
            </w:pPr>
          </w:p>
        </w:tc>
        <w:tc>
          <w:tcPr>
            <w:tcW w:w="1987" w:type="dxa"/>
            <w:noWrap w:val="0"/>
            <w:vAlign w:val="center"/>
          </w:tcPr>
          <w:p>
            <w:pPr>
              <w:spacing w:line="240" w:lineRule="atLeast"/>
              <w:rPr>
                <w:rFonts w:hint="eastAsia" w:ascii="微软雅黑" w:hAnsi="微软雅黑" w:eastAsia="微软雅黑" w:cs="微软雅黑"/>
                <w:sz w:val="24"/>
                <w:szCs w:val="20"/>
              </w:rPr>
            </w:pPr>
          </w:p>
        </w:tc>
        <w:tc>
          <w:tcPr>
            <w:tcW w:w="1834" w:type="dxa"/>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vMerge w:val="restart"/>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人员构成（%）</w:t>
            </w:r>
          </w:p>
        </w:tc>
        <w:tc>
          <w:tcPr>
            <w:tcW w:w="1945"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管理人员</w:t>
            </w:r>
          </w:p>
        </w:tc>
        <w:tc>
          <w:tcPr>
            <w:tcW w:w="2102"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技术人员</w:t>
            </w:r>
          </w:p>
        </w:tc>
        <w:tc>
          <w:tcPr>
            <w:tcW w:w="1987"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后勤人员</w:t>
            </w:r>
          </w:p>
        </w:tc>
        <w:tc>
          <w:tcPr>
            <w:tcW w:w="1834"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vMerge w:val="continue"/>
            <w:noWrap w:val="0"/>
            <w:vAlign w:val="center"/>
          </w:tcPr>
          <w:p>
            <w:pPr>
              <w:spacing w:line="240" w:lineRule="atLeast"/>
              <w:rPr>
                <w:rFonts w:hint="eastAsia" w:ascii="微软雅黑" w:hAnsi="微软雅黑" w:eastAsia="微软雅黑" w:cs="微软雅黑"/>
                <w:sz w:val="24"/>
                <w:szCs w:val="20"/>
              </w:rPr>
            </w:pPr>
          </w:p>
        </w:tc>
        <w:tc>
          <w:tcPr>
            <w:tcW w:w="1945" w:type="dxa"/>
            <w:noWrap w:val="0"/>
            <w:vAlign w:val="center"/>
          </w:tcPr>
          <w:p>
            <w:pPr>
              <w:spacing w:line="240" w:lineRule="atLeast"/>
              <w:rPr>
                <w:rFonts w:hint="eastAsia" w:ascii="微软雅黑" w:hAnsi="微软雅黑" w:eastAsia="微软雅黑" w:cs="微软雅黑"/>
                <w:sz w:val="24"/>
                <w:szCs w:val="20"/>
              </w:rPr>
            </w:pPr>
          </w:p>
        </w:tc>
        <w:tc>
          <w:tcPr>
            <w:tcW w:w="2102" w:type="dxa"/>
            <w:noWrap w:val="0"/>
            <w:vAlign w:val="center"/>
          </w:tcPr>
          <w:p>
            <w:pPr>
              <w:spacing w:line="240" w:lineRule="atLeast"/>
              <w:rPr>
                <w:rFonts w:hint="eastAsia" w:ascii="微软雅黑" w:hAnsi="微软雅黑" w:eastAsia="微软雅黑" w:cs="微软雅黑"/>
                <w:sz w:val="24"/>
                <w:szCs w:val="20"/>
              </w:rPr>
            </w:pPr>
          </w:p>
        </w:tc>
        <w:tc>
          <w:tcPr>
            <w:tcW w:w="1987" w:type="dxa"/>
            <w:noWrap w:val="0"/>
            <w:vAlign w:val="center"/>
          </w:tcPr>
          <w:p>
            <w:pPr>
              <w:spacing w:line="240" w:lineRule="atLeast"/>
              <w:rPr>
                <w:rFonts w:hint="eastAsia" w:ascii="微软雅黑" w:hAnsi="微软雅黑" w:eastAsia="微软雅黑" w:cs="微软雅黑"/>
                <w:sz w:val="24"/>
                <w:szCs w:val="20"/>
              </w:rPr>
            </w:pPr>
          </w:p>
        </w:tc>
        <w:tc>
          <w:tcPr>
            <w:tcW w:w="1834" w:type="dxa"/>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vMerge w:val="restart"/>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上年度末资产及负债情况</w:t>
            </w:r>
          </w:p>
        </w:tc>
        <w:tc>
          <w:tcPr>
            <w:tcW w:w="1945"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总资产</w:t>
            </w:r>
          </w:p>
        </w:tc>
        <w:tc>
          <w:tcPr>
            <w:tcW w:w="2102"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固定资产净额</w:t>
            </w:r>
          </w:p>
        </w:tc>
        <w:tc>
          <w:tcPr>
            <w:tcW w:w="1987"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流动资产</w:t>
            </w:r>
          </w:p>
        </w:tc>
        <w:tc>
          <w:tcPr>
            <w:tcW w:w="1834" w:type="dxa"/>
            <w:noWrap w:val="0"/>
            <w:vAlign w:val="center"/>
          </w:tcPr>
          <w:p>
            <w:pPr>
              <w:spacing w:line="240" w:lineRule="atLeast"/>
              <w:rPr>
                <w:rFonts w:hint="eastAsia" w:ascii="微软雅黑" w:hAnsi="微软雅黑" w:eastAsia="微软雅黑" w:cs="微软雅黑"/>
                <w:sz w:val="24"/>
                <w:szCs w:val="20"/>
              </w:rPr>
            </w:pPr>
            <w:r>
              <w:rPr>
                <w:rFonts w:hint="eastAsia" w:ascii="微软雅黑" w:hAnsi="微软雅黑" w:eastAsia="微软雅黑" w:cs="微软雅黑"/>
                <w:sz w:val="24"/>
                <w:szCs w:val="20"/>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991" w:type="dxa"/>
            <w:gridSpan w:val="2"/>
            <w:vMerge w:val="continue"/>
            <w:noWrap w:val="0"/>
            <w:vAlign w:val="center"/>
          </w:tcPr>
          <w:p>
            <w:pPr>
              <w:spacing w:line="240" w:lineRule="atLeast"/>
              <w:rPr>
                <w:rFonts w:hint="eastAsia" w:ascii="微软雅黑" w:hAnsi="微软雅黑" w:eastAsia="微软雅黑" w:cs="微软雅黑"/>
                <w:sz w:val="24"/>
                <w:szCs w:val="20"/>
              </w:rPr>
            </w:pPr>
          </w:p>
        </w:tc>
        <w:tc>
          <w:tcPr>
            <w:tcW w:w="1945" w:type="dxa"/>
            <w:noWrap w:val="0"/>
            <w:vAlign w:val="center"/>
          </w:tcPr>
          <w:p>
            <w:pPr>
              <w:spacing w:line="240" w:lineRule="atLeast"/>
              <w:rPr>
                <w:rFonts w:hint="eastAsia" w:ascii="微软雅黑" w:hAnsi="微软雅黑" w:eastAsia="微软雅黑" w:cs="微软雅黑"/>
                <w:sz w:val="24"/>
                <w:szCs w:val="20"/>
              </w:rPr>
            </w:pPr>
          </w:p>
        </w:tc>
        <w:tc>
          <w:tcPr>
            <w:tcW w:w="2102" w:type="dxa"/>
            <w:noWrap w:val="0"/>
            <w:vAlign w:val="center"/>
          </w:tcPr>
          <w:p>
            <w:pPr>
              <w:spacing w:line="240" w:lineRule="atLeast"/>
              <w:rPr>
                <w:rFonts w:hint="eastAsia" w:ascii="微软雅黑" w:hAnsi="微软雅黑" w:eastAsia="微软雅黑" w:cs="微软雅黑"/>
                <w:sz w:val="24"/>
                <w:szCs w:val="20"/>
              </w:rPr>
            </w:pPr>
          </w:p>
        </w:tc>
        <w:tc>
          <w:tcPr>
            <w:tcW w:w="1987" w:type="dxa"/>
            <w:noWrap w:val="0"/>
            <w:vAlign w:val="center"/>
          </w:tcPr>
          <w:p>
            <w:pPr>
              <w:spacing w:line="240" w:lineRule="atLeast"/>
              <w:rPr>
                <w:rFonts w:hint="eastAsia" w:ascii="微软雅黑" w:hAnsi="微软雅黑" w:eastAsia="微软雅黑" w:cs="微软雅黑"/>
                <w:sz w:val="24"/>
                <w:szCs w:val="20"/>
              </w:rPr>
            </w:pPr>
          </w:p>
        </w:tc>
        <w:tc>
          <w:tcPr>
            <w:tcW w:w="1834" w:type="dxa"/>
            <w:noWrap w:val="0"/>
            <w:vAlign w:val="center"/>
          </w:tcPr>
          <w:p>
            <w:pPr>
              <w:spacing w:line="240" w:lineRule="atLeast"/>
              <w:rPr>
                <w:rFonts w:hint="eastAsia"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exact"/>
        </w:trPr>
        <w:tc>
          <w:tcPr>
            <w:tcW w:w="729" w:type="dxa"/>
            <w:noWrap w:val="0"/>
            <w:vAlign w:val="center"/>
          </w:tcPr>
          <w:p>
            <w:pPr>
              <w:rPr>
                <w:rFonts w:hint="eastAsia" w:ascii="微软雅黑" w:hAnsi="微软雅黑" w:eastAsia="微软雅黑" w:cs="微软雅黑"/>
                <w:sz w:val="24"/>
                <w:szCs w:val="20"/>
              </w:rPr>
            </w:pPr>
            <w:r>
              <w:rPr>
                <w:rFonts w:hint="eastAsia" w:ascii="微软雅黑" w:hAnsi="微软雅黑" w:eastAsia="微软雅黑" w:cs="微软雅黑"/>
                <w:sz w:val="24"/>
                <w:szCs w:val="20"/>
              </w:rPr>
              <w:t>企业概况</w:t>
            </w:r>
          </w:p>
        </w:tc>
        <w:tc>
          <w:tcPr>
            <w:tcW w:w="9130" w:type="dxa"/>
            <w:gridSpan w:val="5"/>
            <w:noWrap w:val="0"/>
            <w:vAlign w:val="center"/>
          </w:tcPr>
          <w:p>
            <w:pPr>
              <w:rPr>
                <w:rFonts w:hint="eastAsia" w:ascii="微软雅黑" w:hAnsi="微软雅黑" w:eastAsia="微软雅黑" w:cs="微软雅黑"/>
                <w:sz w:val="24"/>
                <w:szCs w:val="20"/>
              </w:rPr>
            </w:pPr>
          </w:p>
        </w:tc>
      </w:tr>
    </w:tbl>
    <w:p>
      <w:pPr>
        <w:adjustRightInd w:val="0"/>
        <w:snapToGrid w:val="0"/>
        <w:spacing w:line="360" w:lineRule="auto"/>
        <w:rPr>
          <w:rFonts w:hint="eastAsia" w:ascii="微软雅黑" w:hAnsi="微软雅黑" w:eastAsia="微软雅黑" w:cs="微软雅黑"/>
          <w:color w:val="000000"/>
          <w:sz w:val="28"/>
          <w:szCs w:val="28"/>
        </w:rPr>
      </w:pPr>
    </w:p>
    <w:p>
      <w:pPr>
        <w:adjustRightInd w:val="0"/>
        <w:snapToGrid w:val="0"/>
        <w:spacing w:line="360" w:lineRule="auto"/>
        <w:ind w:firstLine="30"/>
        <w:rPr>
          <w:rFonts w:hint="eastAsia" w:ascii="微软雅黑" w:hAnsi="微软雅黑" w:eastAsia="微软雅黑" w:cs="微软雅黑"/>
          <w:color w:val="000000"/>
          <w:sz w:val="24"/>
          <w:szCs w:val="20"/>
        </w:rPr>
      </w:pPr>
      <w:r>
        <w:rPr>
          <w:rFonts w:hint="eastAsia" w:ascii="微软雅黑" w:hAnsi="微软雅黑" w:eastAsia="微软雅黑" w:cs="微软雅黑"/>
          <w:bCs/>
          <w:color w:val="000000"/>
          <w:kern w:val="0"/>
          <w:sz w:val="24"/>
          <w:szCs w:val="20"/>
        </w:rPr>
        <w:t>供应商全称</w:t>
      </w:r>
      <w:r>
        <w:rPr>
          <w:rFonts w:hint="eastAsia" w:ascii="微软雅黑" w:hAnsi="微软雅黑" w:eastAsia="微软雅黑" w:cs="微软雅黑"/>
          <w:color w:val="000000"/>
          <w:sz w:val="24"/>
          <w:szCs w:val="20"/>
        </w:rPr>
        <w:t>：（公章）</w:t>
      </w:r>
    </w:p>
    <w:p>
      <w:pPr>
        <w:adjustRightInd w:val="0"/>
        <w:snapToGrid w:val="0"/>
        <w:spacing w:line="360" w:lineRule="auto"/>
        <w:ind w:right="420"/>
        <w:rPr>
          <w:rFonts w:hint="eastAsia" w:ascii="微软雅黑" w:hAnsi="微软雅黑" w:eastAsia="微软雅黑" w:cs="微软雅黑"/>
          <w:color w:val="000000"/>
          <w:sz w:val="24"/>
          <w:szCs w:val="20"/>
        </w:rPr>
      </w:pPr>
      <w:r>
        <w:rPr>
          <w:rFonts w:hint="eastAsia" w:ascii="微软雅黑" w:hAnsi="微软雅黑" w:eastAsia="微软雅黑" w:cs="微软雅黑"/>
          <w:color w:val="000000"/>
          <w:sz w:val="24"/>
          <w:szCs w:val="20"/>
        </w:rPr>
        <w:t>全权代表（签字）：</w:t>
      </w:r>
    </w:p>
    <w:p>
      <w:pPr>
        <w:adjustRightInd w:val="0"/>
        <w:snapToGrid w:val="0"/>
        <w:spacing w:line="360" w:lineRule="auto"/>
        <w:rPr>
          <w:rFonts w:hint="eastAsia" w:ascii="微软雅黑" w:hAnsi="微软雅黑" w:eastAsia="微软雅黑" w:cs="微软雅黑"/>
          <w:color w:val="000000"/>
          <w:sz w:val="24"/>
          <w:szCs w:val="20"/>
        </w:rPr>
      </w:pPr>
      <w:r>
        <w:rPr>
          <w:rFonts w:hint="eastAsia" w:ascii="微软雅黑" w:hAnsi="微软雅黑" w:eastAsia="微软雅黑" w:cs="微软雅黑"/>
          <w:color w:val="000000"/>
          <w:sz w:val="24"/>
          <w:szCs w:val="20"/>
        </w:rPr>
        <w:t>日期： 年  月  日</w:t>
      </w:r>
    </w:p>
    <w:p>
      <w:pPr>
        <w:pStyle w:val="28"/>
        <w:ind w:left="0" w:leftChars="0"/>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18"/>
        </w:rPr>
        <w:t>说明：本表格可视情形添加或删减。除表格外，可另附文字、图片等情况加以说明。</w:t>
      </w:r>
    </w:p>
    <w:p>
      <w:pPr>
        <w:spacing w:line="360" w:lineRule="auto"/>
        <w:rPr>
          <w:rFonts w:hint="eastAsia" w:ascii="微软雅黑" w:hAnsi="微软雅黑" w:eastAsia="微软雅黑" w:cs="微软雅黑"/>
          <w:bCs/>
          <w:sz w:val="28"/>
          <w:szCs w:val="28"/>
        </w:rPr>
        <w:sectPr>
          <w:footerReference r:id="rId14" w:type="first"/>
          <w:footerReference r:id="rId13" w:type="default"/>
          <w:pgSz w:w="11906" w:h="16838"/>
          <w:pgMar w:top="1134" w:right="1134" w:bottom="1134" w:left="1134" w:header="567" w:footer="567" w:gutter="0"/>
          <w:pgNumType w:fmt="decimal"/>
          <w:cols w:space="720" w:num="1"/>
          <w:titlePg/>
          <w:docGrid w:type="lines" w:linePitch="312" w:charSpace="0"/>
        </w:sectPr>
      </w:pPr>
    </w:p>
    <w:p>
      <w:pPr>
        <w:spacing w:line="480" w:lineRule="auto"/>
        <w:rPr>
          <w:rFonts w:ascii="微软雅黑" w:hAnsi="微软雅黑" w:eastAsia="微软雅黑" w:cs="微软雅黑"/>
        </w:rPr>
      </w:pPr>
    </w:p>
    <w:p>
      <w:pPr>
        <w:pStyle w:val="26"/>
        <w:spacing w:before="120" w:after="120" w:line="360" w:lineRule="auto"/>
        <w:jc w:val="center"/>
        <w:rPr>
          <w:rFonts w:hint="eastAsia" w:ascii="微软雅黑" w:hAnsi="微软雅黑" w:eastAsia="微软雅黑" w:cs="微软雅黑"/>
          <w:b/>
          <w:color w:val="000000"/>
          <w:kern w:val="2"/>
          <w:sz w:val="36"/>
          <w:szCs w:val="36"/>
          <w:lang w:val="en-US" w:eastAsia="zh-CN" w:bidi="ar-SA"/>
        </w:rPr>
      </w:pPr>
      <w:r>
        <w:rPr>
          <w:rFonts w:hint="eastAsia" w:ascii="微软雅黑" w:hAnsi="微软雅黑" w:eastAsia="微软雅黑" w:cs="微软雅黑"/>
          <w:b/>
          <w:color w:val="000000"/>
          <w:kern w:val="2"/>
          <w:sz w:val="36"/>
          <w:szCs w:val="36"/>
          <w:lang w:val="en-US" w:eastAsia="zh-CN" w:bidi="ar-SA"/>
        </w:rPr>
        <w:t>技术偏离表</w:t>
      </w:r>
    </w:p>
    <w:p>
      <w:pPr>
        <w:pStyle w:val="26"/>
        <w:spacing w:before="120" w:after="120" w:line="360" w:lineRule="auto"/>
        <w:ind w:firstLine="210" w:firstLineChars="100"/>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对招标文件中技术标中要求的条件，投标单位应在投标文件中认真填写。</w:t>
      </w:r>
    </w:p>
    <w:tbl>
      <w:tblPr>
        <w:tblStyle w:val="38"/>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19"/>
        <w:gridCol w:w="850"/>
        <w:gridCol w:w="1134"/>
        <w:gridCol w:w="709"/>
        <w:gridCol w:w="1167"/>
        <w:gridCol w:w="877"/>
        <w:gridCol w:w="1074"/>
        <w:gridCol w:w="709"/>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21" w:type="dxa"/>
            <w:vMerge w:val="restart"/>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序号</w:t>
            </w:r>
          </w:p>
        </w:tc>
        <w:tc>
          <w:tcPr>
            <w:tcW w:w="3712" w:type="dxa"/>
            <w:gridSpan w:val="4"/>
            <w:tcBorders>
              <w:bottom w:val="nil"/>
            </w:tcBorders>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采购文件需求</w:t>
            </w:r>
          </w:p>
        </w:tc>
        <w:tc>
          <w:tcPr>
            <w:tcW w:w="3827" w:type="dxa"/>
            <w:gridSpan w:val="4"/>
            <w:vAlign w:val="center"/>
          </w:tcPr>
          <w:p>
            <w:pPr>
              <w:spacing w:before="120" w:beforeLines="50"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投标文件规格条件</w:t>
            </w:r>
          </w:p>
        </w:tc>
        <w:tc>
          <w:tcPr>
            <w:tcW w:w="1222" w:type="dxa"/>
            <w:vMerge w:val="restart"/>
            <w:vAlign w:val="center"/>
          </w:tcPr>
          <w:p>
            <w:pPr>
              <w:spacing w:before="120" w:beforeLines="50"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721" w:type="dxa"/>
            <w:vMerge w:val="continue"/>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1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名称</w:t>
            </w:r>
          </w:p>
        </w:tc>
        <w:tc>
          <w:tcPr>
            <w:tcW w:w="850"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数量</w:t>
            </w:r>
          </w:p>
        </w:tc>
        <w:tc>
          <w:tcPr>
            <w:tcW w:w="113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技术</w:t>
            </w:r>
          </w:p>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参数</w:t>
            </w: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品牌</w:t>
            </w:r>
          </w:p>
        </w:tc>
        <w:tc>
          <w:tcPr>
            <w:tcW w:w="1167" w:type="dxa"/>
            <w:vAlign w:val="center"/>
          </w:tcPr>
          <w:p>
            <w:pPr>
              <w:spacing w:before="120" w:beforeLines="50"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名称</w:t>
            </w:r>
          </w:p>
        </w:tc>
        <w:tc>
          <w:tcPr>
            <w:tcW w:w="877" w:type="dxa"/>
            <w:vAlign w:val="center"/>
          </w:tcPr>
          <w:p>
            <w:pPr>
              <w:spacing w:before="120" w:beforeLines="50"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数量</w:t>
            </w:r>
          </w:p>
        </w:tc>
        <w:tc>
          <w:tcPr>
            <w:tcW w:w="1074" w:type="dxa"/>
            <w:vAlign w:val="center"/>
          </w:tcPr>
          <w:p>
            <w:pPr>
              <w:spacing w:before="120" w:beforeLines="50"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技术参数</w:t>
            </w:r>
          </w:p>
        </w:tc>
        <w:tc>
          <w:tcPr>
            <w:tcW w:w="709" w:type="dxa"/>
            <w:vAlign w:val="center"/>
          </w:tcPr>
          <w:p>
            <w:pPr>
              <w:spacing w:before="120" w:beforeLines="50"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品牌</w:t>
            </w:r>
          </w:p>
        </w:tc>
        <w:tc>
          <w:tcPr>
            <w:tcW w:w="1222" w:type="dxa"/>
            <w:vMerge w:val="continue"/>
            <w:vAlign w:val="center"/>
          </w:tcPr>
          <w:p>
            <w:pPr>
              <w:spacing w:before="120" w:beforeLines="50"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1"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1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50"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3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6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7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7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222"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21"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1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50"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3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6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7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7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222"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1"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1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50"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3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6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7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7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222"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1"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1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w:t>
            </w:r>
          </w:p>
        </w:tc>
        <w:tc>
          <w:tcPr>
            <w:tcW w:w="850"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3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16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877"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074"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709"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c>
          <w:tcPr>
            <w:tcW w:w="1222" w:type="dxa"/>
            <w:vAlign w:val="center"/>
          </w:tcPr>
          <w:p>
            <w:pPr>
              <w:pStyle w:val="26"/>
              <w:spacing w:before="120" w:after="120" w:line="360" w:lineRule="auto"/>
              <w:jc w:val="center"/>
              <w:rPr>
                <w:rFonts w:cs="Times New Roman" w:asciiTheme="minorEastAsia" w:hAnsiTheme="minorEastAsia" w:eastAsiaTheme="minorEastAsia"/>
                <w:color w:val="000000" w:themeColor="text1"/>
                <w:sz w:val="21"/>
                <w:szCs w:val="21"/>
              </w:rPr>
            </w:pPr>
          </w:p>
        </w:tc>
      </w:tr>
    </w:tbl>
    <w:p>
      <w:pPr>
        <w:pStyle w:val="26"/>
        <w:spacing w:before="120" w:after="120" w:line="360" w:lineRule="auto"/>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注：“偏离”系指“正偏离”、“负偏离”或“无偏离”。</w:t>
      </w:r>
    </w:p>
    <w:p>
      <w:pPr>
        <w:spacing w:line="360" w:lineRule="auto"/>
        <w:ind w:firstLine="3840" w:firstLineChars="1200"/>
        <w:rPr>
          <w:rFonts w:asciiTheme="minorEastAsia" w:hAnsiTheme="minorEastAsia" w:eastAsiaTheme="minorEastAsia"/>
          <w:color w:val="000000" w:themeColor="text1"/>
          <w:spacing w:val="20"/>
          <w:szCs w:val="21"/>
        </w:rPr>
      </w:pPr>
    </w:p>
    <w:p>
      <w:pPr>
        <w:spacing w:line="360" w:lineRule="auto"/>
        <w:ind w:firstLine="3840" w:firstLineChars="1200"/>
        <w:jc w:val="right"/>
        <w:rPr>
          <w:rFonts w:asciiTheme="minorEastAsia" w:hAnsiTheme="minorEastAsia" w:eastAsiaTheme="minorEastAsia"/>
          <w:color w:val="000000" w:themeColor="text1"/>
          <w:spacing w:val="20"/>
          <w:szCs w:val="21"/>
          <w:u w:val="single"/>
        </w:rPr>
      </w:pPr>
      <w:r>
        <w:rPr>
          <w:rFonts w:asciiTheme="minorEastAsia" w:hAnsiTheme="minorEastAsia" w:eastAsiaTheme="minorEastAsia"/>
          <w:color w:val="000000" w:themeColor="text1"/>
          <w:spacing w:val="20"/>
          <w:szCs w:val="21"/>
        </w:rPr>
        <w:t>法定代表人或委托代理人签名：</w:t>
      </w:r>
    </w:p>
    <w:p>
      <w:pPr>
        <w:spacing w:line="360" w:lineRule="auto"/>
        <w:ind w:firstLine="640" w:firstLineChars="200"/>
        <w:jc w:val="right"/>
        <w:rPr>
          <w:rFonts w:asciiTheme="minorEastAsia" w:hAnsiTheme="minorEastAsia" w:eastAsiaTheme="minorEastAsia"/>
          <w:color w:val="000000" w:themeColor="text1"/>
          <w:spacing w:val="20"/>
          <w:szCs w:val="21"/>
          <w:u w:val="single"/>
        </w:rPr>
      </w:pPr>
      <w:r>
        <w:rPr>
          <w:rFonts w:asciiTheme="minorEastAsia" w:hAnsiTheme="minorEastAsia" w:eastAsiaTheme="minorEastAsia"/>
          <w:color w:val="000000" w:themeColor="text1"/>
          <w:spacing w:val="20"/>
          <w:szCs w:val="21"/>
        </w:rPr>
        <w:t xml:space="preserve">                             投标单位盖章：</w:t>
      </w:r>
    </w:p>
    <w:p>
      <w:pPr>
        <w:adjustRightInd w:val="0"/>
        <w:snapToGrid w:val="0"/>
        <w:spacing w:line="360" w:lineRule="auto"/>
        <w:jc w:val="right"/>
        <w:rPr>
          <w:rFonts w:asciiTheme="minorEastAsia" w:hAnsiTheme="minorEastAsia" w:eastAsiaTheme="minorEastAsia"/>
          <w:b/>
          <w:color w:val="000000" w:themeColor="text1"/>
          <w:szCs w:val="21"/>
        </w:rPr>
      </w:pPr>
      <w:r>
        <w:rPr>
          <w:rFonts w:asciiTheme="minorEastAsia" w:hAnsiTheme="minorEastAsia" w:eastAsiaTheme="minorEastAsia"/>
          <w:color w:val="000000" w:themeColor="text1"/>
          <w:spacing w:val="20"/>
          <w:szCs w:val="21"/>
        </w:rPr>
        <w:t xml:space="preserve">                                  日     期：</w:t>
      </w:r>
    </w:p>
    <w:p>
      <w:pPr>
        <w:spacing w:line="360" w:lineRule="auto"/>
        <w:ind w:firstLine="560" w:firstLineChars="200"/>
        <w:rPr>
          <w:rFonts w:ascii="微软雅黑" w:hAnsi="微软雅黑" w:eastAsia="微软雅黑" w:cs="微软雅黑"/>
          <w:szCs w:val="21"/>
        </w:rPr>
      </w:pPr>
      <w:r>
        <w:rPr>
          <w:rFonts w:ascii="微软雅黑" w:hAnsi="微软雅黑" w:eastAsia="微软雅黑" w:cs="微软雅黑"/>
          <w:szCs w:val="21"/>
        </w:rPr>
        <w:br w:type="page"/>
      </w:r>
    </w:p>
    <w:p>
      <w:pPr>
        <w:snapToGrid w:val="0"/>
        <w:spacing w:line="480" w:lineRule="exact"/>
        <w:jc w:val="center"/>
        <w:textAlignment w:val="baseline"/>
        <w:rPr>
          <w:rFonts w:ascii="微软雅黑" w:hAnsi="微软雅黑" w:eastAsia="微软雅黑" w:cs="微软雅黑"/>
          <w:b/>
          <w:bCs/>
          <w:sz w:val="20"/>
          <w:szCs w:val="28"/>
        </w:rPr>
        <w:sectPr>
          <w:footerReference r:id="rId15" w:type="default"/>
          <w:pgSz w:w="11906" w:h="16838"/>
          <w:pgMar w:top="1440" w:right="1800" w:bottom="1440" w:left="1800" w:header="851" w:footer="992" w:gutter="0"/>
          <w:pgNumType w:fmt="decimal"/>
          <w:cols w:space="720" w:num="1"/>
          <w:docGrid w:type="lines" w:linePitch="312" w:charSpace="0"/>
        </w:sectPr>
      </w:pPr>
    </w:p>
    <w:p>
      <w:pPr>
        <w:snapToGrid w:val="0"/>
        <w:spacing w:line="480" w:lineRule="exact"/>
        <w:jc w:val="center"/>
        <w:textAlignment w:val="baseline"/>
        <w:rPr>
          <w:rFonts w:ascii="微软雅黑" w:hAnsi="微软雅黑" w:eastAsia="微软雅黑" w:cs="微软雅黑"/>
          <w:b/>
          <w:bCs/>
          <w:sz w:val="20"/>
          <w:szCs w:val="28"/>
        </w:rPr>
      </w:pPr>
      <w:r>
        <w:rPr>
          <w:rFonts w:hint="eastAsia" w:ascii="微软雅黑" w:hAnsi="微软雅黑" w:eastAsia="微软雅黑" w:cs="微软雅黑"/>
          <w:b/>
          <w:bCs/>
          <w:szCs w:val="28"/>
        </w:rPr>
        <w:t>企业业绩</w:t>
      </w:r>
    </w:p>
    <w:p>
      <w:pPr>
        <w:snapToGrid w:val="0"/>
        <w:spacing w:line="480" w:lineRule="exact"/>
        <w:textAlignment w:val="baseline"/>
        <w:rPr>
          <w:rFonts w:ascii="微软雅黑" w:hAnsi="微软雅黑" w:eastAsia="微软雅黑" w:cs="微软雅黑"/>
          <w:sz w:val="24"/>
        </w:rPr>
      </w:pPr>
      <w:r>
        <w:rPr>
          <w:rFonts w:hint="eastAsia" w:ascii="微软雅黑" w:hAnsi="微软雅黑" w:eastAsia="微软雅黑" w:cs="微软雅黑"/>
          <w:sz w:val="24"/>
        </w:rPr>
        <w:t>投标供应商全称（加盖公章）：项目编号：</w:t>
      </w:r>
    </w:p>
    <w:tbl>
      <w:tblPr>
        <w:tblStyle w:val="38"/>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27"/>
        <w:gridCol w:w="2588"/>
        <w:gridCol w:w="1477"/>
        <w:gridCol w:w="3263"/>
        <w:gridCol w:w="189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70"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序号</w:t>
            </w:r>
          </w:p>
        </w:tc>
        <w:tc>
          <w:tcPr>
            <w:tcW w:w="2827"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项目名称</w:t>
            </w:r>
          </w:p>
        </w:tc>
        <w:tc>
          <w:tcPr>
            <w:tcW w:w="2588"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水质自动监测站名称</w:t>
            </w:r>
          </w:p>
        </w:tc>
        <w:tc>
          <w:tcPr>
            <w:tcW w:w="1477"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站点数量</w:t>
            </w:r>
          </w:p>
        </w:tc>
        <w:tc>
          <w:tcPr>
            <w:tcW w:w="3263"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站点明细</w:t>
            </w:r>
          </w:p>
        </w:tc>
        <w:tc>
          <w:tcPr>
            <w:tcW w:w="1890"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业主方、联系人、联系方式</w:t>
            </w:r>
          </w:p>
        </w:tc>
        <w:tc>
          <w:tcPr>
            <w:tcW w:w="1362"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7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1</w:t>
            </w:r>
          </w:p>
        </w:tc>
        <w:tc>
          <w:tcPr>
            <w:tcW w:w="2827" w:type="dxa"/>
          </w:tcPr>
          <w:p>
            <w:pPr>
              <w:snapToGrid w:val="0"/>
              <w:spacing w:line="360" w:lineRule="exact"/>
              <w:textAlignment w:val="baseline"/>
              <w:rPr>
                <w:rFonts w:ascii="微软雅黑" w:hAnsi="微软雅黑" w:eastAsia="微软雅黑" w:cs="微软雅黑"/>
                <w:bCs/>
                <w:sz w:val="24"/>
              </w:rPr>
            </w:pPr>
          </w:p>
        </w:tc>
        <w:tc>
          <w:tcPr>
            <w:tcW w:w="2588" w:type="dxa"/>
          </w:tcPr>
          <w:p>
            <w:pPr>
              <w:snapToGrid w:val="0"/>
              <w:spacing w:line="360" w:lineRule="exact"/>
              <w:textAlignment w:val="baseline"/>
              <w:rPr>
                <w:rFonts w:ascii="微软雅黑" w:hAnsi="微软雅黑" w:eastAsia="微软雅黑" w:cs="微软雅黑"/>
                <w:bCs/>
                <w:sz w:val="24"/>
              </w:rPr>
            </w:pPr>
          </w:p>
        </w:tc>
        <w:tc>
          <w:tcPr>
            <w:tcW w:w="1477" w:type="dxa"/>
          </w:tcPr>
          <w:p>
            <w:pPr>
              <w:snapToGrid w:val="0"/>
              <w:spacing w:line="360" w:lineRule="exact"/>
              <w:textAlignment w:val="baseline"/>
              <w:rPr>
                <w:rFonts w:ascii="微软雅黑" w:hAnsi="微软雅黑" w:eastAsia="微软雅黑" w:cs="微软雅黑"/>
                <w:bCs/>
                <w:sz w:val="24"/>
              </w:rPr>
            </w:pPr>
          </w:p>
        </w:tc>
        <w:tc>
          <w:tcPr>
            <w:tcW w:w="3263" w:type="dxa"/>
          </w:tcPr>
          <w:p>
            <w:pPr>
              <w:snapToGrid w:val="0"/>
              <w:spacing w:line="360" w:lineRule="exact"/>
              <w:textAlignment w:val="baseline"/>
              <w:rPr>
                <w:rFonts w:ascii="微软雅黑" w:hAnsi="微软雅黑" w:eastAsia="微软雅黑" w:cs="微软雅黑"/>
                <w:bCs/>
                <w:sz w:val="24"/>
              </w:rPr>
            </w:pPr>
          </w:p>
        </w:tc>
        <w:tc>
          <w:tcPr>
            <w:tcW w:w="1890" w:type="dxa"/>
          </w:tcPr>
          <w:p>
            <w:pPr>
              <w:snapToGrid w:val="0"/>
              <w:spacing w:line="360" w:lineRule="exact"/>
              <w:textAlignment w:val="baseline"/>
              <w:rPr>
                <w:rFonts w:ascii="微软雅黑" w:hAnsi="微软雅黑" w:eastAsia="微软雅黑" w:cs="微软雅黑"/>
                <w:bCs/>
                <w:sz w:val="24"/>
              </w:rPr>
            </w:pPr>
          </w:p>
        </w:tc>
        <w:tc>
          <w:tcPr>
            <w:tcW w:w="1362" w:type="dxa"/>
          </w:tcPr>
          <w:p>
            <w:pPr>
              <w:snapToGrid w:val="0"/>
              <w:spacing w:line="360" w:lineRule="exact"/>
              <w:textAlignment w:val="baseline"/>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2</w:t>
            </w:r>
          </w:p>
        </w:tc>
        <w:tc>
          <w:tcPr>
            <w:tcW w:w="2827" w:type="dxa"/>
          </w:tcPr>
          <w:p>
            <w:pPr>
              <w:snapToGrid w:val="0"/>
              <w:spacing w:line="360" w:lineRule="exact"/>
              <w:textAlignment w:val="baseline"/>
              <w:rPr>
                <w:rFonts w:ascii="微软雅黑" w:hAnsi="微软雅黑" w:eastAsia="微软雅黑" w:cs="微软雅黑"/>
                <w:bCs/>
                <w:sz w:val="24"/>
              </w:rPr>
            </w:pPr>
          </w:p>
        </w:tc>
        <w:tc>
          <w:tcPr>
            <w:tcW w:w="2588" w:type="dxa"/>
          </w:tcPr>
          <w:p>
            <w:pPr>
              <w:snapToGrid w:val="0"/>
              <w:spacing w:line="360" w:lineRule="exact"/>
              <w:textAlignment w:val="baseline"/>
              <w:rPr>
                <w:rFonts w:ascii="微软雅黑" w:hAnsi="微软雅黑" w:eastAsia="微软雅黑" w:cs="微软雅黑"/>
                <w:bCs/>
                <w:sz w:val="24"/>
              </w:rPr>
            </w:pPr>
          </w:p>
        </w:tc>
        <w:tc>
          <w:tcPr>
            <w:tcW w:w="1477" w:type="dxa"/>
          </w:tcPr>
          <w:p>
            <w:pPr>
              <w:snapToGrid w:val="0"/>
              <w:spacing w:line="360" w:lineRule="exact"/>
              <w:textAlignment w:val="baseline"/>
              <w:rPr>
                <w:rFonts w:ascii="微软雅黑" w:hAnsi="微软雅黑" w:eastAsia="微软雅黑" w:cs="微软雅黑"/>
                <w:bCs/>
                <w:sz w:val="24"/>
              </w:rPr>
            </w:pPr>
          </w:p>
        </w:tc>
        <w:tc>
          <w:tcPr>
            <w:tcW w:w="3263" w:type="dxa"/>
          </w:tcPr>
          <w:p>
            <w:pPr>
              <w:snapToGrid w:val="0"/>
              <w:spacing w:line="360" w:lineRule="exact"/>
              <w:textAlignment w:val="baseline"/>
              <w:rPr>
                <w:rFonts w:ascii="微软雅黑" w:hAnsi="微软雅黑" w:eastAsia="微软雅黑" w:cs="微软雅黑"/>
                <w:bCs/>
                <w:sz w:val="24"/>
              </w:rPr>
            </w:pPr>
          </w:p>
        </w:tc>
        <w:tc>
          <w:tcPr>
            <w:tcW w:w="1890" w:type="dxa"/>
          </w:tcPr>
          <w:p>
            <w:pPr>
              <w:snapToGrid w:val="0"/>
              <w:spacing w:line="360" w:lineRule="exact"/>
              <w:textAlignment w:val="baseline"/>
              <w:rPr>
                <w:rFonts w:ascii="微软雅黑" w:hAnsi="微软雅黑" w:eastAsia="微软雅黑" w:cs="微软雅黑"/>
                <w:bCs/>
                <w:sz w:val="24"/>
              </w:rPr>
            </w:pPr>
          </w:p>
        </w:tc>
        <w:tc>
          <w:tcPr>
            <w:tcW w:w="1362" w:type="dxa"/>
          </w:tcPr>
          <w:p>
            <w:pPr>
              <w:snapToGrid w:val="0"/>
              <w:spacing w:line="360" w:lineRule="exact"/>
              <w:textAlignment w:val="baseline"/>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3</w:t>
            </w:r>
          </w:p>
        </w:tc>
        <w:tc>
          <w:tcPr>
            <w:tcW w:w="2827" w:type="dxa"/>
          </w:tcPr>
          <w:p>
            <w:pPr>
              <w:snapToGrid w:val="0"/>
              <w:spacing w:line="360" w:lineRule="exact"/>
              <w:textAlignment w:val="baseline"/>
              <w:rPr>
                <w:rFonts w:ascii="微软雅黑" w:hAnsi="微软雅黑" w:eastAsia="微软雅黑" w:cs="微软雅黑"/>
                <w:bCs/>
                <w:sz w:val="24"/>
              </w:rPr>
            </w:pPr>
          </w:p>
        </w:tc>
        <w:tc>
          <w:tcPr>
            <w:tcW w:w="2588" w:type="dxa"/>
          </w:tcPr>
          <w:p>
            <w:pPr>
              <w:snapToGrid w:val="0"/>
              <w:spacing w:line="360" w:lineRule="exact"/>
              <w:textAlignment w:val="baseline"/>
              <w:rPr>
                <w:rFonts w:ascii="微软雅黑" w:hAnsi="微软雅黑" w:eastAsia="微软雅黑" w:cs="微软雅黑"/>
                <w:bCs/>
                <w:sz w:val="24"/>
              </w:rPr>
            </w:pPr>
          </w:p>
        </w:tc>
        <w:tc>
          <w:tcPr>
            <w:tcW w:w="1477" w:type="dxa"/>
          </w:tcPr>
          <w:p>
            <w:pPr>
              <w:snapToGrid w:val="0"/>
              <w:spacing w:line="360" w:lineRule="exact"/>
              <w:textAlignment w:val="baseline"/>
              <w:rPr>
                <w:rFonts w:ascii="微软雅黑" w:hAnsi="微软雅黑" w:eastAsia="微软雅黑" w:cs="微软雅黑"/>
                <w:bCs/>
                <w:sz w:val="24"/>
              </w:rPr>
            </w:pPr>
          </w:p>
        </w:tc>
        <w:tc>
          <w:tcPr>
            <w:tcW w:w="3263" w:type="dxa"/>
          </w:tcPr>
          <w:p>
            <w:pPr>
              <w:snapToGrid w:val="0"/>
              <w:spacing w:line="360" w:lineRule="exact"/>
              <w:textAlignment w:val="baseline"/>
              <w:rPr>
                <w:rFonts w:ascii="微软雅黑" w:hAnsi="微软雅黑" w:eastAsia="微软雅黑" w:cs="微软雅黑"/>
                <w:bCs/>
                <w:sz w:val="24"/>
              </w:rPr>
            </w:pPr>
          </w:p>
        </w:tc>
        <w:tc>
          <w:tcPr>
            <w:tcW w:w="1890" w:type="dxa"/>
          </w:tcPr>
          <w:p>
            <w:pPr>
              <w:snapToGrid w:val="0"/>
              <w:spacing w:line="360" w:lineRule="exact"/>
              <w:textAlignment w:val="baseline"/>
              <w:rPr>
                <w:rFonts w:ascii="微软雅黑" w:hAnsi="微软雅黑" w:eastAsia="微软雅黑" w:cs="微软雅黑"/>
                <w:bCs/>
                <w:sz w:val="24"/>
              </w:rPr>
            </w:pPr>
          </w:p>
        </w:tc>
        <w:tc>
          <w:tcPr>
            <w:tcW w:w="1362" w:type="dxa"/>
          </w:tcPr>
          <w:p>
            <w:pPr>
              <w:snapToGrid w:val="0"/>
              <w:spacing w:line="360" w:lineRule="exact"/>
              <w:textAlignment w:val="baseline"/>
              <w:rPr>
                <w:rFonts w:ascii="微软雅黑" w:hAnsi="微软雅黑" w:eastAsia="微软雅黑" w:cs="微软雅黑"/>
                <w:bCs/>
                <w:sz w:val="24"/>
              </w:rPr>
            </w:pPr>
          </w:p>
        </w:tc>
      </w:tr>
    </w:tbl>
    <w:p>
      <w:pPr>
        <w:snapToGrid w:val="0"/>
        <w:spacing w:line="360" w:lineRule="exact"/>
        <w:textAlignment w:val="baseline"/>
        <w:rPr>
          <w:rFonts w:ascii="微软雅黑" w:hAnsi="微软雅黑" w:eastAsia="微软雅黑" w:cs="微软雅黑"/>
          <w:sz w:val="24"/>
        </w:rPr>
      </w:pPr>
    </w:p>
    <w:tbl>
      <w:tblPr>
        <w:tblStyle w:val="38"/>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35"/>
        <w:gridCol w:w="2415"/>
        <w:gridCol w:w="810"/>
        <w:gridCol w:w="1740"/>
        <w:gridCol w:w="3195"/>
        <w:gridCol w:w="190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40"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序号</w:t>
            </w:r>
          </w:p>
        </w:tc>
        <w:tc>
          <w:tcPr>
            <w:tcW w:w="2235"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项目名称</w:t>
            </w:r>
          </w:p>
        </w:tc>
        <w:tc>
          <w:tcPr>
            <w:tcW w:w="2415" w:type="dxa"/>
          </w:tcPr>
          <w:p>
            <w:pPr>
              <w:snapToGrid w:val="0"/>
              <w:spacing w:line="360" w:lineRule="exact"/>
              <w:textAlignment w:val="baseline"/>
              <w:rPr>
                <w:rFonts w:ascii="微软雅黑" w:hAnsi="微软雅黑" w:cs="微软雅黑"/>
                <w:bCs/>
                <w:sz w:val="24"/>
              </w:rPr>
            </w:pPr>
            <w:r>
              <w:rPr>
                <w:rFonts w:hint="eastAsia" w:ascii="微软雅黑" w:hAnsi="微软雅黑" w:eastAsia="微软雅黑" w:cs="微软雅黑"/>
                <w:bCs/>
                <w:sz w:val="24"/>
              </w:rPr>
              <w:t>地表水自动监测站/饮用水源地站名称</w:t>
            </w:r>
          </w:p>
        </w:tc>
        <w:tc>
          <w:tcPr>
            <w:tcW w:w="81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运维年限</w:t>
            </w:r>
          </w:p>
        </w:tc>
        <w:tc>
          <w:tcPr>
            <w:tcW w:w="174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运维站点数量、明细</w:t>
            </w:r>
          </w:p>
        </w:tc>
        <w:tc>
          <w:tcPr>
            <w:tcW w:w="3195" w:type="dxa"/>
          </w:tcPr>
          <w:p>
            <w:pPr>
              <w:snapToGrid w:val="0"/>
              <w:spacing w:line="360" w:lineRule="exact"/>
              <w:jc w:val="center"/>
              <w:textAlignment w:val="baseline"/>
              <w:rPr>
                <w:rFonts w:ascii="微软雅黑" w:hAnsi="微软雅黑" w:cs="微软雅黑"/>
                <w:bCs/>
                <w:sz w:val="24"/>
              </w:rPr>
            </w:pPr>
            <w:r>
              <w:rPr>
                <w:rFonts w:hint="eastAsia" w:ascii="微软雅黑" w:hAnsi="微软雅黑" w:eastAsia="微软雅黑" w:cs="微软雅黑"/>
                <w:bCs/>
                <w:sz w:val="24"/>
              </w:rPr>
              <w:t>运维指标（至少覆盖常规五参数、高锰酸盐指数、氨氮、总磷、总氮9个指标）</w:t>
            </w:r>
          </w:p>
        </w:tc>
        <w:tc>
          <w:tcPr>
            <w:tcW w:w="1905"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业主方、联系人、联系方式</w:t>
            </w:r>
          </w:p>
        </w:tc>
        <w:tc>
          <w:tcPr>
            <w:tcW w:w="1177"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4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1</w:t>
            </w:r>
          </w:p>
        </w:tc>
        <w:tc>
          <w:tcPr>
            <w:tcW w:w="2235" w:type="dxa"/>
          </w:tcPr>
          <w:p>
            <w:pPr>
              <w:snapToGrid w:val="0"/>
              <w:spacing w:line="360" w:lineRule="exact"/>
              <w:textAlignment w:val="baseline"/>
              <w:rPr>
                <w:rFonts w:ascii="微软雅黑" w:hAnsi="微软雅黑" w:eastAsia="微软雅黑" w:cs="微软雅黑"/>
                <w:bCs/>
                <w:sz w:val="24"/>
              </w:rPr>
            </w:pPr>
          </w:p>
        </w:tc>
        <w:tc>
          <w:tcPr>
            <w:tcW w:w="2415" w:type="dxa"/>
          </w:tcPr>
          <w:p>
            <w:pPr>
              <w:snapToGrid w:val="0"/>
              <w:spacing w:line="360" w:lineRule="exact"/>
              <w:textAlignment w:val="baseline"/>
              <w:rPr>
                <w:rFonts w:ascii="微软雅黑" w:hAnsi="微软雅黑" w:eastAsia="微软雅黑" w:cs="微软雅黑"/>
                <w:bCs/>
                <w:sz w:val="24"/>
              </w:rPr>
            </w:pPr>
          </w:p>
        </w:tc>
        <w:tc>
          <w:tcPr>
            <w:tcW w:w="810" w:type="dxa"/>
          </w:tcPr>
          <w:p>
            <w:pPr>
              <w:snapToGrid w:val="0"/>
              <w:spacing w:line="360" w:lineRule="exact"/>
              <w:textAlignment w:val="baseline"/>
              <w:rPr>
                <w:rFonts w:ascii="微软雅黑" w:hAnsi="微软雅黑" w:eastAsia="微软雅黑" w:cs="微软雅黑"/>
                <w:bCs/>
                <w:sz w:val="24"/>
              </w:rPr>
            </w:pPr>
          </w:p>
        </w:tc>
        <w:tc>
          <w:tcPr>
            <w:tcW w:w="1740" w:type="dxa"/>
          </w:tcPr>
          <w:p>
            <w:pPr>
              <w:snapToGrid w:val="0"/>
              <w:spacing w:line="360" w:lineRule="exact"/>
              <w:textAlignment w:val="baseline"/>
              <w:rPr>
                <w:rFonts w:ascii="微软雅黑" w:hAnsi="微软雅黑" w:eastAsia="微软雅黑" w:cs="微软雅黑"/>
                <w:bCs/>
                <w:sz w:val="24"/>
              </w:rPr>
            </w:pPr>
          </w:p>
        </w:tc>
        <w:tc>
          <w:tcPr>
            <w:tcW w:w="3195" w:type="dxa"/>
          </w:tcPr>
          <w:p>
            <w:pPr>
              <w:snapToGrid w:val="0"/>
              <w:spacing w:line="360" w:lineRule="exact"/>
              <w:textAlignment w:val="baseline"/>
              <w:rPr>
                <w:rFonts w:ascii="微软雅黑" w:hAnsi="微软雅黑" w:eastAsia="微软雅黑" w:cs="微软雅黑"/>
                <w:bCs/>
                <w:sz w:val="24"/>
              </w:rPr>
            </w:pPr>
          </w:p>
        </w:tc>
        <w:tc>
          <w:tcPr>
            <w:tcW w:w="1905" w:type="dxa"/>
          </w:tcPr>
          <w:p>
            <w:pPr>
              <w:snapToGrid w:val="0"/>
              <w:spacing w:line="360" w:lineRule="exact"/>
              <w:textAlignment w:val="baseline"/>
              <w:rPr>
                <w:rFonts w:ascii="微软雅黑" w:hAnsi="微软雅黑" w:eastAsia="微软雅黑" w:cs="微软雅黑"/>
                <w:bCs/>
                <w:sz w:val="24"/>
              </w:rPr>
            </w:pPr>
          </w:p>
        </w:tc>
        <w:tc>
          <w:tcPr>
            <w:tcW w:w="1177" w:type="dxa"/>
          </w:tcPr>
          <w:p>
            <w:pPr>
              <w:snapToGrid w:val="0"/>
              <w:spacing w:line="360" w:lineRule="exact"/>
              <w:textAlignment w:val="baseline"/>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4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2</w:t>
            </w:r>
          </w:p>
        </w:tc>
        <w:tc>
          <w:tcPr>
            <w:tcW w:w="2235" w:type="dxa"/>
          </w:tcPr>
          <w:p>
            <w:pPr>
              <w:snapToGrid w:val="0"/>
              <w:spacing w:line="360" w:lineRule="exact"/>
              <w:textAlignment w:val="baseline"/>
              <w:rPr>
                <w:rFonts w:ascii="微软雅黑" w:hAnsi="微软雅黑" w:eastAsia="微软雅黑" w:cs="微软雅黑"/>
                <w:bCs/>
                <w:sz w:val="24"/>
              </w:rPr>
            </w:pPr>
          </w:p>
        </w:tc>
        <w:tc>
          <w:tcPr>
            <w:tcW w:w="2415" w:type="dxa"/>
          </w:tcPr>
          <w:p>
            <w:pPr>
              <w:snapToGrid w:val="0"/>
              <w:spacing w:line="360" w:lineRule="exact"/>
              <w:textAlignment w:val="baseline"/>
              <w:rPr>
                <w:rFonts w:ascii="微软雅黑" w:hAnsi="微软雅黑" w:eastAsia="微软雅黑" w:cs="微软雅黑"/>
                <w:bCs/>
                <w:sz w:val="24"/>
              </w:rPr>
            </w:pPr>
          </w:p>
        </w:tc>
        <w:tc>
          <w:tcPr>
            <w:tcW w:w="810" w:type="dxa"/>
          </w:tcPr>
          <w:p>
            <w:pPr>
              <w:snapToGrid w:val="0"/>
              <w:spacing w:line="360" w:lineRule="exact"/>
              <w:textAlignment w:val="baseline"/>
              <w:rPr>
                <w:rFonts w:ascii="微软雅黑" w:hAnsi="微软雅黑" w:eastAsia="微软雅黑" w:cs="微软雅黑"/>
                <w:bCs/>
                <w:sz w:val="24"/>
              </w:rPr>
            </w:pPr>
          </w:p>
        </w:tc>
        <w:tc>
          <w:tcPr>
            <w:tcW w:w="1740" w:type="dxa"/>
          </w:tcPr>
          <w:p>
            <w:pPr>
              <w:snapToGrid w:val="0"/>
              <w:spacing w:line="360" w:lineRule="exact"/>
              <w:textAlignment w:val="baseline"/>
              <w:rPr>
                <w:rFonts w:ascii="微软雅黑" w:hAnsi="微软雅黑" w:eastAsia="微软雅黑" w:cs="微软雅黑"/>
                <w:bCs/>
                <w:sz w:val="24"/>
              </w:rPr>
            </w:pPr>
          </w:p>
        </w:tc>
        <w:tc>
          <w:tcPr>
            <w:tcW w:w="3195" w:type="dxa"/>
          </w:tcPr>
          <w:p>
            <w:pPr>
              <w:snapToGrid w:val="0"/>
              <w:spacing w:line="360" w:lineRule="exact"/>
              <w:textAlignment w:val="baseline"/>
              <w:rPr>
                <w:rFonts w:ascii="微软雅黑" w:hAnsi="微软雅黑" w:eastAsia="微软雅黑" w:cs="微软雅黑"/>
                <w:bCs/>
                <w:sz w:val="24"/>
              </w:rPr>
            </w:pPr>
          </w:p>
        </w:tc>
        <w:tc>
          <w:tcPr>
            <w:tcW w:w="1905" w:type="dxa"/>
          </w:tcPr>
          <w:p>
            <w:pPr>
              <w:snapToGrid w:val="0"/>
              <w:spacing w:line="360" w:lineRule="exact"/>
              <w:textAlignment w:val="baseline"/>
              <w:rPr>
                <w:rFonts w:ascii="微软雅黑" w:hAnsi="微软雅黑" w:eastAsia="微软雅黑" w:cs="微软雅黑"/>
                <w:bCs/>
                <w:sz w:val="24"/>
              </w:rPr>
            </w:pPr>
          </w:p>
        </w:tc>
        <w:tc>
          <w:tcPr>
            <w:tcW w:w="1177" w:type="dxa"/>
          </w:tcPr>
          <w:p>
            <w:pPr>
              <w:snapToGrid w:val="0"/>
              <w:spacing w:line="360" w:lineRule="exact"/>
              <w:textAlignment w:val="baseline"/>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40"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3</w:t>
            </w:r>
          </w:p>
        </w:tc>
        <w:tc>
          <w:tcPr>
            <w:tcW w:w="2235" w:type="dxa"/>
          </w:tcPr>
          <w:p>
            <w:pPr>
              <w:snapToGrid w:val="0"/>
              <w:spacing w:line="360" w:lineRule="exact"/>
              <w:textAlignment w:val="baseline"/>
              <w:rPr>
                <w:rFonts w:ascii="微软雅黑" w:hAnsi="微软雅黑" w:eastAsia="微软雅黑" w:cs="微软雅黑"/>
                <w:bCs/>
                <w:sz w:val="24"/>
              </w:rPr>
            </w:pPr>
          </w:p>
        </w:tc>
        <w:tc>
          <w:tcPr>
            <w:tcW w:w="2415" w:type="dxa"/>
          </w:tcPr>
          <w:p>
            <w:pPr>
              <w:snapToGrid w:val="0"/>
              <w:spacing w:line="360" w:lineRule="exact"/>
              <w:textAlignment w:val="baseline"/>
              <w:rPr>
                <w:rFonts w:ascii="微软雅黑" w:hAnsi="微软雅黑" w:eastAsia="微软雅黑" w:cs="微软雅黑"/>
                <w:bCs/>
                <w:sz w:val="24"/>
              </w:rPr>
            </w:pPr>
          </w:p>
        </w:tc>
        <w:tc>
          <w:tcPr>
            <w:tcW w:w="810" w:type="dxa"/>
          </w:tcPr>
          <w:p>
            <w:pPr>
              <w:snapToGrid w:val="0"/>
              <w:spacing w:line="360" w:lineRule="exact"/>
              <w:textAlignment w:val="baseline"/>
              <w:rPr>
                <w:rFonts w:ascii="微软雅黑" w:hAnsi="微软雅黑" w:eastAsia="微软雅黑" w:cs="微软雅黑"/>
                <w:bCs/>
                <w:sz w:val="24"/>
              </w:rPr>
            </w:pPr>
          </w:p>
        </w:tc>
        <w:tc>
          <w:tcPr>
            <w:tcW w:w="1740" w:type="dxa"/>
          </w:tcPr>
          <w:p>
            <w:pPr>
              <w:snapToGrid w:val="0"/>
              <w:spacing w:line="360" w:lineRule="exact"/>
              <w:textAlignment w:val="baseline"/>
              <w:rPr>
                <w:rFonts w:ascii="微软雅黑" w:hAnsi="微软雅黑" w:eastAsia="微软雅黑" w:cs="微软雅黑"/>
                <w:bCs/>
                <w:sz w:val="24"/>
              </w:rPr>
            </w:pPr>
          </w:p>
        </w:tc>
        <w:tc>
          <w:tcPr>
            <w:tcW w:w="3195" w:type="dxa"/>
          </w:tcPr>
          <w:p>
            <w:pPr>
              <w:snapToGrid w:val="0"/>
              <w:spacing w:line="360" w:lineRule="exact"/>
              <w:textAlignment w:val="baseline"/>
              <w:rPr>
                <w:rFonts w:ascii="微软雅黑" w:hAnsi="微软雅黑" w:eastAsia="微软雅黑" w:cs="微软雅黑"/>
                <w:bCs/>
                <w:sz w:val="24"/>
              </w:rPr>
            </w:pPr>
          </w:p>
        </w:tc>
        <w:tc>
          <w:tcPr>
            <w:tcW w:w="1905" w:type="dxa"/>
          </w:tcPr>
          <w:p>
            <w:pPr>
              <w:snapToGrid w:val="0"/>
              <w:spacing w:line="360" w:lineRule="exact"/>
              <w:textAlignment w:val="baseline"/>
              <w:rPr>
                <w:rFonts w:ascii="微软雅黑" w:hAnsi="微软雅黑" w:eastAsia="微软雅黑" w:cs="微软雅黑"/>
                <w:bCs/>
                <w:sz w:val="24"/>
              </w:rPr>
            </w:pPr>
          </w:p>
        </w:tc>
        <w:tc>
          <w:tcPr>
            <w:tcW w:w="1177" w:type="dxa"/>
          </w:tcPr>
          <w:p>
            <w:pPr>
              <w:snapToGrid w:val="0"/>
              <w:spacing w:line="360" w:lineRule="exact"/>
              <w:textAlignment w:val="baseline"/>
              <w:rPr>
                <w:rFonts w:ascii="微软雅黑" w:hAnsi="微软雅黑" w:eastAsia="微软雅黑" w:cs="微软雅黑"/>
                <w:bCs/>
                <w:sz w:val="24"/>
              </w:rPr>
            </w:pPr>
          </w:p>
        </w:tc>
      </w:tr>
    </w:tbl>
    <w:p>
      <w:pPr>
        <w:snapToGrid w:val="0"/>
        <w:spacing w:line="360" w:lineRule="exact"/>
        <w:ind w:firstLine="440" w:firstLineChars="200"/>
        <w:textAlignment w:val="baseline"/>
        <w:rPr>
          <w:rFonts w:ascii="微软雅黑" w:hAnsi="微软雅黑" w:eastAsia="微软雅黑" w:cs="微软雅黑"/>
          <w:sz w:val="22"/>
          <w:szCs w:val="22"/>
        </w:rPr>
      </w:pPr>
      <w:r>
        <w:rPr>
          <w:rFonts w:hint="eastAsia" w:ascii="微软雅黑" w:hAnsi="微软雅黑" w:eastAsia="微软雅黑" w:cs="微软雅黑"/>
          <w:sz w:val="22"/>
          <w:szCs w:val="22"/>
        </w:rPr>
        <w:t>注：</w:t>
      </w:r>
      <w:r>
        <w:rPr>
          <w:rFonts w:ascii="微软雅黑" w:hAnsi="微软雅黑" w:eastAsia="微软雅黑" w:cs="微软雅黑"/>
          <w:sz w:val="22"/>
          <w:szCs w:val="22"/>
        </w:rPr>
        <w:t>1</w:t>
      </w:r>
      <w:r>
        <w:rPr>
          <w:rFonts w:hint="eastAsia" w:ascii="微软雅黑" w:hAnsi="微软雅黑" w:eastAsia="微软雅黑" w:cs="微软雅黑"/>
          <w:sz w:val="22"/>
          <w:szCs w:val="22"/>
        </w:rPr>
        <w:t>、</w:t>
      </w:r>
      <w:r>
        <w:rPr>
          <w:rFonts w:hint="eastAsia" w:ascii="微软雅黑" w:hAnsi="微软雅黑" w:eastAsia="微软雅黑" w:cs="微软雅黑"/>
          <w:spacing w:val="14"/>
          <w:sz w:val="22"/>
          <w:szCs w:val="22"/>
        </w:rPr>
        <w:t>提供</w:t>
      </w:r>
      <w:r>
        <w:rPr>
          <w:rFonts w:hint="eastAsia" w:ascii="微软雅黑" w:hAnsi="微软雅黑" w:eastAsia="微软雅黑" w:cs="微软雅黑"/>
          <w:spacing w:val="14"/>
          <w:sz w:val="22"/>
          <w:szCs w:val="22"/>
          <w:lang w:eastAsia="zh-CN"/>
        </w:rPr>
        <w:t>证明材料</w:t>
      </w:r>
      <w:bookmarkStart w:id="97" w:name="_GoBack"/>
      <w:bookmarkEnd w:id="97"/>
      <w:r>
        <w:rPr>
          <w:rFonts w:hint="eastAsia" w:ascii="微软雅黑" w:hAnsi="微软雅黑" w:eastAsia="微软雅黑" w:cs="微软雅黑"/>
          <w:spacing w:val="14"/>
          <w:sz w:val="22"/>
          <w:szCs w:val="22"/>
        </w:rPr>
        <w:t>加盖投标供应商公章。</w:t>
      </w:r>
    </w:p>
    <w:p>
      <w:pPr>
        <w:snapToGrid w:val="0"/>
        <w:spacing w:line="360" w:lineRule="exact"/>
        <w:ind w:firstLine="440" w:firstLineChars="200"/>
        <w:textAlignment w:val="baseline"/>
        <w:rPr>
          <w:rFonts w:ascii="微软雅黑" w:hAnsi="微软雅黑" w:eastAsia="微软雅黑" w:cs="微软雅黑"/>
          <w:sz w:val="22"/>
          <w:szCs w:val="22"/>
        </w:rPr>
      </w:pPr>
      <w:r>
        <w:rPr>
          <w:rFonts w:ascii="微软雅黑" w:hAnsi="微软雅黑" w:eastAsia="微软雅黑" w:cs="微软雅黑"/>
          <w:sz w:val="22"/>
          <w:szCs w:val="22"/>
        </w:rPr>
        <w:t>2</w:t>
      </w:r>
      <w:r>
        <w:rPr>
          <w:rFonts w:hint="eastAsia" w:ascii="微软雅黑" w:hAnsi="微软雅黑" w:eastAsia="微软雅黑" w:cs="微软雅黑"/>
          <w:sz w:val="22"/>
          <w:szCs w:val="22"/>
        </w:rPr>
        <w:t>、此表仅提供了表格形式，投标供应商应根据需要准备足够数量的表格来填写。</w:t>
      </w:r>
    </w:p>
    <w:p>
      <w:pPr>
        <w:snapToGrid w:val="0"/>
        <w:spacing w:line="360" w:lineRule="exact"/>
        <w:jc w:val="right"/>
        <w:textAlignment w:val="baseline"/>
        <w:rPr>
          <w:rFonts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napToGrid w:val="0"/>
        <w:spacing w:line="480" w:lineRule="exact"/>
        <w:jc w:val="right"/>
        <w:textAlignment w:val="baseline"/>
        <w:rPr>
          <w:rFonts w:ascii="微软雅黑" w:hAnsi="微软雅黑" w:eastAsia="微软雅黑" w:cs="微软雅黑"/>
          <w:sz w:val="24"/>
        </w:rPr>
      </w:pPr>
      <w:r>
        <w:rPr>
          <w:rFonts w:hint="eastAsia" w:ascii="微软雅黑" w:hAnsi="微软雅黑" w:eastAsia="微软雅黑" w:cs="微软雅黑"/>
          <w:sz w:val="24"/>
        </w:rPr>
        <w:t>日期：年月日</w:t>
      </w:r>
    </w:p>
    <w:p>
      <w:pPr>
        <w:snapToGrid w:val="0"/>
        <w:spacing w:line="480" w:lineRule="exact"/>
        <w:ind w:firstLine="480" w:firstLineChars="200"/>
        <w:jc w:val="right"/>
        <w:textAlignment w:val="baseline"/>
        <w:rPr>
          <w:rFonts w:ascii="微软雅黑" w:hAnsi="微软雅黑" w:eastAsia="微软雅黑" w:cs="微软雅黑"/>
          <w:sz w:val="24"/>
        </w:rPr>
      </w:pPr>
    </w:p>
    <w:p>
      <w:pPr>
        <w:pStyle w:val="2"/>
        <w:rPr>
          <w:rFonts w:ascii="微软雅黑" w:hAnsi="微软雅黑" w:eastAsia="微软雅黑" w:cs="微软雅黑"/>
          <w:sz w:val="24"/>
        </w:rPr>
      </w:pPr>
    </w:p>
    <w:p>
      <w:pPr>
        <w:snapToGrid w:val="0"/>
        <w:spacing w:line="480" w:lineRule="exact"/>
        <w:jc w:val="both"/>
        <w:textAlignment w:val="baseline"/>
        <w:rPr>
          <w:rFonts w:hint="eastAsia" w:ascii="微软雅黑" w:hAnsi="微软雅黑" w:eastAsia="微软雅黑" w:cs="微软雅黑"/>
          <w:b/>
          <w:bCs/>
          <w:szCs w:val="28"/>
        </w:rPr>
        <w:sectPr>
          <w:pgSz w:w="16838" w:h="11906" w:orient="landscape"/>
          <w:pgMar w:top="1800" w:right="1440" w:bottom="1800" w:left="1440" w:header="851" w:footer="992" w:gutter="0"/>
          <w:pgNumType w:fmt="decimal"/>
          <w:cols w:space="720" w:num="1"/>
          <w:docGrid w:type="lines" w:linePitch="312" w:charSpace="0"/>
        </w:sectPr>
      </w:pPr>
    </w:p>
    <w:p>
      <w:pPr>
        <w:snapToGrid w:val="0"/>
        <w:spacing w:line="480" w:lineRule="exact"/>
        <w:jc w:val="center"/>
        <w:textAlignment w:val="baseline"/>
        <w:rPr>
          <w:rFonts w:hint="eastAsia" w:ascii="微软雅黑" w:hAnsi="微软雅黑" w:eastAsia="微软雅黑" w:cs="微软雅黑"/>
          <w:b/>
          <w:bCs/>
          <w:szCs w:val="28"/>
        </w:rPr>
      </w:pPr>
      <w:r>
        <w:rPr>
          <w:rFonts w:hint="eastAsia" w:ascii="微软雅黑" w:hAnsi="微软雅黑" w:eastAsia="微软雅黑" w:cs="微软雅黑"/>
          <w:b/>
          <w:bCs/>
          <w:szCs w:val="28"/>
        </w:rPr>
        <w:t>投标人实力</w:t>
      </w:r>
      <w:r>
        <w:rPr>
          <w:rFonts w:hint="eastAsia" w:ascii="微软雅黑" w:hAnsi="微软雅黑" w:eastAsia="微软雅黑" w:cs="微软雅黑"/>
          <w:b/>
          <w:bCs/>
          <w:szCs w:val="28"/>
          <w:lang w:val="en-US" w:eastAsia="zh-CN"/>
        </w:rPr>
        <w:t>--</w:t>
      </w:r>
      <w:r>
        <w:rPr>
          <w:rFonts w:hint="eastAsia" w:ascii="微软雅黑" w:hAnsi="微软雅黑" w:eastAsia="微软雅黑" w:cs="微软雅黑"/>
          <w:b/>
          <w:bCs/>
          <w:szCs w:val="28"/>
        </w:rPr>
        <w:t>证书情况</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8"/>
        <w:gridCol w:w="3858"/>
        <w:gridCol w:w="3158"/>
        <w:gridCol w:w="245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序号</w:t>
            </w:r>
          </w:p>
        </w:tc>
        <w:tc>
          <w:tcPr>
            <w:tcW w:w="1361"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名称</w:t>
            </w:r>
          </w:p>
        </w:tc>
        <w:tc>
          <w:tcPr>
            <w:tcW w:w="1114"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获得时间</w:t>
            </w:r>
          </w:p>
        </w:tc>
        <w:tc>
          <w:tcPr>
            <w:tcW w:w="86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认证机构</w:t>
            </w:r>
          </w:p>
        </w:tc>
        <w:tc>
          <w:tcPr>
            <w:tcW w:w="1053"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1</w:t>
            </w:r>
          </w:p>
        </w:tc>
        <w:tc>
          <w:tcPr>
            <w:tcW w:w="1361" w:type="pct"/>
          </w:tcPr>
          <w:p>
            <w:pPr>
              <w:spacing w:line="360" w:lineRule="auto"/>
              <w:rPr>
                <w:rFonts w:asciiTheme="minorEastAsia" w:hAnsiTheme="minorEastAsia" w:eastAsiaTheme="minorEastAsia"/>
                <w:bCs/>
                <w:color w:val="000000" w:themeColor="text1"/>
                <w:szCs w:val="21"/>
              </w:rPr>
            </w:pPr>
          </w:p>
        </w:tc>
        <w:tc>
          <w:tcPr>
            <w:tcW w:w="1114" w:type="pct"/>
          </w:tcPr>
          <w:p>
            <w:pPr>
              <w:spacing w:line="360" w:lineRule="auto"/>
              <w:rPr>
                <w:rFonts w:asciiTheme="minorEastAsia" w:hAnsiTheme="minorEastAsia" w:eastAsiaTheme="minorEastAsia"/>
                <w:bCs/>
                <w:color w:val="000000" w:themeColor="text1"/>
                <w:szCs w:val="21"/>
              </w:rPr>
            </w:pPr>
          </w:p>
        </w:tc>
        <w:tc>
          <w:tcPr>
            <w:tcW w:w="866" w:type="pct"/>
          </w:tcPr>
          <w:p>
            <w:pPr>
              <w:spacing w:line="360" w:lineRule="auto"/>
              <w:rPr>
                <w:rFonts w:asciiTheme="minorEastAsia" w:hAnsiTheme="minorEastAsia" w:eastAsiaTheme="minorEastAsia"/>
                <w:bCs/>
                <w:color w:val="000000" w:themeColor="text1"/>
                <w:szCs w:val="21"/>
              </w:rPr>
            </w:pPr>
          </w:p>
        </w:tc>
        <w:tc>
          <w:tcPr>
            <w:tcW w:w="1053" w:type="pct"/>
          </w:tcPr>
          <w:p>
            <w:pPr>
              <w:spacing w:line="360" w:lineRule="auto"/>
              <w:rPr>
                <w:rFonts w:asciiTheme="minorEastAsia" w:hAnsiTheme="minorEastAsia" w:eastAsia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2</w:t>
            </w:r>
          </w:p>
        </w:tc>
        <w:tc>
          <w:tcPr>
            <w:tcW w:w="1361" w:type="pct"/>
          </w:tcPr>
          <w:p>
            <w:pPr>
              <w:spacing w:line="360" w:lineRule="auto"/>
              <w:rPr>
                <w:rFonts w:asciiTheme="minorEastAsia" w:hAnsiTheme="minorEastAsia" w:eastAsiaTheme="minorEastAsia"/>
                <w:bCs/>
                <w:color w:val="000000" w:themeColor="text1"/>
                <w:szCs w:val="21"/>
              </w:rPr>
            </w:pPr>
          </w:p>
        </w:tc>
        <w:tc>
          <w:tcPr>
            <w:tcW w:w="1114" w:type="pct"/>
          </w:tcPr>
          <w:p>
            <w:pPr>
              <w:spacing w:line="360" w:lineRule="auto"/>
              <w:rPr>
                <w:rFonts w:asciiTheme="minorEastAsia" w:hAnsiTheme="minorEastAsia" w:eastAsiaTheme="minorEastAsia"/>
                <w:bCs/>
                <w:color w:val="000000" w:themeColor="text1"/>
                <w:szCs w:val="21"/>
              </w:rPr>
            </w:pPr>
          </w:p>
        </w:tc>
        <w:tc>
          <w:tcPr>
            <w:tcW w:w="866" w:type="pct"/>
          </w:tcPr>
          <w:p>
            <w:pPr>
              <w:spacing w:line="360" w:lineRule="auto"/>
              <w:rPr>
                <w:rFonts w:asciiTheme="minorEastAsia" w:hAnsiTheme="minorEastAsia" w:eastAsiaTheme="minorEastAsia"/>
                <w:bCs/>
                <w:color w:val="000000" w:themeColor="text1"/>
                <w:szCs w:val="21"/>
              </w:rPr>
            </w:pPr>
          </w:p>
        </w:tc>
        <w:tc>
          <w:tcPr>
            <w:tcW w:w="1053" w:type="pct"/>
          </w:tcPr>
          <w:p>
            <w:pPr>
              <w:spacing w:line="360" w:lineRule="auto"/>
              <w:rPr>
                <w:rFonts w:asciiTheme="minorEastAsia" w:hAnsiTheme="minorEastAsia" w:eastAsia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3</w:t>
            </w:r>
          </w:p>
        </w:tc>
        <w:tc>
          <w:tcPr>
            <w:tcW w:w="1361" w:type="pct"/>
          </w:tcPr>
          <w:p>
            <w:pPr>
              <w:spacing w:line="360" w:lineRule="auto"/>
              <w:rPr>
                <w:rFonts w:asciiTheme="minorEastAsia" w:hAnsiTheme="minorEastAsia" w:eastAsiaTheme="minorEastAsia"/>
                <w:bCs/>
                <w:color w:val="000000" w:themeColor="text1"/>
                <w:szCs w:val="21"/>
              </w:rPr>
            </w:pPr>
          </w:p>
        </w:tc>
        <w:tc>
          <w:tcPr>
            <w:tcW w:w="1114" w:type="pct"/>
          </w:tcPr>
          <w:p>
            <w:pPr>
              <w:spacing w:line="360" w:lineRule="auto"/>
              <w:rPr>
                <w:rFonts w:asciiTheme="minorEastAsia" w:hAnsiTheme="minorEastAsia" w:eastAsiaTheme="minorEastAsia"/>
                <w:bCs/>
                <w:color w:val="000000" w:themeColor="text1"/>
                <w:szCs w:val="21"/>
              </w:rPr>
            </w:pPr>
          </w:p>
        </w:tc>
        <w:tc>
          <w:tcPr>
            <w:tcW w:w="866" w:type="pct"/>
          </w:tcPr>
          <w:p>
            <w:pPr>
              <w:spacing w:line="360" w:lineRule="auto"/>
              <w:rPr>
                <w:rFonts w:asciiTheme="minorEastAsia" w:hAnsiTheme="minorEastAsia" w:eastAsiaTheme="minorEastAsia"/>
                <w:bCs/>
                <w:color w:val="000000" w:themeColor="text1"/>
                <w:szCs w:val="21"/>
              </w:rPr>
            </w:pPr>
          </w:p>
        </w:tc>
        <w:tc>
          <w:tcPr>
            <w:tcW w:w="1053" w:type="pct"/>
          </w:tcPr>
          <w:p>
            <w:pPr>
              <w:spacing w:line="360" w:lineRule="auto"/>
              <w:rPr>
                <w:rFonts w:asciiTheme="minorEastAsia" w:hAnsiTheme="minorEastAsia" w:eastAsia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4</w:t>
            </w:r>
          </w:p>
        </w:tc>
        <w:tc>
          <w:tcPr>
            <w:tcW w:w="1361" w:type="pct"/>
          </w:tcPr>
          <w:p>
            <w:pPr>
              <w:spacing w:line="360" w:lineRule="auto"/>
              <w:rPr>
                <w:rFonts w:asciiTheme="minorEastAsia" w:hAnsiTheme="minorEastAsia" w:eastAsiaTheme="minorEastAsia"/>
                <w:bCs/>
                <w:color w:val="000000" w:themeColor="text1"/>
                <w:szCs w:val="21"/>
              </w:rPr>
            </w:pPr>
          </w:p>
        </w:tc>
        <w:tc>
          <w:tcPr>
            <w:tcW w:w="1114" w:type="pct"/>
          </w:tcPr>
          <w:p>
            <w:pPr>
              <w:spacing w:line="360" w:lineRule="auto"/>
              <w:rPr>
                <w:rFonts w:asciiTheme="minorEastAsia" w:hAnsiTheme="minorEastAsia" w:eastAsiaTheme="minorEastAsia"/>
                <w:bCs/>
                <w:color w:val="000000" w:themeColor="text1"/>
                <w:szCs w:val="21"/>
              </w:rPr>
            </w:pPr>
          </w:p>
        </w:tc>
        <w:tc>
          <w:tcPr>
            <w:tcW w:w="866" w:type="pct"/>
          </w:tcPr>
          <w:p>
            <w:pPr>
              <w:spacing w:line="360" w:lineRule="auto"/>
              <w:rPr>
                <w:rFonts w:asciiTheme="minorEastAsia" w:hAnsiTheme="minorEastAsia" w:eastAsiaTheme="minorEastAsia"/>
                <w:bCs/>
                <w:color w:val="000000" w:themeColor="text1"/>
                <w:szCs w:val="21"/>
              </w:rPr>
            </w:pPr>
          </w:p>
        </w:tc>
        <w:tc>
          <w:tcPr>
            <w:tcW w:w="1053" w:type="pct"/>
          </w:tcPr>
          <w:p>
            <w:pPr>
              <w:spacing w:line="360" w:lineRule="auto"/>
              <w:rPr>
                <w:rFonts w:asciiTheme="minorEastAsia" w:hAnsiTheme="minorEastAsia" w:eastAsia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5</w:t>
            </w:r>
          </w:p>
        </w:tc>
        <w:tc>
          <w:tcPr>
            <w:tcW w:w="1361" w:type="pct"/>
          </w:tcPr>
          <w:p>
            <w:pPr>
              <w:spacing w:line="360" w:lineRule="auto"/>
              <w:rPr>
                <w:rFonts w:asciiTheme="minorEastAsia" w:hAnsiTheme="minorEastAsia" w:eastAsiaTheme="minorEastAsia"/>
                <w:bCs/>
                <w:color w:val="000000" w:themeColor="text1"/>
                <w:szCs w:val="21"/>
              </w:rPr>
            </w:pPr>
          </w:p>
        </w:tc>
        <w:tc>
          <w:tcPr>
            <w:tcW w:w="1114" w:type="pct"/>
          </w:tcPr>
          <w:p>
            <w:pPr>
              <w:spacing w:line="360" w:lineRule="auto"/>
              <w:rPr>
                <w:rFonts w:asciiTheme="minorEastAsia" w:hAnsiTheme="minorEastAsia" w:eastAsiaTheme="minorEastAsia"/>
                <w:bCs/>
                <w:color w:val="000000" w:themeColor="text1"/>
                <w:szCs w:val="21"/>
              </w:rPr>
            </w:pPr>
          </w:p>
        </w:tc>
        <w:tc>
          <w:tcPr>
            <w:tcW w:w="866" w:type="pct"/>
          </w:tcPr>
          <w:p>
            <w:pPr>
              <w:spacing w:line="360" w:lineRule="auto"/>
              <w:rPr>
                <w:rFonts w:asciiTheme="minorEastAsia" w:hAnsiTheme="minorEastAsia" w:eastAsiaTheme="minorEastAsia"/>
                <w:bCs/>
                <w:color w:val="000000" w:themeColor="text1"/>
                <w:szCs w:val="21"/>
              </w:rPr>
            </w:pPr>
          </w:p>
        </w:tc>
        <w:tc>
          <w:tcPr>
            <w:tcW w:w="1053" w:type="pct"/>
          </w:tcPr>
          <w:p>
            <w:pPr>
              <w:spacing w:line="360" w:lineRule="auto"/>
              <w:rPr>
                <w:rFonts w:asciiTheme="minorEastAsia" w:hAnsiTheme="minorEastAsia" w:eastAsia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06" w:type="pct"/>
          </w:tcPr>
          <w:p>
            <w:pPr>
              <w:spacing w:line="360" w:lineRule="auto"/>
              <w:jc w:val="center"/>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t>……</w:t>
            </w:r>
          </w:p>
        </w:tc>
        <w:tc>
          <w:tcPr>
            <w:tcW w:w="1361" w:type="pct"/>
          </w:tcPr>
          <w:p>
            <w:pPr>
              <w:spacing w:line="360" w:lineRule="auto"/>
              <w:jc w:val="center"/>
              <w:rPr>
                <w:rFonts w:asciiTheme="minorEastAsia" w:hAnsiTheme="minorEastAsia" w:eastAsiaTheme="minorEastAsia"/>
                <w:bCs/>
                <w:color w:val="000000" w:themeColor="text1"/>
                <w:szCs w:val="21"/>
              </w:rPr>
            </w:pPr>
          </w:p>
        </w:tc>
        <w:tc>
          <w:tcPr>
            <w:tcW w:w="1114" w:type="pct"/>
          </w:tcPr>
          <w:p>
            <w:pPr>
              <w:spacing w:line="360" w:lineRule="auto"/>
              <w:jc w:val="center"/>
              <w:rPr>
                <w:rFonts w:asciiTheme="minorEastAsia" w:hAnsiTheme="minorEastAsia" w:eastAsiaTheme="minorEastAsia"/>
                <w:bCs/>
                <w:color w:val="000000" w:themeColor="text1"/>
                <w:szCs w:val="21"/>
              </w:rPr>
            </w:pPr>
          </w:p>
        </w:tc>
        <w:tc>
          <w:tcPr>
            <w:tcW w:w="866" w:type="pct"/>
          </w:tcPr>
          <w:p>
            <w:pPr>
              <w:spacing w:line="360" w:lineRule="auto"/>
              <w:jc w:val="center"/>
              <w:rPr>
                <w:rFonts w:asciiTheme="minorEastAsia" w:hAnsiTheme="minorEastAsia" w:eastAsiaTheme="minorEastAsia"/>
                <w:bCs/>
                <w:color w:val="000000" w:themeColor="text1"/>
                <w:szCs w:val="21"/>
              </w:rPr>
            </w:pPr>
          </w:p>
        </w:tc>
        <w:tc>
          <w:tcPr>
            <w:tcW w:w="1053" w:type="pct"/>
          </w:tcPr>
          <w:p>
            <w:pPr>
              <w:spacing w:line="360" w:lineRule="auto"/>
              <w:jc w:val="center"/>
              <w:rPr>
                <w:rFonts w:asciiTheme="minorEastAsia" w:hAnsiTheme="minorEastAsia" w:eastAsiaTheme="minorEastAsia"/>
                <w:bCs/>
                <w:color w:val="000000" w:themeColor="text1"/>
                <w:szCs w:val="21"/>
              </w:rPr>
            </w:pPr>
          </w:p>
        </w:tc>
      </w:tr>
    </w:tbl>
    <w:p>
      <w:pPr>
        <w:pStyle w:val="26"/>
        <w:tabs>
          <w:tab w:val="left" w:pos="1200"/>
        </w:tabs>
        <w:spacing w:before="120" w:after="120" w:line="360" w:lineRule="auto"/>
        <w:ind w:left="902" w:leftChars="22" w:hanging="840" w:hangingChars="400"/>
        <w:rPr>
          <w:rFonts w:cs="Times New Roman" w:asciiTheme="minorEastAsia" w:hAnsiTheme="minorEastAsia" w:eastAsiaTheme="minorEastAsia"/>
          <w:color w:val="000000" w:themeColor="text1"/>
          <w:sz w:val="21"/>
          <w:szCs w:val="21"/>
        </w:rPr>
      </w:pPr>
      <w:r>
        <w:rPr>
          <w:rFonts w:cs="Times New Roman" w:asciiTheme="minorEastAsia" w:hAnsiTheme="minorEastAsia" w:eastAsiaTheme="minorEastAsia"/>
          <w:color w:val="000000" w:themeColor="text1"/>
          <w:sz w:val="21"/>
          <w:szCs w:val="21"/>
        </w:rPr>
        <w:t>注：1、以上项目须提供证书复印件加盖单位公章。</w:t>
      </w:r>
    </w:p>
    <w:p>
      <w:pPr>
        <w:snapToGrid w:val="0"/>
        <w:spacing w:line="480" w:lineRule="exact"/>
        <w:jc w:val="center"/>
        <w:textAlignment w:val="baseline"/>
        <w:rPr>
          <w:rFonts w:hint="eastAsia" w:ascii="微软雅黑" w:hAnsi="微软雅黑" w:eastAsia="微软雅黑" w:cs="微软雅黑"/>
          <w:b/>
          <w:bCs/>
          <w:szCs w:val="28"/>
        </w:rPr>
      </w:pPr>
    </w:p>
    <w:p>
      <w:pPr>
        <w:snapToGrid w:val="0"/>
        <w:spacing w:line="360" w:lineRule="exact"/>
        <w:jc w:val="right"/>
        <w:textAlignment w:val="baseline"/>
        <w:rPr>
          <w:rFonts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napToGrid w:val="0"/>
        <w:spacing w:line="480" w:lineRule="exact"/>
        <w:jc w:val="right"/>
        <w:textAlignment w:val="baseline"/>
        <w:rPr>
          <w:rFonts w:ascii="微软雅黑" w:hAnsi="微软雅黑" w:eastAsia="微软雅黑" w:cs="微软雅黑"/>
          <w:sz w:val="24"/>
        </w:rPr>
      </w:pPr>
      <w:r>
        <w:rPr>
          <w:rFonts w:hint="eastAsia" w:ascii="微软雅黑" w:hAnsi="微软雅黑" w:eastAsia="微软雅黑" w:cs="微软雅黑"/>
          <w:sz w:val="24"/>
        </w:rPr>
        <w:t>日期：年月日</w:t>
      </w:r>
    </w:p>
    <w:p>
      <w:pPr>
        <w:pStyle w:val="2"/>
        <w:rPr>
          <w:rFonts w:hint="eastAsia"/>
        </w:rPr>
        <w:sectPr>
          <w:pgSz w:w="16838" w:h="11906" w:orient="landscape"/>
          <w:pgMar w:top="1800" w:right="1440" w:bottom="1800" w:left="1440" w:header="851" w:footer="992" w:gutter="0"/>
          <w:pgNumType w:fmt="decimal"/>
          <w:cols w:space="720" w:num="1"/>
          <w:docGrid w:type="lines" w:linePitch="312" w:charSpace="0"/>
        </w:sectPr>
      </w:pPr>
    </w:p>
    <w:p>
      <w:pPr>
        <w:snapToGrid w:val="0"/>
        <w:spacing w:line="480" w:lineRule="exact"/>
        <w:jc w:val="center"/>
        <w:textAlignment w:val="baseline"/>
        <w:rPr>
          <w:rFonts w:hint="eastAsia" w:ascii="微软雅黑" w:hAnsi="微软雅黑" w:eastAsia="微软雅黑" w:cs="微软雅黑"/>
          <w:b/>
          <w:bCs/>
          <w:szCs w:val="28"/>
        </w:rPr>
      </w:pPr>
      <w:r>
        <w:rPr>
          <w:rFonts w:hint="eastAsia" w:ascii="微软雅黑" w:hAnsi="微软雅黑" w:eastAsia="微软雅黑" w:cs="微软雅黑"/>
          <w:b/>
          <w:bCs/>
          <w:szCs w:val="28"/>
        </w:rPr>
        <w:t>投标人实力</w:t>
      </w:r>
      <w:r>
        <w:rPr>
          <w:rFonts w:hint="eastAsia" w:ascii="微软雅黑" w:hAnsi="微软雅黑" w:eastAsia="微软雅黑" w:cs="微软雅黑"/>
          <w:b/>
          <w:bCs/>
          <w:szCs w:val="28"/>
          <w:lang w:val="en-US" w:eastAsia="zh-CN"/>
        </w:rPr>
        <w:t>--</w:t>
      </w:r>
      <w:r>
        <w:rPr>
          <w:rFonts w:hint="eastAsia" w:ascii="微软雅黑" w:hAnsi="微软雅黑" w:eastAsia="微软雅黑" w:cs="微软雅黑"/>
          <w:b/>
          <w:bCs/>
          <w:szCs w:val="28"/>
        </w:rPr>
        <w:t>CMA检测资质实验室</w:t>
      </w:r>
    </w:p>
    <w:p>
      <w:pPr>
        <w:snapToGrid w:val="0"/>
        <w:spacing w:line="480" w:lineRule="exact"/>
        <w:textAlignment w:val="baseline"/>
        <w:rPr>
          <w:rFonts w:ascii="微软雅黑" w:hAnsi="微软雅黑" w:eastAsia="微软雅黑" w:cs="微软雅黑"/>
          <w:sz w:val="24"/>
        </w:rPr>
      </w:pPr>
      <w:r>
        <w:rPr>
          <w:rFonts w:hint="eastAsia" w:ascii="微软雅黑" w:hAnsi="微软雅黑" w:eastAsia="微软雅黑" w:cs="微软雅黑"/>
          <w:sz w:val="24"/>
        </w:rPr>
        <w:t>投标供应商全称（加盖公章）：</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项目编号：</w:t>
      </w:r>
    </w:p>
    <w:tbl>
      <w:tblPr>
        <w:tblStyle w:val="38"/>
        <w:tblW w:w="14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854"/>
        <w:gridCol w:w="2612"/>
        <w:gridCol w:w="3294"/>
        <w:gridCol w:w="329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75"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序号</w:t>
            </w:r>
          </w:p>
        </w:tc>
        <w:tc>
          <w:tcPr>
            <w:tcW w:w="2854"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color w:val="000000" w:themeColor="text1"/>
                <w:kern w:val="0"/>
                <w:sz w:val="24"/>
              </w:rPr>
              <w:t>资质证书名称</w:t>
            </w:r>
          </w:p>
        </w:tc>
        <w:tc>
          <w:tcPr>
            <w:tcW w:w="2612" w:type="dxa"/>
          </w:tcPr>
          <w:p>
            <w:pPr>
              <w:snapToGrid w:val="0"/>
              <w:spacing w:line="360" w:lineRule="exact"/>
              <w:jc w:val="center"/>
              <w:textAlignment w:val="baseline"/>
              <w:rPr>
                <w:rFonts w:hint="eastAsia"/>
              </w:rPr>
            </w:pPr>
            <w:r>
              <w:rPr>
                <w:rFonts w:hint="eastAsia"/>
              </w:rPr>
              <w:t>资质认定范围</w:t>
            </w:r>
          </w:p>
          <w:p>
            <w:pPr>
              <w:pStyle w:val="2"/>
              <w:rPr>
                <w:rFonts w:hint="eastAsia" w:eastAsia="微软雅黑"/>
                <w:lang w:eastAsia="zh-CN"/>
              </w:rPr>
            </w:pPr>
            <w:r>
              <w:rPr>
                <w:rFonts w:hint="eastAsia" w:ascii="微软雅黑" w:hAnsi="微软雅黑" w:eastAsia="微软雅黑" w:cs="微软雅黑"/>
                <w:color w:val="000000"/>
                <w:kern w:val="0"/>
                <w:sz w:val="24"/>
                <w:lang w:eastAsia="zh-CN"/>
              </w:rPr>
              <w:t>（检测指标）</w:t>
            </w:r>
          </w:p>
        </w:tc>
        <w:tc>
          <w:tcPr>
            <w:tcW w:w="3294" w:type="dxa"/>
          </w:tcPr>
          <w:p>
            <w:pPr>
              <w:snapToGrid w:val="0"/>
              <w:spacing w:line="360" w:lineRule="exact"/>
              <w:jc w:val="center"/>
              <w:textAlignment w:val="baseline"/>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性质</w:t>
            </w:r>
          </w:p>
        </w:tc>
        <w:tc>
          <w:tcPr>
            <w:tcW w:w="3294"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Cs/>
                <w:sz w:val="24"/>
              </w:rPr>
              <w:t>所在省市、详细地址、联系人及电话</w:t>
            </w:r>
          </w:p>
        </w:tc>
        <w:tc>
          <w:tcPr>
            <w:tcW w:w="1908" w:type="dxa"/>
          </w:tcPr>
          <w:p>
            <w:pPr>
              <w:snapToGrid w:val="0"/>
              <w:spacing w:line="360" w:lineRule="exact"/>
              <w:jc w:val="center"/>
              <w:textAlignment w:val="baseline"/>
              <w:rPr>
                <w:rFonts w:ascii="微软雅黑" w:hAnsi="微软雅黑" w:eastAsia="微软雅黑" w:cs="微软雅黑"/>
                <w:bCs/>
                <w:sz w:val="24"/>
              </w:rPr>
            </w:pPr>
            <w:r>
              <w:rPr>
                <w:rFonts w:hint="eastAsia" w:ascii="微软雅黑" w:hAnsi="微软雅黑" w:eastAsia="微软雅黑" w:cs="微软雅黑"/>
                <w:b/>
                <w:bCs/>
                <w:color w:val="000000"/>
                <w:kern w:val="0"/>
                <w:sz w:val="24"/>
              </w:rPr>
              <w:t>实验室距招标人车程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575" w:type="dxa"/>
          </w:tcPr>
          <w:p>
            <w:pPr>
              <w:snapToGrid w:val="0"/>
              <w:spacing w:line="360" w:lineRule="exact"/>
              <w:textAlignment w:val="baseline"/>
              <w:rPr>
                <w:rFonts w:ascii="微软雅黑" w:hAnsi="微软雅黑" w:eastAsia="微软雅黑" w:cs="微软雅黑"/>
                <w:bCs/>
                <w:sz w:val="24"/>
              </w:rPr>
            </w:pPr>
            <w:r>
              <w:rPr>
                <w:rFonts w:hint="eastAsia" w:ascii="微软雅黑" w:hAnsi="微软雅黑" w:eastAsia="微软雅黑" w:cs="微软雅黑"/>
                <w:bCs/>
                <w:sz w:val="24"/>
              </w:rPr>
              <w:t>1</w:t>
            </w:r>
          </w:p>
        </w:tc>
        <w:tc>
          <w:tcPr>
            <w:tcW w:w="2854" w:type="dxa"/>
          </w:tcPr>
          <w:p>
            <w:pPr>
              <w:snapToGrid w:val="0"/>
              <w:spacing w:line="360" w:lineRule="exact"/>
              <w:textAlignment w:val="baseline"/>
              <w:rPr>
                <w:rFonts w:ascii="微软雅黑" w:hAnsi="微软雅黑" w:eastAsia="微软雅黑" w:cs="微软雅黑"/>
                <w:bCs/>
                <w:sz w:val="24"/>
              </w:rPr>
            </w:pPr>
          </w:p>
        </w:tc>
        <w:tc>
          <w:tcPr>
            <w:tcW w:w="2612" w:type="dxa"/>
          </w:tcPr>
          <w:p>
            <w:pPr>
              <w:snapToGrid w:val="0"/>
              <w:spacing w:line="360" w:lineRule="exact"/>
              <w:textAlignment w:val="baseline"/>
              <w:rPr>
                <w:rFonts w:ascii="微软雅黑" w:hAnsi="微软雅黑" w:eastAsia="微软雅黑" w:cs="微软雅黑"/>
                <w:bCs/>
                <w:sz w:val="24"/>
              </w:rPr>
            </w:pPr>
          </w:p>
        </w:tc>
        <w:tc>
          <w:tcPr>
            <w:tcW w:w="3294" w:type="dxa"/>
          </w:tcPr>
          <w:p>
            <w:pPr>
              <w:snapToGrid w:val="0"/>
              <w:spacing w:line="360" w:lineRule="exact"/>
              <w:textAlignment w:val="baseline"/>
              <w:rPr>
                <w:rFonts w:hint="default" w:ascii="微软雅黑" w:hAnsi="微软雅黑" w:eastAsia="微软雅黑" w:cs="微软雅黑"/>
                <w:bCs/>
                <w:sz w:val="24"/>
                <w:lang w:val="en-US" w:eastAsia="zh-CN"/>
              </w:rPr>
            </w:pPr>
            <w:r>
              <w:rPr>
                <w:rFonts w:hint="eastAsia" w:ascii="微软雅黑" w:hAnsi="微软雅黑" w:eastAsia="微软雅黑" w:cs="微软雅黑"/>
                <w:bCs/>
                <w:sz w:val="24"/>
                <w:lang w:eastAsia="zh-CN"/>
              </w:rPr>
              <w:t>自有</w:t>
            </w:r>
            <w:r>
              <w:rPr>
                <w:rFonts w:hint="eastAsia" w:ascii="微软雅黑" w:hAnsi="微软雅黑" w:eastAsia="微软雅黑" w:cs="微软雅黑"/>
                <w:bCs/>
                <w:sz w:val="24"/>
                <w:lang w:val="en-US" w:eastAsia="zh-CN"/>
              </w:rPr>
              <w:t>/持股/</w:t>
            </w:r>
            <w:r>
              <w:rPr>
                <w:rFonts w:hint="eastAsia" w:ascii="微软雅黑" w:hAnsi="微软雅黑" w:eastAsia="微软雅黑" w:cs="微软雅黑"/>
                <w:b/>
                <w:bCs/>
                <w:color w:val="000000"/>
                <w:kern w:val="0"/>
                <w:sz w:val="24"/>
              </w:rPr>
              <w:t>合作</w:t>
            </w:r>
          </w:p>
        </w:tc>
        <w:tc>
          <w:tcPr>
            <w:tcW w:w="3294" w:type="dxa"/>
          </w:tcPr>
          <w:p>
            <w:pPr>
              <w:snapToGrid w:val="0"/>
              <w:spacing w:line="360" w:lineRule="exact"/>
              <w:textAlignment w:val="baseline"/>
              <w:rPr>
                <w:rFonts w:ascii="微软雅黑" w:hAnsi="微软雅黑" w:eastAsia="微软雅黑" w:cs="微软雅黑"/>
                <w:bCs/>
                <w:sz w:val="24"/>
              </w:rPr>
            </w:pPr>
          </w:p>
        </w:tc>
        <w:tc>
          <w:tcPr>
            <w:tcW w:w="1908" w:type="dxa"/>
          </w:tcPr>
          <w:p>
            <w:pPr>
              <w:snapToGrid w:val="0"/>
              <w:spacing w:line="360" w:lineRule="exact"/>
              <w:textAlignment w:val="baseline"/>
              <w:rPr>
                <w:rFonts w:ascii="微软雅黑" w:hAnsi="微软雅黑" w:eastAsia="微软雅黑" w:cs="微软雅黑"/>
                <w:bCs/>
                <w:sz w:val="24"/>
              </w:rPr>
            </w:pPr>
          </w:p>
        </w:tc>
      </w:tr>
    </w:tbl>
    <w:p>
      <w:pPr>
        <w:snapToGrid w:val="0"/>
        <w:spacing w:beforeLines="20" w:line="360" w:lineRule="exact"/>
        <w:jc w:val="lef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注：提供证明材料，</w:t>
      </w:r>
      <w:r>
        <w:rPr>
          <w:rFonts w:hint="eastAsia" w:ascii="微软雅黑" w:hAnsi="微软雅黑" w:eastAsia="微软雅黑" w:cs="微软雅黑"/>
          <w:color w:val="000000"/>
          <w:kern w:val="0"/>
          <w:sz w:val="24"/>
          <w:lang w:eastAsia="zh-CN"/>
        </w:rPr>
        <w:t>不提供</w:t>
      </w:r>
      <w:r>
        <w:rPr>
          <w:rFonts w:hint="eastAsia" w:ascii="微软雅黑" w:hAnsi="微软雅黑" w:eastAsia="微软雅黑" w:cs="微软雅黑"/>
          <w:color w:val="000000"/>
          <w:kern w:val="0"/>
          <w:sz w:val="24"/>
        </w:rPr>
        <w:t>不予认可。</w:t>
      </w:r>
    </w:p>
    <w:p>
      <w:pPr>
        <w:snapToGrid w:val="0"/>
        <w:spacing w:line="360" w:lineRule="auto"/>
        <w:textAlignment w:val="baseline"/>
        <w:rPr>
          <w:rFonts w:ascii="微软雅黑" w:hAnsi="微软雅黑" w:eastAsia="微软雅黑" w:cs="微软雅黑"/>
          <w:b/>
          <w:bCs/>
          <w:spacing w:val="14"/>
          <w:sz w:val="20"/>
          <w:szCs w:val="28"/>
        </w:rPr>
      </w:pPr>
    </w:p>
    <w:p>
      <w:pPr>
        <w:snapToGrid w:val="0"/>
        <w:spacing w:line="360" w:lineRule="exact"/>
        <w:jc w:val="right"/>
        <w:textAlignment w:val="baseline"/>
        <w:rPr>
          <w:rFonts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napToGrid w:val="0"/>
        <w:spacing w:line="480" w:lineRule="exact"/>
        <w:jc w:val="right"/>
        <w:textAlignment w:val="baseline"/>
        <w:rPr>
          <w:rFonts w:ascii="微软雅黑" w:hAnsi="微软雅黑" w:eastAsia="微软雅黑" w:cs="微软雅黑"/>
          <w:sz w:val="24"/>
        </w:rPr>
      </w:pPr>
      <w:r>
        <w:rPr>
          <w:rFonts w:hint="eastAsia" w:ascii="微软雅黑" w:hAnsi="微软雅黑" w:eastAsia="微软雅黑" w:cs="微软雅黑"/>
          <w:sz w:val="24"/>
        </w:rPr>
        <w:t>日期：年月日</w:t>
      </w:r>
    </w:p>
    <w:p>
      <w:pPr>
        <w:pStyle w:val="2"/>
        <w:sectPr>
          <w:pgSz w:w="16838" w:h="11906" w:orient="landscape"/>
          <w:pgMar w:top="1800" w:right="1440" w:bottom="1800" w:left="1440" w:header="851" w:footer="992" w:gutter="0"/>
          <w:pgNumType w:fmt="decimal"/>
          <w:cols w:space="720" w:num="1"/>
          <w:docGrid w:type="lines" w:linePitch="312" w:charSpace="0"/>
        </w:sectPr>
      </w:pPr>
    </w:p>
    <w:p>
      <w:pPr>
        <w:pStyle w:val="2"/>
        <w:ind w:firstLine="544"/>
        <w:jc w:val="center"/>
        <w:rPr>
          <w:b/>
          <w:bCs/>
          <w:sz w:val="44"/>
          <w:szCs w:val="40"/>
        </w:rPr>
      </w:pPr>
    </w:p>
    <w:p>
      <w:pPr>
        <w:pStyle w:val="2"/>
        <w:jc w:val="center"/>
        <w:rPr>
          <w:b/>
          <w:bCs/>
          <w:sz w:val="44"/>
          <w:szCs w:val="40"/>
        </w:rPr>
      </w:pPr>
      <w:r>
        <w:rPr>
          <w:rFonts w:hint="eastAsia" w:ascii="微软雅黑" w:hAnsi="微软雅黑" w:eastAsia="微软雅黑" w:cs="微软雅黑"/>
          <w:b/>
          <w:bCs/>
          <w:color w:val="000000"/>
          <w:kern w:val="0"/>
          <w:sz w:val="40"/>
          <w:szCs w:val="40"/>
        </w:rPr>
        <w:t>水质仪器技术参数</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9"/>
        <w:gridCol w:w="2527"/>
        <w:gridCol w:w="1297"/>
        <w:gridCol w:w="1231"/>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580" w:type="dxa"/>
            <w:gridSpan w:val="5"/>
            <w:vAlign w:val="center"/>
          </w:tcPr>
          <w:p>
            <w:pPr>
              <w:adjustRightInd w:val="0"/>
              <w:snapToGrid w:val="0"/>
              <w:ind w:right="140" w:rightChars="50"/>
              <w:jc w:val="left"/>
              <w:rPr>
                <w:rFonts w:ascii="微软雅黑" w:hAnsi="微软雅黑" w:eastAsia="微软雅黑" w:cs="微软雅黑"/>
                <w:szCs w:val="21"/>
              </w:rPr>
            </w:pPr>
            <w:r>
              <w:rPr>
                <w:rFonts w:hint="eastAsia" w:ascii="微软雅黑" w:hAnsi="微软雅黑" w:eastAsia="微软雅黑" w:cs="微软雅黑"/>
                <w:szCs w:val="21"/>
              </w:rPr>
              <w:t>包号</w:t>
            </w:r>
            <w:r>
              <w:rPr>
                <w:rFonts w:ascii="微软雅黑" w:hAnsi="微软雅黑" w:eastAsia="微软雅黑" w:cs="微软雅黑"/>
                <w:szCs w:val="21"/>
              </w:rPr>
              <w:t>/</w:t>
            </w:r>
            <w:r>
              <w:rPr>
                <w:rFonts w:hint="eastAsia" w:ascii="微软雅黑" w:hAnsi="微软雅黑" w:eastAsia="微软雅黑" w:cs="微软雅黑"/>
                <w:szCs w:val="21"/>
              </w:rPr>
              <w:t>序号：</w:t>
            </w:r>
          </w:p>
          <w:p>
            <w:pPr>
              <w:pStyle w:val="36"/>
              <w:widowControl w:val="0"/>
              <w:adjustRightInd w:val="0"/>
              <w:snapToGrid w:val="0"/>
              <w:spacing w:before="0" w:beforeAutospacing="0" w:after="0" w:afterAutospacing="0"/>
              <w:jc w:val="both"/>
              <w:rPr>
                <w:rFonts w:ascii="微软雅黑" w:hAnsi="微软雅黑" w:eastAsia="微软雅黑" w:cs="微软雅黑"/>
                <w:kern w:val="2"/>
                <w:sz w:val="21"/>
                <w:szCs w:val="21"/>
              </w:rPr>
            </w:pPr>
            <w:r>
              <w:rPr>
                <w:rFonts w:hint="eastAsia" w:ascii="微软雅黑" w:hAnsi="微软雅黑" w:eastAsia="微软雅黑" w:cs="微软雅黑"/>
                <w:kern w:val="2"/>
                <w:sz w:val="21"/>
                <w:szCs w:val="21"/>
              </w:rPr>
              <w:t>产品名称：</w:t>
            </w:r>
          </w:p>
          <w:p>
            <w:pPr>
              <w:pStyle w:val="36"/>
              <w:widowControl w:val="0"/>
              <w:adjustRightInd w:val="0"/>
              <w:snapToGrid w:val="0"/>
              <w:spacing w:before="0" w:beforeAutospacing="0" w:after="0" w:afterAutospacing="0"/>
              <w:jc w:val="both"/>
              <w:rPr>
                <w:rFonts w:ascii="微软雅黑" w:hAnsi="微软雅黑" w:eastAsia="微软雅黑" w:cs="微软雅黑"/>
                <w:szCs w:val="21"/>
              </w:rPr>
            </w:pPr>
            <w:r>
              <w:rPr>
                <w:rFonts w:hint="eastAsia" w:ascii="微软雅黑" w:hAnsi="微软雅黑" w:eastAsia="微软雅黑" w:cs="微软雅黑"/>
                <w:kern w:val="2"/>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3329" w:type="dxa"/>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招标文件要求</w:t>
            </w:r>
          </w:p>
          <w:p>
            <w:pPr>
              <w:pStyle w:val="2"/>
              <w:ind w:left="0" w:leftChars="0" w:firstLine="0" w:firstLineChars="0"/>
              <w:rPr>
                <w:rFonts w:hint="eastAsia" w:ascii="微软雅黑" w:hAnsi="微软雅黑" w:eastAsia="微软雅黑" w:cs="微软雅黑"/>
                <w:spacing w:val="0"/>
                <w:kern w:val="2"/>
                <w:sz w:val="21"/>
                <w:szCs w:val="21"/>
                <w:lang w:val="en-US" w:eastAsia="zh-CN" w:bidi="ar-SA"/>
              </w:rPr>
            </w:pPr>
            <w:r>
              <w:rPr>
                <w:rFonts w:hint="eastAsia" w:ascii="微软雅黑" w:hAnsi="微软雅黑" w:eastAsia="微软雅黑" w:cs="微软雅黑"/>
                <w:spacing w:val="0"/>
                <w:kern w:val="2"/>
                <w:sz w:val="21"/>
                <w:szCs w:val="21"/>
                <w:lang w:val="en-US" w:eastAsia="zh-CN" w:bidi="ar-SA"/>
              </w:rPr>
              <w:t>注：技术指标带①、②为重要指标，标黄加粗</w:t>
            </w:r>
          </w:p>
          <w:p>
            <w:pPr>
              <w:ind w:hanging="1"/>
              <w:rPr>
                <w:rFonts w:ascii="微软雅黑" w:hAnsi="微软雅黑" w:eastAsia="微软雅黑" w:cs="微软雅黑"/>
                <w:b/>
                <w:szCs w:val="21"/>
              </w:rPr>
            </w:pPr>
          </w:p>
        </w:tc>
        <w:tc>
          <w:tcPr>
            <w:tcW w:w="2527"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投标文件</w:t>
            </w:r>
          </w:p>
          <w:p>
            <w:pPr>
              <w:tabs>
                <w:tab w:val="left" w:pos="0"/>
              </w:tabs>
              <w:jc w:val="center"/>
              <w:rPr>
                <w:rFonts w:ascii="微软雅黑" w:hAnsi="微软雅黑" w:eastAsia="微软雅黑" w:cs="微软雅黑"/>
                <w:kern w:val="0"/>
                <w:sz w:val="24"/>
                <w:szCs w:val="20"/>
              </w:rPr>
            </w:pPr>
            <w:r>
              <w:rPr>
                <w:rFonts w:hint="eastAsia" w:ascii="微软雅黑" w:hAnsi="微软雅黑" w:eastAsia="微软雅黑" w:cs="微软雅黑"/>
                <w:sz w:val="24"/>
                <w:szCs w:val="20"/>
              </w:rPr>
              <w:t>响应内容</w:t>
            </w:r>
          </w:p>
        </w:tc>
        <w:tc>
          <w:tcPr>
            <w:tcW w:w="1297" w:type="dxa"/>
            <w:vAlign w:val="center"/>
          </w:tcPr>
          <w:p>
            <w:pPr>
              <w:tabs>
                <w:tab w:val="left" w:pos="0"/>
              </w:tabs>
              <w:jc w:val="center"/>
              <w:rPr>
                <w:rFonts w:ascii="微软雅黑" w:hAnsi="微软雅黑" w:eastAsia="微软雅黑" w:cs="微软雅黑"/>
                <w:kern w:val="0"/>
                <w:sz w:val="24"/>
                <w:szCs w:val="20"/>
              </w:rPr>
            </w:pPr>
            <w:r>
              <w:rPr>
                <w:rFonts w:hint="eastAsia" w:ascii="微软雅黑" w:hAnsi="微软雅黑" w:eastAsia="微软雅黑" w:cs="微软雅黑"/>
                <w:sz w:val="24"/>
                <w:szCs w:val="20"/>
              </w:rPr>
              <w:t>偏离程度</w:t>
            </w:r>
          </w:p>
        </w:tc>
        <w:tc>
          <w:tcPr>
            <w:tcW w:w="1231" w:type="dxa"/>
            <w:vAlign w:val="center"/>
          </w:tcPr>
          <w:p>
            <w:pPr>
              <w:tabs>
                <w:tab w:val="left" w:pos="0"/>
              </w:tabs>
              <w:jc w:val="center"/>
              <w:rPr>
                <w:rFonts w:ascii="微软雅黑" w:hAnsi="微软雅黑" w:eastAsia="微软雅黑" w:cs="微软雅黑"/>
                <w:kern w:val="0"/>
                <w:sz w:val="24"/>
                <w:szCs w:val="20"/>
              </w:rPr>
            </w:pPr>
            <w:r>
              <w:rPr>
                <w:rFonts w:hint="eastAsia" w:ascii="微软雅黑" w:hAnsi="微软雅黑" w:eastAsia="微软雅黑" w:cs="微软雅黑"/>
                <w:sz w:val="24"/>
                <w:szCs w:val="20"/>
              </w:rPr>
              <w:t>偏离说明</w:t>
            </w:r>
          </w:p>
        </w:tc>
        <w:tc>
          <w:tcPr>
            <w:tcW w:w="1196" w:type="dxa"/>
            <w:vAlign w:val="center"/>
          </w:tcPr>
          <w:p>
            <w:pPr>
              <w:tabs>
                <w:tab w:val="left" w:pos="0"/>
              </w:tabs>
              <w:jc w:val="center"/>
              <w:rPr>
                <w:rFonts w:ascii="微软雅黑" w:hAnsi="微软雅黑" w:eastAsia="微软雅黑" w:cs="微软雅黑"/>
                <w:sz w:val="24"/>
                <w:szCs w:val="20"/>
              </w:rPr>
            </w:pPr>
            <w:r>
              <w:rPr>
                <w:rFonts w:hint="eastAsia" w:ascii="微软雅黑" w:hAnsi="微软雅黑" w:eastAsia="微软雅黑" w:cs="微软雅黑"/>
                <w:sz w:val="24"/>
                <w:szCs w:val="20"/>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329" w:type="dxa"/>
            <w:vAlign w:val="center"/>
          </w:tcPr>
          <w:p>
            <w:pPr>
              <w:adjustRightInd w:val="0"/>
              <w:snapToGrid w:val="0"/>
              <w:ind w:hanging="1"/>
              <w:jc w:val="center"/>
              <w:rPr>
                <w:rFonts w:ascii="微软雅黑" w:hAnsi="微软雅黑" w:eastAsia="微软雅黑" w:cs="微软雅黑"/>
                <w:szCs w:val="21"/>
              </w:rPr>
            </w:pPr>
            <w:r>
              <w:rPr>
                <w:rFonts w:hint="eastAsia" w:ascii="微软雅黑" w:hAnsi="微软雅黑" w:eastAsia="微软雅黑" w:cs="微软雅黑"/>
                <w:szCs w:val="21"/>
              </w:rPr>
              <w:t>按采购需求填写</w:t>
            </w:r>
          </w:p>
        </w:tc>
        <w:tc>
          <w:tcPr>
            <w:tcW w:w="2527" w:type="dxa"/>
            <w:vAlign w:val="center"/>
          </w:tcPr>
          <w:p>
            <w:pPr>
              <w:tabs>
                <w:tab w:val="left" w:pos="0"/>
              </w:tabs>
              <w:adjustRightInd w:val="0"/>
              <w:snapToGrid w:val="0"/>
              <w:jc w:val="center"/>
              <w:rPr>
                <w:rFonts w:ascii="微软雅黑" w:hAnsi="微软雅黑" w:eastAsia="微软雅黑" w:cs="微软雅黑"/>
                <w:kern w:val="0"/>
                <w:sz w:val="24"/>
                <w:szCs w:val="20"/>
              </w:rPr>
            </w:pPr>
          </w:p>
        </w:tc>
        <w:tc>
          <w:tcPr>
            <w:tcW w:w="1297" w:type="dxa"/>
            <w:vAlign w:val="center"/>
          </w:tcPr>
          <w:p>
            <w:pPr>
              <w:tabs>
                <w:tab w:val="left" w:pos="0"/>
              </w:tabs>
              <w:jc w:val="center"/>
              <w:rPr>
                <w:rFonts w:ascii="微软雅黑" w:hAnsi="微软雅黑" w:eastAsia="微软雅黑" w:cs="微软雅黑"/>
                <w:kern w:val="0"/>
                <w:sz w:val="24"/>
                <w:szCs w:val="20"/>
              </w:rPr>
            </w:pPr>
          </w:p>
        </w:tc>
        <w:tc>
          <w:tcPr>
            <w:tcW w:w="1231" w:type="dxa"/>
            <w:vAlign w:val="center"/>
          </w:tcPr>
          <w:p>
            <w:pPr>
              <w:tabs>
                <w:tab w:val="left" w:pos="0"/>
              </w:tabs>
              <w:jc w:val="center"/>
              <w:rPr>
                <w:rFonts w:ascii="微软雅黑" w:hAnsi="微软雅黑" w:eastAsia="微软雅黑" w:cs="微软雅黑"/>
                <w:kern w:val="0"/>
                <w:sz w:val="24"/>
                <w:szCs w:val="20"/>
              </w:rPr>
            </w:pPr>
          </w:p>
        </w:tc>
        <w:tc>
          <w:tcPr>
            <w:tcW w:w="1196" w:type="dxa"/>
            <w:vAlign w:val="center"/>
          </w:tcPr>
          <w:p>
            <w:pPr>
              <w:tabs>
                <w:tab w:val="left" w:pos="0"/>
              </w:tabs>
              <w:jc w:val="center"/>
              <w:rPr>
                <w:rFonts w:ascii="微软雅黑" w:hAnsi="微软雅黑" w:eastAsia="微软雅黑" w:cs="微软雅黑"/>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3329" w:type="dxa"/>
            <w:vAlign w:val="center"/>
          </w:tcPr>
          <w:p>
            <w:pPr>
              <w:adjustRightInd w:val="0"/>
              <w:snapToGrid w:val="0"/>
              <w:ind w:hanging="1"/>
              <w:jc w:val="center"/>
              <w:rPr>
                <w:rFonts w:ascii="微软雅黑" w:hAnsi="微软雅黑" w:eastAsia="微软雅黑" w:cs="微软雅黑"/>
                <w:szCs w:val="21"/>
              </w:rPr>
            </w:pPr>
            <w:r>
              <w:rPr>
                <w:rFonts w:hint="eastAsia" w:ascii="微软雅黑" w:hAnsi="微软雅黑" w:eastAsia="微软雅黑" w:cs="微软雅黑"/>
                <w:szCs w:val="21"/>
              </w:rPr>
              <w:t>其它</w:t>
            </w:r>
          </w:p>
        </w:tc>
        <w:tc>
          <w:tcPr>
            <w:tcW w:w="2527" w:type="dxa"/>
            <w:vAlign w:val="center"/>
          </w:tcPr>
          <w:p>
            <w:pPr>
              <w:tabs>
                <w:tab w:val="left" w:pos="-61"/>
              </w:tabs>
              <w:adjustRightInd w:val="0"/>
              <w:snapToGrid w:val="0"/>
              <w:ind w:right="-73" w:rightChars="-26"/>
              <w:jc w:val="left"/>
              <w:rPr>
                <w:rFonts w:ascii="微软雅黑" w:hAnsi="微软雅黑" w:eastAsia="微软雅黑" w:cs="微软雅黑"/>
                <w:kern w:val="0"/>
                <w:sz w:val="24"/>
                <w:szCs w:val="20"/>
              </w:rPr>
            </w:pPr>
            <w:r>
              <w:rPr>
                <w:rFonts w:hint="eastAsia" w:ascii="微软雅黑" w:hAnsi="微软雅黑" w:eastAsia="微软雅黑" w:cs="微软雅黑"/>
                <w:sz w:val="24"/>
                <w:szCs w:val="20"/>
              </w:rPr>
              <w:t>采购单位未提供需求而投标人认为需说明及补充的内容在此填列</w:t>
            </w:r>
          </w:p>
        </w:tc>
        <w:tc>
          <w:tcPr>
            <w:tcW w:w="1297" w:type="dxa"/>
            <w:vAlign w:val="center"/>
          </w:tcPr>
          <w:p>
            <w:pPr>
              <w:tabs>
                <w:tab w:val="left" w:pos="0"/>
              </w:tabs>
              <w:spacing w:line="240" w:lineRule="exact"/>
              <w:jc w:val="center"/>
              <w:rPr>
                <w:rFonts w:ascii="微软雅黑" w:hAnsi="微软雅黑" w:eastAsia="微软雅黑" w:cs="微软雅黑"/>
                <w:kern w:val="0"/>
                <w:sz w:val="24"/>
                <w:szCs w:val="20"/>
              </w:rPr>
            </w:pPr>
          </w:p>
        </w:tc>
        <w:tc>
          <w:tcPr>
            <w:tcW w:w="1231" w:type="dxa"/>
            <w:vAlign w:val="center"/>
          </w:tcPr>
          <w:p>
            <w:pPr>
              <w:tabs>
                <w:tab w:val="left" w:pos="0"/>
              </w:tabs>
              <w:spacing w:line="240" w:lineRule="exact"/>
              <w:jc w:val="center"/>
              <w:rPr>
                <w:rFonts w:ascii="微软雅黑" w:hAnsi="微软雅黑" w:eastAsia="微软雅黑" w:cs="微软雅黑"/>
                <w:kern w:val="0"/>
                <w:sz w:val="24"/>
                <w:szCs w:val="20"/>
              </w:rPr>
            </w:pPr>
          </w:p>
        </w:tc>
        <w:tc>
          <w:tcPr>
            <w:tcW w:w="1196" w:type="dxa"/>
            <w:vAlign w:val="center"/>
          </w:tcPr>
          <w:p>
            <w:pPr>
              <w:tabs>
                <w:tab w:val="left" w:pos="0"/>
              </w:tabs>
              <w:spacing w:line="240" w:lineRule="exact"/>
              <w:jc w:val="center"/>
              <w:rPr>
                <w:rFonts w:ascii="微软雅黑" w:hAnsi="微软雅黑" w:eastAsia="微软雅黑" w:cs="微软雅黑"/>
                <w:kern w:val="0"/>
                <w:sz w:val="24"/>
                <w:szCs w:val="20"/>
              </w:rPr>
            </w:pPr>
          </w:p>
        </w:tc>
      </w:tr>
    </w:tbl>
    <w:p>
      <w:pPr>
        <w:adjustRightInd w:val="0"/>
        <w:snapToGrid w:val="0"/>
        <w:spacing w:line="360" w:lineRule="auto"/>
        <w:ind w:right="140" w:rightChars="50"/>
        <w:jc w:val="left"/>
        <w:rPr>
          <w:rFonts w:ascii="微软雅黑" w:hAnsi="微软雅黑" w:eastAsia="微软雅黑" w:cs="微软雅黑"/>
          <w:b/>
          <w:szCs w:val="21"/>
        </w:rPr>
      </w:pPr>
      <w:r>
        <w:rPr>
          <w:rFonts w:hint="eastAsia" w:ascii="微软雅黑" w:hAnsi="微软雅黑" w:eastAsia="微软雅黑" w:cs="微软雅黑"/>
          <w:b/>
          <w:szCs w:val="21"/>
        </w:rPr>
        <w:t>填表要求：</w:t>
      </w:r>
    </w:p>
    <w:p>
      <w:pPr>
        <w:adjustRightInd w:val="0"/>
        <w:snapToGrid w:val="0"/>
        <w:rPr>
          <w:rFonts w:ascii="微软雅黑" w:hAnsi="微软雅黑" w:eastAsia="微软雅黑" w:cs="微软雅黑"/>
          <w:sz w:val="24"/>
          <w:szCs w:val="20"/>
        </w:rPr>
      </w:pPr>
      <w:r>
        <w:rPr>
          <w:rFonts w:ascii="微软雅黑" w:hAnsi="微软雅黑" w:eastAsia="微软雅黑" w:cs="微软雅黑"/>
          <w:sz w:val="24"/>
          <w:szCs w:val="20"/>
        </w:rPr>
        <w:t>1</w:t>
      </w:r>
      <w:r>
        <w:rPr>
          <w:rFonts w:hint="eastAsia" w:ascii="微软雅黑" w:hAnsi="微软雅黑" w:eastAsia="微软雅黑" w:cs="微软雅黑"/>
          <w:sz w:val="24"/>
          <w:szCs w:val="20"/>
        </w:rPr>
        <w:t>．“投标文件响应内容”一栏由投标人按照招标文件要求填写并进行逐项响应。</w:t>
      </w:r>
    </w:p>
    <w:p>
      <w:pPr>
        <w:adjustRightInd w:val="0"/>
        <w:snapToGrid w:val="0"/>
        <w:rPr>
          <w:rFonts w:ascii="微软雅黑" w:hAnsi="微软雅黑" w:eastAsia="微软雅黑" w:cs="微软雅黑"/>
          <w:sz w:val="24"/>
          <w:szCs w:val="20"/>
        </w:rPr>
      </w:pPr>
      <w:r>
        <w:rPr>
          <w:rFonts w:ascii="微软雅黑" w:hAnsi="微软雅黑" w:eastAsia="微软雅黑" w:cs="微软雅黑"/>
          <w:sz w:val="24"/>
          <w:szCs w:val="20"/>
        </w:rPr>
        <w:t>2</w:t>
      </w:r>
      <w:r>
        <w:rPr>
          <w:rFonts w:hint="eastAsia" w:ascii="微软雅黑" w:hAnsi="微软雅黑" w:eastAsia="微软雅黑" w:cs="微软雅黑"/>
          <w:sz w:val="24"/>
          <w:szCs w:val="20"/>
        </w:rPr>
        <w:t>．“偏离程度”一栏根据“投标文件响应内容”与招标文件逐项对照的结果填写。偏离必须用“正偏离、负偏离或无偏离”三个名称中的一种进行标注。</w:t>
      </w:r>
    </w:p>
    <w:p>
      <w:pPr>
        <w:adjustRightInd w:val="0"/>
        <w:snapToGrid w:val="0"/>
        <w:rPr>
          <w:rFonts w:ascii="微软雅黑" w:hAnsi="微软雅黑" w:eastAsia="微软雅黑" w:cs="微软雅黑"/>
          <w:sz w:val="24"/>
          <w:szCs w:val="20"/>
        </w:rPr>
      </w:pPr>
      <w:r>
        <w:rPr>
          <w:rFonts w:ascii="微软雅黑" w:hAnsi="微软雅黑" w:eastAsia="微软雅黑" w:cs="微软雅黑"/>
          <w:sz w:val="24"/>
          <w:szCs w:val="20"/>
        </w:rPr>
        <w:t>3</w:t>
      </w:r>
      <w:r>
        <w:rPr>
          <w:rFonts w:hint="eastAsia" w:ascii="微软雅黑" w:hAnsi="微软雅黑" w:eastAsia="微软雅黑" w:cs="微软雅黑"/>
          <w:sz w:val="24"/>
          <w:szCs w:val="20"/>
        </w:rPr>
        <w:t>．“偏离说明”一栏由投标人对偏离的情况做详细说明。</w:t>
      </w:r>
    </w:p>
    <w:p>
      <w:pPr>
        <w:adjustRightInd w:val="0"/>
        <w:snapToGrid w:val="0"/>
        <w:spacing w:line="360" w:lineRule="auto"/>
        <w:rPr>
          <w:rFonts w:ascii="微软雅黑" w:hAnsi="微软雅黑" w:eastAsia="微软雅黑" w:cs="微软雅黑"/>
          <w:szCs w:val="21"/>
        </w:rPr>
      </w:pPr>
    </w:p>
    <w:p>
      <w:pPr>
        <w:snapToGrid w:val="0"/>
        <w:spacing w:line="480" w:lineRule="auto"/>
        <w:rPr>
          <w:rFonts w:ascii="微软雅黑" w:hAnsi="微软雅黑" w:eastAsia="微软雅黑" w:cs="微软雅黑"/>
          <w:sz w:val="24"/>
          <w:szCs w:val="22"/>
        </w:rPr>
      </w:pPr>
      <w:r>
        <w:rPr>
          <w:rFonts w:hint="eastAsia" w:ascii="微软雅黑" w:hAnsi="微软雅黑" w:eastAsia="微软雅黑" w:cs="微软雅黑"/>
          <w:sz w:val="24"/>
          <w:szCs w:val="22"/>
        </w:rPr>
        <w:t>投标人名称（加盖单位公章）：</w:t>
      </w:r>
    </w:p>
    <w:p>
      <w:pPr>
        <w:snapToGrid w:val="0"/>
        <w:spacing w:line="480" w:lineRule="auto"/>
        <w:rPr>
          <w:rFonts w:ascii="微软雅黑" w:hAnsi="微软雅黑" w:eastAsia="微软雅黑" w:cs="微软雅黑"/>
          <w:sz w:val="24"/>
          <w:szCs w:val="22"/>
        </w:rPr>
      </w:pPr>
      <w:r>
        <w:rPr>
          <w:rFonts w:hint="eastAsia" w:ascii="微软雅黑" w:hAnsi="微软雅黑" w:eastAsia="微软雅黑" w:cs="微软雅黑"/>
          <w:sz w:val="24"/>
          <w:szCs w:val="22"/>
        </w:rPr>
        <w:t>法定代表人（或</w:t>
      </w:r>
      <w:r>
        <w:rPr>
          <w:rFonts w:hint="eastAsia" w:ascii="微软雅黑" w:hAnsi="微软雅黑" w:eastAsia="微软雅黑" w:cs="微软雅黑"/>
          <w:sz w:val="24"/>
          <w:szCs w:val="20"/>
        </w:rPr>
        <w:t>非法人组织负责人）或</w:t>
      </w:r>
      <w:r>
        <w:rPr>
          <w:rFonts w:hint="eastAsia" w:ascii="微软雅黑" w:hAnsi="微软雅黑" w:eastAsia="微软雅黑" w:cs="微软雅黑"/>
          <w:sz w:val="24"/>
          <w:szCs w:val="22"/>
        </w:rPr>
        <w:t>其</w:t>
      </w:r>
      <w:r>
        <w:rPr>
          <w:rFonts w:hint="eastAsia" w:ascii="微软雅黑" w:hAnsi="微软雅黑" w:eastAsia="微软雅黑" w:cs="微软雅黑"/>
          <w:sz w:val="24"/>
          <w:szCs w:val="20"/>
        </w:rPr>
        <w:t>授权</w:t>
      </w:r>
      <w:r>
        <w:rPr>
          <w:rFonts w:hint="eastAsia" w:ascii="微软雅黑" w:hAnsi="微软雅黑" w:eastAsia="微软雅黑" w:cs="微软雅黑"/>
          <w:sz w:val="24"/>
          <w:szCs w:val="22"/>
        </w:rPr>
        <w:t>委托</w:t>
      </w:r>
      <w:r>
        <w:rPr>
          <w:rFonts w:hint="eastAsia" w:ascii="微软雅黑" w:hAnsi="微软雅黑" w:eastAsia="微软雅黑" w:cs="微软雅黑"/>
          <w:sz w:val="24"/>
          <w:szCs w:val="20"/>
        </w:rPr>
        <w:t>人（</w:t>
      </w:r>
      <w:r>
        <w:rPr>
          <w:rFonts w:hint="eastAsia" w:ascii="微软雅黑" w:hAnsi="微软雅黑" w:eastAsia="微软雅黑" w:cs="微软雅黑"/>
          <w:sz w:val="24"/>
          <w:szCs w:val="22"/>
        </w:rPr>
        <w:t>签字或盖章）：</w:t>
      </w:r>
    </w:p>
    <w:p>
      <w:pPr>
        <w:adjustRightInd w:val="0"/>
        <w:snapToGrid w:val="0"/>
        <w:spacing w:line="480" w:lineRule="auto"/>
        <w:ind w:right="140" w:rightChars="50"/>
        <w:jc w:val="left"/>
        <w:rPr>
          <w:rFonts w:ascii="微软雅黑" w:hAnsi="微软雅黑" w:eastAsia="微软雅黑" w:cs="微软雅黑"/>
          <w:sz w:val="24"/>
          <w:szCs w:val="22"/>
          <w:u w:val="single"/>
        </w:rPr>
      </w:pPr>
      <w:r>
        <w:rPr>
          <w:rFonts w:hint="eastAsia" w:ascii="微软雅黑" w:hAnsi="微软雅黑" w:eastAsia="微软雅黑" w:cs="微软雅黑"/>
          <w:sz w:val="24"/>
          <w:szCs w:val="22"/>
        </w:rPr>
        <w:t>日期：</w:t>
      </w:r>
    </w:p>
    <w:p>
      <w:pPr>
        <w:pStyle w:val="84"/>
        <w:ind w:firstLine="240"/>
        <w:rPr>
          <w:rFonts w:ascii="微软雅黑" w:hAnsi="微软雅黑" w:eastAsia="微软雅黑" w:cs="微软雅黑"/>
          <w:sz w:val="24"/>
          <w:szCs w:val="22"/>
          <w:u w:val="single"/>
        </w:rPr>
      </w:pPr>
    </w:p>
    <w:p>
      <w:pPr>
        <w:pStyle w:val="78"/>
        <w:ind w:left="2800"/>
      </w:pPr>
    </w:p>
    <w:p>
      <w:pPr>
        <w:pStyle w:val="5"/>
        <w:adjustRightInd w:val="0"/>
        <w:snapToGrid w:val="0"/>
        <w:spacing w:before="0" w:after="0" w:line="240" w:lineRule="auto"/>
        <w:jc w:val="center"/>
        <w:rPr>
          <w:rFonts w:ascii="微软雅黑" w:hAnsi="微软雅黑" w:eastAsia="微软雅黑" w:cs="微软雅黑"/>
          <w:sz w:val="28"/>
          <w:szCs w:val="28"/>
        </w:rPr>
      </w:pPr>
      <w:bookmarkStart w:id="93" w:name="_Toc4431_WPSOffice_Level2"/>
      <w:bookmarkStart w:id="94" w:name="_Toc8488_WPSOffice_Level2"/>
      <w:r>
        <w:rPr>
          <w:rFonts w:hint="eastAsia" w:ascii="微软雅黑" w:hAnsi="微软雅黑" w:eastAsia="微软雅黑" w:cs="微软雅黑"/>
          <w:sz w:val="28"/>
          <w:szCs w:val="28"/>
        </w:rPr>
        <w:t>商务条款偏离表</w:t>
      </w:r>
      <w:bookmarkEnd w:id="93"/>
      <w:bookmarkEnd w:id="94"/>
    </w:p>
    <w:p>
      <w:pPr>
        <w:adjustRightInd w:val="0"/>
        <w:snapToGrid w:val="0"/>
        <w:spacing w:line="360" w:lineRule="auto"/>
        <w:ind w:right="140" w:rightChars="50"/>
        <w:jc w:val="left"/>
        <w:rPr>
          <w:rFonts w:ascii="微软雅黑" w:hAnsi="微软雅黑" w:eastAsia="微软雅黑" w:cs="微软雅黑"/>
          <w:b/>
          <w:bCs/>
          <w:sz w:val="24"/>
        </w:rPr>
      </w:pPr>
      <w:r>
        <w:rPr>
          <w:rFonts w:hint="eastAsia" w:ascii="微软雅黑" w:hAnsi="微软雅黑" w:eastAsia="微软雅黑" w:cs="微软雅黑"/>
          <w:b/>
          <w:bCs/>
          <w:sz w:val="24"/>
          <w:lang w:eastAsia="zh-CN"/>
        </w:rPr>
        <w:t>标项</w:t>
      </w:r>
      <w:r>
        <w:rPr>
          <w:rFonts w:hint="eastAsia" w:ascii="微软雅黑" w:hAnsi="微软雅黑" w:eastAsia="微软雅黑" w:cs="微软雅黑"/>
          <w:b/>
          <w:bCs/>
          <w:sz w:val="24"/>
        </w:rPr>
        <w:t>：</w:t>
      </w:r>
    </w:p>
    <w:tbl>
      <w:tblPr>
        <w:tblStyle w:val="38"/>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117"/>
        <w:gridCol w:w="2611"/>
        <w:gridCol w:w="102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99" w:type="dxa"/>
            <w:vAlign w:val="center"/>
          </w:tcPr>
          <w:p>
            <w:pPr>
              <w:adjustRightInd w:val="0"/>
              <w:snapToGrid w:val="0"/>
              <w:ind w:right="-64" w:rightChars="-23"/>
              <w:jc w:val="center"/>
              <w:rPr>
                <w:rFonts w:ascii="微软雅黑" w:hAnsi="微软雅黑" w:eastAsia="微软雅黑" w:cs="微软雅黑"/>
                <w:sz w:val="24"/>
              </w:rPr>
            </w:pPr>
            <w:r>
              <w:rPr>
                <w:rFonts w:hint="eastAsia" w:ascii="微软雅黑" w:hAnsi="微软雅黑" w:eastAsia="微软雅黑" w:cs="微软雅黑"/>
                <w:sz w:val="24"/>
              </w:rPr>
              <w:t>序号</w:t>
            </w:r>
          </w:p>
        </w:tc>
        <w:tc>
          <w:tcPr>
            <w:tcW w:w="4117" w:type="dxa"/>
            <w:vAlign w:val="center"/>
          </w:tcPr>
          <w:p>
            <w:pPr>
              <w:adjustRightInd w:val="0"/>
              <w:snapToGrid w:val="0"/>
              <w:ind w:right="-98" w:rightChars="-35"/>
              <w:jc w:val="center"/>
              <w:rPr>
                <w:rFonts w:ascii="微软雅黑" w:hAnsi="微软雅黑" w:eastAsia="微软雅黑" w:cs="微软雅黑"/>
                <w:sz w:val="24"/>
              </w:rPr>
            </w:pPr>
            <w:r>
              <w:rPr>
                <w:rFonts w:hint="eastAsia" w:ascii="微软雅黑" w:hAnsi="微软雅黑" w:eastAsia="微软雅黑" w:cs="微软雅黑"/>
                <w:sz w:val="24"/>
              </w:rPr>
              <w:t>招标文件的商务条款</w:t>
            </w:r>
          </w:p>
          <w:p>
            <w:pPr>
              <w:adjustRightInd w:val="0"/>
              <w:snapToGrid w:val="0"/>
              <w:ind w:right="-98" w:rightChars="-35"/>
              <w:jc w:val="center"/>
              <w:rPr>
                <w:rFonts w:ascii="微软雅黑" w:hAnsi="微软雅黑" w:eastAsia="微软雅黑" w:cs="微软雅黑"/>
                <w:sz w:val="24"/>
              </w:rPr>
            </w:pPr>
          </w:p>
        </w:tc>
        <w:tc>
          <w:tcPr>
            <w:tcW w:w="2611" w:type="dxa"/>
            <w:vAlign w:val="center"/>
          </w:tcPr>
          <w:p>
            <w:pPr>
              <w:adjustRightInd w:val="0"/>
              <w:snapToGrid w:val="0"/>
              <w:ind w:right="-143" w:rightChars="-51"/>
              <w:jc w:val="center"/>
              <w:rPr>
                <w:rFonts w:ascii="微软雅黑" w:hAnsi="微软雅黑" w:eastAsia="微软雅黑" w:cs="微软雅黑"/>
                <w:sz w:val="24"/>
              </w:rPr>
            </w:pPr>
            <w:r>
              <w:rPr>
                <w:rFonts w:hint="eastAsia" w:ascii="微软雅黑" w:hAnsi="微软雅黑" w:eastAsia="微软雅黑" w:cs="微软雅黑"/>
                <w:sz w:val="24"/>
              </w:rPr>
              <w:t>投标文件响应内容</w:t>
            </w:r>
          </w:p>
        </w:tc>
        <w:tc>
          <w:tcPr>
            <w:tcW w:w="1020" w:type="dxa"/>
            <w:vAlign w:val="center"/>
          </w:tcPr>
          <w:p>
            <w:pPr>
              <w:adjustRightInd w:val="0"/>
              <w:snapToGrid w:val="0"/>
              <w:ind w:left="-78" w:leftChars="-28" w:right="-140" w:rightChars="-50"/>
              <w:rPr>
                <w:rFonts w:ascii="微软雅黑" w:hAnsi="微软雅黑" w:eastAsia="微软雅黑" w:cs="微软雅黑"/>
                <w:sz w:val="24"/>
              </w:rPr>
            </w:pPr>
            <w:r>
              <w:rPr>
                <w:rFonts w:hint="eastAsia" w:ascii="微软雅黑" w:hAnsi="微软雅黑" w:eastAsia="微软雅黑" w:cs="微软雅黑"/>
                <w:sz w:val="24"/>
              </w:rPr>
              <w:t>偏离程度</w:t>
            </w:r>
          </w:p>
        </w:tc>
        <w:tc>
          <w:tcPr>
            <w:tcW w:w="1031" w:type="dxa"/>
            <w:vAlign w:val="center"/>
          </w:tcPr>
          <w:p>
            <w:pPr>
              <w:adjustRightInd w:val="0"/>
              <w:snapToGrid w:val="0"/>
              <w:ind w:left="-78" w:leftChars="-28" w:right="-140" w:rightChars="-50"/>
              <w:rPr>
                <w:rFonts w:ascii="微软雅黑" w:hAnsi="微软雅黑" w:eastAsia="微软雅黑" w:cs="微软雅黑"/>
                <w:sz w:val="24"/>
              </w:rPr>
            </w:pPr>
            <w:r>
              <w:rPr>
                <w:rFonts w:hint="eastAsia" w:ascii="微软雅黑" w:hAnsi="微软雅黑" w:eastAsia="微软雅黑" w:cs="微软雅黑"/>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99" w:type="dxa"/>
            <w:vAlign w:val="center"/>
          </w:tcPr>
          <w:p>
            <w:pPr>
              <w:adjustRightInd w:val="0"/>
              <w:snapToGrid w:val="0"/>
              <w:ind w:right="140" w:rightChars="50"/>
              <w:jc w:val="center"/>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1</w:t>
            </w:r>
          </w:p>
        </w:tc>
        <w:tc>
          <w:tcPr>
            <w:tcW w:w="4117" w:type="dxa"/>
            <w:vAlign w:val="center"/>
          </w:tcPr>
          <w:p>
            <w:pPr>
              <w:adjustRightInd w:val="0"/>
              <w:snapToGrid w:val="0"/>
              <w:rPr>
                <w:rFonts w:ascii="微软雅黑" w:hAnsi="微软雅黑" w:eastAsia="微软雅黑" w:cs="微软雅黑"/>
                <w:sz w:val="24"/>
              </w:rPr>
            </w:pPr>
            <w:r>
              <w:rPr>
                <w:rFonts w:hint="eastAsia" w:ascii="微软雅黑" w:hAnsi="微软雅黑" w:eastAsia="微软雅黑" w:cs="微软雅黑"/>
                <w:sz w:val="24"/>
              </w:rPr>
              <w:t>交货时间：</w:t>
            </w:r>
          </w:p>
        </w:tc>
        <w:tc>
          <w:tcPr>
            <w:tcW w:w="2611" w:type="dxa"/>
            <w:vAlign w:val="center"/>
          </w:tcPr>
          <w:p>
            <w:pPr>
              <w:adjustRightInd w:val="0"/>
              <w:snapToGrid w:val="0"/>
              <w:ind w:right="140" w:rightChars="50"/>
              <w:jc w:val="center"/>
              <w:rPr>
                <w:rFonts w:ascii="微软雅黑" w:hAnsi="微软雅黑" w:eastAsia="微软雅黑" w:cs="微软雅黑"/>
                <w:sz w:val="24"/>
              </w:rPr>
            </w:pPr>
          </w:p>
        </w:tc>
        <w:tc>
          <w:tcPr>
            <w:tcW w:w="1020" w:type="dxa"/>
            <w:vAlign w:val="center"/>
          </w:tcPr>
          <w:p>
            <w:pPr>
              <w:adjustRightInd w:val="0"/>
              <w:snapToGrid w:val="0"/>
              <w:ind w:right="140" w:rightChars="50"/>
              <w:jc w:val="center"/>
              <w:rPr>
                <w:rFonts w:ascii="微软雅黑" w:hAnsi="微软雅黑" w:eastAsia="微软雅黑" w:cs="微软雅黑"/>
                <w:sz w:val="24"/>
              </w:rPr>
            </w:pPr>
          </w:p>
        </w:tc>
        <w:tc>
          <w:tcPr>
            <w:tcW w:w="1031" w:type="dxa"/>
            <w:vAlign w:val="center"/>
          </w:tcPr>
          <w:p>
            <w:pPr>
              <w:adjustRightInd w:val="0"/>
              <w:snapToGrid w:val="0"/>
              <w:ind w:right="140" w:rightChars="50"/>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99" w:type="dxa"/>
            <w:vAlign w:val="center"/>
          </w:tcPr>
          <w:p>
            <w:pPr>
              <w:adjustRightInd w:val="0"/>
              <w:snapToGrid w:val="0"/>
              <w:ind w:right="140" w:rightChars="50"/>
              <w:jc w:val="center"/>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2</w:t>
            </w:r>
          </w:p>
        </w:tc>
        <w:tc>
          <w:tcPr>
            <w:tcW w:w="4117" w:type="dxa"/>
            <w:vAlign w:val="center"/>
          </w:tcPr>
          <w:p>
            <w:pPr>
              <w:adjustRightInd w:val="0"/>
              <w:snapToGrid w:val="0"/>
              <w:rPr>
                <w:rFonts w:ascii="微软雅黑" w:hAnsi="微软雅黑" w:eastAsia="微软雅黑" w:cs="微软雅黑"/>
                <w:sz w:val="24"/>
              </w:rPr>
            </w:pPr>
            <w:r>
              <w:rPr>
                <w:rFonts w:hint="eastAsia" w:ascii="微软雅黑" w:hAnsi="微软雅黑" w:eastAsia="微软雅黑" w:cs="微软雅黑"/>
                <w:sz w:val="24"/>
              </w:rPr>
              <w:t>交货地点：</w:t>
            </w:r>
          </w:p>
        </w:tc>
        <w:tc>
          <w:tcPr>
            <w:tcW w:w="2611" w:type="dxa"/>
            <w:vAlign w:val="center"/>
          </w:tcPr>
          <w:p>
            <w:pPr>
              <w:adjustRightInd w:val="0"/>
              <w:snapToGrid w:val="0"/>
              <w:ind w:right="140" w:rightChars="50"/>
              <w:jc w:val="center"/>
              <w:rPr>
                <w:rFonts w:ascii="微软雅黑" w:hAnsi="微软雅黑" w:eastAsia="微软雅黑" w:cs="微软雅黑"/>
                <w:sz w:val="24"/>
              </w:rPr>
            </w:pPr>
          </w:p>
        </w:tc>
        <w:tc>
          <w:tcPr>
            <w:tcW w:w="1020" w:type="dxa"/>
            <w:vAlign w:val="center"/>
          </w:tcPr>
          <w:p>
            <w:pPr>
              <w:adjustRightInd w:val="0"/>
              <w:snapToGrid w:val="0"/>
              <w:ind w:right="140" w:rightChars="50"/>
              <w:jc w:val="center"/>
              <w:rPr>
                <w:rFonts w:ascii="微软雅黑" w:hAnsi="微软雅黑" w:eastAsia="微软雅黑" w:cs="微软雅黑"/>
                <w:sz w:val="24"/>
              </w:rPr>
            </w:pPr>
          </w:p>
        </w:tc>
        <w:tc>
          <w:tcPr>
            <w:tcW w:w="1031" w:type="dxa"/>
            <w:vAlign w:val="center"/>
          </w:tcPr>
          <w:p>
            <w:pPr>
              <w:adjustRightInd w:val="0"/>
              <w:snapToGrid w:val="0"/>
              <w:ind w:right="140" w:rightChars="50"/>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99" w:type="dxa"/>
            <w:vAlign w:val="center"/>
          </w:tcPr>
          <w:p>
            <w:pPr>
              <w:adjustRightInd w:val="0"/>
              <w:snapToGrid w:val="0"/>
              <w:ind w:right="140" w:rightChars="50"/>
              <w:jc w:val="center"/>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3</w:t>
            </w:r>
          </w:p>
        </w:tc>
        <w:tc>
          <w:tcPr>
            <w:tcW w:w="4117" w:type="dxa"/>
            <w:vAlign w:val="center"/>
          </w:tcPr>
          <w:p>
            <w:pPr>
              <w:adjustRightInd w:val="0"/>
              <w:snapToGrid w:val="0"/>
              <w:rPr>
                <w:rFonts w:ascii="微软雅黑" w:hAnsi="微软雅黑" w:eastAsia="微软雅黑" w:cs="微软雅黑"/>
                <w:sz w:val="24"/>
              </w:rPr>
            </w:pPr>
            <w:r>
              <w:rPr>
                <w:rFonts w:hint="eastAsia" w:ascii="微软雅黑" w:hAnsi="微软雅黑" w:eastAsia="微软雅黑" w:cs="微软雅黑"/>
                <w:sz w:val="24"/>
              </w:rPr>
              <w:t>付款方式及条件：</w:t>
            </w:r>
          </w:p>
        </w:tc>
        <w:tc>
          <w:tcPr>
            <w:tcW w:w="2611" w:type="dxa"/>
            <w:vAlign w:val="center"/>
          </w:tcPr>
          <w:p>
            <w:pPr>
              <w:adjustRightInd w:val="0"/>
              <w:snapToGrid w:val="0"/>
              <w:ind w:right="140" w:rightChars="50"/>
              <w:jc w:val="center"/>
              <w:rPr>
                <w:rFonts w:ascii="微软雅黑" w:hAnsi="微软雅黑" w:eastAsia="微软雅黑" w:cs="微软雅黑"/>
                <w:sz w:val="24"/>
              </w:rPr>
            </w:pPr>
          </w:p>
        </w:tc>
        <w:tc>
          <w:tcPr>
            <w:tcW w:w="1020" w:type="dxa"/>
            <w:vAlign w:val="center"/>
          </w:tcPr>
          <w:p>
            <w:pPr>
              <w:adjustRightInd w:val="0"/>
              <w:snapToGrid w:val="0"/>
              <w:ind w:right="140" w:rightChars="50"/>
              <w:jc w:val="center"/>
              <w:rPr>
                <w:rFonts w:ascii="微软雅黑" w:hAnsi="微软雅黑" w:eastAsia="微软雅黑" w:cs="微软雅黑"/>
                <w:sz w:val="24"/>
              </w:rPr>
            </w:pPr>
          </w:p>
        </w:tc>
        <w:tc>
          <w:tcPr>
            <w:tcW w:w="1031" w:type="dxa"/>
            <w:vAlign w:val="center"/>
          </w:tcPr>
          <w:p>
            <w:pPr>
              <w:adjustRightInd w:val="0"/>
              <w:snapToGrid w:val="0"/>
              <w:ind w:right="140" w:rightChars="50"/>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99" w:type="dxa"/>
            <w:vAlign w:val="center"/>
          </w:tcPr>
          <w:p>
            <w:pPr>
              <w:adjustRightInd w:val="0"/>
              <w:snapToGrid w:val="0"/>
              <w:ind w:right="140" w:rightChars="50"/>
              <w:jc w:val="center"/>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4</w:t>
            </w:r>
          </w:p>
        </w:tc>
        <w:tc>
          <w:tcPr>
            <w:tcW w:w="4117" w:type="dxa"/>
            <w:vAlign w:val="center"/>
          </w:tcPr>
          <w:p>
            <w:pPr>
              <w:adjustRightInd w:val="0"/>
              <w:snapToGrid w:val="0"/>
              <w:rPr>
                <w:rFonts w:ascii="微软雅黑" w:hAnsi="微软雅黑" w:eastAsia="微软雅黑" w:cs="微软雅黑"/>
                <w:sz w:val="24"/>
              </w:rPr>
            </w:pPr>
            <w:r>
              <w:rPr>
                <w:rFonts w:hint="eastAsia" w:ascii="微软雅黑" w:hAnsi="微软雅黑" w:eastAsia="微软雅黑" w:cs="微软雅黑"/>
                <w:sz w:val="24"/>
              </w:rPr>
              <w:t>质量保证期：（）年</w:t>
            </w:r>
          </w:p>
        </w:tc>
        <w:tc>
          <w:tcPr>
            <w:tcW w:w="2611" w:type="dxa"/>
            <w:vAlign w:val="center"/>
          </w:tcPr>
          <w:p>
            <w:pPr>
              <w:adjustRightInd w:val="0"/>
              <w:snapToGrid w:val="0"/>
              <w:ind w:right="140" w:rightChars="50"/>
              <w:jc w:val="center"/>
              <w:rPr>
                <w:rFonts w:ascii="微软雅黑" w:hAnsi="微软雅黑" w:eastAsia="微软雅黑" w:cs="微软雅黑"/>
                <w:sz w:val="24"/>
              </w:rPr>
            </w:pPr>
          </w:p>
        </w:tc>
        <w:tc>
          <w:tcPr>
            <w:tcW w:w="1020" w:type="dxa"/>
            <w:vAlign w:val="center"/>
          </w:tcPr>
          <w:p>
            <w:pPr>
              <w:adjustRightInd w:val="0"/>
              <w:snapToGrid w:val="0"/>
              <w:ind w:right="140" w:rightChars="50"/>
              <w:jc w:val="center"/>
              <w:rPr>
                <w:rFonts w:ascii="微软雅黑" w:hAnsi="微软雅黑" w:eastAsia="微软雅黑" w:cs="微软雅黑"/>
                <w:sz w:val="24"/>
              </w:rPr>
            </w:pPr>
          </w:p>
        </w:tc>
        <w:tc>
          <w:tcPr>
            <w:tcW w:w="1031" w:type="dxa"/>
            <w:vAlign w:val="center"/>
          </w:tcPr>
          <w:p>
            <w:pPr>
              <w:adjustRightInd w:val="0"/>
              <w:snapToGrid w:val="0"/>
              <w:ind w:right="140" w:rightChars="50"/>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99" w:type="dxa"/>
            <w:vAlign w:val="center"/>
          </w:tcPr>
          <w:p>
            <w:pPr>
              <w:adjustRightInd w:val="0"/>
              <w:snapToGrid w:val="0"/>
              <w:ind w:right="140" w:rightChars="50"/>
              <w:jc w:val="center"/>
              <w:rPr>
                <w:rFonts w:ascii="微软雅黑" w:hAnsi="微软雅黑" w:eastAsia="微软雅黑" w:cs="微软雅黑"/>
                <w:sz w:val="24"/>
              </w:rPr>
            </w:pPr>
          </w:p>
        </w:tc>
        <w:tc>
          <w:tcPr>
            <w:tcW w:w="4117" w:type="dxa"/>
            <w:vAlign w:val="center"/>
          </w:tcPr>
          <w:p>
            <w:pPr>
              <w:adjustRightInd w:val="0"/>
              <w:snapToGrid w:val="0"/>
              <w:ind w:hanging="1"/>
              <w:rPr>
                <w:rFonts w:ascii="微软雅黑" w:hAnsi="微软雅黑" w:eastAsia="微软雅黑" w:cs="微软雅黑"/>
                <w:sz w:val="24"/>
              </w:rPr>
            </w:pPr>
            <w:r>
              <w:rPr>
                <w:rFonts w:hint="eastAsia" w:ascii="微软雅黑" w:hAnsi="微软雅黑" w:eastAsia="微软雅黑" w:cs="微软雅黑"/>
                <w:sz w:val="24"/>
              </w:rPr>
              <w:t>其它</w:t>
            </w:r>
          </w:p>
        </w:tc>
        <w:tc>
          <w:tcPr>
            <w:tcW w:w="2611" w:type="dxa"/>
            <w:vAlign w:val="center"/>
          </w:tcPr>
          <w:p>
            <w:pPr>
              <w:adjustRightInd w:val="0"/>
              <w:snapToGrid w:val="0"/>
              <w:ind w:left="-70" w:leftChars="-25" w:right="-22" w:rightChars="-8"/>
              <w:jc w:val="left"/>
              <w:rPr>
                <w:rFonts w:ascii="微软雅黑" w:hAnsi="微软雅黑" w:eastAsia="微软雅黑" w:cs="微软雅黑"/>
                <w:sz w:val="24"/>
              </w:rPr>
            </w:pPr>
            <w:r>
              <w:rPr>
                <w:rFonts w:hint="eastAsia" w:ascii="微软雅黑" w:hAnsi="微软雅黑" w:eastAsia="微软雅黑" w:cs="微软雅黑"/>
                <w:sz w:val="24"/>
              </w:rPr>
              <w:t>采购单位未提供需求而投标人认为需说明及补充的内容在此填列</w:t>
            </w:r>
          </w:p>
        </w:tc>
        <w:tc>
          <w:tcPr>
            <w:tcW w:w="1020" w:type="dxa"/>
            <w:vAlign w:val="center"/>
          </w:tcPr>
          <w:p>
            <w:pPr>
              <w:adjustRightInd w:val="0"/>
              <w:snapToGrid w:val="0"/>
              <w:ind w:right="140" w:rightChars="50"/>
              <w:jc w:val="center"/>
              <w:rPr>
                <w:rFonts w:ascii="微软雅黑" w:hAnsi="微软雅黑" w:eastAsia="微软雅黑" w:cs="微软雅黑"/>
                <w:sz w:val="24"/>
              </w:rPr>
            </w:pPr>
          </w:p>
        </w:tc>
        <w:tc>
          <w:tcPr>
            <w:tcW w:w="1031" w:type="dxa"/>
            <w:vAlign w:val="center"/>
          </w:tcPr>
          <w:p>
            <w:pPr>
              <w:adjustRightInd w:val="0"/>
              <w:snapToGrid w:val="0"/>
              <w:ind w:right="140" w:rightChars="50"/>
              <w:jc w:val="center"/>
              <w:rPr>
                <w:rFonts w:ascii="微软雅黑" w:hAnsi="微软雅黑" w:eastAsia="微软雅黑" w:cs="微软雅黑"/>
                <w:sz w:val="24"/>
              </w:rPr>
            </w:pPr>
          </w:p>
        </w:tc>
      </w:tr>
    </w:tbl>
    <w:p>
      <w:pPr>
        <w:adjustRightInd w:val="0"/>
        <w:snapToGrid w:val="0"/>
        <w:spacing w:line="360" w:lineRule="auto"/>
        <w:ind w:right="140" w:rightChars="50"/>
        <w:jc w:val="left"/>
        <w:rPr>
          <w:rFonts w:ascii="微软雅黑" w:hAnsi="微软雅黑" w:eastAsia="微软雅黑" w:cs="微软雅黑"/>
          <w:sz w:val="24"/>
        </w:rPr>
      </w:pPr>
      <w:r>
        <w:rPr>
          <w:rFonts w:hint="eastAsia" w:ascii="微软雅黑" w:hAnsi="微软雅黑" w:eastAsia="微软雅黑" w:cs="微软雅黑"/>
          <w:b/>
          <w:sz w:val="24"/>
        </w:rPr>
        <w:t>填表要求：</w:t>
      </w:r>
    </w:p>
    <w:p>
      <w:pPr>
        <w:adjustRightInd w:val="0"/>
        <w:snapToGrid w:val="0"/>
        <w:spacing w:line="360" w:lineRule="auto"/>
        <w:rPr>
          <w:rFonts w:ascii="微软雅黑" w:hAnsi="微软雅黑" w:eastAsia="微软雅黑" w:cs="微软雅黑"/>
          <w:sz w:val="24"/>
        </w:rPr>
      </w:pPr>
      <w:r>
        <w:rPr>
          <w:rFonts w:ascii="微软雅黑" w:hAnsi="微软雅黑" w:eastAsia="微软雅黑" w:cs="微软雅黑"/>
          <w:sz w:val="24"/>
        </w:rPr>
        <w:t>1</w:t>
      </w:r>
      <w:r>
        <w:rPr>
          <w:rFonts w:hint="eastAsia" w:ascii="微软雅黑" w:hAnsi="微软雅黑" w:eastAsia="微软雅黑" w:cs="微软雅黑"/>
          <w:sz w:val="24"/>
        </w:rPr>
        <w:t>．“投标文件响应内容”一栏由投标人按照招标文件要求填写，进行响应。</w:t>
      </w:r>
    </w:p>
    <w:p>
      <w:pPr>
        <w:adjustRightInd w:val="0"/>
        <w:snapToGrid w:val="0"/>
        <w:spacing w:line="360" w:lineRule="auto"/>
        <w:rPr>
          <w:rFonts w:ascii="微软雅黑" w:hAnsi="微软雅黑" w:eastAsia="微软雅黑" w:cs="微软雅黑"/>
          <w:sz w:val="24"/>
        </w:rPr>
      </w:pPr>
      <w:r>
        <w:rPr>
          <w:rFonts w:ascii="微软雅黑" w:hAnsi="微软雅黑" w:eastAsia="微软雅黑" w:cs="微软雅黑"/>
          <w:sz w:val="24"/>
        </w:rPr>
        <w:t>2</w:t>
      </w:r>
      <w:r>
        <w:rPr>
          <w:rFonts w:hint="eastAsia" w:ascii="微软雅黑" w:hAnsi="微软雅黑" w:eastAsia="微软雅黑" w:cs="微软雅黑"/>
          <w:sz w:val="24"/>
        </w:rPr>
        <w:t>．“偏离程度”一栏根据“投标文件响应内容”与招标文件逐项对照的结果填写。偏离必须用“正偏离、负偏离或无偏离”三个名称中的一种进行标注。</w:t>
      </w:r>
    </w:p>
    <w:p>
      <w:pPr>
        <w:adjustRightInd w:val="0"/>
        <w:snapToGrid w:val="0"/>
        <w:spacing w:line="360" w:lineRule="auto"/>
        <w:rPr>
          <w:rFonts w:ascii="微软雅黑" w:hAnsi="微软雅黑" w:eastAsia="微软雅黑" w:cs="微软雅黑"/>
          <w:sz w:val="24"/>
        </w:rPr>
      </w:pPr>
      <w:r>
        <w:rPr>
          <w:rFonts w:ascii="微软雅黑" w:hAnsi="微软雅黑" w:eastAsia="微软雅黑" w:cs="微软雅黑"/>
          <w:sz w:val="24"/>
        </w:rPr>
        <w:t>3</w:t>
      </w:r>
      <w:r>
        <w:rPr>
          <w:rFonts w:hint="eastAsia" w:ascii="微软雅黑" w:hAnsi="微软雅黑" w:eastAsia="微软雅黑" w:cs="微软雅黑"/>
          <w:sz w:val="24"/>
        </w:rPr>
        <w:t>．“偏离说明”一栏由投标人对偏离的情况做详细说明。</w:t>
      </w:r>
    </w:p>
    <w:p>
      <w:pPr>
        <w:adjustRightInd w:val="0"/>
        <w:snapToGrid w:val="0"/>
        <w:spacing w:line="360" w:lineRule="auto"/>
        <w:rPr>
          <w:rFonts w:ascii="微软雅黑" w:hAnsi="微软雅黑" w:eastAsia="微软雅黑" w:cs="微软雅黑"/>
          <w:sz w:val="24"/>
        </w:rPr>
      </w:pPr>
    </w:p>
    <w:p>
      <w:pPr>
        <w:spacing w:line="480" w:lineRule="auto"/>
        <w:rPr>
          <w:rFonts w:ascii="微软雅黑" w:hAnsi="微软雅黑" w:eastAsia="微软雅黑" w:cs="微软雅黑"/>
          <w:sz w:val="24"/>
        </w:rPr>
      </w:pPr>
      <w:r>
        <w:rPr>
          <w:rFonts w:hint="eastAsia" w:ascii="微软雅黑" w:hAnsi="微软雅黑" w:eastAsia="微软雅黑" w:cs="微软雅黑"/>
          <w:sz w:val="24"/>
        </w:rPr>
        <w:t>投标人名称（加盖单位公章）：</w:t>
      </w:r>
    </w:p>
    <w:p>
      <w:pPr>
        <w:spacing w:line="480" w:lineRule="auto"/>
        <w:rPr>
          <w:rFonts w:ascii="微软雅黑" w:hAnsi="微软雅黑" w:eastAsia="微软雅黑" w:cs="微软雅黑"/>
          <w:sz w:val="24"/>
        </w:rPr>
      </w:pPr>
      <w:r>
        <w:rPr>
          <w:rFonts w:hint="eastAsia" w:ascii="微软雅黑" w:hAnsi="微软雅黑" w:eastAsia="微软雅黑" w:cs="微软雅黑"/>
          <w:sz w:val="24"/>
        </w:rPr>
        <w:t>法定代表人（或非法人组织负责人）或其授权委托人（签字或盖章）：</w:t>
      </w:r>
    </w:p>
    <w:p>
      <w:pPr>
        <w:spacing w:line="480" w:lineRule="auto"/>
        <w:rPr>
          <w:rFonts w:ascii="微软雅黑" w:hAnsi="微软雅黑" w:eastAsia="微软雅黑" w:cs="微软雅黑"/>
          <w:sz w:val="24"/>
        </w:rPr>
      </w:pPr>
      <w:r>
        <w:rPr>
          <w:rFonts w:hint="eastAsia" w:ascii="微软雅黑" w:hAnsi="微软雅黑" w:eastAsia="微软雅黑" w:cs="微软雅黑"/>
          <w:sz w:val="24"/>
        </w:rPr>
        <w:t>日期：</w:t>
      </w:r>
    </w:p>
    <w:p>
      <w:pPr>
        <w:pStyle w:val="20"/>
        <w:snapToGrid w:val="0"/>
        <w:textAlignment w:val="baseline"/>
        <w:rPr>
          <w:rFonts w:ascii="微软雅黑" w:hAnsi="微软雅黑" w:eastAsia="微软雅黑" w:cs="微软雅黑"/>
        </w:rPr>
      </w:pPr>
    </w:p>
    <w:p>
      <w:pPr>
        <w:rPr>
          <w:rFonts w:ascii="微软雅黑" w:hAnsi="微软雅黑" w:eastAsia="微软雅黑" w:cs="微软雅黑"/>
          <w:b/>
          <w:sz w:val="21"/>
        </w:rPr>
      </w:pPr>
      <w:r>
        <w:rPr>
          <w:rFonts w:ascii="微软雅黑" w:hAnsi="微软雅黑" w:eastAsia="微软雅黑" w:cs="微软雅黑"/>
          <w:b/>
          <w:sz w:val="21"/>
        </w:rPr>
        <w:br w:type="page"/>
      </w:r>
    </w:p>
    <w:p>
      <w:pPr>
        <w:pStyle w:val="26"/>
        <w:spacing w:line="400" w:lineRule="atLeast"/>
        <w:ind w:left="1"/>
        <w:jc w:val="center"/>
        <w:textAlignment w:val="baseline"/>
        <w:rPr>
          <w:rFonts w:ascii="微软雅黑" w:hAnsi="微软雅黑" w:eastAsia="微软雅黑" w:cs="微软雅黑"/>
          <w:b/>
          <w:sz w:val="24"/>
          <w:szCs w:val="22"/>
        </w:rPr>
      </w:pPr>
      <w:r>
        <w:rPr>
          <w:rFonts w:hint="eastAsia" w:ascii="微软雅黑" w:hAnsi="微软雅黑" w:eastAsia="微软雅黑" w:cs="微软雅黑"/>
          <w:b/>
          <w:sz w:val="24"/>
          <w:szCs w:val="22"/>
        </w:rPr>
        <w:t>项目组管理人员简历表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49"/>
        <w:gridCol w:w="1838"/>
        <w:gridCol w:w="1601"/>
        <w:gridCol w:w="1742"/>
        <w:gridCol w:w="146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734" w:type="dxa"/>
            <w:gridSpan w:val="7"/>
            <w:vAlign w:val="center"/>
          </w:tcPr>
          <w:p>
            <w:pPr>
              <w:snapToGrid w:val="0"/>
              <w:spacing w:line="360" w:lineRule="exact"/>
              <w:jc w:val="center"/>
              <w:textAlignment w:val="baseline"/>
              <w:rPr>
                <w:rFonts w:ascii="微软雅黑" w:hAnsi="微软雅黑" w:eastAsia="微软雅黑" w:cs="微软雅黑"/>
                <w:sz w:val="20"/>
                <w:szCs w:val="21"/>
              </w:rPr>
            </w:pPr>
            <w:r>
              <w:rPr>
                <w:rFonts w:ascii="微软雅黑" w:hAnsi="微软雅黑" w:eastAsia="微软雅黑" w:cs="微软雅黑"/>
                <w:szCs w:val="21"/>
              </w:rPr>
              <w:t>1</w:t>
            </w:r>
            <w:r>
              <w:rPr>
                <w:rFonts w:hint="eastAsia" w:ascii="微软雅黑" w:hAnsi="微软雅黑" w:eastAsia="微软雅黑" w:cs="微软雅黑"/>
                <w:szCs w:val="21"/>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姓名</w:t>
            </w:r>
          </w:p>
        </w:tc>
        <w:tc>
          <w:tcPr>
            <w:tcW w:w="1838" w:type="dxa"/>
            <w:vAlign w:val="center"/>
          </w:tcPr>
          <w:p>
            <w:pPr>
              <w:snapToGrid w:val="0"/>
              <w:spacing w:line="360" w:lineRule="exact"/>
              <w:jc w:val="center"/>
              <w:textAlignment w:val="baseline"/>
              <w:rPr>
                <w:rFonts w:ascii="微软雅黑" w:hAnsi="微软雅黑" w:eastAsia="微软雅黑" w:cs="微软雅黑"/>
                <w:sz w:val="20"/>
                <w:szCs w:val="21"/>
              </w:rPr>
            </w:pPr>
          </w:p>
        </w:tc>
        <w:tc>
          <w:tcPr>
            <w:tcW w:w="1601"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年龄</w:t>
            </w:r>
          </w:p>
        </w:tc>
        <w:tc>
          <w:tcPr>
            <w:tcW w:w="1742" w:type="dxa"/>
            <w:vAlign w:val="center"/>
          </w:tcPr>
          <w:p>
            <w:pPr>
              <w:snapToGrid w:val="0"/>
              <w:spacing w:line="360" w:lineRule="exact"/>
              <w:jc w:val="center"/>
              <w:textAlignment w:val="baseline"/>
              <w:rPr>
                <w:rFonts w:ascii="微软雅黑" w:hAnsi="微软雅黑" w:eastAsia="微软雅黑" w:cs="微软雅黑"/>
                <w:sz w:val="20"/>
                <w:szCs w:val="21"/>
              </w:rPr>
            </w:pPr>
          </w:p>
        </w:tc>
        <w:tc>
          <w:tcPr>
            <w:tcW w:w="1462"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学历</w:t>
            </w:r>
          </w:p>
        </w:tc>
        <w:tc>
          <w:tcPr>
            <w:tcW w:w="1602" w:type="dxa"/>
            <w:vAlign w:val="center"/>
          </w:tcPr>
          <w:p>
            <w:pPr>
              <w:snapToGrid w:val="0"/>
              <w:spacing w:line="360" w:lineRule="exact"/>
              <w:jc w:val="center"/>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毕业学校</w:t>
            </w:r>
          </w:p>
        </w:tc>
        <w:tc>
          <w:tcPr>
            <w:tcW w:w="1838" w:type="dxa"/>
            <w:vAlign w:val="center"/>
          </w:tcPr>
          <w:p>
            <w:pPr>
              <w:snapToGrid w:val="0"/>
              <w:spacing w:line="360" w:lineRule="exact"/>
              <w:textAlignment w:val="baseline"/>
              <w:rPr>
                <w:rFonts w:ascii="微软雅黑" w:hAnsi="微软雅黑" w:eastAsia="微软雅黑" w:cs="微软雅黑"/>
                <w:sz w:val="20"/>
                <w:szCs w:val="21"/>
              </w:rPr>
            </w:pPr>
          </w:p>
        </w:tc>
        <w:tc>
          <w:tcPr>
            <w:tcW w:w="1601"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专业</w:t>
            </w:r>
          </w:p>
        </w:tc>
        <w:tc>
          <w:tcPr>
            <w:tcW w:w="1742" w:type="dxa"/>
            <w:vAlign w:val="center"/>
          </w:tcPr>
          <w:p>
            <w:pPr>
              <w:snapToGrid w:val="0"/>
              <w:spacing w:line="360" w:lineRule="exact"/>
              <w:jc w:val="center"/>
              <w:textAlignment w:val="baseline"/>
              <w:rPr>
                <w:rFonts w:ascii="微软雅黑" w:hAnsi="微软雅黑" w:eastAsia="微软雅黑" w:cs="微软雅黑"/>
                <w:sz w:val="20"/>
                <w:szCs w:val="21"/>
              </w:rPr>
            </w:pPr>
          </w:p>
        </w:tc>
        <w:tc>
          <w:tcPr>
            <w:tcW w:w="1462"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职务</w:t>
            </w:r>
          </w:p>
        </w:tc>
        <w:tc>
          <w:tcPr>
            <w:tcW w:w="1602" w:type="dxa"/>
            <w:vAlign w:val="center"/>
          </w:tcPr>
          <w:p>
            <w:pPr>
              <w:snapToGrid w:val="0"/>
              <w:spacing w:line="360" w:lineRule="exact"/>
              <w:jc w:val="center"/>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1489" w:type="dxa"/>
            <w:gridSpan w:val="2"/>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职称</w:t>
            </w:r>
          </w:p>
        </w:tc>
        <w:tc>
          <w:tcPr>
            <w:tcW w:w="1838" w:type="dxa"/>
            <w:vAlign w:val="center"/>
          </w:tcPr>
          <w:p>
            <w:pPr>
              <w:snapToGrid w:val="0"/>
              <w:spacing w:line="360" w:lineRule="exact"/>
              <w:textAlignment w:val="baseline"/>
              <w:rPr>
                <w:rFonts w:ascii="微软雅黑" w:hAnsi="微软雅黑" w:eastAsia="微软雅黑" w:cs="微软雅黑"/>
                <w:sz w:val="20"/>
                <w:szCs w:val="21"/>
              </w:rPr>
            </w:pPr>
          </w:p>
        </w:tc>
        <w:tc>
          <w:tcPr>
            <w:tcW w:w="1601"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拟任何职</w:t>
            </w:r>
          </w:p>
        </w:tc>
        <w:tc>
          <w:tcPr>
            <w:tcW w:w="1742" w:type="dxa"/>
            <w:vAlign w:val="center"/>
          </w:tcPr>
          <w:p>
            <w:pPr>
              <w:snapToGrid w:val="0"/>
              <w:spacing w:line="360" w:lineRule="exact"/>
              <w:jc w:val="center"/>
              <w:textAlignment w:val="baseline"/>
              <w:rPr>
                <w:rFonts w:ascii="微软雅黑" w:hAnsi="微软雅黑" w:eastAsia="微软雅黑" w:cs="微软雅黑"/>
                <w:sz w:val="20"/>
                <w:szCs w:val="21"/>
              </w:rPr>
            </w:pPr>
          </w:p>
        </w:tc>
        <w:tc>
          <w:tcPr>
            <w:tcW w:w="1462"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参加工作</w:t>
            </w:r>
          </w:p>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时间</w:t>
            </w:r>
          </w:p>
        </w:tc>
        <w:tc>
          <w:tcPr>
            <w:tcW w:w="1602" w:type="dxa"/>
            <w:vAlign w:val="center"/>
          </w:tcPr>
          <w:p>
            <w:pPr>
              <w:snapToGrid w:val="0"/>
              <w:spacing w:line="360" w:lineRule="exact"/>
              <w:jc w:val="center"/>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9734" w:type="dxa"/>
            <w:gridSpan w:val="7"/>
            <w:vAlign w:val="center"/>
          </w:tcPr>
          <w:p>
            <w:pPr>
              <w:snapToGrid w:val="0"/>
              <w:spacing w:line="360" w:lineRule="exact"/>
              <w:jc w:val="center"/>
              <w:textAlignment w:val="baseline"/>
              <w:rPr>
                <w:rFonts w:ascii="微软雅黑" w:hAnsi="微软雅黑" w:eastAsia="微软雅黑" w:cs="微软雅黑"/>
                <w:sz w:val="20"/>
                <w:szCs w:val="21"/>
              </w:rPr>
            </w:pPr>
            <w:r>
              <w:rPr>
                <w:rFonts w:ascii="微软雅黑" w:hAnsi="微软雅黑" w:eastAsia="微软雅黑" w:cs="微软雅黑"/>
                <w:szCs w:val="21"/>
              </w:rPr>
              <w:t>2</w:t>
            </w:r>
            <w:r>
              <w:rPr>
                <w:rFonts w:hint="eastAsia" w:ascii="微软雅黑" w:hAnsi="微软雅黑" w:eastAsia="微软雅黑" w:cs="微软雅黑"/>
                <w:szCs w:val="21"/>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时间</w:t>
            </w:r>
          </w:p>
        </w:tc>
        <w:tc>
          <w:tcPr>
            <w:tcW w:w="8245" w:type="dxa"/>
            <w:gridSpan w:val="5"/>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vAlign w:val="center"/>
          </w:tcPr>
          <w:p>
            <w:pPr>
              <w:snapToGrid w:val="0"/>
              <w:spacing w:line="360" w:lineRule="exact"/>
              <w:textAlignment w:val="baseline"/>
              <w:rPr>
                <w:rFonts w:ascii="微软雅黑" w:hAnsi="微软雅黑" w:eastAsia="微软雅黑" w:cs="微软雅黑"/>
                <w:sz w:val="20"/>
                <w:szCs w:val="21"/>
              </w:rPr>
            </w:pPr>
          </w:p>
        </w:tc>
        <w:tc>
          <w:tcPr>
            <w:tcW w:w="8245" w:type="dxa"/>
            <w:gridSpan w:val="5"/>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vAlign w:val="center"/>
          </w:tcPr>
          <w:p>
            <w:pPr>
              <w:snapToGrid w:val="0"/>
              <w:spacing w:line="360" w:lineRule="exact"/>
              <w:textAlignment w:val="baseline"/>
              <w:rPr>
                <w:rFonts w:ascii="微软雅黑" w:hAnsi="微软雅黑" w:eastAsia="微软雅黑" w:cs="微软雅黑"/>
                <w:sz w:val="20"/>
                <w:szCs w:val="21"/>
              </w:rPr>
            </w:pPr>
          </w:p>
        </w:tc>
        <w:tc>
          <w:tcPr>
            <w:tcW w:w="8245" w:type="dxa"/>
            <w:gridSpan w:val="5"/>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9734" w:type="dxa"/>
            <w:gridSpan w:val="7"/>
            <w:vAlign w:val="center"/>
          </w:tcPr>
          <w:p>
            <w:pPr>
              <w:snapToGrid w:val="0"/>
              <w:spacing w:line="360" w:lineRule="exact"/>
              <w:jc w:val="center"/>
              <w:textAlignment w:val="baseline"/>
              <w:rPr>
                <w:rFonts w:ascii="微软雅黑" w:hAnsi="微软雅黑" w:eastAsia="微软雅黑" w:cs="微软雅黑"/>
                <w:sz w:val="20"/>
                <w:szCs w:val="21"/>
              </w:rPr>
            </w:pPr>
            <w:r>
              <w:rPr>
                <w:rFonts w:ascii="微软雅黑" w:hAnsi="微软雅黑" w:eastAsia="微软雅黑" w:cs="微软雅黑"/>
                <w:szCs w:val="21"/>
              </w:rPr>
              <w:t>3</w:t>
            </w:r>
            <w:r>
              <w:rPr>
                <w:rFonts w:hint="eastAsia" w:ascii="微软雅黑" w:hAnsi="微软雅黑" w:eastAsia="微软雅黑" w:cs="微软雅黑"/>
                <w:szCs w:val="21"/>
              </w:rPr>
              <w:t>、负责人相关项目业绩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序号</w:t>
            </w:r>
          </w:p>
        </w:tc>
        <w:tc>
          <w:tcPr>
            <w:tcW w:w="5630" w:type="dxa"/>
            <w:gridSpan w:val="4"/>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项目名称</w:t>
            </w:r>
          </w:p>
        </w:tc>
        <w:tc>
          <w:tcPr>
            <w:tcW w:w="3064" w:type="dxa"/>
            <w:gridSpan w:val="2"/>
            <w:vAlign w:val="center"/>
          </w:tcPr>
          <w:p>
            <w:pPr>
              <w:snapToGrid w:val="0"/>
              <w:spacing w:line="360" w:lineRule="exact"/>
              <w:jc w:val="center"/>
              <w:textAlignment w:val="baseline"/>
              <w:rPr>
                <w:rFonts w:ascii="微软雅黑" w:hAnsi="微软雅黑" w:eastAsia="微软雅黑" w:cs="微软雅黑"/>
                <w:sz w:val="20"/>
                <w:szCs w:val="21"/>
              </w:rPr>
            </w:pPr>
            <w:r>
              <w:rPr>
                <w:rFonts w:hint="eastAsia" w:ascii="微软雅黑" w:hAnsi="微软雅黑" w:eastAsia="微软雅黑" w:cs="微软雅黑"/>
                <w:szCs w:val="21"/>
              </w:rPr>
              <w:t>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vAlign w:val="center"/>
          </w:tcPr>
          <w:p>
            <w:pPr>
              <w:snapToGrid w:val="0"/>
              <w:spacing w:line="360" w:lineRule="exact"/>
              <w:textAlignment w:val="baseline"/>
              <w:rPr>
                <w:rFonts w:ascii="微软雅黑" w:hAnsi="微软雅黑" w:eastAsia="微软雅黑" w:cs="微软雅黑"/>
                <w:sz w:val="20"/>
                <w:szCs w:val="21"/>
              </w:rPr>
            </w:pPr>
          </w:p>
        </w:tc>
        <w:tc>
          <w:tcPr>
            <w:tcW w:w="5630" w:type="dxa"/>
            <w:gridSpan w:val="4"/>
            <w:vAlign w:val="center"/>
          </w:tcPr>
          <w:p>
            <w:pPr>
              <w:snapToGrid w:val="0"/>
              <w:spacing w:line="360" w:lineRule="exact"/>
              <w:textAlignment w:val="baseline"/>
              <w:rPr>
                <w:rFonts w:ascii="微软雅黑" w:hAnsi="微软雅黑" w:eastAsia="微软雅黑" w:cs="微软雅黑"/>
                <w:sz w:val="20"/>
                <w:szCs w:val="21"/>
              </w:rPr>
            </w:pPr>
          </w:p>
        </w:tc>
        <w:tc>
          <w:tcPr>
            <w:tcW w:w="3064" w:type="dxa"/>
            <w:gridSpan w:val="2"/>
            <w:vAlign w:val="center"/>
          </w:tcPr>
          <w:p>
            <w:pPr>
              <w:snapToGrid w:val="0"/>
              <w:spacing w:line="360" w:lineRule="exact"/>
              <w:textAlignment w:val="baseline"/>
              <w:rPr>
                <w:rFonts w:ascii="微软雅黑" w:hAnsi="微软雅黑" w:eastAsia="微软雅黑" w:cs="微软雅黑"/>
                <w:sz w:val="20"/>
                <w:szCs w:val="21"/>
              </w:rPr>
            </w:pPr>
          </w:p>
        </w:tc>
      </w:tr>
    </w:tbl>
    <w:p>
      <w:pPr>
        <w:snapToGrid w:val="0"/>
        <w:spacing w:line="380" w:lineRule="exac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注：</w:t>
      </w:r>
    </w:p>
    <w:p>
      <w:pPr>
        <w:snapToGrid w:val="0"/>
        <w:spacing w:line="380" w:lineRule="exact"/>
        <w:textAlignment w:val="baseline"/>
        <w:rPr>
          <w:rFonts w:ascii="微软雅黑" w:hAnsi="微软雅黑" w:eastAsia="微软雅黑" w:cs="微软雅黑"/>
          <w:sz w:val="20"/>
          <w:szCs w:val="21"/>
        </w:rPr>
      </w:pPr>
      <w:r>
        <w:rPr>
          <w:rFonts w:ascii="微软雅黑" w:hAnsi="微软雅黑" w:eastAsia="微软雅黑" w:cs="微软雅黑"/>
          <w:szCs w:val="21"/>
        </w:rPr>
        <w:t>1</w:t>
      </w:r>
      <w:r>
        <w:rPr>
          <w:rFonts w:hint="eastAsia" w:ascii="微软雅黑" w:hAnsi="微软雅黑" w:eastAsia="微软雅黑" w:cs="微软雅黑"/>
          <w:szCs w:val="21"/>
        </w:rPr>
        <w:t>、本表可在不改变格式的情况下根据具体需要自行增减。</w:t>
      </w:r>
    </w:p>
    <w:p>
      <w:pPr>
        <w:pStyle w:val="26"/>
        <w:spacing w:line="400" w:lineRule="atLeast"/>
        <w:ind w:left="1"/>
        <w:jc w:val="center"/>
        <w:textAlignment w:val="baseline"/>
        <w:rPr>
          <w:rFonts w:ascii="微软雅黑" w:hAnsi="微软雅黑" w:eastAsia="微软雅黑" w:cs="微软雅黑"/>
          <w:b/>
        </w:rPr>
      </w:pPr>
    </w:p>
    <w:p>
      <w:pPr>
        <w:snapToGrid w:val="0"/>
        <w:spacing w:line="380" w:lineRule="exact"/>
        <w:textAlignment w:val="baseline"/>
        <w:rPr>
          <w:rFonts w:ascii="微软雅黑" w:hAnsi="微软雅黑" w:eastAsia="微软雅黑" w:cs="微软雅黑"/>
          <w:sz w:val="20"/>
          <w:szCs w:val="21"/>
        </w:rPr>
      </w:pPr>
      <w:r>
        <w:rPr>
          <w:rFonts w:hint="eastAsia" w:ascii="微软雅黑" w:hAnsi="微软雅黑" w:eastAsia="微软雅黑" w:cs="微软雅黑"/>
          <w:szCs w:val="21"/>
        </w:rPr>
        <w:t>供应商全称（盖章）：</w:t>
      </w:r>
    </w:p>
    <w:p>
      <w:pPr>
        <w:snapToGrid w:val="0"/>
        <w:spacing w:line="380" w:lineRule="exac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法定代表人或授权代表（签字）：</w:t>
      </w:r>
    </w:p>
    <w:p>
      <w:pPr>
        <w:snapToGrid w:val="0"/>
        <w:spacing w:line="380" w:lineRule="exac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日期：年月日</w:t>
      </w:r>
    </w:p>
    <w:p>
      <w:pPr>
        <w:snapToGrid w:val="0"/>
        <w:spacing w:line="480" w:lineRule="exact"/>
        <w:jc w:val="center"/>
        <w:textAlignment w:val="baseline"/>
        <w:rPr>
          <w:rFonts w:ascii="微软雅黑" w:hAnsi="微软雅黑" w:eastAsia="微软雅黑" w:cs="微软雅黑"/>
          <w:b/>
          <w:bCs/>
          <w:sz w:val="24"/>
        </w:rPr>
      </w:pPr>
    </w:p>
    <w:p>
      <w:pPr>
        <w:snapToGrid w:val="0"/>
        <w:spacing w:line="520" w:lineRule="exact"/>
        <w:textAlignment w:val="baseline"/>
        <w:rPr>
          <w:rFonts w:ascii="微软雅黑" w:hAnsi="微软雅黑" w:eastAsia="微软雅黑" w:cs="微软雅黑"/>
          <w:b/>
          <w:sz w:val="20"/>
          <w:szCs w:val="28"/>
        </w:rPr>
      </w:pPr>
    </w:p>
    <w:p>
      <w:pPr>
        <w:snapToGrid w:val="0"/>
        <w:spacing w:line="520" w:lineRule="exact"/>
        <w:jc w:val="center"/>
        <w:textAlignment w:val="baseline"/>
        <w:rPr>
          <w:rFonts w:ascii="微软雅黑" w:hAnsi="微软雅黑" w:eastAsia="微软雅黑" w:cs="微软雅黑"/>
          <w:b/>
          <w:szCs w:val="28"/>
        </w:rPr>
      </w:pPr>
    </w:p>
    <w:p>
      <w:pPr>
        <w:pStyle w:val="2"/>
        <w:rPr>
          <w:rFonts w:ascii="微软雅黑" w:hAnsi="微软雅黑" w:eastAsia="微软雅黑" w:cs="微软雅黑"/>
          <w:b/>
          <w:szCs w:val="28"/>
        </w:rPr>
      </w:pPr>
    </w:p>
    <w:p>
      <w:pPr>
        <w:snapToGrid w:val="0"/>
        <w:spacing w:line="360" w:lineRule="auto"/>
        <w:ind w:firstLine="281" w:firstLineChars="100"/>
        <w:jc w:val="center"/>
        <w:rPr>
          <w:rFonts w:asciiTheme="minorEastAsia" w:hAnsiTheme="minorEastAsia" w:eastAsiaTheme="minorEastAsia"/>
          <w:b/>
          <w:bCs/>
          <w:color w:val="000000" w:themeColor="text1"/>
          <w:szCs w:val="21"/>
        </w:rPr>
      </w:pPr>
      <w:r>
        <w:rPr>
          <w:rFonts w:asciiTheme="minorEastAsia" w:hAnsiTheme="minorEastAsia" w:eastAsiaTheme="minorEastAsia"/>
          <w:b/>
          <w:bCs/>
          <w:color w:val="000000" w:themeColor="text1"/>
          <w:szCs w:val="21"/>
        </w:rPr>
        <w:t>项目组人员配置表</w:t>
      </w:r>
    </w:p>
    <w:tbl>
      <w:tblPr>
        <w:tblStyle w:val="38"/>
        <w:tblW w:w="878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316"/>
        <w:gridCol w:w="992"/>
        <w:gridCol w:w="1837"/>
        <w:gridCol w:w="1594"/>
        <w:gridCol w:w="2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序号</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专业</w:t>
            </w: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岗位</w:t>
            </w: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职称</w:t>
            </w: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项目负责人</w:t>
            </w: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2</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项目技术负责人</w:t>
            </w: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b/>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b/>
                <w:bCs/>
                <w:color w:val="000000" w:themeColor="text1"/>
                <w:szCs w:val="21"/>
              </w:rPr>
            </w:pPr>
            <w:r>
              <w:rPr>
                <w:rFonts w:asciiTheme="minorEastAsia" w:hAnsiTheme="minorEastAsia" w:eastAsiaTheme="minorEastAsia"/>
                <w:color w:val="000000" w:themeColor="text1"/>
                <w:kern w:val="0"/>
                <w:szCs w:val="21"/>
              </w:rPr>
              <w:t>项目质量负责人</w:t>
            </w: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4</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pacing w:val="-4"/>
                <w:szCs w:val="21"/>
              </w:rPr>
              <w:t>运维人员</w:t>
            </w: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5</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6</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7</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8</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9</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pacing w:val="-2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83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asciiTheme="minorEastAsia" w:hAnsiTheme="minorEastAsia" w:eastAsiaTheme="minorEastAsia"/>
                <w:color w:val="000000" w:themeColor="text1"/>
                <w:szCs w:val="21"/>
              </w:rPr>
            </w:pPr>
          </w:p>
        </w:tc>
        <w:tc>
          <w:tcPr>
            <w:tcW w:w="159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10</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w:t>
            </w:r>
          </w:p>
        </w:tc>
        <w:tc>
          <w:tcPr>
            <w:tcW w:w="992"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themeColor="text1"/>
              </w:rPr>
            </w:pPr>
            <w:r>
              <w:rPr>
                <w:rFonts w:asciiTheme="minorEastAsia" w:hAnsiTheme="minorEastAsia" w:eastAsiaTheme="minorEastAsia"/>
                <w:color w:val="000000" w:themeColor="text1"/>
                <w:szCs w:val="21"/>
              </w:rPr>
              <w:t>……</w:t>
            </w:r>
          </w:p>
        </w:tc>
        <w:tc>
          <w:tcPr>
            <w:tcW w:w="18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themeColor="text1"/>
              </w:rPr>
            </w:pPr>
            <w:r>
              <w:rPr>
                <w:rFonts w:asciiTheme="minorEastAsia" w:hAnsiTheme="minorEastAsia" w:eastAsiaTheme="minorEastAsia"/>
                <w:color w:val="000000" w:themeColor="text1"/>
                <w:szCs w:val="21"/>
              </w:rPr>
              <w:t>……</w:t>
            </w:r>
          </w:p>
        </w:tc>
        <w:tc>
          <w:tcPr>
            <w:tcW w:w="159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themeColor="text1"/>
              </w:rPr>
            </w:pPr>
            <w:r>
              <w:rPr>
                <w:rFonts w:asciiTheme="minorEastAsia" w:hAnsiTheme="minorEastAsia" w:eastAsiaTheme="minorEastAsia"/>
                <w:color w:val="000000" w:themeColor="text1"/>
                <w:szCs w:val="21"/>
              </w:rPr>
              <w:t>……</w:t>
            </w:r>
          </w:p>
        </w:tc>
        <w:tc>
          <w:tcPr>
            <w:tcW w:w="22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themeColor="text1"/>
              </w:rPr>
            </w:pPr>
            <w:r>
              <w:rPr>
                <w:rFonts w:asciiTheme="minorEastAsia" w:hAnsiTheme="minorEastAsia" w:eastAsiaTheme="minor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合计总人数</w:t>
            </w:r>
          </w:p>
        </w:tc>
        <w:tc>
          <w:tcPr>
            <w:tcW w:w="6659"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000000" w:themeColor="text1"/>
                <w:szCs w:val="21"/>
              </w:rPr>
            </w:pPr>
          </w:p>
        </w:tc>
      </w:tr>
    </w:tbl>
    <w:p>
      <w:pPr>
        <w:adjustRightInd w:val="0"/>
        <w:snapToGrid w:val="0"/>
        <w:spacing w:line="360" w:lineRule="auto"/>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注：1、上表中行数不够可自加。</w:t>
      </w:r>
    </w:p>
    <w:p>
      <w:pPr>
        <w:adjustRightInd w:val="0"/>
        <w:snapToGrid w:val="0"/>
        <w:spacing w:line="360" w:lineRule="auto"/>
        <w:ind w:firstLine="560" w:firstLineChars="200"/>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2、身份证、学历证书、职称证书、等资料复印件加盖单位公章附后。</w:t>
      </w:r>
    </w:p>
    <w:p>
      <w:pPr>
        <w:pStyle w:val="2"/>
        <w:rPr>
          <w:rFonts w:ascii="微软雅黑" w:hAnsi="微软雅黑" w:eastAsia="微软雅黑" w:cs="微软雅黑"/>
          <w:b/>
          <w:szCs w:val="28"/>
        </w:rPr>
        <w:sectPr>
          <w:pgSz w:w="11906" w:h="16838"/>
          <w:pgMar w:top="1440" w:right="1800" w:bottom="1440" w:left="1800" w:header="851" w:footer="992" w:gutter="0"/>
          <w:pgNumType w:fmt="decimal"/>
          <w:cols w:space="720" w:num="1"/>
          <w:docGrid w:type="lines" w:linePitch="312" w:charSpace="0"/>
        </w:sectPr>
      </w:pPr>
    </w:p>
    <w:p>
      <w:pPr>
        <w:snapToGrid w:val="0"/>
        <w:spacing w:line="520" w:lineRule="exact"/>
        <w:jc w:val="center"/>
        <w:textAlignment w:val="baseline"/>
        <w:rPr>
          <w:rFonts w:ascii="微软雅黑" w:hAnsi="微软雅黑" w:eastAsia="微软雅黑" w:cs="微软雅黑"/>
          <w:b/>
          <w:sz w:val="20"/>
          <w:szCs w:val="28"/>
        </w:rPr>
      </w:pPr>
      <w:r>
        <w:rPr>
          <w:rFonts w:hint="eastAsia" w:ascii="微软雅黑" w:hAnsi="微软雅黑" w:eastAsia="微软雅黑" w:cs="微软雅黑"/>
          <w:b/>
          <w:szCs w:val="28"/>
        </w:rPr>
        <w:t>投标函</w:t>
      </w:r>
    </w:p>
    <w:p>
      <w:pPr>
        <w:snapToGrid w:val="0"/>
        <w:spacing w:line="500" w:lineRule="exact"/>
        <w:textAlignment w:val="baseline"/>
        <w:rPr>
          <w:rFonts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color="000000"/>
        </w:rPr>
        <w:t>（招标采购单位）</w:t>
      </w:r>
      <w:r>
        <w:rPr>
          <w:rFonts w:hint="eastAsia" w:ascii="微软雅黑" w:hAnsi="微软雅黑" w:eastAsia="微软雅黑" w:cs="微软雅黑"/>
          <w:sz w:val="24"/>
        </w:rPr>
        <w:t>：</w:t>
      </w:r>
    </w:p>
    <w:p>
      <w:pPr>
        <w:snapToGrid w:val="0"/>
        <w:spacing w:line="500" w:lineRule="exact"/>
        <w:ind w:firstLine="482" w:firstLineChars="201"/>
        <w:textAlignment w:val="baseline"/>
        <w:rPr>
          <w:rFonts w:ascii="微软雅黑" w:hAnsi="微软雅黑" w:eastAsia="微软雅黑" w:cs="微软雅黑"/>
          <w:sz w:val="24"/>
          <w:lang w:val="zh-CN"/>
        </w:rPr>
      </w:pPr>
      <w:r>
        <w:rPr>
          <w:rFonts w:hint="eastAsia" w:ascii="微软雅黑" w:hAnsi="微软雅黑" w:eastAsia="微软雅黑" w:cs="微软雅黑"/>
          <w:sz w:val="24"/>
          <w:lang w:val="zh-CN"/>
        </w:rPr>
        <w:t>（投标供应商全称）授权（授权代表名称）（职务、职称）为授权代表，参加贵方组织的（采购项目名称、标段号）（括号内填项目编号）采购的有关活动，并对项目（采购项目名称、标段号）进行投标。提供投标供应商须知规定的全部投标文件：“资格文件</w:t>
      </w:r>
      <w:r>
        <w:rPr>
          <w:rFonts w:hint="eastAsia" w:ascii="微软雅黑" w:hAnsi="微软雅黑" w:eastAsia="微软雅黑" w:cs="微软雅黑"/>
          <w:sz w:val="24"/>
        </w:rPr>
        <w:t>”、“技术文件、商务文件、资信及其他文件”、“报价文件”各一份。</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据此函，签字人兹宣布同意如下：</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1</w:t>
      </w:r>
      <w:r>
        <w:rPr>
          <w:rFonts w:hint="eastAsia" w:ascii="微软雅黑" w:hAnsi="微软雅黑" w:eastAsia="微软雅黑" w:cs="微软雅黑"/>
          <w:sz w:val="24"/>
        </w:rPr>
        <w:t>）我单位经研究本项目招标文件、招标文件补充、修改通知、投标答疑纪要等所有内容后，决定参加本项目投标。投标报价以开标一览表为准。</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2</w:t>
      </w:r>
      <w:r>
        <w:rPr>
          <w:rFonts w:hint="eastAsia" w:ascii="微软雅黑" w:hAnsi="微软雅黑" w:eastAsia="微软雅黑" w:cs="微软雅黑"/>
          <w:sz w:val="24"/>
        </w:rPr>
        <w:t>）根据招标文件的规定，我单位承担合同执行的责任和义务；</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3</w:t>
      </w:r>
      <w:r>
        <w:rPr>
          <w:rFonts w:hint="eastAsia" w:ascii="微软雅黑" w:hAnsi="微软雅黑" w:eastAsia="微软雅黑" w:cs="微软雅黑"/>
          <w:sz w:val="24"/>
        </w:rPr>
        <w:t>）我单位已详细审核全部招标文件，包括修改文件、参考资料及有关附件，在完全理解和接受的前提下，完全知道必须放弃因含糊不清或误解而对招标文件提出质疑的权利；</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4</w:t>
      </w:r>
      <w:r>
        <w:rPr>
          <w:rFonts w:hint="eastAsia" w:ascii="微软雅黑" w:hAnsi="微软雅黑" w:eastAsia="微软雅黑" w:cs="微软雅黑"/>
          <w:sz w:val="24"/>
        </w:rPr>
        <w:t>）如果在开标后规定的投标有效期内撤回投标的，同意投标保证金不予退还；</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5</w:t>
      </w:r>
      <w:r>
        <w:rPr>
          <w:rFonts w:hint="eastAsia" w:ascii="微软雅黑" w:hAnsi="微软雅黑" w:eastAsia="微软雅黑" w:cs="微软雅黑"/>
          <w:sz w:val="24"/>
        </w:rPr>
        <w:t>）同意提供浙江华夏工程管理有限公司可能另外要求地与投标有关的任何数据或资料；</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6</w:t>
      </w:r>
      <w:r>
        <w:rPr>
          <w:rFonts w:hint="eastAsia" w:ascii="微软雅黑" w:hAnsi="微软雅黑" w:eastAsia="微软雅黑" w:cs="微软雅黑"/>
          <w:sz w:val="24"/>
        </w:rPr>
        <w:t>）同意按照投标供应商须知前附表中规定的供货期限如期供货；</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7</w:t>
      </w:r>
      <w:r>
        <w:rPr>
          <w:rFonts w:hint="eastAsia" w:ascii="微软雅黑" w:hAnsi="微软雅黑" w:eastAsia="微软雅黑" w:cs="微软雅黑"/>
          <w:sz w:val="24"/>
        </w:rPr>
        <w:t>）我单位保证所提供的保洁服务符合招标文件规定的要求；</w:t>
      </w:r>
    </w:p>
    <w:p>
      <w:pPr>
        <w:snapToGrid w:val="0"/>
        <w:spacing w:line="500" w:lineRule="exact"/>
        <w:ind w:firstLine="482" w:firstLineChars="201"/>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8</w:t>
      </w:r>
      <w:r>
        <w:rPr>
          <w:rFonts w:hint="eastAsia" w:ascii="微软雅黑" w:hAnsi="微软雅黑" w:eastAsia="微软雅黑" w:cs="微软雅黑"/>
          <w:sz w:val="24"/>
        </w:rPr>
        <w:t>）我单位同意所提交的投标文件在投标有效期内有效，在此期间我单位的投标有可能中标，我单位将受此约束；</w:t>
      </w:r>
    </w:p>
    <w:p>
      <w:pPr>
        <w:snapToGrid w:val="0"/>
        <w:spacing w:line="500" w:lineRule="exact"/>
        <w:ind w:firstLine="482" w:firstLineChars="201"/>
        <w:textAlignment w:val="baseline"/>
        <w:rPr>
          <w:rFonts w:ascii="微软雅黑" w:hAnsi="微软雅黑" w:eastAsia="微软雅黑" w:cs="微软雅黑"/>
          <w:b/>
          <w:sz w:val="20"/>
          <w:szCs w:val="28"/>
          <w:lang w:val="zh-CN"/>
        </w:rPr>
      </w:pPr>
      <w:r>
        <w:rPr>
          <w:rFonts w:hint="eastAsia" w:ascii="微软雅黑" w:hAnsi="微软雅黑" w:eastAsia="微软雅黑" w:cs="微软雅黑"/>
          <w:sz w:val="24"/>
        </w:rPr>
        <w:t>（</w:t>
      </w:r>
      <w:r>
        <w:rPr>
          <w:rFonts w:ascii="微软雅黑" w:hAnsi="微软雅黑" w:eastAsia="微软雅黑" w:cs="微软雅黑"/>
          <w:sz w:val="24"/>
        </w:rPr>
        <w:t>9</w:t>
      </w:r>
      <w:r>
        <w:rPr>
          <w:rFonts w:hint="eastAsia" w:ascii="微软雅黑" w:hAnsi="微软雅黑" w:eastAsia="微软雅黑" w:cs="微软雅黑"/>
          <w:sz w:val="24"/>
        </w:rPr>
        <w:t>）除非另外达成协议并生效，招标文件、招标文件补充、修改通知、技术规范、中标通知书和本投标文件将构成约束我们双方的合同；</w:t>
      </w:r>
    </w:p>
    <w:p>
      <w:pPr>
        <w:snapToGrid w:val="0"/>
        <w:spacing w:line="500" w:lineRule="exact"/>
        <w:ind w:firstLine="482" w:firstLineChars="201"/>
        <w:textAlignment w:val="baseline"/>
        <w:rPr>
          <w:rFonts w:ascii="微软雅黑" w:hAnsi="微软雅黑" w:eastAsia="微软雅黑" w:cs="微软雅黑"/>
          <w:sz w:val="24"/>
          <w:lang w:val="zh-CN"/>
        </w:rPr>
      </w:pPr>
      <w:r>
        <w:rPr>
          <w:rFonts w:hint="eastAsia" w:ascii="微软雅黑" w:hAnsi="微软雅黑" w:eastAsia="微软雅黑" w:cs="微软雅黑"/>
          <w:sz w:val="24"/>
          <w:lang w:val="zh-CN"/>
        </w:rPr>
        <w:t>投标供应商全称（盖章）：</w:t>
      </w:r>
    </w:p>
    <w:p>
      <w:pPr>
        <w:snapToGrid w:val="0"/>
        <w:spacing w:line="500" w:lineRule="exact"/>
        <w:ind w:firstLine="482" w:firstLineChars="201"/>
        <w:textAlignment w:val="baseline"/>
        <w:rPr>
          <w:rFonts w:ascii="微软雅黑" w:hAnsi="微软雅黑" w:eastAsia="微软雅黑" w:cs="微软雅黑"/>
          <w:b/>
          <w:bCs/>
          <w:spacing w:val="24"/>
          <w:sz w:val="20"/>
          <w:szCs w:val="28"/>
        </w:rPr>
      </w:pPr>
      <w:r>
        <w:rPr>
          <w:rFonts w:hint="eastAsia" w:ascii="微软雅黑" w:hAnsi="微软雅黑" w:eastAsia="微软雅黑" w:cs="微软雅黑"/>
          <w:sz w:val="24"/>
        </w:rPr>
        <w:t>法定代表人或其授权代理人（签字或盖章）：</w:t>
      </w:r>
      <w:r>
        <w:rPr>
          <w:rFonts w:hint="eastAsia" w:ascii="微软雅黑" w:hAnsi="微软雅黑" w:eastAsia="微软雅黑" w:cs="微软雅黑"/>
          <w:sz w:val="24"/>
          <w:lang w:val="zh-CN"/>
        </w:rPr>
        <w:t>日期：</w:t>
      </w:r>
    </w:p>
    <w:p>
      <w:pPr>
        <w:snapToGrid w:val="0"/>
        <w:spacing w:before="50" w:after="50"/>
        <w:jc w:val="center"/>
        <w:textAlignment w:val="baseline"/>
        <w:rPr>
          <w:rFonts w:ascii="微软雅黑" w:hAnsi="微软雅黑" w:eastAsia="微软雅黑" w:cs="微软雅黑"/>
          <w:b/>
          <w:szCs w:val="28"/>
        </w:rPr>
      </w:pPr>
    </w:p>
    <w:p>
      <w:pPr>
        <w:snapToGrid w:val="0"/>
        <w:spacing w:before="50" w:after="50"/>
        <w:jc w:val="center"/>
        <w:textAlignment w:val="baseline"/>
        <w:rPr>
          <w:rFonts w:ascii="微软雅黑" w:hAnsi="微软雅黑" w:eastAsia="微软雅黑" w:cs="微软雅黑"/>
          <w:b/>
          <w:sz w:val="20"/>
          <w:szCs w:val="28"/>
        </w:rPr>
      </w:pPr>
      <w:r>
        <w:rPr>
          <w:rFonts w:hint="eastAsia" w:ascii="微软雅黑" w:hAnsi="微软雅黑" w:eastAsia="微软雅黑" w:cs="微软雅黑"/>
          <w:b/>
          <w:szCs w:val="28"/>
        </w:rPr>
        <w:t>开标一览表（标段）</w:t>
      </w:r>
    </w:p>
    <w:p>
      <w:pPr>
        <w:pStyle w:val="84"/>
        <w:snapToGrid w:val="0"/>
        <w:ind w:firstLine="280"/>
        <w:textAlignment w:val="baseline"/>
        <w:rPr>
          <w:rFonts w:ascii="微软雅黑" w:hAnsi="微软雅黑" w:eastAsia="微软雅黑" w:cs="微软雅黑"/>
        </w:rPr>
      </w:pPr>
      <w:r>
        <w:rPr>
          <w:rFonts w:hint="eastAsia" w:ascii="微软雅黑" w:hAnsi="微软雅黑" w:eastAsia="微软雅黑" w:cs="微软雅黑"/>
          <w:szCs w:val="28"/>
        </w:rPr>
        <w:t>项目名称：招标文件编号：</w:t>
      </w:r>
    </w:p>
    <w:tbl>
      <w:tblPr>
        <w:tblStyle w:val="38"/>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936" w:type="dxa"/>
            <w:vAlign w:val="center"/>
          </w:tcPr>
          <w:p>
            <w:pPr>
              <w:snapToGrid w:val="0"/>
              <w:spacing w:before="50" w:after="50"/>
              <w:jc w:val="center"/>
              <w:textAlignment w:val="baseline"/>
              <w:rPr>
                <w:rFonts w:ascii="微软雅黑" w:hAnsi="微软雅黑" w:eastAsia="微软雅黑" w:cs="微软雅黑"/>
                <w:sz w:val="24"/>
              </w:rPr>
            </w:pPr>
            <w:r>
              <w:rPr>
                <w:rFonts w:hint="eastAsia" w:ascii="微软雅黑" w:hAnsi="微软雅黑" w:eastAsia="微软雅黑" w:cs="微软雅黑"/>
                <w:sz w:val="24"/>
              </w:rPr>
              <w:t>企业名称</w:t>
            </w:r>
          </w:p>
        </w:tc>
        <w:tc>
          <w:tcPr>
            <w:tcW w:w="6413" w:type="dxa"/>
            <w:vAlign w:val="center"/>
          </w:tcPr>
          <w:p>
            <w:pPr>
              <w:snapToGrid w:val="0"/>
              <w:spacing w:before="50" w:after="50"/>
              <w:jc w:val="center"/>
              <w:textAlignment w:val="baseline"/>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936" w:type="dxa"/>
            <w:vAlign w:val="center"/>
          </w:tcPr>
          <w:p>
            <w:pPr>
              <w:snapToGrid w:val="0"/>
              <w:spacing w:before="50" w:after="50"/>
              <w:jc w:val="center"/>
              <w:textAlignment w:val="baseline"/>
              <w:rPr>
                <w:rFonts w:ascii="微软雅黑" w:hAnsi="微软雅黑" w:eastAsia="微软雅黑" w:cs="微软雅黑"/>
                <w:b/>
                <w:sz w:val="24"/>
              </w:rPr>
            </w:pPr>
            <w:r>
              <w:rPr>
                <w:rFonts w:hint="eastAsia" w:ascii="微软雅黑" w:hAnsi="微软雅黑" w:eastAsia="微软雅黑" w:cs="微软雅黑"/>
                <w:sz w:val="24"/>
              </w:rPr>
              <w:t>项目负责人</w:t>
            </w:r>
          </w:p>
        </w:tc>
        <w:tc>
          <w:tcPr>
            <w:tcW w:w="6413" w:type="dxa"/>
            <w:vAlign w:val="center"/>
          </w:tcPr>
          <w:p>
            <w:pPr>
              <w:snapToGrid w:val="0"/>
              <w:spacing w:before="50" w:after="50"/>
              <w:jc w:val="center"/>
              <w:textAlignment w:val="baseline"/>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936" w:type="dxa"/>
            <w:vAlign w:val="center"/>
          </w:tcPr>
          <w:p>
            <w:pPr>
              <w:snapToGrid w:val="0"/>
              <w:spacing w:before="50" w:after="50"/>
              <w:jc w:val="center"/>
              <w:textAlignment w:val="baseline"/>
              <w:rPr>
                <w:rFonts w:ascii="微软雅黑" w:hAnsi="微软雅黑" w:eastAsia="微软雅黑" w:cs="微软雅黑"/>
                <w:b/>
                <w:sz w:val="24"/>
              </w:rPr>
            </w:pPr>
            <w:r>
              <w:rPr>
                <w:rFonts w:hint="eastAsia" w:ascii="微软雅黑" w:hAnsi="微软雅黑" w:eastAsia="微软雅黑" w:cs="微软雅黑"/>
                <w:sz w:val="24"/>
              </w:rPr>
              <w:t>投标总价报</w:t>
            </w:r>
          </w:p>
        </w:tc>
        <w:tc>
          <w:tcPr>
            <w:tcW w:w="6413" w:type="dxa"/>
            <w:vAlign w:val="center"/>
          </w:tcPr>
          <w:p>
            <w:pPr>
              <w:snapToGrid w:val="0"/>
              <w:spacing w:before="50" w:after="50"/>
              <w:textAlignment w:val="baseline"/>
              <w:rPr>
                <w:rFonts w:ascii="微软雅黑" w:hAnsi="微软雅黑" w:eastAsia="微软雅黑" w:cs="微软雅黑"/>
                <w:b/>
                <w:sz w:val="24"/>
              </w:rPr>
            </w:pPr>
            <w:r>
              <w:rPr>
                <w:rFonts w:hint="eastAsia" w:ascii="微软雅黑" w:hAnsi="微软雅黑" w:eastAsia="微软雅黑" w:cs="微软雅黑"/>
                <w:b/>
                <w:sz w:val="24"/>
              </w:rPr>
              <w:t>大写元（小写￥）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936" w:type="dxa"/>
            <w:vAlign w:val="center"/>
          </w:tcPr>
          <w:p>
            <w:pPr>
              <w:snapToGrid w:val="0"/>
              <w:spacing w:before="50" w:after="50"/>
              <w:jc w:val="center"/>
              <w:textAlignment w:val="baseline"/>
              <w:rPr>
                <w:rFonts w:ascii="微软雅黑" w:hAnsi="微软雅黑" w:eastAsia="微软雅黑" w:cs="微软雅黑"/>
                <w:sz w:val="24"/>
              </w:rPr>
            </w:pPr>
            <w:r>
              <w:rPr>
                <w:rFonts w:hint="eastAsia" w:ascii="微软雅黑" w:hAnsi="微软雅黑" w:eastAsia="微软雅黑" w:cs="微软雅黑"/>
                <w:b/>
                <w:bCs/>
                <w:kern w:val="0"/>
                <w:sz w:val="24"/>
              </w:rPr>
              <w:t>采购包含有多个采购标的，是否采购标的均由小微企业制造</w:t>
            </w:r>
          </w:p>
        </w:tc>
        <w:tc>
          <w:tcPr>
            <w:tcW w:w="6413" w:type="dxa"/>
            <w:vAlign w:val="center"/>
          </w:tcPr>
          <w:p>
            <w:pPr>
              <w:snapToGrid w:val="0"/>
              <w:spacing w:before="50" w:after="50"/>
              <w:textAlignment w:val="baseline"/>
              <w:rPr>
                <w:rFonts w:ascii="微软雅黑" w:hAnsi="微软雅黑" w:eastAsia="微软雅黑" w:cs="微软雅黑"/>
                <w:b/>
                <w:sz w:val="24"/>
              </w:rPr>
            </w:pPr>
          </w:p>
        </w:tc>
      </w:tr>
    </w:tbl>
    <w:p>
      <w:pPr>
        <w:snapToGrid w:val="0"/>
        <w:spacing w:before="50" w:after="50"/>
        <w:jc w:val="center"/>
        <w:textAlignment w:val="baseline"/>
        <w:rPr>
          <w:rFonts w:ascii="微软雅黑" w:hAnsi="微软雅黑" w:eastAsia="微软雅黑" w:cs="微软雅黑"/>
          <w:b/>
          <w:sz w:val="24"/>
        </w:rPr>
      </w:pPr>
    </w:p>
    <w:p>
      <w:pPr>
        <w:pStyle w:val="78"/>
        <w:snapToGrid w:val="0"/>
        <w:ind w:left="0" w:leftChars="0"/>
        <w:textAlignment w:val="baseline"/>
        <w:rPr>
          <w:rFonts w:ascii="微软雅黑" w:hAnsi="微软雅黑" w:eastAsia="微软雅黑" w:cs="微软雅黑"/>
          <w:b/>
          <w:sz w:val="24"/>
          <w:szCs w:val="24"/>
        </w:rPr>
      </w:pPr>
    </w:p>
    <w:p>
      <w:pPr>
        <w:pStyle w:val="78"/>
        <w:snapToGrid w:val="0"/>
        <w:ind w:left="0" w:leftChars="0"/>
        <w:textAlignment w:val="baseline"/>
        <w:rPr>
          <w:rFonts w:ascii="微软雅黑" w:hAnsi="微软雅黑" w:eastAsia="微软雅黑" w:cs="微软雅黑"/>
          <w:b/>
          <w:sz w:val="24"/>
          <w:szCs w:val="24"/>
        </w:rPr>
      </w:pPr>
    </w:p>
    <w:p>
      <w:pPr>
        <w:pStyle w:val="78"/>
        <w:snapToGrid w:val="0"/>
        <w:ind w:left="0" w:left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注：</w:t>
      </w:r>
      <w:r>
        <w:rPr>
          <w:rFonts w:ascii="微软雅黑" w:hAnsi="微软雅黑" w:eastAsia="微软雅黑" w:cs="微软雅黑"/>
          <w:b/>
          <w:sz w:val="24"/>
          <w:szCs w:val="24"/>
        </w:rPr>
        <w:t xml:space="preserve"> 1</w:t>
      </w:r>
      <w:r>
        <w:rPr>
          <w:rFonts w:hint="eastAsia" w:ascii="微软雅黑" w:hAnsi="微软雅黑" w:eastAsia="微软雅黑" w:cs="微软雅黑"/>
          <w:b/>
          <w:sz w:val="24"/>
          <w:szCs w:val="24"/>
        </w:rPr>
        <w:t>、投标总报价是履行合同的最终价格，即完成项目的各种费用及必要的保险费用和各项税金等所有费用的总和。</w:t>
      </w:r>
    </w:p>
    <w:p>
      <w:pPr>
        <w:pStyle w:val="78"/>
        <w:snapToGrid w:val="0"/>
        <w:ind w:left="0" w:leftChars="0"/>
        <w:textAlignment w:val="baseline"/>
        <w:rPr>
          <w:rFonts w:ascii="微软雅黑" w:hAnsi="微软雅黑" w:eastAsia="微软雅黑" w:cs="微软雅黑"/>
          <w:b/>
          <w:sz w:val="24"/>
          <w:szCs w:val="24"/>
        </w:rPr>
      </w:pPr>
      <w:r>
        <w:rPr>
          <w:rFonts w:ascii="微软雅黑" w:hAnsi="微软雅黑" w:eastAsia="微软雅黑" w:cs="微软雅黑"/>
          <w:b/>
          <w:sz w:val="24"/>
          <w:szCs w:val="24"/>
        </w:rPr>
        <w:t>2</w:t>
      </w:r>
      <w:r>
        <w:rPr>
          <w:rFonts w:hint="eastAsia" w:ascii="微软雅黑" w:hAnsi="微软雅黑" w:eastAsia="微软雅黑" w:cs="微软雅黑"/>
          <w:b/>
          <w:sz w:val="24"/>
          <w:szCs w:val="24"/>
        </w:rPr>
        <w:t>、不提供此表格的将视为没有实质性响应招标文件。</w:t>
      </w:r>
    </w:p>
    <w:p>
      <w:pPr>
        <w:pStyle w:val="78"/>
        <w:snapToGrid w:val="0"/>
        <w:ind w:left="0" w:leftChars="0"/>
        <w:textAlignment w:val="baseline"/>
        <w:rPr>
          <w:rFonts w:ascii="微软雅黑" w:hAnsi="微软雅黑" w:eastAsia="微软雅黑" w:cs="微软雅黑"/>
          <w:b/>
          <w:sz w:val="24"/>
          <w:szCs w:val="24"/>
        </w:rPr>
      </w:pPr>
      <w:r>
        <w:rPr>
          <w:rFonts w:ascii="微软雅黑" w:hAnsi="微软雅黑" w:eastAsia="微软雅黑" w:cs="微软雅黑"/>
          <w:b/>
          <w:sz w:val="24"/>
          <w:szCs w:val="24"/>
        </w:rPr>
        <w:t>3</w:t>
      </w:r>
      <w:r>
        <w:rPr>
          <w:rFonts w:hint="eastAsia" w:ascii="微软雅黑" w:hAnsi="微软雅黑" w:eastAsia="微软雅黑" w:cs="微软雅黑"/>
          <w:b/>
          <w:sz w:val="24"/>
          <w:szCs w:val="24"/>
        </w:rPr>
        <w:t>、报价一经涂改，应在涂改处加盖单位公章或者由法定代表人或授权委托人签字或盖章，否则作无效标处理。</w:t>
      </w:r>
    </w:p>
    <w:p>
      <w:pPr>
        <w:pStyle w:val="78"/>
        <w:snapToGrid w:val="0"/>
        <w:ind w:left="0" w:leftChars="0"/>
        <w:textAlignment w:val="baseline"/>
        <w:rPr>
          <w:rFonts w:ascii="微软雅黑" w:hAnsi="微软雅黑" w:eastAsia="微软雅黑" w:cs="微软雅黑"/>
          <w:b/>
          <w:sz w:val="24"/>
          <w:szCs w:val="24"/>
        </w:rPr>
      </w:pPr>
    </w:p>
    <w:p>
      <w:pPr>
        <w:pStyle w:val="78"/>
        <w:snapToGrid w:val="0"/>
        <w:ind w:left="0" w:leftChars="0"/>
        <w:textAlignment w:val="baseline"/>
        <w:rPr>
          <w:rFonts w:ascii="微软雅黑" w:hAnsi="微软雅黑" w:eastAsia="微软雅黑" w:cs="微软雅黑"/>
          <w:b/>
          <w:sz w:val="24"/>
          <w:szCs w:val="24"/>
        </w:rPr>
      </w:pPr>
    </w:p>
    <w:p>
      <w:pPr>
        <w:pStyle w:val="78"/>
        <w:snapToGrid w:val="0"/>
        <w:ind w:left="0" w:leftChars="0"/>
        <w:textAlignment w:val="baseline"/>
        <w:rPr>
          <w:rFonts w:ascii="微软雅黑" w:hAnsi="微软雅黑" w:eastAsia="微软雅黑" w:cs="微软雅黑"/>
          <w:b/>
          <w:sz w:val="24"/>
          <w:szCs w:val="24"/>
        </w:rPr>
      </w:pPr>
    </w:p>
    <w:p>
      <w:pPr>
        <w:pStyle w:val="78"/>
        <w:snapToGrid w:val="0"/>
        <w:ind w:left="0" w:leftChars="0"/>
        <w:textAlignment w:val="baseline"/>
        <w:rPr>
          <w:rFonts w:ascii="微软雅黑" w:hAnsi="微软雅黑" w:eastAsia="微软雅黑" w:cs="微软雅黑"/>
          <w:b/>
          <w:sz w:val="24"/>
          <w:szCs w:val="24"/>
        </w:rPr>
      </w:pPr>
    </w:p>
    <w:p>
      <w:pPr>
        <w:snapToGrid w:val="0"/>
        <w:spacing w:line="380" w:lineRule="exact"/>
        <w:jc w:val="lef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投标人全称（电子签章）：</w:t>
      </w:r>
    </w:p>
    <w:p>
      <w:pPr>
        <w:snapToGrid w:val="0"/>
        <w:spacing w:line="380" w:lineRule="exact"/>
        <w:jc w:val="left"/>
        <w:textAlignment w:val="baseline"/>
        <w:rPr>
          <w:rFonts w:ascii="微软雅黑" w:hAnsi="微软雅黑" w:eastAsia="微软雅黑" w:cs="微软雅黑"/>
          <w:sz w:val="20"/>
          <w:szCs w:val="21"/>
        </w:rPr>
      </w:pPr>
      <w:r>
        <w:rPr>
          <w:rFonts w:hint="eastAsia" w:ascii="微软雅黑" w:hAnsi="微软雅黑" w:eastAsia="微软雅黑" w:cs="微软雅黑"/>
          <w:szCs w:val="21"/>
        </w:rPr>
        <w:t>法定代表人或授权代表（签字）：</w:t>
      </w:r>
    </w:p>
    <w:p>
      <w:pPr>
        <w:snapToGrid w:val="0"/>
        <w:spacing w:line="380" w:lineRule="exact"/>
        <w:jc w:val="left"/>
        <w:textAlignment w:val="baseline"/>
        <w:rPr>
          <w:rFonts w:ascii="微软雅黑" w:hAnsi="微软雅黑" w:eastAsia="微软雅黑" w:cs="微软雅黑"/>
          <w:sz w:val="20"/>
        </w:rPr>
      </w:pPr>
      <w:r>
        <w:rPr>
          <w:rFonts w:hint="eastAsia" w:ascii="微软雅黑" w:hAnsi="微软雅黑" w:eastAsia="微软雅黑" w:cs="微软雅黑"/>
          <w:szCs w:val="21"/>
        </w:rPr>
        <w:t>日期：年月日</w:t>
      </w:r>
    </w:p>
    <w:p>
      <w:pPr>
        <w:snapToGrid w:val="0"/>
        <w:textAlignment w:val="baseline"/>
        <w:rPr>
          <w:rFonts w:ascii="微软雅黑" w:hAnsi="微软雅黑" w:eastAsia="微软雅黑" w:cs="微软雅黑"/>
          <w:b/>
          <w:bCs/>
          <w:spacing w:val="14"/>
          <w:sz w:val="20"/>
          <w:szCs w:val="28"/>
        </w:rPr>
      </w:pPr>
    </w:p>
    <w:p>
      <w:pPr>
        <w:adjustRightInd w:val="0"/>
        <w:snapToGrid w:val="0"/>
        <w:spacing w:beforeLines="100" w:afterLines="100" w:line="360" w:lineRule="auto"/>
        <w:ind w:right="140" w:rightChars="50"/>
        <w:jc w:val="center"/>
        <w:rPr>
          <w:rFonts w:ascii="微软雅黑" w:hAnsi="微软雅黑" w:eastAsia="微软雅黑" w:cs="微软雅黑"/>
          <w:b/>
          <w:bCs/>
          <w:sz w:val="32"/>
          <w:szCs w:val="32"/>
        </w:rPr>
      </w:pPr>
      <w:bookmarkStart w:id="95" w:name="_Toc28271_WPSOffice_Level2"/>
      <w:bookmarkStart w:id="96" w:name="_Toc16044_WPSOffice_Level2"/>
    </w:p>
    <w:p>
      <w:pPr>
        <w:adjustRightInd w:val="0"/>
        <w:snapToGrid w:val="0"/>
        <w:spacing w:beforeLines="100" w:afterLines="100" w:line="360" w:lineRule="auto"/>
        <w:ind w:right="140" w:rightChars="50"/>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分项报价表</w:t>
      </w:r>
      <w:bookmarkEnd w:id="95"/>
      <w:bookmarkEnd w:id="96"/>
    </w:p>
    <w:p>
      <w:pPr>
        <w:adjustRightInd w:val="0"/>
        <w:snapToGrid w:val="0"/>
        <w:spacing w:line="360" w:lineRule="auto"/>
        <w:ind w:right="140" w:rightChars="50"/>
        <w:jc w:val="left"/>
        <w:rPr>
          <w:rFonts w:ascii="微软雅黑" w:hAnsi="微软雅黑" w:eastAsia="微软雅黑" w:cs="微软雅黑"/>
          <w:b/>
          <w:bCs/>
          <w:szCs w:val="21"/>
        </w:rPr>
      </w:pPr>
      <w:r>
        <w:rPr>
          <w:rFonts w:hint="eastAsia" w:ascii="微软雅黑" w:hAnsi="微软雅黑" w:eastAsia="微软雅黑" w:cs="微软雅黑"/>
          <w:b/>
          <w:bCs/>
          <w:szCs w:val="21"/>
        </w:rPr>
        <w:t>包号：报价单位：</w:t>
      </w:r>
    </w:p>
    <w:tbl>
      <w:tblPr>
        <w:tblStyle w:val="38"/>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581"/>
        <w:gridCol w:w="1212"/>
        <w:gridCol w:w="1212"/>
        <w:gridCol w:w="845"/>
        <w:gridCol w:w="941"/>
        <w:gridCol w:w="791"/>
        <w:gridCol w:w="80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产品名称</w:t>
            </w: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品牌</w:t>
            </w: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型号</w:t>
            </w:r>
          </w:p>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规格</w:t>
            </w: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数量</w:t>
            </w: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制造商名称</w:t>
            </w: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单价</w:t>
            </w: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总价</w:t>
            </w: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58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1212"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45"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791"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800" w:type="dxa"/>
            <w:vAlign w:val="center"/>
          </w:tcPr>
          <w:p>
            <w:pPr>
              <w:adjustRightInd w:val="0"/>
              <w:snapToGrid w:val="0"/>
              <w:ind w:left="-129" w:leftChars="-46" w:right="-84" w:rightChars="-30"/>
              <w:jc w:val="center"/>
              <w:rPr>
                <w:rFonts w:ascii="微软雅黑" w:hAnsi="微软雅黑" w:eastAsia="微软雅黑" w:cs="微软雅黑"/>
                <w:szCs w:val="21"/>
              </w:rPr>
            </w:pPr>
          </w:p>
        </w:tc>
        <w:tc>
          <w:tcPr>
            <w:tcW w:w="941" w:type="dxa"/>
            <w:vAlign w:val="center"/>
          </w:tcPr>
          <w:p>
            <w:pPr>
              <w:adjustRightInd w:val="0"/>
              <w:snapToGrid w:val="0"/>
              <w:ind w:left="-129" w:leftChars="-46" w:right="-84" w:rightChars="-3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76" w:type="dxa"/>
            <w:gridSpan w:val="9"/>
            <w:vAlign w:val="center"/>
          </w:tcPr>
          <w:p>
            <w:pPr>
              <w:adjustRightInd w:val="0"/>
              <w:snapToGrid w:val="0"/>
              <w:ind w:right="140" w:rightChars="50"/>
              <w:jc w:val="center"/>
              <w:rPr>
                <w:rFonts w:ascii="微软雅黑" w:hAnsi="微软雅黑" w:eastAsia="微软雅黑" w:cs="微软雅黑"/>
                <w:szCs w:val="21"/>
              </w:rPr>
            </w:pPr>
            <w:r>
              <w:rPr>
                <w:rFonts w:asciiTheme="minorEastAsia" w:hAnsiTheme="minorEastAsia" w:eastAsiaTheme="minorEastAsia"/>
                <w:b/>
                <w:bCs/>
                <w:color w:val="000000" w:themeColor="text1"/>
                <w:szCs w:val="21"/>
              </w:rPr>
              <w:t>报价合计（人民币大写）：                      （￥         ）</w:t>
            </w:r>
          </w:p>
        </w:tc>
      </w:tr>
    </w:tbl>
    <w:p>
      <w:pPr>
        <w:adjustRightInd w:val="0"/>
        <w:snapToGrid w:val="0"/>
        <w:spacing w:line="360" w:lineRule="auto"/>
        <w:ind w:right="140" w:rightChars="50"/>
        <w:jc w:val="left"/>
        <w:rPr>
          <w:rFonts w:ascii="微软雅黑" w:hAnsi="微软雅黑" w:eastAsia="微软雅黑" w:cs="微软雅黑"/>
          <w:szCs w:val="21"/>
        </w:rPr>
      </w:pPr>
    </w:p>
    <w:p>
      <w:pPr>
        <w:adjustRightInd w:val="0"/>
        <w:snapToGrid w:val="0"/>
        <w:spacing w:line="360" w:lineRule="auto"/>
        <w:ind w:right="140" w:rightChars="50" w:firstLine="560" w:firstLineChars="200"/>
        <w:jc w:val="left"/>
        <w:rPr>
          <w:rFonts w:ascii="微软雅黑" w:hAnsi="微软雅黑" w:eastAsia="微软雅黑" w:cs="微软雅黑"/>
          <w:szCs w:val="21"/>
        </w:rPr>
      </w:pPr>
      <w:r>
        <w:rPr>
          <w:rFonts w:hint="eastAsia" w:ascii="微软雅黑" w:hAnsi="微软雅黑" w:eastAsia="微软雅黑" w:cs="微软雅黑"/>
          <w:szCs w:val="21"/>
        </w:rPr>
        <w:t>注：此表中，总价应和开标一览表的投标总价相一致。</w:t>
      </w:r>
    </w:p>
    <w:p>
      <w:pPr>
        <w:adjustRightInd w:val="0"/>
        <w:snapToGrid w:val="0"/>
        <w:spacing w:line="360" w:lineRule="auto"/>
        <w:ind w:right="140" w:rightChars="50" w:firstLine="560" w:firstLineChars="200"/>
        <w:jc w:val="left"/>
        <w:rPr>
          <w:rFonts w:ascii="微软雅黑" w:hAnsi="微软雅黑" w:eastAsia="微软雅黑" w:cs="微软雅黑"/>
          <w:szCs w:val="21"/>
        </w:rPr>
      </w:pPr>
    </w:p>
    <w:p>
      <w:pPr>
        <w:adjustRightInd w:val="0"/>
        <w:snapToGrid w:val="0"/>
        <w:spacing w:line="360" w:lineRule="auto"/>
        <w:ind w:right="140" w:rightChars="50"/>
        <w:jc w:val="left"/>
        <w:rPr>
          <w:rFonts w:ascii="微软雅黑" w:hAnsi="微软雅黑" w:eastAsia="微软雅黑" w:cs="微软雅黑"/>
          <w:szCs w:val="21"/>
        </w:rPr>
      </w:pPr>
    </w:p>
    <w:p>
      <w:pPr>
        <w:adjustRightInd w:val="0"/>
        <w:snapToGrid w:val="0"/>
        <w:spacing w:line="480" w:lineRule="auto"/>
        <w:rPr>
          <w:rFonts w:ascii="微软雅黑" w:hAnsi="微软雅黑" w:eastAsia="微软雅黑" w:cs="微软雅黑"/>
        </w:rPr>
      </w:pPr>
      <w:r>
        <w:rPr>
          <w:rFonts w:hint="eastAsia" w:ascii="微软雅黑" w:hAnsi="微软雅黑" w:eastAsia="微软雅黑" w:cs="微软雅黑"/>
        </w:rPr>
        <w:t>投标人名称（加盖单位公章）：</w:t>
      </w:r>
    </w:p>
    <w:p>
      <w:pPr>
        <w:adjustRightInd w:val="0"/>
        <w:snapToGrid w:val="0"/>
        <w:spacing w:line="480" w:lineRule="auto"/>
        <w:rPr>
          <w:rFonts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w:t>
      </w:r>
      <w:r>
        <w:rPr>
          <w:rFonts w:hint="eastAsia" w:ascii="微软雅黑" w:hAnsi="微软雅黑" w:eastAsia="微软雅黑" w:cs="微软雅黑"/>
          <w:szCs w:val="21"/>
        </w:rPr>
        <w:t>授权</w:t>
      </w:r>
      <w:r>
        <w:rPr>
          <w:rFonts w:hint="eastAsia" w:ascii="微软雅黑" w:hAnsi="微软雅黑" w:eastAsia="微软雅黑" w:cs="微软雅黑"/>
        </w:rPr>
        <w:t>委托</w:t>
      </w:r>
      <w:r>
        <w:rPr>
          <w:rFonts w:hint="eastAsia" w:ascii="微软雅黑" w:hAnsi="微软雅黑" w:eastAsia="微软雅黑" w:cs="微软雅黑"/>
          <w:szCs w:val="21"/>
        </w:rPr>
        <w:t>人（</w:t>
      </w:r>
      <w:r>
        <w:rPr>
          <w:rFonts w:hint="eastAsia" w:ascii="微软雅黑" w:hAnsi="微软雅黑" w:eastAsia="微软雅黑" w:cs="微软雅黑"/>
        </w:rPr>
        <w:t>签字或盖章）：</w:t>
      </w:r>
    </w:p>
    <w:p>
      <w:pPr>
        <w:adjustRightInd w:val="0"/>
        <w:snapToGrid w:val="0"/>
        <w:spacing w:line="480" w:lineRule="auto"/>
        <w:ind w:right="140" w:rightChars="50"/>
        <w:jc w:val="left"/>
        <w:rPr>
          <w:rFonts w:ascii="微软雅黑" w:hAnsi="微软雅黑" w:eastAsia="微软雅黑" w:cs="微软雅黑"/>
          <w:szCs w:val="21"/>
        </w:rPr>
      </w:pPr>
      <w:r>
        <w:rPr>
          <w:rFonts w:hint="eastAsia" w:ascii="微软雅黑" w:hAnsi="微软雅黑" w:eastAsia="微软雅黑" w:cs="微软雅黑"/>
        </w:rPr>
        <w:t>日期：</w:t>
      </w:r>
    </w:p>
    <w:p>
      <w:pPr>
        <w:pStyle w:val="54"/>
        <w:snapToGrid w:val="0"/>
        <w:spacing w:line="460" w:lineRule="exact"/>
        <w:jc w:val="center"/>
        <w:textAlignment w:val="baseline"/>
        <w:rPr>
          <w:rFonts w:ascii="微软雅黑" w:hAnsi="微软雅黑" w:eastAsia="微软雅黑" w:cs="微软雅黑"/>
          <w:b/>
          <w:sz w:val="28"/>
          <w:szCs w:val="28"/>
        </w:rPr>
      </w:pPr>
      <w:r>
        <w:rPr>
          <w:rFonts w:ascii="微软雅黑" w:hAnsi="微软雅黑" w:eastAsia="微软雅黑" w:cs="微软雅黑"/>
          <w:szCs w:val="21"/>
        </w:rPr>
        <w:br w:type="page"/>
      </w:r>
      <w:r>
        <w:rPr>
          <w:rFonts w:hint="eastAsia" w:ascii="微软雅黑" w:hAnsi="微软雅黑" w:eastAsia="微软雅黑" w:cs="微软雅黑"/>
          <w:b/>
          <w:sz w:val="28"/>
          <w:szCs w:val="28"/>
        </w:rPr>
        <w:t>中小企业声明函</w:t>
      </w:r>
    </w:p>
    <w:p>
      <w:pPr>
        <w:snapToGrid w:val="0"/>
        <w:textAlignment w:val="baseline"/>
        <w:rPr>
          <w:rFonts w:ascii="微软雅黑" w:hAnsi="微软雅黑" w:eastAsia="微软雅黑" w:cs="微软雅黑"/>
          <w:color w:val="000000"/>
          <w:sz w:val="20"/>
          <w:szCs w:val="28"/>
        </w:rPr>
      </w:pPr>
    </w:p>
    <w:p>
      <w:pPr>
        <w:snapToGrid w:val="0"/>
        <w:spacing w:line="360" w:lineRule="auto"/>
        <w:ind w:firstLine="480" w:firstLineChars="200"/>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本公司郑重声明，根据《政府采购促进中小企业发展管理办法》（财库﹝</w:t>
      </w:r>
      <w:r>
        <w:rPr>
          <w:rFonts w:ascii="微软雅黑" w:hAnsi="微软雅黑" w:eastAsia="微软雅黑" w:cs="微软雅黑"/>
          <w:kern w:val="0"/>
          <w:sz w:val="24"/>
        </w:rPr>
        <w:t>2020</w:t>
      </w:r>
      <w:r>
        <w:rPr>
          <w:rFonts w:hint="eastAsia" w:ascii="微软雅黑" w:hAnsi="微软雅黑" w:eastAsia="微软雅黑" w:cs="微软雅黑"/>
          <w:kern w:val="0"/>
          <w:sz w:val="24"/>
        </w:rPr>
        <w:t>﹞</w:t>
      </w:r>
      <w:r>
        <w:rPr>
          <w:rFonts w:ascii="微软雅黑" w:hAnsi="微软雅黑" w:eastAsia="微软雅黑" w:cs="微软雅黑"/>
          <w:kern w:val="0"/>
          <w:sz w:val="24"/>
        </w:rPr>
        <w:t xml:space="preserve">46 </w:t>
      </w:r>
      <w:r>
        <w:rPr>
          <w:rFonts w:hint="eastAsia" w:ascii="微软雅黑" w:hAnsi="微软雅黑" w:eastAsia="微软雅黑" w:cs="微软雅黑"/>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pPr>
        <w:snapToGrid w:val="0"/>
        <w:spacing w:line="360" w:lineRule="auto"/>
        <w:ind w:firstLine="480" w:firstLineChars="200"/>
        <w:textAlignment w:val="baseline"/>
        <w:rPr>
          <w:rFonts w:ascii="微软雅黑" w:hAnsi="微软雅黑" w:eastAsia="微软雅黑" w:cs="微软雅黑"/>
          <w:kern w:val="0"/>
          <w:sz w:val="24"/>
        </w:rPr>
      </w:pPr>
      <w:r>
        <w:rPr>
          <w:rFonts w:ascii="微软雅黑" w:hAnsi="微软雅黑" w:eastAsia="微软雅黑" w:cs="微软雅黑"/>
          <w:kern w:val="0"/>
          <w:sz w:val="24"/>
        </w:rPr>
        <w:t xml:space="preserve">1. </w:t>
      </w:r>
      <w:r>
        <w:rPr>
          <w:rFonts w:hint="eastAsia" w:ascii="微软雅黑" w:hAnsi="微软雅黑" w:eastAsia="微软雅黑" w:cs="微软雅黑"/>
          <w:kern w:val="0"/>
          <w:sz w:val="24"/>
          <w:u w:val="single"/>
        </w:rPr>
        <w:t>（标的名称）</w:t>
      </w:r>
      <w:r>
        <w:rPr>
          <w:rFonts w:hint="eastAsia" w:ascii="微软雅黑" w:hAnsi="微软雅黑" w:eastAsia="微软雅黑" w:cs="微软雅黑"/>
          <w:kern w:val="0"/>
          <w:sz w:val="24"/>
        </w:rPr>
        <w:t>，属于</w:t>
      </w:r>
      <w:r>
        <w:rPr>
          <w:rFonts w:hint="eastAsia" w:ascii="微软雅黑" w:hAnsi="微软雅黑" w:eastAsia="微软雅黑" w:cs="微软雅黑"/>
          <w:kern w:val="0"/>
          <w:sz w:val="24"/>
          <w:u w:val="single"/>
        </w:rPr>
        <w:t>（采购文件中明确的所属行业）</w:t>
      </w:r>
      <w:r>
        <w:rPr>
          <w:rFonts w:hint="eastAsia" w:ascii="微软雅黑" w:hAnsi="微软雅黑" w:eastAsia="微软雅黑" w:cs="微软雅黑"/>
          <w:kern w:val="0"/>
          <w:sz w:val="24"/>
        </w:rPr>
        <w:t>行业；制造商为</w:t>
      </w:r>
      <w:r>
        <w:rPr>
          <w:rFonts w:hint="eastAsia" w:ascii="微软雅黑" w:hAnsi="微软雅黑" w:eastAsia="微软雅黑" w:cs="微软雅黑"/>
          <w:kern w:val="0"/>
          <w:sz w:val="24"/>
          <w:u w:val="single"/>
        </w:rPr>
        <w:t>（企业名称），</w:t>
      </w:r>
      <w:r>
        <w:rPr>
          <w:rFonts w:hint="eastAsia" w:ascii="微软雅黑" w:hAnsi="微软雅黑" w:eastAsia="微软雅黑" w:cs="微软雅黑"/>
          <w:kern w:val="0"/>
          <w:sz w:val="24"/>
        </w:rPr>
        <w:t>从业人员</w:t>
      </w:r>
      <w:r>
        <w:rPr>
          <w:rFonts w:hint="eastAsia" w:ascii="微软雅黑" w:hAnsi="微软雅黑" w:eastAsia="微软雅黑" w:cs="微软雅黑"/>
          <w:kern w:val="0"/>
          <w:sz w:val="24"/>
          <w:u w:val="single"/>
        </w:rPr>
        <w:t>人</w:t>
      </w:r>
      <w:r>
        <w:rPr>
          <w:rFonts w:hint="eastAsia" w:ascii="微软雅黑" w:hAnsi="微软雅黑" w:eastAsia="微软雅黑" w:cs="微软雅黑"/>
          <w:kern w:val="0"/>
          <w:sz w:val="24"/>
        </w:rPr>
        <w:t>，营业收入为</w:t>
      </w:r>
      <w:r>
        <w:rPr>
          <w:rFonts w:hint="eastAsia" w:ascii="微软雅黑" w:hAnsi="微软雅黑" w:eastAsia="微软雅黑" w:cs="微软雅黑"/>
          <w:kern w:val="0"/>
          <w:sz w:val="24"/>
          <w:u w:val="single"/>
        </w:rPr>
        <w:t>万元</w:t>
      </w:r>
      <w:r>
        <w:rPr>
          <w:rFonts w:hint="eastAsia" w:ascii="微软雅黑" w:hAnsi="微软雅黑" w:eastAsia="微软雅黑" w:cs="微软雅黑"/>
          <w:kern w:val="0"/>
          <w:sz w:val="24"/>
        </w:rPr>
        <w:t>，资产总额为</w:t>
      </w:r>
      <w:r>
        <w:rPr>
          <w:rFonts w:hint="eastAsia" w:ascii="微软雅黑" w:hAnsi="微软雅黑" w:eastAsia="微软雅黑" w:cs="微软雅黑"/>
          <w:kern w:val="0"/>
          <w:sz w:val="24"/>
          <w:u w:val="single"/>
        </w:rPr>
        <w:t>万元</w:t>
      </w:r>
      <w:r>
        <w:rPr>
          <w:rFonts w:hint="eastAsia" w:ascii="微软雅黑" w:hAnsi="微软雅黑" w:eastAsia="微软雅黑" w:cs="微软雅黑"/>
          <w:kern w:val="0"/>
          <w:sz w:val="24"/>
        </w:rPr>
        <w:t>，属于</w:t>
      </w:r>
      <w:r>
        <w:rPr>
          <w:rFonts w:hint="eastAsia" w:ascii="微软雅黑" w:hAnsi="微软雅黑" w:eastAsia="微软雅黑" w:cs="微软雅黑"/>
          <w:kern w:val="0"/>
          <w:sz w:val="24"/>
          <w:u w:val="single"/>
        </w:rPr>
        <w:t>（中型企业、小型企业、微型企业）</w:t>
      </w:r>
      <w:r>
        <w:rPr>
          <w:rFonts w:hint="eastAsia" w:ascii="微软雅黑" w:hAnsi="微软雅黑" w:eastAsia="微软雅黑" w:cs="微软雅黑"/>
          <w:kern w:val="0"/>
          <w:sz w:val="24"/>
        </w:rPr>
        <w:t>；</w:t>
      </w:r>
    </w:p>
    <w:p>
      <w:pPr>
        <w:snapToGrid w:val="0"/>
        <w:spacing w:line="360" w:lineRule="auto"/>
        <w:ind w:firstLine="480" w:firstLineChars="200"/>
        <w:textAlignment w:val="baseline"/>
        <w:rPr>
          <w:rFonts w:ascii="微软雅黑" w:hAnsi="微软雅黑" w:eastAsia="微软雅黑" w:cs="微软雅黑"/>
          <w:kern w:val="0"/>
          <w:sz w:val="24"/>
        </w:rPr>
      </w:pPr>
      <w:r>
        <w:rPr>
          <w:rFonts w:ascii="微软雅黑" w:hAnsi="微软雅黑" w:eastAsia="微软雅黑" w:cs="微软雅黑"/>
          <w:kern w:val="0"/>
          <w:sz w:val="24"/>
        </w:rPr>
        <w:t xml:space="preserve">2. </w:t>
      </w:r>
      <w:r>
        <w:rPr>
          <w:rFonts w:hint="eastAsia" w:ascii="微软雅黑" w:hAnsi="微软雅黑" w:eastAsia="微软雅黑" w:cs="微软雅黑"/>
          <w:kern w:val="0"/>
          <w:sz w:val="24"/>
          <w:u w:val="single"/>
        </w:rPr>
        <w:t>（标的名称）</w:t>
      </w:r>
      <w:r>
        <w:rPr>
          <w:rFonts w:hint="eastAsia" w:ascii="微软雅黑" w:hAnsi="微软雅黑" w:eastAsia="微软雅黑" w:cs="微软雅黑"/>
          <w:kern w:val="0"/>
          <w:sz w:val="24"/>
        </w:rPr>
        <w:t>，属于</w:t>
      </w:r>
      <w:r>
        <w:rPr>
          <w:rFonts w:hint="eastAsia" w:ascii="微软雅黑" w:hAnsi="微软雅黑" w:eastAsia="微软雅黑" w:cs="微软雅黑"/>
          <w:kern w:val="0"/>
          <w:sz w:val="24"/>
          <w:u w:val="single"/>
        </w:rPr>
        <w:t>（采购文件中明确的所属行业）</w:t>
      </w:r>
      <w:r>
        <w:rPr>
          <w:rFonts w:hint="eastAsia" w:ascii="微软雅黑" w:hAnsi="微软雅黑" w:eastAsia="微软雅黑" w:cs="微软雅黑"/>
          <w:kern w:val="0"/>
          <w:sz w:val="24"/>
        </w:rPr>
        <w:t>行业；制造商为</w:t>
      </w:r>
      <w:r>
        <w:rPr>
          <w:rFonts w:hint="eastAsia" w:ascii="微软雅黑" w:hAnsi="微软雅黑" w:eastAsia="微软雅黑" w:cs="微软雅黑"/>
          <w:kern w:val="0"/>
          <w:sz w:val="24"/>
          <w:u w:val="single"/>
        </w:rPr>
        <w:t>（企业名称），</w:t>
      </w:r>
      <w:r>
        <w:rPr>
          <w:rFonts w:hint="eastAsia" w:ascii="微软雅黑" w:hAnsi="微软雅黑" w:eastAsia="微软雅黑" w:cs="微软雅黑"/>
          <w:kern w:val="0"/>
          <w:sz w:val="24"/>
        </w:rPr>
        <w:t>从业人员</w:t>
      </w:r>
      <w:r>
        <w:rPr>
          <w:rFonts w:hint="eastAsia" w:ascii="微软雅黑" w:hAnsi="微软雅黑" w:eastAsia="微软雅黑" w:cs="微软雅黑"/>
          <w:kern w:val="0"/>
          <w:sz w:val="24"/>
          <w:u w:val="single"/>
        </w:rPr>
        <w:t>人</w:t>
      </w:r>
      <w:r>
        <w:rPr>
          <w:rFonts w:hint="eastAsia" w:ascii="微软雅黑" w:hAnsi="微软雅黑" w:eastAsia="微软雅黑" w:cs="微软雅黑"/>
          <w:kern w:val="0"/>
          <w:sz w:val="24"/>
        </w:rPr>
        <w:t>，营业收入为</w:t>
      </w:r>
      <w:r>
        <w:rPr>
          <w:rFonts w:hint="eastAsia" w:ascii="微软雅黑" w:hAnsi="微软雅黑" w:eastAsia="微软雅黑" w:cs="微软雅黑"/>
          <w:kern w:val="0"/>
          <w:sz w:val="24"/>
          <w:u w:val="single"/>
        </w:rPr>
        <w:t>万元</w:t>
      </w:r>
      <w:r>
        <w:rPr>
          <w:rFonts w:hint="eastAsia" w:ascii="微软雅黑" w:hAnsi="微软雅黑" w:eastAsia="微软雅黑" w:cs="微软雅黑"/>
          <w:kern w:val="0"/>
          <w:sz w:val="24"/>
        </w:rPr>
        <w:t>，资产总额为</w:t>
      </w:r>
      <w:r>
        <w:rPr>
          <w:rFonts w:hint="eastAsia" w:ascii="微软雅黑" w:hAnsi="微软雅黑" w:eastAsia="微软雅黑" w:cs="微软雅黑"/>
          <w:kern w:val="0"/>
          <w:sz w:val="24"/>
          <w:u w:val="single"/>
        </w:rPr>
        <w:t>万元</w:t>
      </w:r>
      <w:r>
        <w:rPr>
          <w:rFonts w:hint="eastAsia" w:ascii="微软雅黑" w:hAnsi="微软雅黑" w:eastAsia="微软雅黑" w:cs="微软雅黑"/>
          <w:kern w:val="0"/>
          <w:sz w:val="24"/>
        </w:rPr>
        <w:t>，属于</w:t>
      </w:r>
      <w:r>
        <w:rPr>
          <w:rFonts w:hint="eastAsia" w:ascii="微软雅黑" w:hAnsi="微软雅黑" w:eastAsia="微软雅黑" w:cs="微软雅黑"/>
          <w:kern w:val="0"/>
          <w:sz w:val="24"/>
          <w:u w:val="single"/>
        </w:rPr>
        <w:t>（中型企业、小型企业、微型企业）</w:t>
      </w:r>
      <w:r>
        <w:rPr>
          <w:rFonts w:hint="eastAsia" w:ascii="微软雅黑" w:hAnsi="微软雅黑" w:eastAsia="微软雅黑" w:cs="微软雅黑"/>
          <w:kern w:val="0"/>
          <w:sz w:val="24"/>
        </w:rPr>
        <w:t>；</w:t>
      </w:r>
    </w:p>
    <w:p>
      <w:pPr>
        <w:snapToGrid w:val="0"/>
        <w:spacing w:line="360" w:lineRule="auto"/>
        <w:ind w:firstLine="480" w:firstLineChars="200"/>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w:t>
      </w:r>
    </w:p>
    <w:p>
      <w:pPr>
        <w:snapToGrid w:val="0"/>
        <w:spacing w:line="360" w:lineRule="auto"/>
        <w:ind w:firstLine="480" w:firstLineChars="200"/>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以上企业，不属于大企业的分支机构，不存在控股股东为大企业的情形，也不存在与大企业的负责人为同一人的情形。</w:t>
      </w:r>
    </w:p>
    <w:p>
      <w:pPr>
        <w:snapToGrid w:val="0"/>
        <w:spacing w:line="360" w:lineRule="auto"/>
        <w:ind w:firstLine="480" w:firstLineChars="200"/>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本企业对上述声明内容的真实性负责。如有虚假，将依法承担相应责任。</w:t>
      </w:r>
    </w:p>
    <w:tbl>
      <w:tblPr>
        <w:tblStyle w:val="38"/>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117"/>
        <w:gridCol w:w="1755"/>
        <w:gridCol w:w="1577"/>
        <w:gridCol w:w="157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序号</w:t>
            </w:r>
          </w:p>
        </w:tc>
        <w:tc>
          <w:tcPr>
            <w:tcW w:w="2117"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品名</w:t>
            </w:r>
          </w:p>
        </w:tc>
        <w:tc>
          <w:tcPr>
            <w:tcW w:w="1755" w:type="dxa"/>
            <w:vAlign w:val="center"/>
          </w:tcPr>
          <w:p>
            <w:pPr>
              <w:widowControl/>
              <w:jc w:val="center"/>
              <w:rPr>
                <w:rFonts w:ascii="微软雅黑" w:hAnsi="微软雅黑" w:eastAsia="微软雅黑" w:cs="微软雅黑"/>
                <w:sz w:val="24"/>
                <w:szCs w:val="20"/>
              </w:rPr>
            </w:pPr>
            <w:r>
              <w:rPr>
                <w:rFonts w:hint="eastAsia" w:ascii="微软雅黑" w:hAnsi="微软雅黑" w:eastAsia="微软雅黑" w:cs="微软雅黑"/>
                <w:sz w:val="24"/>
                <w:szCs w:val="20"/>
              </w:rPr>
              <w:t>数量</w:t>
            </w:r>
          </w:p>
        </w:tc>
        <w:tc>
          <w:tcPr>
            <w:tcW w:w="1577"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规格</w:t>
            </w:r>
          </w:p>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型号</w:t>
            </w:r>
          </w:p>
        </w:tc>
        <w:tc>
          <w:tcPr>
            <w:tcW w:w="1577"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生产</w:t>
            </w:r>
          </w:p>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厂家</w:t>
            </w:r>
          </w:p>
        </w:tc>
        <w:tc>
          <w:tcPr>
            <w:tcW w:w="1486"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vAlign w:val="center"/>
          </w:tcPr>
          <w:p>
            <w:pPr>
              <w:jc w:val="center"/>
              <w:rPr>
                <w:rFonts w:ascii="微软雅黑" w:hAnsi="微软雅黑" w:eastAsia="微软雅黑" w:cs="微软雅黑"/>
                <w:sz w:val="24"/>
                <w:szCs w:val="20"/>
              </w:rPr>
            </w:pPr>
            <w:r>
              <w:rPr>
                <w:rFonts w:ascii="微软雅黑" w:hAnsi="微软雅黑" w:eastAsia="微软雅黑" w:cs="微软雅黑"/>
                <w:sz w:val="24"/>
                <w:szCs w:val="20"/>
              </w:rPr>
              <w:t>1</w:t>
            </w:r>
          </w:p>
        </w:tc>
        <w:tc>
          <w:tcPr>
            <w:tcW w:w="2117" w:type="dxa"/>
            <w:vAlign w:val="center"/>
          </w:tcPr>
          <w:p>
            <w:pPr>
              <w:jc w:val="center"/>
              <w:rPr>
                <w:rFonts w:ascii="微软雅黑" w:hAnsi="微软雅黑" w:eastAsia="微软雅黑" w:cs="微软雅黑"/>
                <w:sz w:val="24"/>
                <w:szCs w:val="20"/>
              </w:rPr>
            </w:pPr>
          </w:p>
        </w:tc>
        <w:tc>
          <w:tcPr>
            <w:tcW w:w="1755" w:type="dxa"/>
            <w:vAlign w:val="center"/>
          </w:tcPr>
          <w:p>
            <w:pPr>
              <w:jc w:val="center"/>
              <w:rPr>
                <w:rFonts w:ascii="微软雅黑" w:hAnsi="微软雅黑" w:eastAsia="微软雅黑" w:cs="微软雅黑"/>
                <w:sz w:val="24"/>
                <w:szCs w:val="20"/>
              </w:rPr>
            </w:pPr>
          </w:p>
        </w:tc>
        <w:tc>
          <w:tcPr>
            <w:tcW w:w="1577" w:type="dxa"/>
            <w:vAlign w:val="center"/>
          </w:tcPr>
          <w:p>
            <w:pPr>
              <w:jc w:val="center"/>
              <w:rPr>
                <w:rFonts w:ascii="微软雅黑" w:hAnsi="微软雅黑" w:eastAsia="微软雅黑" w:cs="微软雅黑"/>
                <w:sz w:val="24"/>
                <w:szCs w:val="20"/>
              </w:rPr>
            </w:pPr>
          </w:p>
        </w:tc>
        <w:tc>
          <w:tcPr>
            <w:tcW w:w="1577" w:type="dxa"/>
            <w:vAlign w:val="center"/>
          </w:tcPr>
          <w:p>
            <w:pPr>
              <w:jc w:val="center"/>
              <w:rPr>
                <w:rFonts w:ascii="微软雅黑" w:hAnsi="微软雅黑" w:eastAsia="微软雅黑" w:cs="微软雅黑"/>
                <w:sz w:val="24"/>
                <w:szCs w:val="20"/>
              </w:rPr>
            </w:pPr>
          </w:p>
        </w:tc>
        <w:tc>
          <w:tcPr>
            <w:tcW w:w="1486" w:type="dxa"/>
            <w:vAlign w:val="center"/>
          </w:tcPr>
          <w:p>
            <w:pPr>
              <w:spacing w:line="360" w:lineRule="auto"/>
              <w:rPr>
                <w:rFonts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vAlign w:val="center"/>
          </w:tcPr>
          <w:p>
            <w:pPr>
              <w:jc w:val="center"/>
              <w:rPr>
                <w:rFonts w:ascii="微软雅黑" w:hAnsi="微软雅黑" w:eastAsia="微软雅黑" w:cs="微软雅黑"/>
                <w:sz w:val="24"/>
                <w:szCs w:val="20"/>
              </w:rPr>
            </w:pPr>
            <w:r>
              <w:rPr>
                <w:rFonts w:ascii="微软雅黑" w:hAnsi="微软雅黑" w:eastAsia="微软雅黑" w:cs="微软雅黑"/>
                <w:sz w:val="24"/>
                <w:szCs w:val="20"/>
              </w:rPr>
              <w:t>2</w:t>
            </w:r>
          </w:p>
        </w:tc>
        <w:tc>
          <w:tcPr>
            <w:tcW w:w="2117" w:type="dxa"/>
            <w:vAlign w:val="center"/>
          </w:tcPr>
          <w:p>
            <w:pPr>
              <w:jc w:val="center"/>
              <w:rPr>
                <w:rFonts w:ascii="微软雅黑" w:hAnsi="微软雅黑" w:eastAsia="微软雅黑" w:cs="微软雅黑"/>
                <w:sz w:val="24"/>
                <w:szCs w:val="20"/>
              </w:rPr>
            </w:pPr>
          </w:p>
        </w:tc>
        <w:tc>
          <w:tcPr>
            <w:tcW w:w="1755" w:type="dxa"/>
            <w:vAlign w:val="center"/>
          </w:tcPr>
          <w:p>
            <w:pPr>
              <w:jc w:val="center"/>
              <w:rPr>
                <w:rFonts w:ascii="微软雅黑" w:hAnsi="微软雅黑" w:eastAsia="微软雅黑" w:cs="微软雅黑"/>
                <w:sz w:val="24"/>
                <w:szCs w:val="20"/>
              </w:rPr>
            </w:pPr>
          </w:p>
        </w:tc>
        <w:tc>
          <w:tcPr>
            <w:tcW w:w="1577" w:type="dxa"/>
            <w:vAlign w:val="center"/>
          </w:tcPr>
          <w:p>
            <w:pPr>
              <w:jc w:val="center"/>
              <w:rPr>
                <w:rFonts w:ascii="微软雅黑" w:hAnsi="微软雅黑" w:eastAsia="微软雅黑" w:cs="微软雅黑"/>
                <w:sz w:val="24"/>
                <w:szCs w:val="20"/>
              </w:rPr>
            </w:pPr>
          </w:p>
        </w:tc>
        <w:tc>
          <w:tcPr>
            <w:tcW w:w="1577" w:type="dxa"/>
            <w:vAlign w:val="center"/>
          </w:tcPr>
          <w:p>
            <w:pPr>
              <w:jc w:val="center"/>
              <w:rPr>
                <w:rFonts w:ascii="微软雅黑" w:hAnsi="微软雅黑" w:eastAsia="微软雅黑" w:cs="微软雅黑"/>
                <w:sz w:val="24"/>
                <w:szCs w:val="20"/>
              </w:rPr>
            </w:pPr>
          </w:p>
        </w:tc>
        <w:tc>
          <w:tcPr>
            <w:tcW w:w="1486" w:type="dxa"/>
            <w:vAlign w:val="center"/>
          </w:tcPr>
          <w:p>
            <w:pPr>
              <w:spacing w:line="360" w:lineRule="auto"/>
              <w:rPr>
                <w:rFonts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84" w:type="dxa"/>
            <w:vAlign w:val="center"/>
          </w:tcPr>
          <w:p>
            <w:pPr>
              <w:jc w:val="center"/>
              <w:rPr>
                <w:rFonts w:ascii="微软雅黑" w:hAnsi="微软雅黑" w:eastAsia="微软雅黑" w:cs="微软雅黑"/>
                <w:sz w:val="24"/>
                <w:szCs w:val="20"/>
              </w:rPr>
            </w:pPr>
            <w:r>
              <w:rPr>
                <w:rFonts w:hint="eastAsia" w:ascii="微软雅黑" w:hAnsi="微软雅黑" w:eastAsia="微软雅黑" w:cs="微软雅黑"/>
                <w:sz w:val="24"/>
                <w:szCs w:val="20"/>
              </w:rPr>
              <w:t>……</w:t>
            </w:r>
          </w:p>
        </w:tc>
        <w:tc>
          <w:tcPr>
            <w:tcW w:w="2117" w:type="dxa"/>
            <w:vAlign w:val="center"/>
          </w:tcPr>
          <w:p>
            <w:pPr>
              <w:jc w:val="center"/>
              <w:rPr>
                <w:rFonts w:ascii="微软雅黑" w:hAnsi="微软雅黑" w:eastAsia="微软雅黑" w:cs="微软雅黑"/>
                <w:sz w:val="24"/>
                <w:szCs w:val="20"/>
              </w:rPr>
            </w:pPr>
          </w:p>
        </w:tc>
        <w:tc>
          <w:tcPr>
            <w:tcW w:w="1755" w:type="dxa"/>
            <w:vAlign w:val="center"/>
          </w:tcPr>
          <w:p>
            <w:pPr>
              <w:jc w:val="center"/>
              <w:rPr>
                <w:rFonts w:ascii="微软雅黑" w:hAnsi="微软雅黑" w:eastAsia="微软雅黑" w:cs="微软雅黑"/>
                <w:sz w:val="24"/>
                <w:szCs w:val="20"/>
              </w:rPr>
            </w:pPr>
          </w:p>
        </w:tc>
        <w:tc>
          <w:tcPr>
            <w:tcW w:w="1577" w:type="dxa"/>
            <w:vAlign w:val="center"/>
          </w:tcPr>
          <w:p>
            <w:pPr>
              <w:jc w:val="center"/>
              <w:rPr>
                <w:rFonts w:ascii="微软雅黑" w:hAnsi="微软雅黑" w:eastAsia="微软雅黑" w:cs="微软雅黑"/>
                <w:sz w:val="24"/>
                <w:szCs w:val="20"/>
              </w:rPr>
            </w:pPr>
          </w:p>
        </w:tc>
        <w:tc>
          <w:tcPr>
            <w:tcW w:w="1577" w:type="dxa"/>
            <w:vAlign w:val="center"/>
          </w:tcPr>
          <w:p>
            <w:pPr>
              <w:jc w:val="center"/>
              <w:rPr>
                <w:rFonts w:ascii="微软雅黑" w:hAnsi="微软雅黑" w:eastAsia="微软雅黑" w:cs="微软雅黑"/>
                <w:sz w:val="24"/>
                <w:szCs w:val="20"/>
              </w:rPr>
            </w:pPr>
          </w:p>
        </w:tc>
        <w:tc>
          <w:tcPr>
            <w:tcW w:w="1486" w:type="dxa"/>
            <w:vAlign w:val="center"/>
          </w:tcPr>
          <w:p>
            <w:pPr>
              <w:spacing w:line="360" w:lineRule="auto"/>
              <w:rPr>
                <w:rFonts w:ascii="微软雅黑" w:hAnsi="微软雅黑" w:eastAsia="微软雅黑" w:cs="微软雅黑"/>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96" w:type="dxa"/>
            <w:gridSpan w:val="6"/>
            <w:vAlign w:val="center"/>
          </w:tcPr>
          <w:p>
            <w:pPr>
              <w:widowControl/>
              <w:ind w:firstLine="480" w:firstLineChars="200"/>
              <w:jc w:val="left"/>
              <w:rPr>
                <w:rFonts w:ascii="微软雅黑" w:hAnsi="微软雅黑" w:eastAsia="微软雅黑" w:cs="微软雅黑"/>
                <w:sz w:val="24"/>
                <w:szCs w:val="20"/>
                <w:lang w:val="zh-CN"/>
              </w:rPr>
            </w:pPr>
            <w:r>
              <w:rPr>
                <w:rFonts w:hint="eastAsia" w:ascii="微软雅黑" w:hAnsi="微软雅黑" w:eastAsia="微软雅黑" w:cs="微软雅黑"/>
                <w:b/>
                <w:sz w:val="24"/>
                <w:szCs w:val="20"/>
                <w:lang w:val="zh-CN"/>
              </w:rPr>
              <w:t>投标文件中所提供的以上产品为本企业生产的产品，</w:t>
            </w:r>
            <w:r>
              <w:rPr>
                <w:rFonts w:hint="eastAsia" w:ascii="微软雅黑" w:hAnsi="微软雅黑" w:eastAsia="微软雅黑" w:cs="微软雅黑"/>
                <w:b/>
                <w:sz w:val="24"/>
                <w:szCs w:val="20"/>
              </w:rPr>
              <w:t>如有虚假</w:t>
            </w:r>
            <w:r>
              <w:rPr>
                <w:rFonts w:hint="eastAsia" w:ascii="微软雅黑" w:hAnsi="微软雅黑" w:eastAsia="微软雅黑" w:cs="微软雅黑"/>
                <w:b/>
                <w:sz w:val="24"/>
                <w:szCs w:val="20"/>
                <w:lang w:val="zh-CN"/>
              </w:rPr>
              <w:t>，我公司承担由此产生的一切后果</w:t>
            </w:r>
            <w:r>
              <w:rPr>
                <w:rFonts w:hint="eastAsia" w:ascii="微软雅黑" w:hAnsi="微软雅黑" w:eastAsia="微软雅黑" w:cs="微软雅黑"/>
                <w:sz w:val="24"/>
                <w:szCs w:val="20"/>
                <w:lang w:val="zh-CN"/>
              </w:rPr>
              <w:t>。</w:t>
            </w:r>
          </w:p>
          <w:p>
            <w:pPr>
              <w:widowControl/>
              <w:jc w:val="left"/>
              <w:rPr>
                <w:rFonts w:ascii="微软雅黑" w:hAnsi="微软雅黑" w:eastAsia="微软雅黑" w:cs="微软雅黑"/>
                <w:sz w:val="24"/>
                <w:szCs w:val="20"/>
              </w:rPr>
            </w:pPr>
            <w:r>
              <w:rPr>
                <w:rFonts w:hint="eastAsia" w:ascii="微软雅黑" w:hAnsi="微软雅黑" w:eastAsia="微软雅黑" w:cs="微软雅黑"/>
                <w:b/>
                <w:bCs/>
                <w:kern w:val="0"/>
                <w:sz w:val="24"/>
                <w:szCs w:val="20"/>
              </w:rPr>
              <w:t>（注：投标产品非投标人生产制造的，不须填写此表格）</w:t>
            </w:r>
          </w:p>
        </w:tc>
      </w:tr>
    </w:tbl>
    <w:p>
      <w:pPr>
        <w:autoSpaceDN w:val="0"/>
        <w:spacing w:line="440" w:lineRule="exact"/>
        <w:ind w:firstLine="560" w:firstLineChars="200"/>
        <w:rPr>
          <w:rFonts w:ascii="微软雅黑" w:hAnsi="微软雅黑" w:eastAsia="微软雅黑" w:cs="微软雅黑"/>
          <w:szCs w:val="21"/>
        </w:rPr>
      </w:pPr>
    </w:p>
    <w:p>
      <w:pPr>
        <w:autoSpaceDN w:val="0"/>
        <w:spacing w:line="440" w:lineRule="exact"/>
        <w:ind w:firstLine="560" w:firstLineChars="200"/>
        <w:rPr>
          <w:rFonts w:ascii="微软雅黑" w:hAnsi="微软雅黑" w:eastAsia="微软雅黑" w:cs="微软雅黑"/>
          <w:szCs w:val="21"/>
        </w:rPr>
      </w:pPr>
      <w:r>
        <w:rPr>
          <w:rFonts w:hint="eastAsia" w:ascii="微软雅黑" w:hAnsi="微软雅黑" w:eastAsia="微软雅黑" w:cs="微软雅黑"/>
          <w:szCs w:val="21"/>
        </w:rPr>
        <w:t>注：投标人为非中小企业的，无需填写此声明函。</w:t>
      </w:r>
    </w:p>
    <w:p>
      <w:pPr>
        <w:autoSpaceDN w:val="0"/>
        <w:spacing w:line="440" w:lineRule="exact"/>
        <w:ind w:right="170"/>
        <w:rPr>
          <w:rFonts w:ascii="微软雅黑" w:hAnsi="微软雅黑" w:eastAsia="微软雅黑" w:cs="微软雅黑"/>
          <w:szCs w:val="21"/>
        </w:rPr>
      </w:pPr>
    </w:p>
    <w:p>
      <w:pPr>
        <w:widowControl/>
        <w:snapToGrid w:val="0"/>
        <w:spacing w:line="480" w:lineRule="auto"/>
        <w:jc w:val="left"/>
        <w:textAlignment w:val="baseline"/>
        <w:rPr>
          <w:rFonts w:ascii="微软雅黑" w:hAnsi="微软雅黑" w:eastAsia="微软雅黑" w:cs="微软雅黑"/>
          <w:color w:val="000000"/>
          <w:kern w:val="0"/>
          <w:sz w:val="24"/>
        </w:rPr>
      </w:pPr>
    </w:p>
    <w:p>
      <w:pPr>
        <w:widowControl/>
        <w:snapToGrid w:val="0"/>
        <w:spacing w:line="460" w:lineRule="exact"/>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投标人全称（电子签章）：</w:t>
      </w:r>
    </w:p>
    <w:p>
      <w:pPr>
        <w:widowControl/>
        <w:snapToGrid w:val="0"/>
        <w:spacing w:line="460" w:lineRule="exact"/>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日期：</w:t>
      </w:r>
    </w:p>
    <w:p>
      <w:pPr>
        <w:pStyle w:val="54"/>
        <w:pageBreakBefore/>
        <w:snapToGrid w:val="0"/>
        <w:spacing w:line="460" w:lineRule="exact"/>
        <w:jc w:val="center"/>
        <w:textAlignment w:val="baseline"/>
        <w:rPr>
          <w:rFonts w:ascii="微软雅黑" w:hAnsi="微软雅黑" w:eastAsia="微软雅黑" w:cs="微软雅黑"/>
          <w:b/>
        </w:rPr>
      </w:pPr>
      <w:r>
        <w:rPr>
          <w:rFonts w:hint="eastAsia" w:ascii="微软雅黑" w:hAnsi="微软雅黑" w:eastAsia="微软雅黑" w:cs="微软雅黑"/>
          <w:b/>
        </w:rPr>
        <w:t>监狱企业声明函</w:t>
      </w:r>
    </w:p>
    <w:p>
      <w:pPr>
        <w:pStyle w:val="54"/>
        <w:snapToGrid w:val="0"/>
        <w:spacing w:line="460" w:lineRule="exact"/>
        <w:jc w:val="center"/>
        <w:textAlignment w:val="baseline"/>
        <w:rPr>
          <w:rFonts w:ascii="微软雅黑" w:hAnsi="微软雅黑" w:eastAsia="微软雅黑" w:cs="微软雅黑"/>
        </w:rPr>
      </w:pPr>
      <w:r>
        <w:rPr>
          <w:rFonts w:hint="eastAsia" w:ascii="微软雅黑" w:hAnsi="微软雅黑" w:eastAsia="微软雅黑" w:cs="微软雅黑"/>
        </w:rPr>
        <w:t>【非监狱企业的不用提供】</w:t>
      </w:r>
    </w:p>
    <w:p>
      <w:pPr>
        <w:pStyle w:val="54"/>
        <w:snapToGrid w:val="0"/>
        <w:spacing w:line="460" w:lineRule="exact"/>
        <w:ind w:firstLine="480" w:firstLineChars="200"/>
        <w:jc w:val="both"/>
        <w:textAlignment w:val="baseline"/>
        <w:rPr>
          <w:rFonts w:ascii="微软雅黑" w:hAnsi="微软雅黑" w:eastAsia="微软雅黑" w:cs="微软雅黑"/>
        </w:rPr>
      </w:pPr>
      <w:r>
        <w:rPr>
          <w:rFonts w:hint="eastAsia" w:ascii="微软雅黑" w:hAnsi="微软雅黑" w:eastAsia="微软雅黑" w:cs="微软雅黑"/>
        </w:rPr>
        <w:t>本企业郑重声明，根据《关于政府采购支持监狱企业发展有关间想的通知》（财库</w:t>
      </w:r>
      <w:r>
        <w:rPr>
          <w:rFonts w:ascii="微软雅黑" w:hAnsi="微软雅黑" w:eastAsia="微软雅黑" w:cs="微软雅黑"/>
        </w:rPr>
        <w:t>[2014]68</w:t>
      </w:r>
      <w:r>
        <w:rPr>
          <w:rFonts w:hint="eastAsia" w:ascii="微软雅黑" w:hAnsi="微软雅黑" w:eastAsia="微软雅黑" w:cs="微软雅黑"/>
        </w:rPr>
        <w:t>号）的规定，本企业为监狱企业。</w:t>
      </w:r>
    </w:p>
    <w:p>
      <w:pPr>
        <w:pStyle w:val="54"/>
        <w:snapToGrid w:val="0"/>
        <w:spacing w:line="460" w:lineRule="exact"/>
        <w:ind w:firstLine="480" w:firstLineChars="200"/>
        <w:jc w:val="both"/>
        <w:textAlignment w:val="baseline"/>
        <w:rPr>
          <w:rFonts w:ascii="微软雅黑" w:hAnsi="微软雅黑" w:eastAsia="微软雅黑" w:cs="微软雅黑"/>
        </w:rPr>
      </w:pPr>
      <w:r>
        <w:rPr>
          <w:rFonts w:hint="eastAsia" w:ascii="微软雅黑" w:hAnsi="微软雅黑" w:eastAsia="微软雅黑" w:cs="微软雅黑"/>
        </w:rPr>
        <w:t>根据上述标准，我企业属于监狱企业的理由为：</w:t>
      </w:r>
    </w:p>
    <w:p>
      <w:pPr>
        <w:pStyle w:val="54"/>
        <w:snapToGrid w:val="0"/>
        <w:spacing w:line="460" w:lineRule="exact"/>
        <w:ind w:firstLine="480" w:firstLineChars="200"/>
        <w:jc w:val="both"/>
        <w:textAlignment w:val="baseline"/>
        <w:rPr>
          <w:rFonts w:ascii="微软雅黑" w:hAnsi="微软雅黑" w:eastAsia="微软雅黑" w:cs="微软雅黑"/>
        </w:rPr>
      </w:pPr>
      <w:r>
        <w:rPr>
          <w:rFonts w:hint="eastAsia" w:ascii="微软雅黑" w:hAnsi="微软雅黑" w:eastAsia="微软雅黑" w:cs="微软雅黑"/>
        </w:rPr>
        <w:t>本企业为参加（项目名称：</w:t>
      </w:r>
      <w:r>
        <w:rPr>
          <w:rFonts w:ascii="微软雅黑" w:hAnsi="微软雅黑" w:eastAsia="微软雅黑" w:cs="微软雅黑"/>
        </w:rPr>
        <w:t xml:space="preserve"> ) </w:t>
      </w:r>
      <w:r>
        <w:rPr>
          <w:rFonts w:hint="eastAsia" w:ascii="微软雅黑" w:hAnsi="微软雅黑" w:eastAsia="微软雅黑" w:cs="微软雅黑"/>
        </w:rPr>
        <w:t>（项目编号：）采购活动提供本企业的产品。</w:t>
      </w:r>
    </w:p>
    <w:p>
      <w:pPr>
        <w:pStyle w:val="54"/>
        <w:snapToGrid w:val="0"/>
        <w:spacing w:line="460" w:lineRule="exact"/>
        <w:ind w:firstLine="480" w:firstLineChars="200"/>
        <w:jc w:val="both"/>
        <w:textAlignment w:val="baseline"/>
        <w:rPr>
          <w:rFonts w:ascii="微软雅黑" w:hAnsi="微软雅黑" w:eastAsia="微软雅黑" w:cs="微软雅黑"/>
        </w:rPr>
      </w:pPr>
      <w:r>
        <w:rPr>
          <w:rFonts w:hint="eastAsia" w:ascii="微软雅黑" w:hAnsi="微软雅黑" w:eastAsia="微软雅黑" w:cs="微软雅黑"/>
        </w:rPr>
        <w:t>本企业对上述声明的真实性负责。如有虚假，将依法承担相应责任。</w:t>
      </w:r>
    </w:p>
    <w:p>
      <w:pPr>
        <w:pStyle w:val="54"/>
        <w:snapToGrid w:val="0"/>
        <w:spacing w:line="460" w:lineRule="exact"/>
        <w:ind w:firstLine="480" w:firstLineChars="200"/>
        <w:jc w:val="both"/>
        <w:textAlignment w:val="baseline"/>
        <w:rPr>
          <w:rFonts w:ascii="微软雅黑" w:hAnsi="微软雅黑" w:eastAsia="微软雅黑" w:cs="微软雅黑"/>
        </w:rPr>
      </w:pPr>
    </w:p>
    <w:p>
      <w:pPr>
        <w:pStyle w:val="54"/>
        <w:snapToGrid w:val="0"/>
        <w:spacing w:line="460" w:lineRule="exact"/>
        <w:ind w:firstLine="480" w:firstLineChars="200"/>
        <w:jc w:val="both"/>
        <w:textAlignment w:val="baseline"/>
        <w:rPr>
          <w:rFonts w:ascii="微软雅黑" w:hAnsi="微软雅黑" w:eastAsia="微软雅黑" w:cs="微软雅黑"/>
        </w:rPr>
      </w:pPr>
    </w:p>
    <w:p>
      <w:pPr>
        <w:widowControl/>
        <w:snapToGrid w:val="0"/>
        <w:spacing w:line="460" w:lineRule="exact"/>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投标人全称（电子签章）：</w:t>
      </w:r>
    </w:p>
    <w:p>
      <w:pPr>
        <w:widowControl/>
        <w:snapToGrid w:val="0"/>
        <w:spacing w:line="460" w:lineRule="exact"/>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日期：</w:t>
      </w:r>
    </w:p>
    <w:p>
      <w:pPr>
        <w:snapToGrid w:val="0"/>
        <w:spacing w:before="190" w:after="50" w:line="460" w:lineRule="exact"/>
        <w:ind w:firstLine="480" w:firstLineChars="200"/>
        <w:jc w:val="left"/>
        <w:textAlignment w:val="baseline"/>
        <w:rPr>
          <w:rFonts w:ascii="微软雅黑" w:hAnsi="微软雅黑" w:eastAsia="微软雅黑" w:cs="微软雅黑"/>
          <w:sz w:val="24"/>
        </w:rPr>
      </w:pPr>
    </w:p>
    <w:p>
      <w:pPr>
        <w:snapToGrid w:val="0"/>
        <w:spacing w:before="190" w:after="50" w:line="460" w:lineRule="exact"/>
        <w:ind w:firstLine="480" w:firstLineChars="200"/>
        <w:jc w:val="left"/>
        <w:textAlignment w:val="baseline"/>
        <w:rPr>
          <w:rFonts w:ascii="微软雅黑" w:hAnsi="微软雅黑" w:eastAsia="微软雅黑" w:cs="微软雅黑"/>
          <w:sz w:val="24"/>
        </w:rPr>
      </w:pPr>
      <w:r>
        <w:rPr>
          <w:rFonts w:hint="eastAsia" w:ascii="微软雅黑" w:hAnsi="微软雅黑" w:eastAsia="微软雅黑" w:cs="微软雅黑"/>
          <w:sz w:val="24"/>
        </w:rPr>
        <w:t>监狱企业参加政府采购活动时，应当提供由省级以上监狱管理局、戒毒管理局（含新疆生产建设兵团）出具的属于监狱企业的证明文件；</w:t>
      </w:r>
    </w:p>
    <w:p>
      <w:pPr>
        <w:snapToGrid w:val="0"/>
        <w:spacing w:before="190" w:after="50" w:line="460" w:lineRule="exact"/>
        <w:ind w:firstLine="480" w:firstLineChars="200"/>
        <w:jc w:val="left"/>
        <w:textAlignment w:val="baseline"/>
        <w:rPr>
          <w:rFonts w:ascii="微软雅黑" w:hAnsi="微软雅黑" w:eastAsia="微软雅黑" w:cs="微软雅黑"/>
          <w:sz w:val="24"/>
        </w:rPr>
      </w:pPr>
      <w:r>
        <w:rPr>
          <w:rFonts w:hint="eastAsia" w:ascii="微软雅黑" w:hAnsi="微软雅黑" w:eastAsia="微软雅黑" w:cs="微软雅黑"/>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190" w:after="50" w:line="460" w:lineRule="exact"/>
        <w:ind w:firstLine="480" w:firstLineChars="200"/>
        <w:jc w:val="left"/>
        <w:textAlignment w:val="baseline"/>
        <w:rPr>
          <w:rFonts w:ascii="微软雅黑" w:hAnsi="微软雅黑" w:eastAsia="微软雅黑" w:cs="微软雅黑"/>
          <w:sz w:val="24"/>
        </w:rPr>
      </w:pPr>
    </w:p>
    <w:p>
      <w:pPr>
        <w:pStyle w:val="54"/>
        <w:snapToGrid w:val="0"/>
        <w:spacing w:line="460" w:lineRule="exact"/>
        <w:jc w:val="both"/>
        <w:textAlignment w:val="baseline"/>
        <w:rPr>
          <w:rFonts w:ascii="微软雅黑" w:hAnsi="微软雅黑" w:eastAsia="微软雅黑" w:cs="微软雅黑"/>
        </w:rPr>
      </w:pPr>
    </w:p>
    <w:p>
      <w:pPr>
        <w:pStyle w:val="54"/>
        <w:pageBreakBefore/>
        <w:snapToGrid w:val="0"/>
        <w:spacing w:line="460" w:lineRule="exact"/>
        <w:jc w:val="center"/>
        <w:textAlignment w:val="baseline"/>
        <w:rPr>
          <w:rFonts w:ascii="微软雅黑" w:hAnsi="微软雅黑" w:eastAsia="微软雅黑" w:cs="微软雅黑"/>
          <w:b/>
        </w:rPr>
      </w:pPr>
      <w:r>
        <w:rPr>
          <w:rFonts w:hint="eastAsia" w:ascii="微软雅黑" w:hAnsi="微软雅黑" w:eastAsia="微软雅黑" w:cs="微软雅黑"/>
          <w:b/>
        </w:rPr>
        <w:t>残疾人福利性单位声明函</w:t>
      </w:r>
    </w:p>
    <w:p>
      <w:pPr>
        <w:pStyle w:val="54"/>
        <w:snapToGrid w:val="0"/>
        <w:spacing w:line="460" w:lineRule="exact"/>
        <w:jc w:val="center"/>
        <w:textAlignment w:val="baseline"/>
        <w:rPr>
          <w:rFonts w:ascii="微软雅黑" w:hAnsi="微软雅黑" w:eastAsia="微软雅黑" w:cs="微软雅黑"/>
        </w:rPr>
      </w:pPr>
      <w:r>
        <w:rPr>
          <w:rFonts w:hint="eastAsia" w:ascii="微软雅黑" w:hAnsi="微软雅黑" w:eastAsia="微软雅黑" w:cs="微软雅黑"/>
        </w:rPr>
        <w:t>【非残疾人福利性单位不用提供】</w:t>
      </w:r>
    </w:p>
    <w:p>
      <w:pPr>
        <w:pStyle w:val="54"/>
        <w:snapToGrid w:val="0"/>
        <w:spacing w:line="460" w:lineRule="exact"/>
        <w:ind w:firstLine="480" w:firstLineChars="200"/>
        <w:jc w:val="both"/>
        <w:textAlignment w:val="baseline"/>
        <w:rPr>
          <w:rFonts w:ascii="微软雅黑" w:hAnsi="微软雅黑" w:eastAsia="微软雅黑" w:cs="微软雅黑"/>
        </w:rPr>
      </w:pPr>
      <w:r>
        <w:rPr>
          <w:rFonts w:hint="eastAsia" w:ascii="微软雅黑" w:hAnsi="微软雅黑" w:eastAsia="微软雅黑" w:cs="微软雅黑"/>
        </w:rPr>
        <w:t>本单位郑重声明，根据《财政部民政部中国残疾人联合会关于促进残疾人就业政府采购政策的通知》（财库（</w:t>
      </w:r>
      <w:r>
        <w:rPr>
          <w:rFonts w:ascii="微软雅黑" w:hAnsi="微软雅黑" w:eastAsia="微软雅黑" w:cs="微软雅黑"/>
        </w:rPr>
        <w:t>2017) 141</w:t>
      </w:r>
      <w:r>
        <w:rPr>
          <w:rFonts w:hint="eastAsia" w:ascii="微软雅黑" w:hAnsi="微软雅黑" w:eastAsia="微软雅黑" w:cs="微软雅黑"/>
        </w:rPr>
        <w:t>号）的规定。本单位为符合条件的残疾人福利性单位，且本单位参加（采购人名称）单位的（项目名称）项目采购活动提供本单位制造的货物（由本单位承担工程</w:t>
      </w:r>
      <w:r>
        <w:rPr>
          <w:rFonts w:ascii="微软雅黑" w:hAnsi="微软雅黑" w:eastAsia="微软雅黑" w:cs="微软雅黑"/>
        </w:rPr>
        <w:t>/</w:t>
      </w:r>
      <w:r>
        <w:rPr>
          <w:rFonts w:hint="eastAsia" w:ascii="微软雅黑" w:hAnsi="微软雅黑" w:eastAsia="微软雅黑" w:cs="微软雅黑"/>
        </w:rPr>
        <w:t>提供服务），成者提供其他残疾人福利性单位制造的货物（不包括使用非残疾人福利性单位注册商标的货物）。</w:t>
      </w:r>
    </w:p>
    <w:p>
      <w:pPr>
        <w:pStyle w:val="54"/>
        <w:snapToGrid w:val="0"/>
        <w:spacing w:line="460" w:lineRule="exact"/>
        <w:ind w:firstLine="480" w:firstLineChars="200"/>
        <w:jc w:val="both"/>
        <w:textAlignment w:val="baseline"/>
        <w:rPr>
          <w:rFonts w:ascii="微软雅黑" w:hAnsi="微软雅黑" w:eastAsia="微软雅黑" w:cs="微软雅黑"/>
        </w:rPr>
      </w:pPr>
      <w:r>
        <w:rPr>
          <w:rFonts w:hint="eastAsia" w:ascii="微软雅黑" w:hAnsi="微软雅黑" w:eastAsia="微软雅黑" w:cs="微软雅黑"/>
        </w:rPr>
        <w:t>本单位对上述声明的真实性负责，如有虚假，将依法承担相应责任。</w:t>
      </w:r>
    </w:p>
    <w:p>
      <w:pPr>
        <w:pStyle w:val="54"/>
        <w:snapToGrid w:val="0"/>
        <w:spacing w:line="460" w:lineRule="exact"/>
        <w:ind w:firstLine="480" w:firstLineChars="200"/>
        <w:jc w:val="both"/>
        <w:textAlignment w:val="baseline"/>
        <w:rPr>
          <w:rFonts w:ascii="微软雅黑" w:hAnsi="微软雅黑" w:eastAsia="微软雅黑" w:cs="微软雅黑"/>
        </w:rPr>
      </w:pPr>
    </w:p>
    <w:p>
      <w:pPr>
        <w:widowControl/>
        <w:snapToGrid w:val="0"/>
        <w:spacing w:line="460" w:lineRule="exact"/>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投标人全称（电子签章）：</w:t>
      </w:r>
    </w:p>
    <w:p>
      <w:pPr>
        <w:widowControl/>
        <w:snapToGrid w:val="0"/>
        <w:spacing w:line="460" w:lineRule="exact"/>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日期：</w:t>
      </w: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pStyle w:val="84"/>
        <w:snapToGrid w:val="0"/>
        <w:ind w:firstLine="240"/>
        <w:textAlignment w:val="baseline"/>
        <w:rPr>
          <w:rFonts w:ascii="微软雅黑" w:hAnsi="微软雅黑" w:eastAsia="微软雅黑" w:cs="微软雅黑"/>
          <w:sz w:val="24"/>
        </w:rPr>
      </w:pPr>
    </w:p>
    <w:p>
      <w:pPr>
        <w:pStyle w:val="78"/>
        <w:snapToGrid w:val="0"/>
        <w:ind w:left="2800"/>
        <w:textAlignment w:val="baseline"/>
        <w:rPr>
          <w:rFonts w:ascii="微软雅黑" w:hAnsi="微软雅黑" w:eastAsia="微软雅黑" w:cs="微软雅黑"/>
          <w:sz w:val="24"/>
        </w:rPr>
      </w:pPr>
    </w:p>
    <w:p>
      <w:pPr>
        <w:snapToGrid w:val="0"/>
        <w:textAlignment w:val="baseline"/>
        <w:rPr>
          <w:rFonts w:ascii="微软雅黑" w:hAnsi="微软雅黑" w:eastAsia="微软雅黑" w:cs="微软雅黑"/>
          <w:sz w:val="24"/>
        </w:rPr>
      </w:pPr>
    </w:p>
    <w:p>
      <w:pPr>
        <w:pStyle w:val="84"/>
        <w:snapToGrid w:val="0"/>
        <w:ind w:firstLine="240"/>
        <w:textAlignment w:val="baseline"/>
        <w:rPr>
          <w:rFonts w:ascii="微软雅黑" w:hAnsi="微软雅黑" w:eastAsia="微软雅黑" w:cs="微软雅黑"/>
          <w:sz w:val="24"/>
        </w:rPr>
      </w:pPr>
    </w:p>
    <w:p>
      <w:pPr>
        <w:pStyle w:val="78"/>
        <w:snapToGrid w:val="0"/>
        <w:ind w:left="2800"/>
        <w:textAlignment w:val="baseline"/>
        <w:rPr>
          <w:rFonts w:ascii="微软雅黑" w:hAnsi="微软雅黑" w:eastAsia="微软雅黑" w:cs="微软雅黑"/>
          <w:sz w:val="24"/>
        </w:rPr>
      </w:pPr>
    </w:p>
    <w:p>
      <w:pPr>
        <w:snapToGrid w:val="0"/>
        <w:textAlignment w:val="baseline"/>
        <w:rPr>
          <w:rFonts w:ascii="微软雅黑" w:hAnsi="微软雅黑" w:eastAsia="微软雅黑" w:cs="微软雅黑"/>
          <w:sz w:val="20"/>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before="190" w:after="50" w:line="460" w:lineRule="exact"/>
        <w:jc w:val="left"/>
        <w:textAlignment w:val="baseline"/>
        <w:rPr>
          <w:rFonts w:ascii="微软雅黑" w:hAnsi="微软雅黑" w:eastAsia="微软雅黑" w:cs="微软雅黑"/>
          <w:sz w:val="24"/>
        </w:rPr>
      </w:pPr>
    </w:p>
    <w:p>
      <w:pPr>
        <w:snapToGrid w:val="0"/>
        <w:spacing w:line="440" w:lineRule="exact"/>
        <w:jc w:val="center"/>
        <w:textAlignment w:val="baseline"/>
        <w:rPr>
          <w:rFonts w:ascii="微软雅黑" w:hAnsi="微软雅黑" w:eastAsia="微软雅黑" w:cs="微软雅黑"/>
          <w:b/>
          <w:bCs/>
          <w:sz w:val="32"/>
          <w:szCs w:val="32"/>
        </w:rPr>
      </w:pPr>
    </w:p>
    <w:p>
      <w:pPr>
        <w:pStyle w:val="14"/>
        <w:snapToGrid w:val="0"/>
        <w:spacing w:line="500" w:lineRule="exact"/>
        <w:jc w:val="center"/>
        <w:textAlignment w:val="baseline"/>
        <w:rPr>
          <w:rFonts w:ascii="微软雅黑" w:hAnsi="微软雅黑" w:eastAsia="微软雅黑" w:cs="微软雅黑"/>
          <w:b/>
          <w:sz w:val="32"/>
          <w:szCs w:val="32"/>
        </w:rPr>
      </w:pPr>
      <w:r>
        <w:rPr>
          <w:rFonts w:hint="eastAsia" w:ascii="微软雅黑" w:hAnsi="微软雅黑" w:eastAsia="微软雅黑" w:cs="微软雅黑"/>
          <w:b/>
          <w:sz w:val="32"/>
          <w:szCs w:val="32"/>
        </w:rPr>
        <w:t>招标代理服务费承诺函</w:t>
      </w:r>
    </w:p>
    <w:p>
      <w:pPr>
        <w:pStyle w:val="14"/>
        <w:snapToGrid w:val="0"/>
        <w:spacing w:line="500" w:lineRule="exact"/>
        <w:jc w:val="center"/>
        <w:textAlignment w:val="baseline"/>
        <w:rPr>
          <w:rFonts w:ascii="微软雅黑" w:hAnsi="微软雅黑" w:eastAsia="微软雅黑" w:cs="微软雅黑"/>
          <w:b/>
          <w:sz w:val="28"/>
          <w:szCs w:val="28"/>
        </w:rPr>
      </w:pPr>
    </w:p>
    <w:p>
      <w:pPr>
        <w:pStyle w:val="14"/>
        <w:snapToGrid w:val="0"/>
        <w:spacing w:line="500" w:lineRule="exact"/>
        <w:ind w:firstLine="0"/>
        <w:jc w:val="left"/>
        <w:textAlignment w:val="baseline"/>
        <w:rPr>
          <w:rFonts w:ascii="微软雅黑" w:hAnsi="微软雅黑" w:eastAsia="微软雅黑" w:cs="微软雅黑"/>
          <w:sz w:val="24"/>
        </w:rPr>
      </w:pPr>
      <w:r>
        <w:rPr>
          <w:rFonts w:hint="eastAsia" w:ascii="微软雅黑" w:hAnsi="微软雅黑" w:eastAsia="微软雅黑" w:cs="微软雅黑"/>
          <w:sz w:val="24"/>
        </w:rPr>
        <w:t>浙江华夏工程管理有限公司湖州分公司：</w:t>
      </w:r>
    </w:p>
    <w:p>
      <w:pPr>
        <w:pStyle w:val="14"/>
        <w:snapToGrid w:val="0"/>
        <w:spacing w:line="500" w:lineRule="exact"/>
        <w:ind w:firstLine="480" w:firstLineChars="200"/>
        <w:jc w:val="left"/>
        <w:textAlignment w:val="baseline"/>
        <w:rPr>
          <w:rFonts w:ascii="微软雅黑" w:hAnsi="微软雅黑" w:eastAsia="微软雅黑" w:cs="微软雅黑"/>
          <w:sz w:val="24"/>
        </w:rPr>
      </w:pPr>
      <w:r>
        <w:rPr>
          <w:rFonts w:hint="eastAsia" w:ascii="微软雅黑" w:hAnsi="微软雅黑" w:eastAsia="微软雅黑" w:cs="微软雅黑"/>
          <w:sz w:val="24"/>
        </w:rPr>
        <w:t>根据招标文件的规定，一旦我公司中标，我公司同意按招标文件要求向贵公司交纳中标项目的招标代理服务费，招标代理服务费按招标文件标准计取，在收到中标通知书后的当天一次性结清。</w:t>
      </w:r>
    </w:p>
    <w:p>
      <w:pPr>
        <w:pStyle w:val="14"/>
        <w:snapToGrid w:val="0"/>
        <w:spacing w:line="500" w:lineRule="exact"/>
        <w:jc w:val="left"/>
        <w:textAlignment w:val="baseline"/>
        <w:rPr>
          <w:rFonts w:ascii="微软雅黑" w:hAnsi="微软雅黑" w:eastAsia="微软雅黑" w:cs="微软雅黑"/>
          <w:sz w:val="24"/>
        </w:rPr>
      </w:pPr>
      <w:r>
        <w:rPr>
          <w:rFonts w:hint="eastAsia" w:ascii="微软雅黑" w:hAnsi="微软雅黑" w:eastAsia="微软雅黑" w:cs="微软雅黑"/>
          <w:sz w:val="24"/>
        </w:rPr>
        <w:t>本承诺函自开标之日起至本次采购期满有效。</w:t>
      </w:r>
    </w:p>
    <w:p>
      <w:pPr>
        <w:pStyle w:val="14"/>
        <w:snapToGrid w:val="0"/>
        <w:spacing w:line="500" w:lineRule="exact"/>
        <w:jc w:val="left"/>
        <w:textAlignment w:val="baseline"/>
        <w:rPr>
          <w:rFonts w:ascii="微软雅黑" w:hAnsi="微软雅黑" w:eastAsia="微软雅黑" w:cs="微软雅黑"/>
          <w:sz w:val="24"/>
        </w:rPr>
      </w:pPr>
    </w:p>
    <w:p>
      <w:pPr>
        <w:pStyle w:val="14"/>
        <w:snapToGrid w:val="0"/>
        <w:spacing w:line="500" w:lineRule="exact"/>
        <w:jc w:val="left"/>
        <w:textAlignment w:val="baseline"/>
        <w:rPr>
          <w:rFonts w:ascii="微软雅黑" w:hAnsi="微软雅黑" w:eastAsia="微软雅黑" w:cs="微软雅黑"/>
          <w:sz w:val="24"/>
        </w:rPr>
      </w:pPr>
    </w:p>
    <w:p>
      <w:pPr>
        <w:pStyle w:val="14"/>
        <w:snapToGrid w:val="0"/>
        <w:spacing w:line="500" w:lineRule="exact"/>
        <w:jc w:val="left"/>
        <w:textAlignment w:val="baseline"/>
        <w:rPr>
          <w:rFonts w:ascii="微软雅黑" w:hAnsi="微软雅黑" w:eastAsia="微软雅黑" w:cs="微软雅黑"/>
          <w:sz w:val="24"/>
        </w:rPr>
      </w:pPr>
    </w:p>
    <w:p>
      <w:pPr>
        <w:pStyle w:val="14"/>
        <w:snapToGrid w:val="0"/>
        <w:spacing w:line="500" w:lineRule="exact"/>
        <w:ind w:firstLine="0"/>
        <w:jc w:val="left"/>
        <w:textAlignment w:val="baseline"/>
        <w:rPr>
          <w:rFonts w:ascii="微软雅黑" w:hAnsi="微软雅黑" w:eastAsia="微软雅黑" w:cs="微软雅黑"/>
          <w:sz w:val="24"/>
        </w:rPr>
      </w:pPr>
      <w:r>
        <w:rPr>
          <w:rFonts w:hint="eastAsia" w:ascii="微软雅黑" w:hAnsi="微软雅黑" w:eastAsia="微软雅黑" w:cs="微软雅黑"/>
          <w:sz w:val="24"/>
        </w:rPr>
        <w:t>法定代表人或授权代表签字：</w:t>
      </w:r>
    </w:p>
    <w:p>
      <w:pPr>
        <w:pStyle w:val="14"/>
        <w:snapToGrid w:val="0"/>
        <w:spacing w:line="500" w:lineRule="exact"/>
        <w:ind w:firstLine="0"/>
        <w:jc w:val="left"/>
        <w:textAlignment w:val="baseline"/>
        <w:rPr>
          <w:rFonts w:ascii="微软雅黑" w:hAnsi="微软雅黑" w:eastAsia="微软雅黑" w:cs="微软雅黑"/>
          <w:sz w:val="24"/>
        </w:rPr>
      </w:pPr>
      <w:r>
        <w:rPr>
          <w:rFonts w:hint="eastAsia" w:ascii="微软雅黑" w:hAnsi="微软雅黑" w:eastAsia="微软雅黑" w:cs="微软雅黑"/>
          <w:sz w:val="24"/>
        </w:rPr>
        <w:t>投标供应商公章：</w:t>
      </w:r>
    </w:p>
    <w:p>
      <w:pPr>
        <w:pStyle w:val="14"/>
        <w:snapToGrid w:val="0"/>
        <w:spacing w:line="500" w:lineRule="exact"/>
        <w:ind w:firstLine="0"/>
        <w:jc w:val="left"/>
        <w:textAlignment w:val="baseline"/>
        <w:rPr>
          <w:rFonts w:ascii="微软雅黑" w:hAnsi="微软雅黑" w:eastAsia="微软雅黑" w:cs="微软雅黑"/>
          <w:sz w:val="24"/>
        </w:rPr>
      </w:pPr>
      <w:r>
        <w:rPr>
          <w:rFonts w:hint="eastAsia" w:ascii="微软雅黑" w:hAnsi="微软雅黑" w:eastAsia="微软雅黑" w:cs="微软雅黑"/>
          <w:sz w:val="24"/>
        </w:rPr>
        <w:t>日期：</w:t>
      </w:r>
      <w:r>
        <w:rPr>
          <w:rFonts w:ascii="微软雅黑" w:hAnsi="微软雅黑" w:eastAsia="微软雅黑" w:cs="微软雅黑"/>
          <w:sz w:val="24"/>
        </w:rPr>
        <w:t>202</w:t>
      </w:r>
      <w:r>
        <w:rPr>
          <w:rFonts w:hint="eastAsia" w:ascii="微软雅黑" w:hAnsi="微软雅黑" w:eastAsia="微软雅黑" w:cs="微软雅黑"/>
          <w:sz w:val="24"/>
        </w:rPr>
        <w:t>2年月日</w:t>
      </w:r>
    </w:p>
    <w:p>
      <w:pPr>
        <w:snapToGrid w:val="0"/>
        <w:spacing w:line="360" w:lineRule="auto"/>
        <w:jc w:val="center"/>
        <w:textAlignment w:val="baseline"/>
        <w:rPr>
          <w:rFonts w:ascii="微软雅黑" w:hAnsi="微软雅黑" w:eastAsia="微软雅黑" w:cs="微软雅黑"/>
          <w:b/>
          <w:sz w:val="32"/>
          <w:szCs w:val="32"/>
        </w:rPr>
      </w:pPr>
    </w:p>
    <w:p>
      <w:pPr>
        <w:snapToGrid w:val="0"/>
        <w:spacing w:line="360" w:lineRule="auto"/>
        <w:jc w:val="center"/>
        <w:textAlignment w:val="baseline"/>
        <w:rPr>
          <w:rFonts w:ascii="微软雅黑" w:hAnsi="微软雅黑" w:eastAsia="微软雅黑" w:cs="微软雅黑"/>
          <w:b/>
          <w:sz w:val="32"/>
          <w:szCs w:val="32"/>
        </w:rPr>
      </w:pPr>
      <w:r>
        <w:rPr>
          <w:rFonts w:hint="eastAsia" w:ascii="微软雅黑" w:hAnsi="微软雅黑" w:eastAsia="微软雅黑" w:cs="微软雅黑"/>
          <w:b/>
          <w:sz w:val="32"/>
          <w:szCs w:val="32"/>
        </w:rPr>
        <w:t>投标供应商认为需要加以说明的其他内容</w:t>
      </w:r>
    </w:p>
    <w:p>
      <w:pPr>
        <w:pStyle w:val="14"/>
        <w:snapToGrid w:val="0"/>
        <w:spacing w:line="500" w:lineRule="exact"/>
        <w:ind w:firstLine="0"/>
        <w:textAlignment w:val="baseline"/>
        <w:rPr>
          <w:rFonts w:ascii="微软雅黑" w:hAnsi="微软雅黑" w:eastAsia="微软雅黑" w:cs="微软雅黑"/>
          <w:b/>
          <w:sz w:val="24"/>
          <w:szCs w:val="24"/>
        </w:rPr>
      </w:pPr>
    </w:p>
    <w:p>
      <w:pPr>
        <w:pStyle w:val="14"/>
        <w:snapToGrid w:val="0"/>
        <w:spacing w:line="500" w:lineRule="exact"/>
        <w:ind w:firstLine="0"/>
        <w:textAlignment w:val="baseline"/>
        <w:rPr>
          <w:rFonts w:ascii="微软雅黑" w:hAnsi="微软雅黑" w:eastAsia="微软雅黑" w:cs="微软雅黑"/>
          <w:b/>
          <w:sz w:val="24"/>
          <w:szCs w:val="24"/>
        </w:rPr>
      </w:pPr>
    </w:p>
    <w:p>
      <w:pPr>
        <w:pStyle w:val="14"/>
        <w:snapToGrid w:val="0"/>
        <w:spacing w:line="500" w:lineRule="exact"/>
        <w:ind w:firstLine="0"/>
        <w:textAlignment w:val="baseline"/>
        <w:rPr>
          <w:rFonts w:ascii="微软雅黑" w:hAnsi="微软雅黑" w:eastAsia="微软雅黑" w:cs="微软雅黑"/>
          <w:b/>
          <w:sz w:val="24"/>
          <w:szCs w:val="24"/>
        </w:rPr>
      </w:pPr>
    </w:p>
    <w:p>
      <w:pPr>
        <w:pStyle w:val="14"/>
        <w:snapToGrid w:val="0"/>
        <w:spacing w:line="500" w:lineRule="exact"/>
        <w:ind w:firstLineChars="175"/>
        <w:textAlignment w:val="baseline"/>
        <w:rPr>
          <w:rFonts w:ascii="微软雅黑" w:hAnsi="微软雅黑" w:eastAsia="微软雅黑" w:cs="微软雅黑"/>
          <w:b/>
          <w:sz w:val="24"/>
          <w:szCs w:val="24"/>
        </w:rPr>
      </w:pPr>
    </w:p>
    <w:p>
      <w:pPr>
        <w:pStyle w:val="14"/>
        <w:snapToGrid w:val="0"/>
        <w:spacing w:line="500" w:lineRule="exact"/>
        <w:ind w:firstLine="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投标供应商：（盖章）</w:t>
      </w:r>
    </w:p>
    <w:p>
      <w:pPr>
        <w:pStyle w:val="14"/>
        <w:snapToGrid w:val="0"/>
        <w:spacing w:line="500" w:lineRule="exact"/>
        <w:ind w:firstLine="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法定代表人或其授权代理人（签字或盖章）</w:t>
      </w:r>
    </w:p>
    <w:p>
      <w:pPr>
        <w:pStyle w:val="14"/>
        <w:snapToGrid w:val="0"/>
        <w:spacing w:line="500" w:lineRule="exact"/>
        <w:ind w:firstLine="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日期：年月日</w:t>
      </w:r>
    </w:p>
    <w:p>
      <w:pPr>
        <w:snapToGrid w:val="0"/>
        <w:spacing w:before="50" w:after="50"/>
        <w:textAlignment w:val="baseline"/>
        <w:rPr>
          <w:rFonts w:ascii="微软雅黑" w:hAnsi="微软雅黑" w:eastAsia="微软雅黑" w:cs="微软雅黑"/>
          <w:sz w:val="24"/>
        </w:rPr>
      </w:pPr>
    </w:p>
    <w:p>
      <w:pPr>
        <w:snapToGrid w:val="0"/>
        <w:spacing w:line="460" w:lineRule="exact"/>
        <w:jc w:val="center"/>
        <w:textAlignment w:val="baseline"/>
        <w:rPr>
          <w:rFonts w:ascii="微软雅黑" w:hAnsi="微软雅黑" w:eastAsia="微软雅黑" w:cs="微软雅黑"/>
          <w:b/>
          <w:sz w:val="36"/>
          <w:szCs w:val="36"/>
        </w:rPr>
      </w:pPr>
    </w:p>
    <w:p>
      <w:pPr>
        <w:pStyle w:val="84"/>
        <w:snapToGrid w:val="0"/>
        <w:ind w:firstLine="280"/>
        <w:textAlignment w:val="baseline"/>
        <w:rPr>
          <w:rFonts w:ascii="微软雅黑" w:hAnsi="微软雅黑" w:eastAsia="微软雅黑" w:cs="微软雅黑"/>
        </w:rPr>
      </w:pPr>
    </w:p>
    <w:p>
      <w:pPr>
        <w:snapToGrid w:val="0"/>
        <w:textAlignment w:val="baseline"/>
        <w:rPr>
          <w:rFonts w:ascii="微软雅黑" w:hAnsi="微软雅黑" w:eastAsia="微软雅黑" w:cs="微软雅黑"/>
          <w:sz w:val="20"/>
        </w:rPr>
      </w:pPr>
    </w:p>
    <w:p>
      <w:pPr>
        <w:pStyle w:val="84"/>
        <w:snapToGrid w:val="0"/>
        <w:ind w:firstLine="280"/>
        <w:textAlignment w:val="baseline"/>
        <w:rPr>
          <w:rFonts w:ascii="微软雅黑" w:hAnsi="微软雅黑" w:eastAsia="微软雅黑" w:cs="微软雅黑"/>
        </w:rPr>
      </w:pPr>
    </w:p>
    <w:p>
      <w:pPr>
        <w:snapToGrid w:val="0"/>
        <w:textAlignment w:val="baseline"/>
        <w:rPr>
          <w:rFonts w:ascii="微软雅黑" w:hAnsi="微软雅黑" w:eastAsia="微软雅黑" w:cs="微软雅黑"/>
          <w:sz w:val="20"/>
        </w:rPr>
      </w:pPr>
    </w:p>
    <w:p>
      <w:pPr>
        <w:tabs>
          <w:tab w:val="left" w:pos="1200"/>
        </w:tabs>
        <w:snapToGrid w:val="0"/>
        <w:spacing w:line="340" w:lineRule="exact"/>
        <w:jc w:val="center"/>
        <w:textAlignment w:val="baseline"/>
        <w:rPr>
          <w:rFonts w:ascii="微软雅黑" w:hAnsi="微软雅黑" w:eastAsia="微软雅黑" w:cs="微软雅黑"/>
          <w:b/>
          <w:color w:val="000000"/>
          <w:sz w:val="30"/>
          <w:szCs w:val="30"/>
        </w:rPr>
      </w:pPr>
      <w:r>
        <w:rPr>
          <w:rFonts w:hint="eastAsia" w:ascii="微软雅黑" w:hAnsi="微软雅黑" w:eastAsia="微软雅黑" w:cs="微软雅黑"/>
          <w:b/>
          <w:bCs/>
          <w:color w:val="000000"/>
          <w:sz w:val="32"/>
          <w:szCs w:val="30"/>
        </w:rPr>
        <w:t>第七章、</w:t>
      </w:r>
      <w:r>
        <w:rPr>
          <w:rFonts w:hint="eastAsia" w:ascii="微软雅黑" w:hAnsi="微软雅黑" w:eastAsia="微软雅黑" w:cs="微软雅黑"/>
          <w:b/>
          <w:color w:val="000000"/>
          <w:sz w:val="30"/>
          <w:szCs w:val="30"/>
        </w:rPr>
        <w:t>自评表</w:t>
      </w:r>
    </w:p>
    <w:p>
      <w:pPr>
        <w:tabs>
          <w:tab w:val="left" w:pos="1200"/>
        </w:tabs>
        <w:snapToGrid w:val="0"/>
        <w:spacing w:line="340" w:lineRule="exact"/>
        <w:jc w:val="center"/>
        <w:textAlignment w:val="baseline"/>
        <w:rPr>
          <w:rFonts w:ascii="微软雅黑" w:hAnsi="微软雅黑" w:eastAsia="微软雅黑" w:cs="微软雅黑"/>
          <w:color w:val="000000"/>
          <w:sz w:val="30"/>
          <w:szCs w:val="30"/>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68"/>
        <w:gridCol w:w="1701"/>
        <w:gridCol w:w="1276"/>
        <w:gridCol w:w="93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序号</w:t>
            </w:r>
          </w:p>
        </w:tc>
        <w:tc>
          <w:tcPr>
            <w:tcW w:w="2968"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评分内容</w:t>
            </w:r>
          </w:p>
        </w:tc>
        <w:tc>
          <w:tcPr>
            <w:tcW w:w="1701"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标准分</w:t>
            </w:r>
          </w:p>
        </w:tc>
        <w:tc>
          <w:tcPr>
            <w:tcW w:w="1276"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自评分</w:t>
            </w:r>
          </w:p>
        </w:tc>
        <w:tc>
          <w:tcPr>
            <w:tcW w:w="930"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自评</w:t>
            </w:r>
          </w:p>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依据</w:t>
            </w:r>
          </w:p>
        </w:tc>
        <w:tc>
          <w:tcPr>
            <w:tcW w:w="1154"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hint="eastAsia" w:ascii="微软雅黑" w:hAnsi="微软雅黑" w:eastAsia="微软雅黑" w:cs="微软雅黑"/>
                <w:color w:val="000000"/>
                <w:szCs w:val="21"/>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1</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2</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3</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4</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5</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6</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kern w:val="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7</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8</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9</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r>
              <w:rPr>
                <w:rFonts w:ascii="微软雅黑" w:hAnsi="微软雅黑" w:eastAsia="微软雅黑" w:cs="微软雅黑"/>
                <w:color w:val="000000"/>
                <w:szCs w:val="21"/>
              </w:rPr>
              <w:t>10</w:t>
            </w:r>
          </w:p>
        </w:tc>
        <w:tc>
          <w:tcPr>
            <w:tcW w:w="2968" w:type="dxa"/>
            <w:vAlign w:val="center"/>
          </w:tcPr>
          <w:p>
            <w:pPr>
              <w:snapToGrid w:val="0"/>
              <w:spacing w:line="300" w:lineRule="exact"/>
              <w:jc w:val="center"/>
              <w:textAlignment w:val="baseline"/>
              <w:rPr>
                <w:rFonts w:ascii="微软雅黑" w:hAnsi="微软雅黑" w:eastAsia="微软雅黑" w:cs="微软雅黑"/>
                <w:b/>
                <w:color w:val="000000"/>
                <w:sz w:val="20"/>
                <w:szCs w:val="21"/>
              </w:rPr>
            </w:pPr>
          </w:p>
        </w:tc>
        <w:tc>
          <w:tcPr>
            <w:tcW w:w="1701" w:type="dxa"/>
            <w:vAlign w:val="center"/>
          </w:tcPr>
          <w:p>
            <w:pPr>
              <w:snapToGrid w:val="0"/>
              <w:spacing w:line="30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Align w:val="center"/>
          </w:tcPr>
          <w:p>
            <w:pPr>
              <w:snapToGrid w:val="0"/>
              <w:spacing w:line="360" w:lineRule="exact"/>
              <w:jc w:val="center"/>
              <w:textAlignment w:val="baseline"/>
              <w:rPr>
                <w:rFonts w:ascii="微软雅黑" w:hAnsi="微软雅黑" w:eastAsia="微软雅黑" w:cs="微软雅黑"/>
                <w:color w:val="000000"/>
                <w:sz w:val="20"/>
                <w:szCs w:val="21"/>
              </w:rPr>
            </w:pPr>
          </w:p>
        </w:tc>
        <w:tc>
          <w:tcPr>
            <w:tcW w:w="2968" w:type="dxa"/>
            <w:vAlign w:val="center"/>
          </w:tcPr>
          <w:p>
            <w:pPr>
              <w:snapToGrid w:val="0"/>
              <w:spacing w:line="360" w:lineRule="exact"/>
              <w:jc w:val="center"/>
              <w:textAlignment w:val="baseline"/>
              <w:rPr>
                <w:rFonts w:ascii="微软雅黑" w:hAnsi="微软雅黑" w:eastAsia="微软雅黑" w:cs="微软雅黑"/>
                <w:color w:val="000000"/>
                <w:sz w:val="20"/>
                <w:szCs w:val="21"/>
              </w:rPr>
            </w:pPr>
          </w:p>
        </w:tc>
        <w:tc>
          <w:tcPr>
            <w:tcW w:w="1701" w:type="dxa"/>
            <w:vAlign w:val="center"/>
          </w:tcPr>
          <w:p>
            <w:pPr>
              <w:snapToGrid w:val="0"/>
              <w:spacing w:line="360" w:lineRule="exact"/>
              <w:jc w:val="center"/>
              <w:textAlignment w:val="baseline"/>
              <w:rPr>
                <w:rFonts w:ascii="微软雅黑" w:hAnsi="微软雅黑" w:eastAsia="微软雅黑" w:cs="微软雅黑"/>
                <w:color w:val="000000"/>
                <w:sz w:val="20"/>
                <w:szCs w:val="21"/>
              </w:rPr>
            </w:pPr>
          </w:p>
        </w:tc>
        <w:tc>
          <w:tcPr>
            <w:tcW w:w="1276"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930" w:type="dxa"/>
            <w:vAlign w:val="center"/>
          </w:tcPr>
          <w:p>
            <w:pPr>
              <w:snapToGrid w:val="0"/>
              <w:spacing w:line="360" w:lineRule="exact"/>
              <w:textAlignment w:val="baseline"/>
              <w:rPr>
                <w:rFonts w:ascii="微软雅黑" w:hAnsi="微软雅黑" w:eastAsia="微软雅黑" w:cs="微软雅黑"/>
                <w:color w:val="000000"/>
                <w:sz w:val="20"/>
                <w:szCs w:val="21"/>
              </w:rPr>
            </w:pPr>
          </w:p>
        </w:tc>
        <w:tc>
          <w:tcPr>
            <w:tcW w:w="1154" w:type="dxa"/>
            <w:vAlign w:val="center"/>
          </w:tcPr>
          <w:p>
            <w:pPr>
              <w:snapToGrid w:val="0"/>
              <w:spacing w:line="360" w:lineRule="exact"/>
              <w:textAlignment w:val="baseline"/>
              <w:rPr>
                <w:rFonts w:ascii="微软雅黑" w:hAnsi="微软雅黑" w:eastAsia="微软雅黑" w:cs="微软雅黑"/>
                <w:color w:val="000000"/>
                <w:sz w:val="20"/>
                <w:szCs w:val="21"/>
              </w:rPr>
            </w:pPr>
          </w:p>
        </w:tc>
      </w:tr>
    </w:tbl>
    <w:p>
      <w:pPr>
        <w:snapToGrid w:val="0"/>
        <w:spacing w:line="400" w:lineRule="exact"/>
        <w:ind w:left="546" w:leftChars="195"/>
        <w:textAlignment w:val="baseline"/>
        <w:rPr>
          <w:rFonts w:ascii="微软雅黑" w:hAnsi="微软雅黑" w:eastAsia="微软雅黑" w:cs="微软雅黑"/>
          <w:b/>
          <w:color w:val="000000"/>
          <w:sz w:val="20"/>
          <w:szCs w:val="21"/>
        </w:rPr>
      </w:pPr>
      <w:r>
        <w:rPr>
          <w:rFonts w:hint="eastAsia" w:ascii="微软雅黑" w:hAnsi="微软雅黑" w:eastAsia="微软雅黑" w:cs="微软雅黑"/>
          <w:b/>
          <w:color w:val="000000"/>
          <w:szCs w:val="21"/>
        </w:rPr>
        <w:t>注：“自评表”装订在技术商务文件首页。投标供应商应认真填写相关内容在投标文件中所对应的页码。</w:t>
      </w:r>
    </w:p>
    <w:p>
      <w:pPr>
        <w:snapToGrid w:val="0"/>
        <w:textAlignment w:val="baseline"/>
        <w:rPr>
          <w:rFonts w:ascii="微软雅黑" w:hAnsi="微软雅黑" w:eastAsia="微软雅黑" w:cs="微软雅黑"/>
          <w:sz w:val="20"/>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长城仿宋">
    <w:altName w:val="仿宋"/>
    <w:panose1 w:val="00000000000000000000"/>
    <w:charset w:val="00"/>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ingLiUfalt">
    <w:altName w:val="Segoe Print"/>
    <w:panose1 w:val="00000000000000000000"/>
    <w:charset w:val="00"/>
    <w:family w:val="modern"/>
    <w:pitch w:val="default"/>
    <w:sig w:usb0="00000000" w:usb1="00000000" w:usb2="00000010" w:usb3="00000000" w:csb0="00100000"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swiss"/>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p>
    <w:pPr>
      <w:pStyle w:val="30"/>
      <w:rPr>
        <w:rFonts w:ascii="黑体" w:hAnsi="MS PGothic" w:eastAsia="黑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MS PGothic" w:eastAsia="黑体"/>
      </w:rPr>
    </w:pPr>
    <w: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MS PGothic" w:eastAsia="黑体"/>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38</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MS PGothic" w:eastAsia="黑体"/>
      </w:rPr>
    </w:pPr>
    <w: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MS PGothic" w:eastAsia="黑体"/>
      </w:rP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80</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79</w:t>
                </w:r>
                <w:r>
                  <w:fldChar w:fldCharType="end"/>
                </w:r>
                <w: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黑体" w:hAnsi="MS PGothic" w:eastAsia="黑体"/>
      </w:rPr>
    </w:pPr>
    <w: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81</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ascii="宋体" w:hAnsi="宋体" w:eastAsia="仿宋_GB2312"/>
      </w:rPr>
    </w:pPr>
    <w:r>
      <w:rPr>
        <w:rFonts w:hint="eastAsia" w:ascii="宋体" w:hAnsi="宋体" w:eastAsia="仿宋_GB2312"/>
      </w:rPr>
      <w:t>浙江省环境质量自动监测智能化建设项目招标文件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r>
      <w:rPr>
        <w:rFonts w:hint="eastAsia" w:ascii="微软雅黑" w:hAnsi="微软雅黑" w:eastAsia="微软雅黑" w:cs="微软雅黑"/>
      </w:rPr>
      <w:t>浙江省环境质量自动监测智能化建设项目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ascii="微软雅黑" w:hAnsi="微软雅黑" w:eastAsia="微软雅黑" w:cs="微软雅黑"/>
        <w:sz w:val="21"/>
        <w:szCs w:val="24"/>
      </w:rPr>
    </w:pPr>
    <w:r>
      <w:rPr>
        <w:rFonts w:hint="eastAsia" w:ascii="微软雅黑" w:hAnsi="微软雅黑" w:eastAsia="微软雅黑" w:cs="微软雅黑"/>
      </w:rPr>
      <w:t>浙江省环境质量自动监测智能化建设项目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AB4E3D2E"/>
    <w:multiLevelType w:val="singleLevel"/>
    <w:tmpl w:val="AB4E3D2E"/>
    <w:lvl w:ilvl="0" w:tentative="0">
      <w:start w:val="1"/>
      <w:numFmt w:val="decimal"/>
      <w:lvlText w:val="%1."/>
      <w:lvlJc w:val="left"/>
      <w:pPr>
        <w:ind w:left="425" w:hanging="425"/>
      </w:pPr>
      <w:rPr>
        <w:rFonts w:hint="default"/>
      </w:rPr>
    </w:lvl>
  </w:abstractNum>
  <w:abstractNum w:abstractNumId="2">
    <w:nsid w:val="B7DE6712"/>
    <w:multiLevelType w:val="singleLevel"/>
    <w:tmpl w:val="B7DE6712"/>
    <w:lvl w:ilvl="0" w:tentative="0">
      <w:start w:val="1"/>
      <w:numFmt w:val="decimal"/>
      <w:lvlText w:val="%1."/>
      <w:lvlJc w:val="left"/>
      <w:pPr>
        <w:ind w:left="425" w:hanging="425"/>
      </w:pPr>
      <w:rPr>
        <w:rFonts w:hint="default"/>
      </w:rPr>
    </w:lvl>
  </w:abstractNum>
  <w:abstractNum w:abstractNumId="3">
    <w:nsid w:val="D2515E9E"/>
    <w:multiLevelType w:val="singleLevel"/>
    <w:tmpl w:val="D2515E9E"/>
    <w:lvl w:ilvl="0" w:tentative="0">
      <w:start w:val="1"/>
      <w:numFmt w:val="decimal"/>
      <w:suff w:val="nothing"/>
      <w:lvlText w:val="%1．"/>
      <w:lvlJc w:val="left"/>
      <w:pPr>
        <w:ind w:firstLine="400"/>
      </w:pPr>
      <w:rPr>
        <w:rFonts w:hint="default" w:cs="Times New Roman"/>
      </w:rPr>
    </w:lvl>
  </w:abstractNum>
  <w:abstractNum w:abstractNumId="4">
    <w:nsid w:val="D8A7A62E"/>
    <w:multiLevelType w:val="singleLevel"/>
    <w:tmpl w:val="D8A7A62E"/>
    <w:lvl w:ilvl="0" w:tentative="0">
      <w:start w:val="1"/>
      <w:numFmt w:val="decimal"/>
      <w:suff w:val="nothing"/>
      <w:lvlText w:val="%1．"/>
      <w:lvlJc w:val="left"/>
      <w:pPr>
        <w:ind w:left="0" w:firstLine="400"/>
      </w:pPr>
      <w:rPr>
        <w:rFonts w:hint="default"/>
      </w:rPr>
    </w:lvl>
  </w:abstractNum>
  <w:abstractNum w:abstractNumId="5">
    <w:nsid w:val="EB419B3E"/>
    <w:multiLevelType w:val="singleLevel"/>
    <w:tmpl w:val="EB419B3E"/>
    <w:lvl w:ilvl="0" w:tentative="0">
      <w:start w:val="1"/>
      <w:numFmt w:val="chineseCounting"/>
      <w:suff w:val="nothing"/>
      <w:lvlText w:val="%1、"/>
      <w:lvlJc w:val="left"/>
      <w:pPr>
        <w:ind w:left="-420" w:firstLine="420"/>
      </w:pPr>
      <w:rPr>
        <w:rFonts w:hint="eastAsia" w:cs="Times New Roman"/>
      </w:rPr>
    </w:lvl>
  </w:abstractNum>
  <w:abstractNum w:abstractNumId="6">
    <w:nsid w:val="EDEC6D78"/>
    <w:multiLevelType w:val="singleLevel"/>
    <w:tmpl w:val="EDEC6D78"/>
    <w:lvl w:ilvl="0" w:tentative="0">
      <w:start w:val="2"/>
      <w:numFmt w:val="chineseCounting"/>
      <w:suff w:val="nothing"/>
      <w:lvlText w:val="%1、"/>
      <w:lvlJc w:val="left"/>
      <w:rPr>
        <w:rFonts w:hint="eastAsia"/>
      </w:rPr>
    </w:lvl>
  </w:abstractNum>
  <w:abstractNum w:abstractNumId="7">
    <w:nsid w:val="FCA5D852"/>
    <w:multiLevelType w:val="singleLevel"/>
    <w:tmpl w:val="FCA5D852"/>
    <w:lvl w:ilvl="0" w:tentative="0">
      <w:start w:val="1"/>
      <w:numFmt w:val="decimal"/>
      <w:lvlText w:val="%1."/>
      <w:lvlJc w:val="left"/>
      <w:pPr>
        <w:ind w:left="425" w:hanging="425"/>
      </w:pPr>
      <w:rPr>
        <w:rFonts w:hint="default" w:cs="Times New Roman"/>
      </w:rPr>
    </w:lvl>
  </w:abstractNum>
  <w:abstractNum w:abstractNumId="8">
    <w:nsid w:val="00000003"/>
    <w:multiLevelType w:val="singleLevel"/>
    <w:tmpl w:val="00000003"/>
    <w:lvl w:ilvl="0" w:tentative="0">
      <w:start w:val="1"/>
      <w:numFmt w:val="decimal"/>
      <w:lvlText w:val="(%1)"/>
      <w:lvlJc w:val="left"/>
      <w:pPr>
        <w:ind w:left="425" w:hanging="425"/>
      </w:pPr>
      <w:rPr>
        <w:rFonts w:hint="default" w:cs="Times New Roman"/>
      </w:rPr>
    </w:lvl>
  </w:abstractNum>
  <w:abstractNum w:abstractNumId="9">
    <w:nsid w:val="00000011"/>
    <w:multiLevelType w:val="singleLevel"/>
    <w:tmpl w:val="00000011"/>
    <w:lvl w:ilvl="0" w:tentative="0">
      <w:start w:val="1"/>
      <w:numFmt w:val="decimal"/>
      <w:lvlText w:val="(%1)"/>
      <w:lvlJc w:val="left"/>
      <w:pPr>
        <w:ind w:left="425" w:hanging="425"/>
      </w:pPr>
      <w:rPr>
        <w:rFonts w:hint="default" w:cs="Times New Roman"/>
      </w:rPr>
    </w:lvl>
  </w:abstractNum>
  <w:abstractNum w:abstractNumId="10">
    <w:nsid w:val="00000017"/>
    <w:multiLevelType w:val="singleLevel"/>
    <w:tmpl w:val="00000017"/>
    <w:lvl w:ilvl="0" w:tentative="0">
      <w:start w:val="1"/>
      <w:numFmt w:val="chineseCounting"/>
      <w:suff w:val="nothing"/>
      <w:lvlText w:val="（%1）"/>
      <w:lvlJc w:val="left"/>
      <w:pPr>
        <w:ind w:firstLine="420"/>
      </w:pPr>
      <w:rPr>
        <w:rFonts w:hint="eastAsia" w:cs="Times New Roman"/>
      </w:rPr>
    </w:lvl>
  </w:abstractNum>
  <w:abstractNum w:abstractNumId="11">
    <w:nsid w:val="00000024"/>
    <w:multiLevelType w:val="singleLevel"/>
    <w:tmpl w:val="00000024"/>
    <w:lvl w:ilvl="0" w:tentative="0">
      <w:start w:val="1"/>
      <w:numFmt w:val="decimal"/>
      <w:suff w:val="nothing"/>
      <w:lvlText w:val="%1．"/>
      <w:lvlJc w:val="left"/>
      <w:pPr>
        <w:ind w:firstLine="400"/>
      </w:pPr>
      <w:rPr>
        <w:rFonts w:hint="default" w:cs="Times New Roman"/>
      </w:rPr>
    </w:lvl>
  </w:abstractNum>
  <w:abstractNum w:abstractNumId="12">
    <w:nsid w:val="007B3BD7"/>
    <w:multiLevelType w:val="singleLevel"/>
    <w:tmpl w:val="007B3BD7"/>
    <w:lvl w:ilvl="0" w:tentative="0">
      <w:start w:val="1"/>
      <w:numFmt w:val="decimal"/>
      <w:suff w:val="nothing"/>
      <w:lvlText w:val="%1、"/>
      <w:lvlJc w:val="left"/>
    </w:lvl>
  </w:abstractNum>
  <w:abstractNum w:abstractNumId="13">
    <w:nsid w:val="1FB9EBDB"/>
    <w:multiLevelType w:val="singleLevel"/>
    <w:tmpl w:val="1FB9EBDB"/>
    <w:lvl w:ilvl="0" w:tentative="0">
      <w:start w:val="2"/>
      <w:numFmt w:val="chineseCounting"/>
      <w:suff w:val="nothing"/>
      <w:lvlText w:val="（%1）"/>
      <w:lvlJc w:val="left"/>
      <w:rPr>
        <w:rFonts w:hint="eastAsia" w:cs="Times New Roman"/>
      </w:rPr>
    </w:lvl>
  </w:abstractNum>
  <w:abstractNum w:abstractNumId="14">
    <w:nsid w:val="2BCB41D2"/>
    <w:multiLevelType w:val="multilevel"/>
    <w:tmpl w:val="2BCB41D2"/>
    <w:lvl w:ilvl="0" w:tentative="0">
      <w:start w:val="1"/>
      <w:numFmt w:val="decimalEnclosedCircle"/>
      <w:lvlText w:val="%1"/>
      <w:lvlJc w:val="left"/>
      <w:pPr>
        <w:ind w:left="360" w:hanging="360"/>
      </w:pPr>
      <w:rPr>
        <w:rFonts w:hint="eastAsia"/>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28BB4CE"/>
    <w:multiLevelType w:val="singleLevel"/>
    <w:tmpl w:val="428BB4CE"/>
    <w:lvl w:ilvl="0" w:tentative="0">
      <w:start w:val="1"/>
      <w:numFmt w:val="decimal"/>
      <w:suff w:val="nothing"/>
      <w:lvlText w:val="%1．"/>
      <w:lvlJc w:val="left"/>
      <w:pPr>
        <w:ind w:firstLine="400"/>
      </w:pPr>
      <w:rPr>
        <w:rFonts w:hint="default" w:cs="Times New Roman"/>
      </w:rPr>
    </w:lvl>
  </w:abstractNum>
  <w:abstractNum w:abstractNumId="16">
    <w:nsid w:val="4BAC61B6"/>
    <w:multiLevelType w:val="singleLevel"/>
    <w:tmpl w:val="4BAC61B6"/>
    <w:lvl w:ilvl="0" w:tentative="0">
      <w:start w:val="1"/>
      <w:numFmt w:val="decimal"/>
      <w:suff w:val="nothing"/>
      <w:lvlText w:val="%1．"/>
      <w:lvlJc w:val="left"/>
      <w:pPr>
        <w:ind w:firstLine="400"/>
      </w:pPr>
      <w:rPr>
        <w:rFonts w:hint="default" w:cs="Times New Roman"/>
      </w:rPr>
    </w:lvl>
  </w:abstractNum>
  <w:abstractNum w:abstractNumId="17">
    <w:nsid w:val="575395FA"/>
    <w:multiLevelType w:val="multilevel"/>
    <w:tmpl w:val="575395FA"/>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847" w:hanging="567"/>
      </w:pPr>
      <w:rPr>
        <w:rFonts w:hint="default" w:cs="Times New Roman"/>
      </w:rPr>
    </w:lvl>
    <w:lvl w:ilvl="2" w:tentative="0">
      <w:start w:val="1"/>
      <w:numFmt w:val="decimal"/>
      <w:lvlText w:val="%1.%2.%3."/>
      <w:lvlJc w:val="left"/>
      <w:pPr>
        <w:ind w:left="709" w:hanging="709"/>
      </w:pPr>
      <w:rPr>
        <w:rFonts w:hint="default" w:cs="Times New Roman"/>
      </w:rPr>
    </w:lvl>
    <w:lvl w:ilvl="3" w:tentative="0">
      <w:start w:val="1"/>
      <w:numFmt w:val="decimal"/>
      <w:lvlText w:val="%1.%2.%3.%4."/>
      <w:lvlJc w:val="left"/>
      <w:pPr>
        <w:ind w:left="850" w:hanging="850"/>
      </w:pPr>
      <w:rPr>
        <w:rFonts w:hint="default" w:cs="Times New Roman"/>
      </w:rPr>
    </w:lvl>
    <w:lvl w:ilvl="4" w:tentative="0">
      <w:start w:val="1"/>
      <w:numFmt w:val="decimal"/>
      <w:lvlText w:val="%1.%2.%3.%4.%5."/>
      <w:lvlJc w:val="left"/>
      <w:pPr>
        <w:ind w:left="991" w:hanging="991"/>
      </w:pPr>
      <w:rPr>
        <w:rFonts w:hint="default" w:cs="Times New Roman"/>
      </w:rPr>
    </w:lvl>
    <w:lvl w:ilvl="5" w:tentative="0">
      <w:start w:val="1"/>
      <w:numFmt w:val="decimal"/>
      <w:lvlText w:val="%1.%2.%3.%4.%5.%6."/>
      <w:lvlJc w:val="left"/>
      <w:pPr>
        <w:ind w:left="1134" w:hanging="1134"/>
      </w:pPr>
      <w:rPr>
        <w:rFonts w:hint="default" w:cs="Times New Roman"/>
      </w:rPr>
    </w:lvl>
    <w:lvl w:ilvl="6" w:tentative="0">
      <w:start w:val="1"/>
      <w:numFmt w:val="decimal"/>
      <w:lvlText w:val="%1.%2.%3.%4.%5.%6.%7."/>
      <w:lvlJc w:val="left"/>
      <w:pPr>
        <w:ind w:left="1275" w:hanging="1275"/>
      </w:pPr>
      <w:rPr>
        <w:rFonts w:hint="default" w:cs="Times New Roman"/>
      </w:rPr>
    </w:lvl>
    <w:lvl w:ilvl="7" w:tentative="0">
      <w:start w:val="1"/>
      <w:numFmt w:val="decimal"/>
      <w:lvlText w:val="%1.%2.%3.%4.%5.%6.%7.%8."/>
      <w:lvlJc w:val="left"/>
      <w:pPr>
        <w:ind w:left="1418" w:hanging="1418"/>
      </w:pPr>
      <w:rPr>
        <w:rFonts w:hint="default" w:cs="Times New Roman"/>
      </w:rPr>
    </w:lvl>
    <w:lvl w:ilvl="8" w:tentative="0">
      <w:start w:val="1"/>
      <w:numFmt w:val="decimal"/>
      <w:lvlText w:val="%1.%2.%3.%4.%5.%6.%7.%8.%9."/>
      <w:lvlJc w:val="left"/>
      <w:pPr>
        <w:ind w:left="1558" w:hanging="1558"/>
      </w:pPr>
      <w:rPr>
        <w:rFonts w:hint="default" w:cs="Times New Roman"/>
      </w:rPr>
    </w:lvl>
  </w:abstractNum>
  <w:abstractNum w:abstractNumId="18">
    <w:nsid w:val="576E4B17"/>
    <w:multiLevelType w:val="singleLevel"/>
    <w:tmpl w:val="576E4B17"/>
    <w:lvl w:ilvl="0" w:tentative="0">
      <w:start w:val="1"/>
      <w:numFmt w:val="chineseCounting"/>
      <w:suff w:val="nothing"/>
      <w:lvlText w:val="%1、"/>
      <w:lvlJc w:val="left"/>
      <w:pPr>
        <w:ind w:left="140" w:firstLine="420"/>
      </w:pPr>
      <w:rPr>
        <w:rFonts w:hint="eastAsia"/>
      </w:rPr>
    </w:lvl>
  </w:abstractNum>
  <w:abstractNum w:abstractNumId="19">
    <w:nsid w:val="6D1A231B"/>
    <w:multiLevelType w:val="singleLevel"/>
    <w:tmpl w:val="6D1A231B"/>
    <w:lvl w:ilvl="0" w:tentative="0">
      <w:start w:val="1"/>
      <w:numFmt w:val="chineseCounting"/>
      <w:suff w:val="nothing"/>
      <w:lvlText w:val="%1、"/>
      <w:lvlJc w:val="left"/>
      <w:pPr>
        <w:ind w:left="-140" w:firstLine="420"/>
      </w:pPr>
      <w:rPr>
        <w:rFonts w:hint="eastAsia"/>
      </w:rPr>
    </w:lvl>
  </w:abstractNum>
  <w:num w:numId="1">
    <w:abstractNumId w:val="5"/>
  </w:num>
  <w:num w:numId="2">
    <w:abstractNumId w:val="16"/>
  </w:num>
  <w:num w:numId="3">
    <w:abstractNumId w:val="3"/>
  </w:num>
  <w:num w:numId="4">
    <w:abstractNumId w:val="10"/>
  </w:num>
  <w:num w:numId="5">
    <w:abstractNumId w:val="11"/>
  </w:num>
  <w:num w:numId="6">
    <w:abstractNumId w:val="8"/>
  </w:num>
  <w:num w:numId="7">
    <w:abstractNumId w:val="9"/>
  </w:num>
  <w:num w:numId="8">
    <w:abstractNumId w:val="15"/>
  </w:num>
  <w:num w:numId="9">
    <w:abstractNumId w:val="7"/>
  </w:num>
  <w:num w:numId="10">
    <w:abstractNumId w:val="19"/>
  </w:num>
  <w:num w:numId="11">
    <w:abstractNumId w:val="17"/>
  </w:num>
  <w:num w:numId="12">
    <w:abstractNumId w:val="1"/>
  </w:num>
  <w:num w:numId="13">
    <w:abstractNumId w:val="14"/>
  </w:num>
  <w:num w:numId="14">
    <w:abstractNumId w:val="18"/>
  </w:num>
  <w:num w:numId="15">
    <w:abstractNumId w:val="2"/>
  </w:num>
  <w:num w:numId="16">
    <w:abstractNumId w:val="0"/>
  </w:num>
  <w:num w:numId="17">
    <w:abstractNumId w:val="4"/>
  </w:num>
  <w:num w:numId="18">
    <w:abstractNumId w:val="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2Y2Q1NmY1NzgzMWU0MWZjMDY4OWE2NGVlMTU2YmIifQ=="/>
  </w:docVars>
  <w:rsids>
    <w:rsidRoot w:val="00F24E48"/>
    <w:rsid w:val="000006B4"/>
    <w:rsid w:val="000007E4"/>
    <w:rsid w:val="000008DE"/>
    <w:rsid w:val="00000FEC"/>
    <w:rsid w:val="0000140C"/>
    <w:rsid w:val="00001C64"/>
    <w:rsid w:val="00003D00"/>
    <w:rsid w:val="00004639"/>
    <w:rsid w:val="00005020"/>
    <w:rsid w:val="00005166"/>
    <w:rsid w:val="00005C6E"/>
    <w:rsid w:val="00005D9D"/>
    <w:rsid w:val="0000609E"/>
    <w:rsid w:val="00006378"/>
    <w:rsid w:val="0000673A"/>
    <w:rsid w:val="000102F6"/>
    <w:rsid w:val="000114AF"/>
    <w:rsid w:val="00011A3E"/>
    <w:rsid w:val="000126C5"/>
    <w:rsid w:val="00015824"/>
    <w:rsid w:val="00015EF2"/>
    <w:rsid w:val="00016668"/>
    <w:rsid w:val="00017645"/>
    <w:rsid w:val="000178E8"/>
    <w:rsid w:val="00020D43"/>
    <w:rsid w:val="00020EFB"/>
    <w:rsid w:val="00021451"/>
    <w:rsid w:val="00022443"/>
    <w:rsid w:val="00023B8D"/>
    <w:rsid w:val="000256CF"/>
    <w:rsid w:val="00027D87"/>
    <w:rsid w:val="000306EA"/>
    <w:rsid w:val="00030720"/>
    <w:rsid w:val="00031679"/>
    <w:rsid w:val="00032E33"/>
    <w:rsid w:val="000341E2"/>
    <w:rsid w:val="00034488"/>
    <w:rsid w:val="0003471A"/>
    <w:rsid w:val="000349A0"/>
    <w:rsid w:val="0003574D"/>
    <w:rsid w:val="00035752"/>
    <w:rsid w:val="0003627D"/>
    <w:rsid w:val="00037665"/>
    <w:rsid w:val="00037F55"/>
    <w:rsid w:val="00041814"/>
    <w:rsid w:val="00043CCD"/>
    <w:rsid w:val="0004481C"/>
    <w:rsid w:val="00044F68"/>
    <w:rsid w:val="00045A61"/>
    <w:rsid w:val="00045DCD"/>
    <w:rsid w:val="00046BEB"/>
    <w:rsid w:val="000472B9"/>
    <w:rsid w:val="000516E4"/>
    <w:rsid w:val="00051EE9"/>
    <w:rsid w:val="00052DBB"/>
    <w:rsid w:val="00053BA4"/>
    <w:rsid w:val="00054955"/>
    <w:rsid w:val="00054E59"/>
    <w:rsid w:val="0005559D"/>
    <w:rsid w:val="00057159"/>
    <w:rsid w:val="000571F3"/>
    <w:rsid w:val="0005747C"/>
    <w:rsid w:val="00057CB4"/>
    <w:rsid w:val="000610ED"/>
    <w:rsid w:val="000618FD"/>
    <w:rsid w:val="0006399B"/>
    <w:rsid w:val="00063ED0"/>
    <w:rsid w:val="00065560"/>
    <w:rsid w:val="000663BB"/>
    <w:rsid w:val="00066AEF"/>
    <w:rsid w:val="00066E08"/>
    <w:rsid w:val="00070DD1"/>
    <w:rsid w:val="000737D2"/>
    <w:rsid w:val="000739C8"/>
    <w:rsid w:val="000747D5"/>
    <w:rsid w:val="00074C4F"/>
    <w:rsid w:val="00075446"/>
    <w:rsid w:val="00075763"/>
    <w:rsid w:val="00076278"/>
    <w:rsid w:val="00076950"/>
    <w:rsid w:val="00076CD5"/>
    <w:rsid w:val="0007747B"/>
    <w:rsid w:val="00077713"/>
    <w:rsid w:val="00077780"/>
    <w:rsid w:val="0007796E"/>
    <w:rsid w:val="0008081E"/>
    <w:rsid w:val="00080AA5"/>
    <w:rsid w:val="000836F5"/>
    <w:rsid w:val="00083A78"/>
    <w:rsid w:val="00084129"/>
    <w:rsid w:val="00084E47"/>
    <w:rsid w:val="000864BC"/>
    <w:rsid w:val="00086A51"/>
    <w:rsid w:val="00086B4D"/>
    <w:rsid w:val="00086B76"/>
    <w:rsid w:val="00087359"/>
    <w:rsid w:val="00087551"/>
    <w:rsid w:val="0009104E"/>
    <w:rsid w:val="000911F8"/>
    <w:rsid w:val="000918E9"/>
    <w:rsid w:val="00092CD3"/>
    <w:rsid w:val="00092E76"/>
    <w:rsid w:val="00093420"/>
    <w:rsid w:val="00095641"/>
    <w:rsid w:val="00095E80"/>
    <w:rsid w:val="00097B83"/>
    <w:rsid w:val="00097D35"/>
    <w:rsid w:val="000A05F6"/>
    <w:rsid w:val="000A0B90"/>
    <w:rsid w:val="000A12B2"/>
    <w:rsid w:val="000A134C"/>
    <w:rsid w:val="000A2067"/>
    <w:rsid w:val="000A2363"/>
    <w:rsid w:val="000A2FC9"/>
    <w:rsid w:val="000A359E"/>
    <w:rsid w:val="000A4A49"/>
    <w:rsid w:val="000A5521"/>
    <w:rsid w:val="000A5993"/>
    <w:rsid w:val="000A5B8E"/>
    <w:rsid w:val="000A6713"/>
    <w:rsid w:val="000A7CFE"/>
    <w:rsid w:val="000B0139"/>
    <w:rsid w:val="000B021B"/>
    <w:rsid w:val="000B0834"/>
    <w:rsid w:val="000B29AF"/>
    <w:rsid w:val="000B3093"/>
    <w:rsid w:val="000B4D21"/>
    <w:rsid w:val="000B66EE"/>
    <w:rsid w:val="000B66FB"/>
    <w:rsid w:val="000B6834"/>
    <w:rsid w:val="000B690E"/>
    <w:rsid w:val="000B6D14"/>
    <w:rsid w:val="000B6DBA"/>
    <w:rsid w:val="000B7CB9"/>
    <w:rsid w:val="000C0CC1"/>
    <w:rsid w:val="000C1898"/>
    <w:rsid w:val="000C2732"/>
    <w:rsid w:val="000C3124"/>
    <w:rsid w:val="000C465E"/>
    <w:rsid w:val="000C5CAB"/>
    <w:rsid w:val="000C5CD6"/>
    <w:rsid w:val="000C635C"/>
    <w:rsid w:val="000C648A"/>
    <w:rsid w:val="000C67B9"/>
    <w:rsid w:val="000C6EC5"/>
    <w:rsid w:val="000C7A22"/>
    <w:rsid w:val="000D07D7"/>
    <w:rsid w:val="000D0F71"/>
    <w:rsid w:val="000D14D9"/>
    <w:rsid w:val="000D1D42"/>
    <w:rsid w:val="000D2DBE"/>
    <w:rsid w:val="000D3A1B"/>
    <w:rsid w:val="000D4758"/>
    <w:rsid w:val="000D5789"/>
    <w:rsid w:val="000D672B"/>
    <w:rsid w:val="000D73D5"/>
    <w:rsid w:val="000D7CCE"/>
    <w:rsid w:val="000D7F5F"/>
    <w:rsid w:val="000E16D3"/>
    <w:rsid w:val="000E29F4"/>
    <w:rsid w:val="000E3FAC"/>
    <w:rsid w:val="000E40AF"/>
    <w:rsid w:val="000E4ED4"/>
    <w:rsid w:val="000E526D"/>
    <w:rsid w:val="000E59F3"/>
    <w:rsid w:val="000E5BEB"/>
    <w:rsid w:val="000F2247"/>
    <w:rsid w:val="000F38F3"/>
    <w:rsid w:val="000F48A6"/>
    <w:rsid w:val="000F4A8A"/>
    <w:rsid w:val="000F63C9"/>
    <w:rsid w:val="000F64D0"/>
    <w:rsid w:val="000F6633"/>
    <w:rsid w:val="000F6943"/>
    <w:rsid w:val="000F6D52"/>
    <w:rsid w:val="000F70F9"/>
    <w:rsid w:val="001019A4"/>
    <w:rsid w:val="00101E7C"/>
    <w:rsid w:val="00102F8E"/>
    <w:rsid w:val="0010382C"/>
    <w:rsid w:val="00104678"/>
    <w:rsid w:val="00104914"/>
    <w:rsid w:val="001055CE"/>
    <w:rsid w:val="00107876"/>
    <w:rsid w:val="00107E28"/>
    <w:rsid w:val="001102A0"/>
    <w:rsid w:val="001102D6"/>
    <w:rsid w:val="00111D8B"/>
    <w:rsid w:val="00111F78"/>
    <w:rsid w:val="0011234E"/>
    <w:rsid w:val="00113D3D"/>
    <w:rsid w:val="00114C0A"/>
    <w:rsid w:val="00115AB3"/>
    <w:rsid w:val="00120A32"/>
    <w:rsid w:val="0012174E"/>
    <w:rsid w:val="0012415A"/>
    <w:rsid w:val="00124557"/>
    <w:rsid w:val="00125885"/>
    <w:rsid w:val="00125C58"/>
    <w:rsid w:val="001261EA"/>
    <w:rsid w:val="00126655"/>
    <w:rsid w:val="00126962"/>
    <w:rsid w:val="00127FEA"/>
    <w:rsid w:val="001311A5"/>
    <w:rsid w:val="00131E1A"/>
    <w:rsid w:val="001326CC"/>
    <w:rsid w:val="001329E5"/>
    <w:rsid w:val="00132C2A"/>
    <w:rsid w:val="00132F9E"/>
    <w:rsid w:val="001345A3"/>
    <w:rsid w:val="0013520D"/>
    <w:rsid w:val="001365FE"/>
    <w:rsid w:val="00137655"/>
    <w:rsid w:val="001425AE"/>
    <w:rsid w:val="001455CA"/>
    <w:rsid w:val="00145AFD"/>
    <w:rsid w:val="00145B6A"/>
    <w:rsid w:val="0014678D"/>
    <w:rsid w:val="00147265"/>
    <w:rsid w:val="0014727E"/>
    <w:rsid w:val="00147644"/>
    <w:rsid w:val="00150594"/>
    <w:rsid w:val="0015062B"/>
    <w:rsid w:val="001509EA"/>
    <w:rsid w:val="00151340"/>
    <w:rsid w:val="001522D2"/>
    <w:rsid w:val="00152353"/>
    <w:rsid w:val="00152840"/>
    <w:rsid w:val="0015284D"/>
    <w:rsid w:val="00152DB7"/>
    <w:rsid w:val="001543C1"/>
    <w:rsid w:val="0015534A"/>
    <w:rsid w:val="001554C4"/>
    <w:rsid w:val="00155704"/>
    <w:rsid w:val="00156609"/>
    <w:rsid w:val="00160579"/>
    <w:rsid w:val="001625E5"/>
    <w:rsid w:val="00162855"/>
    <w:rsid w:val="001636F6"/>
    <w:rsid w:val="00163BE1"/>
    <w:rsid w:val="00163E62"/>
    <w:rsid w:val="00164FC6"/>
    <w:rsid w:val="00165614"/>
    <w:rsid w:val="00165CE2"/>
    <w:rsid w:val="001662D4"/>
    <w:rsid w:val="00166D4C"/>
    <w:rsid w:val="00167820"/>
    <w:rsid w:val="00167CAE"/>
    <w:rsid w:val="00167D75"/>
    <w:rsid w:val="001711BE"/>
    <w:rsid w:val="001730C0"/>
    <w:rsid w:val="00173549"/>
    <w:rsid w:val="00173D9B"/>
    <w:rsid w:val="0017569E"/>
    <w:rsid w:val="00175C06"/>
    <w:rsid w:val="00176078"/>
    <w:rsid w:val="00176E63"/>
    <w:rsid w:val="00177185"/>
    <w:rsid w:val="00180954"/>
    <w:rsid w:val="00180AE6"/>
    <w:rsid w:val="001817FD"/>
    <w:rsid w:val="00183168"/>
    <w:rsid w:val="00185247"/>
    <w:rsid w:val="00186C85"/>
    <w:rsid w:val="00187EF7"/>
    <w:rsid w:val="00190B98"/>
    <w:rsid w:val="001912E7"/>
    <w:rsid w:val="00191FF8"/>
    <w:rsid w:val="00192079"/>
    <w:rsid w:val="00192534"/>
    <w:rsid w:val="001929B8"/>
    <w:rsid w:val="00192C15"/>
    <w:rsid w:val="00195551"/>
    <w:rsid w:val="00196787"/>
    <w:rsid w:val="00197193"/>
    <w:rsid w:val="00197FAF"/>
    <w:rsid w:val="001A13DE"/>
    <w:rsid w:val="001A1613"/>
    <w:rsid w:val="001A1F4E"/>
    <w:rsid w:val="001A6B3B"/>
    <w:rsid w:val="001B0C1E"/>
    <w:rsid w:val="001B178D"/>
    <w:rsid w:val="001B2A4A"/>
    <w:rsid w:val="001B68B9"/>
    <w:rsid w:val="001B7DAC"/>
    <w:rsid w:val="001C141E"/>
    <w:rsid w:val="001C1E56"/>
    <w:rsid w:val="001C2BC7"/>
    <w:rsid w:val="001C3BD9"/>
    <w:rsid w:val="001C3C26"/>
    <w:rsid w:val="001C45E0"/>
    <w:rsid w:val="001C4C9A"/>
    <w:rsid w:val="001D1C6F"/>
    <w:rsid w:val="001D1C77"/>
    <w:rsid w:val="001D21C5"/>
    <w:rsid w:val="001D34FA"/>
    <w:rsid w:val="001D35F1"/>
    <w:rsid w:val="001D3EA7"/>
    <w:rsid w:val="001D56D0"/>
    <w:rsid w:val="001D58FB"/>
    <w:rsid w:val="001E2024"/>
    <w:rsid w:val="001E21C2"/>
    <w:rsid w:val="001E2638"/>
    <w:rsid w:val="001E4395"/>
    <w:rsid w:val="001E5504"/>
    <w:rsid w:val="001E799F"/>
    <w:rsid w:val="001F0282"/>
    <w:rsid w:val="001F364A"/>
    <w:rsid w:val="001F4056"/>
    <w:rsid w:val="001F47C2"/>
    <w:rsid w:val="001F5A39"/>
    <w:rsid w:val="001F6363"/>
    <w:rsid w:val="001F7865"/>
    <w:rsid w:val="001F7A0E"/>
    <w:rsid w:val="001F7A82"/>
    <w:rsid w:val="002005B9"/>
    <w:rsid w:val="00201914"/>
    <w:rsid w:val="0020224E"/>
    <w:rsid w:val="00202472"/>
    <w:rsid w:val="00202CD5"/>
    <w:rsid w:val="00202E28"/>
    <w:rsid w:val="002039BD"/>
    <w:rsid w:val="002039C8"/>
    <w:rsid w:val="002049C5"/>
    <w:rsid w:val="00204B83"/>
    <w:rsid w:val="0020712C"/>
    <w:rsid w:val="002074C4"/>
    <w:rsid w:val="00207A59"/>
    <w:rsid w:val="00207EDE"/>
    <w:rsid w:val="00210540"/>
    <w:rsid w:val="00210B1E"/>
    <w:rsid w:val="0021276F"/>
    <w:rsid w:val="0021327B"/>
    <w:rsid w:val="00213AF4"/>
    <w:rsid w:val="0021557D"/>
    <w:rsid w:val="00217987"/>
    <w:rsid w:val="00217BB6"/>
    <w:rsid w:val="00220490"/>
    <w:rsid w:val="00224B47"/>
    <w:rsid w:val="00224F11"/>
    <w:rsid w:val="002257A2"/>
    <w:rsid w:val="00225B92"/>
    <w:rsid w:val="002304CE"/>
    <w:rsid w:val="00230611"/>
    <w:rsid w:val="002306EF"/>
    <w:rsid w:val="00230DE5"/>
    <w:rsid w:val="00232C9A"/>
    <w:rsid w:val="002356F5"/>
    <w:rsid w:val="00236C01"/>
    <w:rsid w:val="00237FA1"/>
    <w:rsid w:val="00245542"/>
    <w:rsid w:val="0024603D"/>
    <w:rsid w:val="00246630"/>
    <w:rsid w:val="0024779B"/>
    <w:rsid w:val="00247808"/>
    <w:rsid w:val="00250501"/>
    <w:rsid w:val="00251F52"/>
    <w:rsid w:val="00252946"/>
    <w:rsid w:val="00254D64"/>
    <w:rsid w:val="0026002C"/>
    <w:rsid w:val="002615CC"/>
    <w:rsid w:val="00261ECB"/>
    <w:rsid w:val="00261F6F"/>
    <w:rsid w:val="00262A73"/>
    <w:rsid w:val="00262D59"/>
    <w:rsid w:val="00263392"/>
    <w:rsid w:val="0026374F"/>
    <w:rsid w:val="00263A7B"/>
    <w:rsid w:val="00265BE2"/>
    <w:rsid w:val="00266A84"/>
    <w:rsid w:val="00271A26"/>
    <w:rsid w:val="002731B6"/>
    <w:rsid w:val="00273B90"/>
    <w:rsid w:val="00273EE7"/>
    <w:rsid w:val="00274006"/>
    <w:rsid w:val="00275310"/>
    <w:rsid w:val="00276D95"/>
    <w:rsid w:val="002772DE"/>
    <w:rsid w:val="002819D4"/>
    <w:rsid w:val="002825F4"/>
    <w:rsid w:val="0028313A"/>
    <w:rsid w:val="002841EF"/>
    <w:rsid w:val="00286021"/>
    <w:rsid w:val="00286952"/>
    <w:rsid w:val="00286B1F"/>
    <w:rsid w:val="002901C6"/>
    <w:rsid w:val="002911DB"/>
    <w:rsid w:val="002913EA"/>
    <w:rsid w:val="002944B8"/>
    <w:rsid w:val="002945CC"/>
    <w:rsid w:val="002947BB"/>
    <w:rsid w:val="002947ED"/>
    <w:rsid w:val="00295270"/>
    <w:rsid w:val="00296C60"/>
    <w:rsid w:val="00296F1F"/>
    <w:rsid w:val="00297E66"/>
    <w:rsid w:val="002A0074"/>
    <w:rsid w:val="002A1033"/>
    <w:rsid w:val="002A1950"/>
    <w:rsid w:val="002A2D66"/>
    <w:rsid w:val="002A5548"/>
    <w:rsid w:val="002A5E87"/>
    <w:rsid w:val="002A7472"/>
    <w:rsid w:val="002A7BCC"/>
    <w:rsid w:val="002B0042"/>
    <w:rsid w:val="002B07AF"/>
    <w:rsid w:val="002B206F"/>
    <w:rsid w:val="002B231B"/>
    <w:rsid w:val="002B235A"/>
    <w:rsid w:val="002B44BC"/>
    <w:rsid w:val="002B48F6"/>
    <w:rsid w:val="002B7ED5"/>
    <w:rsid w:val="002C01E9"/>
    <w:rsid w:val="002C07B2"/>
    <w:rsid w:val="002C09F8"/>
    <w:rsid w:val="002C0BE4"/>
    <w:rsid w:val="002C1549"/>
    <w:rsid w:val="002C16AD"/>
    <w:rsid w:val="002C20E0"/>
    <w:rsid w:val="002C271F"/>
    <w:rsid w:val="002C3028"/>
    <w:rsid w:val="002C3EFC"/>
    <w:rsid w:val="002C5D57"/>
    <w:rsid w:val="002C7F25"/>
    <w:rsid w:val="002C7F88"/>
    <w:rsid w:val="002D0336"/>
    <w:rsid w:val="002D09A5"/>
    <w:rsid w:val="002D2353"/>
    <w:rsid w:val="002D3288"/>
    <w:rsid w:val="002D346A"/>
    <w:rsid w:val="002D3A82"/>
    <w:rsid w:val="002D3B8D"/>
    <w:rsid w:val="002D47CD"/>
    <w:rsid w:val="002E0938"/>
    <w:rsid w:val="002E187F"/>
    <w:rsid w:val="002E21CF"/>
    <w:rsid w:val="002E254E"/>
    <w:rsid w:val="002E275C"/>
    <w:rsid w:val="002E4525"/>
    <w:rsid w:val="002F10BE"/>
    <w:rsid w:val="002F3E72"/>
    <w:rsid w:val="002F4AB4"/>
    <w:rsid w:val="002F55E7"/>
    <w:rsid w:val="002F58DA"/>
    <w:rsid w:val="002F5A80"/>
    <w:rsid w:val="002F695A"/>
    <w:rsid w:val="003009DA"/>
    <w:rsid w:val="0030212D"/>
    <w:rsid w:val="00302B85"/>
    <w:rsid w:val="00305460"/>
    <w:rsid w:val="0030571C"/>
    <w:rsid w:val="00305DB5"/>
    <w:rsid w:val="0030653F"/>
    <w:rsid w:val="00307264"/>
    <w:rsid w:val="00307BF4"/>
    <w:rsid w:val="00310A92"/>
    <w:rsid w:val="00310AD2"/>
    <w:rsid w:val="00310E7D"/>
    <w:rsid w:val="0031126E"/>
    <w:rsid w:val="003115D3"/>
    <w:rsid w:val="00312050"/>
    <w:rsid w:val="0031292C"/>
    <w:rsid w:val="00313E09"/>
    <w:rsid w:val="00314101"/>
    <w:rsid w:val="00314B96"/>
    <w:rsid w:val="0032094D"/>
    <w:rsid w:val="003210A5"/>
    <w:rsid w:val="00321BB2"/>
    <w:rsid w:val="00322AB0"/>
    <w:rsid w:val="00322DC5"/>
    <w:rsid w:val="00323C4C"/>
    <w:rsid w:val="00326BFD"/>
    <w:rsid w:val="00326C1D"/>
    <w:rsid w:val="003272A0"/>
    <w:rsid w:val="00330FEB"/>
    <w:rsid w:val="00332F23"/>
    <w:rsid w:val="0033360C"/>
    <w:rsid w:val="00333A85"/>
    <w:rsid w:val="00334802"/>
    <w:rsid w:val="00335161"/>
    <w:rsid w:val="00337E90"/>
    <w:rsid w:val="0034071A"/>
    <w:rsid w:val="0034071D"/>
    <w:rsid w:val="00342A1D"/>
    <w:rsid w:val="00342D91"/>
    <w:rsid w:val="003433A5"/>
    <w:rsid w:val="003451B3"/>
    <w:rsid w:val="00346493"/>
    <w:rsid w:val="00346F76"/>
    <w:rsid w:val="00347A74"/>
    <w:rsid w:val="00350C64"/>
    <w:rsid w:val="00352AB8"/>
    <w:rsid w:val="00353DBB"/>
    <w:rsid w:val="00354088"/>
    <w:rsid w:val="0035553F"/>
    <w:rsid w:val="003555A8"/>
    <w:rsid w:val="00356713"/>
    <w:rsid w:val="003575FF"/>
    <w:rsid w:val="00361451"/>
    <w:rsid w:val="00361E78"/>
    <w:rsid w:val="003629E7"/>
    <w:rsid w:val="0036308B"/>
    <w:rsid w:val="003633E9"/>
    <w:rsid w:val="003648B0"/>
    <w:rsid w:val="00364C98"/>
    <w:rsid w:val="0036513A"/>
    <w:rsid w:val="0036682E"/>
    <w:rsid w:val="003671FC"/>
    <w:rsid w:val="00371683"/>
    <w:rsid w:val="003722FA"/>
    <w:rsid w:val="003760DE"/>
    <w:rsid w:val="00377AC3"/>
    <w:rsid w:val="00380D67"/>
    <w:rsid w:val="00381344"/>
    <w:rsid w:val="0038432D"/>
    <w:rsid w:val="003857A5"/>
    <w:rsid w:val="00386345"/>
    <w:rsid w:val="00386515"/>
    <w:rsid w:val="003872DD"/>
    <w:rsid w:val="003872E8"/>
    <w:rsid w:val="003901FE"/>
    <w:rsid w:val="00390AEF"/>
    <w:rsid w:val="00392196"/>
    <w:rsid w:val="003924F1"/>
    <w:rsid w:val="00392DE0"/>
    <w:rsid w:val="00393D08"/>
    <w:rsid w:val="00394394"/>
    <w:rsid w:val="00394F8F"/>
    <w:rsid w:val="003956E2"/>
    <w:rsid w:val="00395D21"/>
    <w:rsid w:val="0039638E"/>
    <w:rsid w:val="003968A6"/>
    <w:rsid w:val="00397269"/>
    <w:rsid w:val="00397368"/>
    <w:rsid w:val="003A060C"/>
    <w:rsid w:val="003A069E"/>
    <w:rsid w:val="003A0F0E"/>
    <w:rsid w:val="003A10D2"/>
    <w:rsid w:val="003A1410"/>
    <w:rsid w:val="003A18CD"/>
    <w:rsid w:val="003A435A"/>
    <w:rsid w:val="003A572A"/>
    <w:rsid w:val="003A7F5D"/>
    <w:rsid w:val="003B0292"/>
    <w:rsid w:val="003B2618"/>
    <w:rsid w:val="003B273D"/>
    <w:rsid w:val="003B2B29"/>
    <w:rsid w:val="003B2D95"/>
    <w:rsid w:val="003B481A"/>
    <w:rsid w:val="003B51B2"/>
    <w:rsid w:val="003B521C"/>
    <w:rsid w:val="003B524C"/>
    <w:rsid w:val="003B5F91"/>
    <w:rsid w:val="003B6F83"/>
    <w:rsid w:val="003C09E3"/>
    <w:rsid w:val="003C16ED"/>
    <w:rsid w:val="003C299A"/>
    <w:rsid w:val="003C3790"/>
    <w:rsid w:val="003C3DB0"/>
    <w:rsid w:val="003C4312"/>
    <w:rsid w:val="003C4EAE"/>
    <w:rsid w:val="003C5596"/>
    <w:rsid w:val="003C599C"/>
    <w:rsid w:val="003C6092"/>
    <w:rsid w:val="003C6C03"/>
    <w:rsid w:val="003C7231"/>
    <w:rsid w:val="003C7AAE"/>
    <w:rsid w:val="003D2D46"/>
    <w:rsid w:val="003D3FD1"/>
    <w:rsid w:val="003D465C"/>
    <w:rsid w:val="003D542D"/>
    <w:rsid w:val="003E0228"/>
    <w:rsid w:val="003E046F"/>
    <w:rsid w:val="003E2C04"/>
    <w:rsid w:val="003E2D6A"/>
    <w:rsid w:val="003E3451"/>
    <w:rsid w:val="003E5215"/>
    <w:rsid w:val="003E54DF"/>
    <w:rsid w:val="003E5D2C"/>
    <w:rsid w:val="003E6BB4"/>
    <w:rsid w:val="003E6FC9"/>
    <w:rsid w:val="003F3352"/>
    <w:rsid w:val="003F371D"/>
    <w:rsid w:val="003F3AD6"/>
    <w:rsid w:val="003F59B0"/>
    <w:rsid w:val="003F6354"/>
    <w:rsid w:val="00405C14"/>
    <w:rsid w:val="004061D7"/>
    <w:rsid w:val="00407728"/>
    <w:rsid w:val="004113EE"/>
    <w:rsid w:val="00412416"/>
    <w:rsid w:val="00414A33"/>
    <w:rsid w:val="00415F10"/>
    <w:rsid w:val="0041641E"/>
    <w:rsid w:val="004165B7"/>
    <w:rsid w:val="0041683F"/>
    <w:rsid w:val="00417332"/>
    <w:rsid w:val="004205D1"/>
    <w:rsid w:val="004211E6"/>
    <w:rsid w:val="00421BA6"/>
    <w:rsid w:val="004223D1"/>
    <w:rsid w:val="00422AED"/>
    <w:rsid w:val="004244C9"/>
    <w:rsid w:val="004260C2"/>
    <w:rsid w:val="0042771B"/>
    <w:rsid w:val="00427C34"/>
    <w:rsid w:val="00431A63"/>
    <w:rsid w:val="00432153"/>
    <w:rsid w:val="00434157"/>
    <w:rsid w:val="00441A5B"/>
    <w:rsid w:val="004421F7"/>
    <w:rsid w:val="00442665"/>
    <w:rsid w:val="004437D1"/>
    <w:rsid w:val="0044392E"/>
    <w:rsid w:val="00447F34"/>
    <w:rsid w:val="00451FCA"/>
    <w:rsid w:val="00452299"/>
    <w:rsid w:val="00453421"/>
    <w:rsid w:val="00457C22"/>
    <w:rsid w:val="0046048A"/>
    <w:rsid w:val="00460889"/>
    <w:rsid w:val="004638DB"/>
    <w:rsid w:val="00463FA0"/>
    <w:rsid w:val="00465FEF"/>
    <w:rsid w:val="0046650E"/>
    <w:rsid w:val="00466682"/>
    <w:rsid w:val="00470798"/>
    <w:rsid w:val="004712CA"/>
    <w:rsid w:val="00472215"/>
    <w:rsid w:val="00472E7A"/>
    <w:rsid w:val="004730B7"/>
    <w:rsid w:val="00475BB4"/>
    <w:rsid w:val="00476512"/>
    <w:rsid w:val="004766B2"/>
    <w:rsid w:val="004769A7"/>
    <w:rsid w:val="00476D84"/>
    <w:rsid w:val="00477022"/>
    <w:rsid w:val="004770BB"/>
    <w:rsid w:val="0047778E"/>
    <w:rsid w:val="00477F1F"/>
    <w:rsid w:val="00477F37"/>
    <w:rsid w:val="00482117"/>
    <w:rsid w:val="00482248"/>
    <w:rsid w:val="0048285A"/>
    <w:rsid w:val="004829DF"/>
    <w:rsid w:val="00482E7B"/>
    <w:rsid w:val="004844AE"/>
    <w:rsid w:val="00485123"/>
    <w:rsid w:val="0048572B"/>
    <w:rsid w:val="0048598C"/>
    <w:rsid w:val="004865F5"/>
    <w:rsid w:val="0048689E"/>
    <w:rsid w:val="00491047"/>
    <w:rsid w:val="00491A9A"/>
    <w:rsid w:val="00492105"/>
    <w:rsid w:val="00493649"/>
    <w:rsid w:val="00494735"/>
    <w:rsid w:val="00494FF7"/>
    <w:rsid w:val="00495D51"/>
    <w:rsid w:val="004972E5"/>
    <w:rsid w:val="0049758E"/>
    <w:rsid w:val="00497BA7"/>
    <w:rsid w:val="004A00E9"/>
    <w:rsid w:val="004A213D"/>
    <w:rsid w:val="004A221C"/>
    <w:rsid w:val="004A4114"/>
    <w:rsid w:val="004A50CF"/>
    <w:rsid w:val="004A7CB9"/>
    <w:rsid w:val="004B04A5"/>
    <w:rsid w:val="004B1A47"/>
    <w:rsid w:val="004B1D36"/>
    <w:rsid w:val="004B21EC"/>
    <w:rsid w:val="004B2808"/>
    <w:rsid w:val="004B34DE"/>
    <w:rsid w:val="004B572C"/>
    <w:rsid w:val="004B6332"/>
    <w:rsid w:val="004B6822"/>
    <w:rsid w:val="004B68D8"/>
    <w:rsid w:val="004B7A4E"/>
    <w:rsid w:val="004B7FF5"/>
    <w:rsid w:val="004C10A9"/>
    <w:rsid w:val="004C18ED"/>
    <w:rsid w:val="004C1C68"/>
    <w:rsid w:val="004C2E7A"/>
    <w:rsid w:val="004C4030"/>
    <w:rsid w:val="004C4BDE"/>
    <w:rsid w:val="004C537C"/>
    <w:rsid w:val="004C6EE7"/>
    <w:rsid w:val="004C76D8"/>
    <w:rsid w:val="004C7CD7"/>
    <w:rsid w:val="004D0365"/>
    <w:rsid w:val="004D049E"/>
    <w:rsid w:val="004D1D81"/>
    <w:rsid w:val="004D2029"/>
    <w:rsid w:val="004D283D"/>
    <w:rsid w:val="004D2B5A"/>
    <w:rsid w:val="004D5080"/>
    <w:rsid w:val="004D57FB"/>
    <w:rsid w:val="004D5FA5"/>
    <w:rsid w:val="004D69E6"/>
    <w:rsid w:val="004D6F47"/>
    <w:rsid w:val="004D7F69"/>
    <w:rsid w:val="004E0974"/>
    <w:rsid w:val="004E0A93"/>
    <w:rsid w:val="004E1F3C"/>
    <w:rsid w:val="004E22CB"/>
    <w:rsid w:val="004E2DF8"/>
    <w:rsid w:val="004E4D24"/>
    <w:rsid w:val="004E55B5"/>
    <w:rsid w:val="004E62B0"/>
    <w:rsid w:val="004F058F"/>
    <w:rsid w:val="004F0A2E"/>
    <w:rsid w:val="004F107B"/>
    <w:rsid w:val="004F15EA"/>
    <w:rsid w:val="004F2777"/>
    <w:rsid w:val="004F3740"/>
    <w:rsid w:val="004F4390"/>
    <w:rsid w:val="004F6259"/>
    <w:rsid w:val="004F6992"/>
    <w:rsid w:val="004F69F6"/>
    <w:rsid w:val="004F7659"/>
    <w:rsid w:val="004F7739"/>
    <w:rsid w:val="005009B9"/>
    <w:rsid w:val="00502268"/>
    <w:rsid w:val="00502388"/>
    <w:rsid w:val="00504781"/>
    <w:rsid w:val="00505AEB"/>
    <w:rsid w:val="005070F9"/>
    <w:rsid w:val="005071A0"/>
    <w:rsid w:val="005104FF"/>
    <w:rsid w:val="00510704"/>
    <w:rsid w:val="00513D85"/>
    <w:rsid w:val="00513E2A"/>
    <w:rsid w:val="00513E80"/>
    <w:rsid w:val="00515603"/>
    <w:rsid w:val="00515858"/>
    <w:rsid w:val="005168A6"/>
    <w:rsid w:val="00516BA8"/>
    <w:rsid w:val="00517DD2"/>
    <w:rsid w:val="00520259"/>
    <w:rsid w:val="00520EBF"/>
    <w:rsid w:val="00522A52"/>
    <w:rsid w:val="0052453B"/>
    <w:rsid w:val="005250C9"/>
    <w:rsid w:val="00525430"/>
    <w:rsid w:val="0052606B"/>
    <w:rsid w:val="00526C36"/>
    <w:rsid w:val="005277A8"/>
    <w:rsid w:val="00531EA1"/>
    <w:rsid w:val="00533837"/>
    <w:rsid w:val="00533A3B"/>
    <w:rsid w:val="00533FCB"/>
    <w:rsid w:val="005344A7"/>
    <w:rsid w:val="00534F06"/>
    <w:rsid w:val="00535912"/>
    <w:rsid w:val="0053653C"/>
    <w:rsid w:val="005371FF"/>
    <w:rsid w:val="00537405"/>
    <w:rsid w:val="00541CDE"/>
    <w:rsid w:val="005421AD"/>
    <w:rsid w:val="00543010"/>
    <w:rsid w:val="0054323E"/>
    <w:rsid w:val="005441A7"/>
    <w:rsid w:val="00544204"/>
    <w:rsid w:val="00545728"/>
    <w:rsid w:val="00545BAC"/>
    <w:rsid w:val="00545DD3"/>
    <w:rsid w:val="00546CD0"/>
    <w:rsid w:val="00547981"/>
    <w:rsid w:val="005502B3"/>
    <w:rsid w:val="00550D5F"/>
    <w:rsid w:val="00550E89"/>
    <w:rsid w:val="005510F5"/>
    <w:rsid w:val="0055135C"/>
    <w:rsid w:val="0055158C"/>
    <w:rsid w:val="00551670"/>
    <w:rsid w:val="00551E26"/>
    <w:rsid w:val="00551F07"/>
    <w:rsid w:val="00552CFD"/>
    <w:rsid w:val="00553C21"/>
    <w:rsid w:val="0055461E"/>
    <w:rsid w:val="00554F9B"/>
    <w:rsid w:val="005564AA"/>
    <w:rsid w:val="005566C8"/>
    <w:rsid w:val="00560274"/>
    <w:rsid w:val="00560D5C"/>
    <w:rsid w:val="0056367A"/>
    <w:rsid w:val="00564BCE"/>
    <w:rsid w:val="005666EF"/>
    <w:rsid w:val="00567543"/>
    <w:rsid w:val="00570C5A"/>
    <w:rsid w:val="00570DB5"/>
    <w:rsid w:val="00570F53"/>
    <w:rsid w:val="00570FE6"/>
    <w:rsid w:val="00572038"/>
    <w:rsid w:val="00572D78"/>
    <w:rsid w:val="0057326D"/>
    <w:rsid w:val="005768CC"/>
    <w:rsid w:val="00576A6F"/>
    <w:rsid w:val="005776ED"/>
    <w:rsid w:val="00580607"/>
    <w:rsid w:val="005807FB"/>
    <w:rsid w:val="00580BF9"/>
    <w:rsid w:val="00581715"/>
    <w:rsid w:val="00582849"/>
    <w:rsid w:val="0058339C"/>
    <w:rsid w:val="00583412"/>
    <w:rsid w:val="00583C08"/>
    <w:rsid w:val="00584544"/>
    <w:rsid w:val="0058495D"/>
    <w:rsid w:val="00585137"/>
    <w:rsid w:val="00586158"/>
    <w:rsid w:val="005903E4"/>
    <w:rsid w:val="005909E6"/>
    <w:rsid w:val="00591980"/>
    <w:rsid w:val="0059518D"/>
    <w:rsid w:val="005953E1"/>
    <w:rsid w:val="005955E9"/>
    <w:rsid w:val="00595DB8"/>
    <w:rsid w:val="005A0353"/>
    <w:rsid w:val="005A1180"/>
    <w:rsid w:val="005A4448"/>
    <w:rsid w:val="005A4D68"/>
    <w:rsid w:val="005A5AC7"/>
    <w:rsid w:val="005A6568"/>
    <w:rsid w:val="005B04EC"/>
    <w:rsid w:val="005B2BC3"/>
    <w:rsid w:val="005B3D2A"/>
    <w:rsid w:val="005B5846"/>
    <w:rsid w:val="005B7195"/>
    <w:rsid w:val="005B71A8"/>
    <w:rsid w:val="005C159E"/>
    <w:rsid w:val="005C1FA1"/>
    <w:rsid w:val="005C2465"/>
    <w:rsid w:val="005C2C54"/>
    <w:rsid w:val="005C32C9"/>
    <w:rsid w:val="005C3B53"/>
    <w:rsid w:val="005C3C57"/>
    <w:rsid w:val="005C4042"/>
    <w:rsid w:val="005C4356"/>
    <w:rsid w:val="005C4DA7"/>
    <w:rsid w:val="005C54BD"/>
    <w:rsid w:val="005C5743"/>
    <w:rsid w:val="005C6772"/>
    <w:rsid w:val="005D1173"/>
    <w:rsid w:val="005D2652"/>
    <w:rsid w:val="005D30CA"/>
    <w:rsid w:val="005D3B29"/>
    <w:rsid w:val="005D3F86"/>
    <w:rsid w:val="005D486B"/>
    <w:rsid w:val="005D747C"/>
    <w:rsid w:val="005D770A"/>
    <w:rsid w:val="005E01AB"/>
    <w:rsid w:val="005E052B"/>
    <w:rsid w:val="005E0C03"/>
    <w:rsid w:val="005E6C25"/>
    <w:rsid w:val="005E754E"/>
    <w:rsid w:val="005E7E3F"/>
    <w:rsid w:val="005F16A7"/>
    <w:rsid w:val="005F2F2E"/>
    <w:rsid w:val="005F37C5"/>
    <w:rsid w:val="005F3940"/>
    <w:rsid w:val="005F3FDD"/>
    <w:rsid w:val="005F4BAF"/>
    <w:rsid w:val="005F5772"/>
    <w:rsid w:val="005F79D5"/>
    <w:rsid w:val="00601356"/>
    <w:rsid w:val="00601ADE"/>
    <w:rsid w:val="00602E24"/>
    <w:rsid w:val="00604B0B"/>
    <w:rsid w:val="006053A9"/>
    <w:rsid w:val="00607297"/>
    <w:rsid w:val="00607DBE"/>
    <w:rsid w:val="00610210"/>
    <w:rsid w:val="00611DC4"/>
    <w:rsid w:val="006124D2"/>
    <w:rsid w:val="006135A8"/>
    <w:rsid w:val="0061501B"/>
    <w:rsid w:val="00615231"/>
    <w:rsid w:val="00615664"/>
    <w:rsid w:val="00620507"/>
    <w:rsid w:val="006221D9"/>
    <w:rsid w:val="00623712"/>
    <w:rsid w:val="00624540"/>
    <w:rsid w:val="006261AC"/>
    <w:rsid w:val="0063501C"/>
    <w:rsid w:val="00635090"/>
    <w:rsid w:val="0063527A"/>
    <w:rsid w:val="0064035E"/>
    <w:rsid w:val="00640791"/>
    <w:rsid w:val="006419C2"/>
    <w:rsid w:val="00641B56"/>
    <w:rsid w:val="00643D7A"/>
    <w:rsid w:val="006442B7"/>
    <w:rsid w:val="00644532"/>
    <w:rsid w:val="00644C71"/>
    <w:rsid w:val="00644D42"/>
    <w:rsid w:val="00644F37"/>
    <w:rsid w:val="00646283"/>
    <w:rsid w:val="0064644B"/>
    <w:rsid w:val="006465EB"/>
    <w:rsid w:val="00646E5F"/>
    <w:rsid w:val="00651366"/>
    <w:rsid w:val="006517B8"/>
    <w:rsid w:val="0065313E"/>
    <w:rsid w:val="0065378C"/>
    <w:rsid w:val="0065380F"/>
    <w:rsid w:val="00653CF4"/>
    <w:rsid w:val="00654EE0"/>
    <w:rsid w:val="00654FA3"/>
    <w:rsid w:val="00655272"/>
    <w:rsid w:val="006573B9"/>
    <w:rsid w:val="006602F1"/>
    <w:rsid w:val="0066060F"/>
    <w:rsid w:val="00661E30"/>
    <w:rsid w:val="006641C8"/>
    <w:rsid w:val="00664249"/>
    <w:rsid w:val="00664350"/>
    <w:rsid w:val="0066535B"/>
    <w:rsid w:val="006659E4"/>
    <w:rsid w:val="00665E10"/>
    <w:rsid w:val="00666F98"/>
    <w:rsid w:val="00667337"/>
    <w:rsid w:val="00667C10"/>
    <w:rsid w:val="00671091"/>
    <w:rsid w:val="0067216C"/>
    <w:rsid w:val="00672397"/>
    <w:rsid w:val="006723C6"/>
    <w:rsid w:val="00673E32"/>
    <w:rsid w:val="00674D0C"/>
    <w:rsid w:val="0067582B"/>
    <w:rsid w:val="00675EA6"/>
    <w:rsid w:val="006772F7"/>
    <w:rsid w:val="00680CF9"/>
    <w:rsid w:val="0068139A"/>
    <w:rsid w:val="00681D53"/>
    <w:rsid w:val="00683186"/>
    <w:rsid w:val="00683A3D"/>
    <w:rsid w:val="006843D9"/>
    <w:rsid w:val="00684FE5"/>
    <w:rsid w:val="006868C8"/>
    <w:rsid w:val="00686C1D"/>
    <w:rsid w:val="00687ED3"/>
    <w:rsid w:val="006914AD"/>
    <w:rsid w:val="006914F4"/>
    <w:rsid w:val="0069180B"/>
    <w:rsid w:val="006941A7"/>
    <w:rsid w:val="00694E4E"/>
    <w:rsid w:val="006953CA"/>
    <w:rsid w:val="00695FA0"/>
    <w:rsid w:val="0069691B"/>
    <w:rsid w:val="006A0031"/>
    <w:rsid w:val="006A01F7"/>
    <w:rsid w:val="006A41AF"/>
    <w:rsid w:val="006A4AFB"/>
    <w:rsid w:val="006A56FD"/>
    <w:rsid w:val="006A5D0C"/>
    <w:rsid w:val="006A5D7C"/>
    <w:rsid w:val="006A60F3"/>
    <w:rsid w:val="006B03D5"/>
    <w:rsid w:val="006B05A0"/>
    <w:rsid w:val="006B0ED8"/>
    <w:rsid w:val="006B1939"/>
    <w:rsid w:val="006B19E6"/>
    <w:rsid w:val="006B33A6"/>
    <w:rsid w:val="006B366C"/>
    <w:rsid w:val="006B6EBF"/>
    <w:rsid w:val="006B7E4A"/>
    <w:rsid w:val="006C285C"/>
    <w:rsid w:val="006C2B15"/>
    <w:rsid w:val="006C45BF"/>
    <w:rsid w:val="006C653C"/>
    <w:rsid w:val="006C6FAE"/>
    <w:rsid w:val="006C7A84"/>
    <w:rsid w:val="006D0583"/>
    <w:rsid w:val="006D0938"/>
    <w:rsid w:val="006D25BE"/>
    <w:rsid w:val="006D27E2"/>
    <w:rsid w:val="006D3470"/>
    <w:rsid w:val="006D40E1"/>
    <w:rsid w:val="006D5796"/>
    <w:rsid w:val="006D6139"/>
    <w:rsid w:val="006D6882"/>
    <w:rsid w:val="006D739B"/>
    <w:rsid w:val="006E0515"/>
    <w:rsid w:val="006E0928"/>
    <w:rsid w:val="006E1F5E"/>
    <w:rsid w:val="006E24A1"/>
    <w:rsid w:val="006E3FFD"/>
    <w:rsid w:val="006E46D0"/>
    <w:rsid w:val="006E47BD"/>
    <w:rsid w:val="006E4B68"/>
    <w:rsid w:val="006E676E"/>
    <w:rsid w:val="006E69C1"/>
    <w:rsid w:val="006E6F04"/>
    <w:rsid w:val="006E7498"/>
    <w:rsid w:val="006E7559"/>
    <w:rsid w:val="006F02CD"/>
    <w:rsid w:val="006F2B42"/>
    <w:rsid w:val="006F2C50"/>
    <w:rsid w:val="006F3D22"/>
    <w:rsid w:val="006F6098"/>
    <w:rsid w:val="006F6DEF"/>
    <w:rsid w:val="007019C1"/>
    <w:rsid w:val="0070321E"/>
    <w:rsid w:val="007064EF"/>
    <w:rsid w:val="00714313"/>
    <w:rsid w:val="007143A1"/>
    <w:rsid w:val="00720D91"/>
    <w:rsid w:val="007217C6"/>
    <w:rsid w:val="00722B4E"/>
    <w:rsid w:val="00722E43"/>
    <w:rsid w:val="0072408B"/>
    <w:rsid w:val="007241EF"/>
    <w:rsid w:val="00724BF7"/>
    <w:rsid w:val="007272FF"/>
    <w:rsid w:val="00727A33"/>
    <w:rsid w:val="00727E7E"/>
    <w:rsid w:val="00730680"/>
    <w:rsid w:val="00730A93"/>
    <w:rsid w:val="00730E32"/>
    <w:rsid w:val="00732652"/>
    <w:rsid w:val="00732F2C"/>
    <w:rsid w:val="00733057"/>
    <w:rsid w:val="007331FF"/>
    <w:rsid w:val="00733811"/>
    <w:rsid w:val="00734125"/>
    <w:rsid w:val="0073417A"/>
    <w:rsid w:val="00734223"/>
    <w:rsid w:val="0073580F"/>
    <w:rsid w:val="00735D3B"/>
    <w:rsid w:val="00736C4E"/>
    <w:rsid w:val="007376DD"/>
    <w:rsid w:val="00740501"/>
    <w:rsid w:val="00742052"/>
    <w:rsid w:val="00743E85"/>
    <w:rsid w:val="00746748"/>
    <w:rsid w:val="007476E4"/>
    <w:rsid w:val="00747980"/>
    <w:rsid w:val="007500F3"/>
    <w:rsid w:val="007517E5"/>
    <w:rsid w:val="0075285E"/>
    <w:rsid w:val="007531AF"/>
    <w:rsid w:val="00753F42"/>
    <w:rsid w:val="00754E2F"/>
    <w:rsid w:val="00760AE6"/>
    <w:rsid w:val="007616E3"/>
    <w:rsid w:val="007626D7"/>
    <w:rsid w:val="007629B0"/>
    <w:rsid w:val="00762AE6"/>
    <w:rsid w:val="00762FB6"/>
    <w:rsid w:val="00763A5A"/>
    <w:rsid w:val="00763EF6"/>
    <w:rsid w:val="00766F69"/>
    <w:rsid w:val="00767FFD"/>
    <w:rsid w:val="007712A4"/>
    <w:rsid w:val="0077251E"/>
    <w:rsid w:val="00772FBD"/>
    <w:rsid w:val="0077327B"/>
    <w:rsid w:val="00775B89"/>
    <w:rsid w:val="0077611B"/>
    <w:rsid w:val="00776580"/>
    <w:rsid w:val="007765D6"/>
    <w:rsid w:val="00776EF3"/>
    <w:rsid w:val="00777361"/>
    <w:rsid w:val="0077773D"/>
    <w:rsid w:val="00781997"/>
    <w:rsid w:val="00781B67"/>
    <w:rsid w:val="00782F1A"/>
    <w:rsid w:val="00784311"/>
    <w:rsid w:val="0078454A"/>
    <w:rsid w:val="00784B6C"/>
    <w:rsid w:val="007856C5"/>
    <w:rsid w:val="0078585D"/>
    <w:rsid w:val="00787566"/>
    <w:rsid w:val="00790EC3"/>
    <w:rsid w:val="00791418"/>
    <w:rsid w:val="00791A57"/>
    <w:rsid w:val="00791FB6"/>
    <w:rsid w:val="00792DA2"/>
    <w:rsid w:val="00793268"/>
    <w:rsid w:val="00794F3B"/>
    <w:rsid w:val="00795426"/>
    <w:rsid w:val="00795A5E"/>
    <w:rsid w:val="00795AB0"/>
    <w:rsid w:val="007966FC"/>
    <w:rsid w:val="00796C33"/>
    <w:rsid w:val="00796C9A"/>
    <w:rsid w:val="007A3469"/>
    <w:rsid w:val="007A3AF2"/>
    <w:rsid w:val="007B0315"/>
    <w:rsid w:val="007B0FA2"/>
    <w:rsid w:val="007B206B"/>
    <w:rsid w:val="007B56B6"/>
    <w:rsid w:val="007B5895"/>
    <w:rsid w:val="007B7144"/>
    <w:rsid w:val="007B71CA"/>
    <w:rsid w:val="007C0EA8"/>
    <w:rsid w:val="007C2762"/>
    <w:rsid w:val="007C3504"/>
    <w:rsid w:val="007C5492"/>
    <w:rsid w:val="007C6B1D"/>
    <w:rsid w:val="007C6C78"/>
    <w:rsid w:val="007D0E21"/>
    <w:rsid w:val="007D10D8"/>
    <w:rsid w:val="007D2688"/>
    <w:rsid w:val="007D286F"/>
    <w:rsid w:val="007D287D"/>
    <w:rsid w:val="007D2965"/>
    <w:rsid w:val="007D2F05"/>
    <w:rsid w:val="007D406F"/>
    <w:rsid w:val="007D468B"/>
    <w:rsid w:val="007D51EC"/>
    <w:rsid w:val="007D6504"/>
    <w:rsid w:val="007D6FD9"/>
    <w:rsid w:val="007D79B3"/>
    <w:rsid w:val="007E02CA"/>
    <w:rsid w:val="007E031B"/>
    <w:rsid w:val="007E055C"/>
    <w:rsid w:val="007E0B66"/>
    <w:rsid w:val="007E0C15"/>
    <w:rsid w:val="007E0F7D"/>
    <w:rsid w:val="007E18E8"/>
    <w:rsid w:val="007E197D"/>
    <w:rsid w:val="007E1E3B"/>
    <w:rsid w:val="007E23D1"/>
    <w:rsid w:val="007E23E0"/>
    <w:rsid w:val="007E636C"/>
    <w:rsid w:val="007E7EEA"/>
    <w:rsid w:val="007F00D3"/>
    <w:rsid w:val="007F0FE7"/>
    <w:rsid w:val="007F1932"/>
    <w:rsid w:val="007F1A80"/>
    <w:rsid w:val="007F3873"/>
    <w:rsid w:val="007F4B00"/>
    <w:rsid w:val="007F5FC0"/>
    <w:rsid w:val="007F683F"/>
    <w:rsid w:val="008007C8"/>
    <w:rsid w:val="00800E9E"/>
    <w:rsid w:val="008015D1"/>
    <w:rsid w:val="008015D9"/>
    <w:rsid w:val="00805588"/>
    <w:rsid w:val="00806E32"/>
    <w:rsid w:val="00807F39"/>
    <w:rsid w:val="0081104F"/>
    <w:rsid w:val="00812223"/>
    <w:rsid w:val="0081349C"/>
    <w:rsid w:val="008140B5"/>
    <w:rsid w:val="00814EE8"/>
    <w:rsid w:val="0081541D"/>
    <w:rsid w:val="00815510"/>
    <w:rsid w:val="008169F6"/>
    <w:rsid w:val="00816CC9"/>
    <w:rsid w:val="0081700D"/>
    <w:rsid w:val="0082047E"/>
    <w:rsid w:val="00820531"/>
    <w:rsid w:val="008209A9"/>
    <w:rsid w:val="00821600"/>
    <w:rsid w:val="00821961"/>
    <w:rsid w:val="00822FC9"/>
    <w:rsid w:val="00823339"/>
    <w:rsid w:val="00824FF9"/>
    <w:rsid w:val="00825106"/>
    <w:rsid w:val="008257C9"/>
    <w:rsid w:val="0082588D"/>
    <w:rsid w:val="0082662F"/>
    <w:rsid w:val="008305C0"/>
    <w:rsid w:val="0083206F"/>
    <w:rsid w:val="00833A2D"/>
    <w:rsid w:val="008341E0"/>
    <w:rsid w:val="008348E6"/>
    <w:rsid w:val="00835BB9"/>
    <w:rsid w:val="008369A2"/>
    <w:rsid w:val="00837235"/>
    <w:rsid w:val="00837565"/>
    <w:rsid w:val="00840648"/>
    <w:rsid w:val="00840DCC"/>
    <w:rsid w:val="00840FFE"/>
    <w:rsid w:val="00843B51"/>
    <w:rsid w:val="008455B9"/>
    <w:rsid w:val="0084637D"/>
    <w:rsid w:val="0084712F"/>
    <w:rsid w:val="0084786B"/>
    <w:rsid w:val="00847C38"/>
    <w:rsid w:val="00850DA9"/>
    <w:rsid w:val="0085148E"/>
    <w:rsid w:val="00851ECE"/>
    <w:rsid w:val="008534AA"/>
    <w:rsid w:val="00854534"/>
    <w:rsid w:val="008546F0"/>
    <w:rsid w:val="00855503"/>
    <w:rsid w:val="008578C4"/>
    <w:rsid w:val="00860C28"/>
    <w:rsid w:val="00860F78"/>
    <w:rsid w:val="0086154B"/>
    <w:rsid w:val="00862FFD"/>
    <w:rsid w:val="00863155"/>
    <w:rsid w:val="00864E19"/>
    <w:rsid w:val="008701AC"/>
    <w:rsid w:val="00871860"/>
    <w:rsid w:val="00871E3A"/>
    <w:rsid w:val="00872F9B"/>
    <w:rsid w:val="008733C9"/>
    <w:rsid w:val="00873BD7"/>
    <w:rsid w:val="00874A66"/>
    <w:rsid w:val="00875249"/>
    <w:rsid w:val="008758E8"/>
    <w:rsid w:val="00875ECD"/>
    <w:rsid w:val="00876A40"/>
    <w:rsid w:val="00876EF9"/>
    <w:rsid w:val="00880BC2"/>
    <w:rsid w:val="00882C45"/>
    <w:rsid w:val="008849CB"/>
    <w:rsid w:val="00884D4F"/>
    <w:rsid w:val="00885CAE"/>
    <w:rsid w:val="0088641C"/>
    <w:rsid w:val="008870EE"/>
    <w:rsid w:val="0088713E"/>
    <w:rsid w:val="00887D95"/>
    <w:rsid w:val="00890AF5"/>
    <w:rsid w:val="00892F8C"/>
    <w:rsid w:val="00894073"/>
    <w:rsid w:val="0089431B"/>
    <w:rsid w:val="0089498F"/>
    <w:rsid w:val="008956AC"/>
    <w:rsid w:val="008962B8"/>
    <w:rsid w:val="00897306"/>
    <w:rsid w:val="008A0079"/>
    <w:rsid w:val="008A1D84"/>
    <w:rsid w:val="008A3793"/>
    <w:rsid w:val="008A3867"/>
    <w:rsid w:val="008A3989"/>
    <w:rsid w:val="008A5583"/>
    <w:rsid w:val="008B1025"/>
    <w:rsid w:val="008B15F5"/>
    <w:rsid w:val="008B2B04"/>
    <w:rsid w:val="008B48C2"/>
    <w:rsid w:val="008B552B"/>
    <w:rsid w:val="008B5F34"/>
    <w:rsid w:val="008B62EF"/>
    <w:rsid w:val="008B67A9"/>
    <w:rsid w:val="008B7162"/>
    <w:rsid w:val="008B7BB5"/>
    <w:rsid w:val="008C0102"/>
    <w:rsid w:val="008C042D"/>
    <w:rsid w:val="008C24FF"/>
    <w:rsid w:val="008C282C"/>
    <w:rsid w:val="008C4230"/>
    <w:rsid w:val="008C4D47"/>
    <w:rsid w:val="008C554B"/>
    <w:rsid w:val="008C580E"/>
    <w:rsid w:val="008C5FC6"/>
    <w:rsid w:val="008C6222"/>
    <w:rsid w:val="008C7E6B"/>
    <w:rsid w:val="008D0B63"/>
    <w:rsid w:val="008D0E45"/>
    <w:rsid w:val="008D18AE"/>
    <w:rsid w:val="008D3428"/>
    <w:rsid w:val="008D3551"/>
    <w:rsid w:val="008D3C73"/>
    <w:rsid w:val="008D3F39"/>
    <w:rsid w:val="008D3FE7"/>
    <w:rsid w:val="008D55B9"/>
    <w:rsid w:val="008D57DD"/>
    <w:rsid w:val="008D7FEA"/>
    <w:rsid w:val="008E0A56"/>
    <w:rsid w:val="008E0EFE"/>
    <w:rsid w:val="008E12B3"/>
    <w:rsid w:val="008E2F85"/>
    <w:rsid w:val="008E3414"/>
    <w:rsid w:val="008E380D"/>
    <w:rsid w:val="008E4380"/>
    <w:rsid w:val="008E4AE0"/>
    <w:rsid w:val="008E4D6F"/>
    <w:rsid w:val="008E4ED3"/>
    <w:rsid w:val="008E550B"/>
    <w:rsid w:val="008E6ACB"/>
    <w:rsid w:val="008E703C"/>
    <w:rsid w:val="008E78BD"/>
    <w:rsid w:val="008E7AFB"/>
    <w:rsid w:val="008E7C2E"/>
    <w:rsid w:val="008F0C63"/>
    <w:rsid w:val="008F1C38"/>
    <w:rsid w:val="008F2D1A"/>
    <w:rsid w:val="008F2FF7"/>
    <w:rsid w:val="008F4B69"/>
    <w:rsid w:val="008F6A11"/>
    <w:rsid w:val="00901E39"/>
    <w:rsid w:val="00904908"/>
    <w:rsid w:val="0090534A"/>
    <w:rsid w:val="009054C5"/>
    <w:rsid w:val="00906710"/>
    <w:rsid w:val="00906868"/>
    <w:rsid w:val="00906B87"/>
    <w:rsid w:val="00906BA1"/>
    <w:rsid w:val="00906FEF"/>
    <w:rsid w:val="00907E5B"/>
    <w:rsid w:val="009129DB"/>
    <w:rsid w:val="00912E39"/>
    <w:rsid w:val="00913BA3"/>
    <w:rsid w:val="0091445F"/>
    <w:rsid w:val="009167C6"/>
    <w:rsid w:val="00917574"/>
    <w:rsid w:val="0092031B"/>
    <w:rsid w:val="00920341"/>
    <w:rsid w:val="009203C7"/>
    <w:rsid w:val="00921AF7"/>
    <w:rsid w:val="00921D9E"/>
    <w:rsid w:val="00921E3A"/>
    <w:rsid w:val="009222B4"/>
    <w:rsid w:val="0092325C"/>
    <w:rsid w:val="0092387F"/>
    <w:rsid w:val="00924A2D"/>
    <w:rsid w:val="00931362"/>
    <w:rsid w:val="00931FF3"/>
    <w:rsid w:val="00935EBC"/>
    <w:rsid w:val="009373EE"/>
    <w:rsid w:val="009374B0"/>
    <w:rsid w:val="0094062A"/>
    <w:rsid w:val="00940979"/>
    <w:rsid w:val="0094171F"/>
    <w:rsid w:val="0094332F"/>
    <w:rsid w:val="00943C03"/>
    <w:rsid w:val="0094421B"/>
    <w:rsid w:val="009445DD"/>
    <w:rsid w:val="00944FA3"/>
    <w:rsid w:val="00947307"/>
    <w:rsid w:val="00947A1F"/>
    <w:rsid w:val="00947C66"/>
    <w:rsid w:val="00951A3C"/>
    <w:rsid w:val="00953416"/>
    <w:rsid w:val="00953FB3"/>
    <w:rsid w:val="009551B7"/>
    <w:rsid w:val="0095533A"/>
    <w:rsid w:val="0095552E"/>
    <w:rsid w:val="00957EAD"/>
    <w:rsid w:val="00957F10"/>
    <w:rsid w:val="00960954"/>
    <w:rsid w:val="00960C42"/>
    <w:rsid w:val="00961AB7"/>
    <w:rsid w:val="00961C02"/>
    <w:rsid w:val="00962101"/>
    <w:rsid w:val="009636F6"/>
    <w:rsid w:val="00963777"/>
    <w:rsid w:val="0096428F"/>
    <w:rsid w:val="0096432B"/>
    <w:rsid w:val="00965974"/>
    <w:rsid w:val="009670BB"/>
    <w:rsid w:val="009672E7"/>
    <w:rsid w:val="00967868"/>
    <w:rsid w:val="00971576"/>
    <w:rsid w:val="009721FC"/>
    <w:rsid w:val="009732EE"/>
    <w:rsid w:val="00973609"/>
    <w:rsid w:val="00974357"/>
    <w:rsid w:val="00976D29"/>
    <w:rsid w:val="00980046"/>
    <w:rsid w:val="0098318A"/>
    <w:rsid w:val="00983E2F"/>
    <w:rsid w:val="00985ED4"/>
    <w:rsid w:val="00985F34"/>
    <w:rsid w:val="00987F51"/>
    <w:rsid w:val="009914DA"/>
    <w:rsid w:val="00991F3F"/>
    <w:rsid w:val="009933F1"/>
    <w:rsid w:val="00993CE9"/>
    <w:rsid w:val="00994127"/>
    <w:rsid w:val="00994757"/>
    <w:rsid w:val="0099573D"/>
    <w:rsid w:val="00997A66"/>
    <w:rsid w:val="009A217B"/>
    <w:rsid w:val="009A2E9E"/>
    <w:rsid w:val="009A2F1A"/>
    <w:rsid w:val="009A33FC"/>
    <w:rsid w:val="009A4031"/>
    <w:rsid w:val="009A54FA"/>
    <w:rsid w:val="009A583A"/>
    <w:rsid w:val="009A5CCA"/>
    <w:rsid w:val="009A6DC7"/>
    <w:rsid w:val="009A7D18"/>
    <w:rsid w:val="009B0228"/>
    <w:rsid w:val="009B0D0D"/>
    <w:rsid w:val="009B25CE"/>
    <w:rsid w:val="009B2B4E"/>
    <w:rsid w:val="009B314B"/>
    <w:rsid w:val="009B3584"/>
    <w:rsid w:val="009B4820"/>
    <w:rsid w:val="009B4F4B"/>
    <w:rsid w:val="009B5EE4"/>
    <w:rsid w:val="009B6C99"/>
    <w:rsid w:val="009C14F7"/>
    <w:rsid w:val="009C1864"/>
    <w:rsid w:val="009C198E"/>
    <w:rsid w:val="009C2011"/>
    <w:rsid w:val="009C2748"/>
    <w:rsid w:val="009C3618"/>
    <w:rsid w:val="009C47CD"/>
    <w:rsid w:val="009C4BCE"/>
    <w:rsid w:val="009C65FD"/>
    <w:rsid w:val="009C7378"/>
    <w:rsid w:val="009D0648"/>
    <w:rsid w:val="009D260D"/>
    <w:rsid w:val="009D431C"/>
    <w:rsid w:val="009D6385"/>
    <w:rsid w:val="009D699F"/>
    <w:rsid w:val="009D69CB"/>
    <w:rsid w:val="009E09D2"/>
    <w:rsid w:val="009E0B52"/>
    <w:rsid w:val="009E0F20"/>
    <w:rsid w:val="009E111F"/>
    <w:rsid w:val="009E263E"/>
    <w:rsid w:val="009E32EB"/>
    <w:rsid w:val="009E3C12"/>
    <w:rsid w:val="009E4456"/>
    <w:rsid w:val="009E4843"/>
    <w:rsid w:val="009E5EA4"/>
    <w:rsid w:val="009E668D"/>
    <w:rsid w:val="009F0B90"/>
    <w:rsid w:val="009F102D"/>
    <w:rsid w:val="009F1269"/>
    <w:rsid w:val="009F2B2F"/>
    <w:rsid w:val="009F303A"/>
    <w:rsid w:val="009F30A1"/>
    <w:rsid w:val="009F32FE"/>
    <w:rsid w:val="009F4619"/>
    <w:rsid w:val="009F4CB7"/>
    <w:rsid w:val="009F67B4"/>
    <w:rsid w:val="00A0035D"/>
    <w:rsid w:val="00A01B8A"/>
    <w:rsid w:val="00A0225D"/>
    <w:rsid w:val="00A02FEB"/>
    <w:rsid w:val="00A053CE"/>
    <w:rsid w:val="00A05854"/>
    <w:rsid w:val="00A0602C"/>
    <w:rsid w:val="00A06A92"/>
    <w:rsid w:val="00A12260"/>
    <w:rsid w:val="00A137FD"/>
    <w:rsid w:val="00A13EB8"/>
    <w:rsid w:val="00A141CD"/>
    <w:rsid w:val="00A1440E"/>
    <w:rsid w:val="00A1588A"/>
    <w:rsid w:val="00A1594C"/>
    <w:rsid w:val="00A16709"/>
    <w:rsid w:val="00A167BD"/>
    <w:rsid w:val="00A16ABB"/>
    <w:rsid w:val="00A209BE"/>
    <w:rsid w:val="00A20F40"/>
    <w:rsid w:val="00A21F57"/>
    <w:rsid w:val="00A223E7"/>
    <w:rsid w:val="00A2357C"/>
    <w:rsid w:val="00A30E25"/>
    <w:rsid w:val="00A310E4"/>
    <w:rsid w:val="00A3166E"/>
    <w:rsid w:val="00A318BC"/>
    <w:rsid w:val="00A32203"/>
    <w:rsid w:val="00A32E91"/>
    <w:rsid w:val="00A32FA9"/>
    <w:rsid w:val="00A3439E"/>
    <w:rsid w:val="00A34931"/>
    <w:rsid w:val="00A353C1"/>
    <w:rsid w:val="00A36937"/>
    <w:rsid w:val="00A36A71"/>
    <w:rsid w:val="00A4000B"/>
    <w:rsid w:val="00A42506"/>
    <w:rsid w:val="00A425DA"/>
    <w:rsid w:val="00A42687"/>
    <w:rsid w:val="00A432F1"/>
    <w:rsid w:val="00A4442B"/>
    <w:rsid w:val="00A459E7"/>
    <w:rsid w:val="00A46A25"/>
    <w:rsid w:val="00A511EB"/>
    <w:rsid w:val="00A53572"/>
    <w:rsid w:val="00A53826"/>
    <w:rsid w:val="00A5487A"/>
    <w:rsid w:val="00A55EE0"/>
    <w:rsid w:val="00A57C72"/>
    <w:rsid w:val="00A60BAE"/>
    <w:rsid w:val="00A61B8C"/>
    <w:rsid w:val="00A6204C"/>
    <w:rsid w:val="00A6316F"/>
    <w:rsid w:val="00A64F35"/>
    <w:rsid w:val="00A664AD"/>
    <w:rsid w:val="00A67013"/>
    <w:rsid w:val="00A70C5B"/>
    <w:rsid w:val="00A70FF3"/>
    <w:rsid w:val="00A72391"/>
    <w:rsid w:val="00A72AAC"/>
    <w:rsid w:val="00A72D23"/>
    <w:rsid w:val="00A72E1E"/>
    <w:rsid w:val="00A7515F"/>
    <w:rsid w:val="00A75484"/>
    <w:rsid w:val="00A75FBB"/>
    <w:rsid w:val="00A7791A"/>
    <w:rsid w:val="00A779B1"/>
    <w:rsid w:val="00A779D8"/>
    <w:rsid w:val="00A80029"/>
    <w:rsid w:val="00A802FC"/>
    <w:rsid w:val="00A8038E"/>
    <w:rsid w:val="00A82A91"/>
    <w:rsid w:val="00A82B78"/>
    <w:rsid w:val="00A84763"/>
    <w:rsid w:val="00A84A9E"/>
    <w:rsid w:val="00A85179"/>
    <w:rsid w:val="00A853AA"/>
    <w:rsid w:val="00A8642C"/>
    <w:rsid w:val="00A86BC0"/>
    <w:rsid w:val="00A87D33"/>
    <w:rsid w:val="00A87FD9"/>
    <w:rsid w:val="00A913C1"/>
    <w:rsid w:val="00A91F9E"/>
    <w:rsid w:val="00A938C7"/>
    <w:rsid w:val="00A94035"/>
    <w:rsid w:val="00A9506D"/>
    <w:rsid w:val="00A95B04"/>
    <w:rsid w:val="00A9632C"/>
    <w:rsid w:val="00A96844"/>
    <w:rsid w:val="00AA323D"/>
    <w:rsid w:val="00AA34E7"/>
    <w:rsid w:val="00AA4283"/>
    <w:rsid w:val="00AA5B48"/>
    <w:rsid w:val="00AA5EED"/>
    <w:rsid w:val="00AA6144"/>
    <w:rsid w:val="00AA7669"/>
    <w:rsid w:val="00AB00C6"/>
    <w:rsid w:val="00AB0970"/>
    <w:rsid w:val="00AB189B"/>
    <w:rsid w:val="00AB234A"/>
    <w:rsid w:val="00AB56B9"/>
    <w:rsid w:val="00AB67F9"/>
    <w:rsid w:val="00AB6861"/>
    <w:rsid w:val="00AB6B02"/>
    <w:rsid w:val="00AC0B8A"/>
    <w:rsid w:val="00AC0C96"/>
    <w:rsid w:val="00AC32D2"/>
    <w:rsid w:val="00AC3854"/>
    <w:rsid w:val="00AC3FD3"/>
    <w:rsid w:val="00AC5432"/>
    <w:rsid w:val="00AC60E8"/>
    <w:rsid w:val="00AC72A2"/>
    <w:rsid w:val="00AD00EC"/>
    <w:rsid w:val="00AD0413"/>
    <w:rsid w:val="00AD0910"/>
    <w:rsid w:val="00AD23A1"/>
    <w:rsid w:val="00AD2B8F"/>
    <w:rsid w:val="00AD2D98"/>
    <w:rsid w:val="00AD39C7"/>
    <w:rsid w:val="00AD3DF8"/>
    <w:rsid w:val="00AD3ECE"/>
    <w:rsid w:val="00AD453C"/>
    <w:rsid w:val="00AD4854"/>
    <w:rsid w:val="00AD4953"/>
    <w:rsid w:val="00AD503A"/>
    <w:rsid w:val="00AD5E16"/>
    <w:rsid w:val="00AD7456"/>
    <w:rsid w:val="00AD773F"/>
    <w:rsid w:val="00AE06FE"/>
    <w:rsid w:val="00AE1B16"/>
    <w:rsid w:val="00AE28A6"/>
    <w:rsid w:val="00AE3943"/>
    <w:rsid w:val="00AE48F6"/>
    <w:rsid w:val="00AE4F72"/>
    <w:rsid w:val="00AE59E5"/>
    <w:rsid w:val="00AE5FE6"/>
    <w:rsid w:val="00AE602F"/>
    <w:rsid w:val="00AE67A7"/>
    <w:rsid w:val="00AE6F2A"/>
    <w:rsid w:val="00AF008B"/>
    <w:rsid w:val="00AF2192"/>
    <w:rsid w:val="00AF2671"/>
    <w:rsid w:val="00AF2F74"/>
    <w:rsid w:val="00AF3CA7"/>
    <w:rsid w:val="00AF3E04"/>
    <w:rsid w:val="00AF3F17"/>
    <w:rsid w:val="00AF4A4C"/>
    <w:rsid w:val="00AF4A9A"/>
    <w:rsid w:val="00AF788A"/>
    <w:rsid w:val="00AF7B82"/>
    <w:rsid w:val="00B02099"/>
    <w:rsid w:val="00B02429"/>
    <w:rsid w:val="00B03559"/>
    <w:rsid w:val="00B042A1"/>
    <w:rsid w:val="00B043F0"/>
    <w:rsid w:val="00B04CC9"/>
    <w:rsid w:val="00B05B79"/>
    <w:rsid w:val="00B06998"/>
    <w:rsid w:val="00B111A8"/>
    <w:rsid w:val="00B1160B"/>
    <w:rsid w:val="00B1198C"/>
    <w:rsid w:val="00B11C3D"/>
    <w:rsid w:val="00B12C23"/>
    <w:rsid w:val="00B12FC8"/>
    <w:rsid w:val="00B13583"/>
    <w:rsid w:val="00B14368"/>
    <w:rsid w:val="00B14A91"/>
    <w:rsid w:val="00B156DA"/>
    <w:rsid w:val="00B1593A"/>
    <w:rsid w:val="00B1755B"/>
    <w:rsid w:val="00B209E0"/>
    <w:rsid w:val="00B22710"/>
    <w:rsid w:val="00B22746"/>
    <w:rsid w:val="00B22A5C"/>
    <w:rsid w:val="00B22D1B"/>
    <w:rsid w:val="00B23371"/>
    <w:rsid w:val="00B24361"/>
    <w:rsid w:val="00B2495E"/>
    <w:rsid w:val="00B257DC"/>
    <w:rsid w:val="00B26D59"/>
    <w:rsid w:val="00B315A0"/>
    <w:rsid w:val="00B32513"/>
    <w:rsid w:val="00B32F52"/>
    <w:rsid w:val="00B33E45"/>
    <w:rsid w:val="00B344A7"/>
    <w:rsid w:val="00B345A1"/>
    <w:rsid w:val="00B354D3"/>
    <w:rsid w:val="00B35CBB"/>
    <w:rsid w:val="00B36E51"/>
    <w:rsid w:val="00B40ED1"/>
    <w:rsid w:val="00B41770"/>
    <w:rsid w:val="00B4235D"/>
    <w:rsid w:val="00B424DE"/>
    <w:rsid w:val="00B42CF6"/>
    <w:rsid w:val="00B433D8"/>
    <w:rsid w:val="00B43776"/>
    <w:rsid w:val="00B438F3"/>
    <w:rsid w:val="00B43974"/>
    <w:rsid w:val="00B43F4F"/>
    <w:rsid w:val="00B452EE"/>
    <w:rsid w:val="00B4600C"/>
    <w:rsid w:val="00B46412"/>
    <w:rsid w:val="00B4707D"/>
    <w:rsid w:val="00B47F56"/>
    <w:rsid w:val="00B519A3"/>
    <w:rsid w:val="00B55451"/>
    <w:rsid w:val="00B55770"/>
    <w:rsid w:val="00B55872"/>
    <w:rsid w:val="00B56278"/>
    <w:rsid w:val="00B57048"/>
    <w:rsid w:val="00B60196"/>
    <w:rsid w:val="00B60405"/>
    <w:rsid w:val="00B60A15"/>
    <w:rsid w:val="00B60BFE"/>
    <w:rsid w:val="00B632FE"/>
    <w:rsid w:val="00B6369F"/>
    <w:rsid w:val="00B641A0"/>
    <w:rsid w:val="00B65806"/>
    <w:rsid w:val="00B664E5"/>
    <w:rsid w:val="00B66757"/>
    <w:rsid w:val="00B66B1E"/>
    <w:rsid w:val="00B67CC7"/>
    <w:rsid w:val="00B7213E"/>
    <w:rsid w:val="00B767F5"/>
    <w:rsid w:val="00B77857"/>
    <w:rsid w:val="00B80F1B"/>
    <w:rsid w:val="00B83A2F"/>
    <w:rsid w:val="00B83EA6"/>
    <w:rsid w:val="00B85C82"/>
    <w:rsid w:val="00B85E9F"/>
    <w:rsid w:val="00B86C3E"/>
    <w:rsid w:val="00B86DF7"/>
    <w:rsid w:val="00B86E78"/>
    <w:rsid w:val="00B90FF1"/>
    <w:rsid w:val="00B9121A"/>
    <w:rsid w:val="00B9148F"/>
    <w:rsid w:val="00B915AC"/>
    <w:rsid w:val="00B92DB0"/>
    <w:rsid w:val="00B93AB0"/>
    <w:rsid w:val="00B949F2"/>
    <w:rsid w:val="00B95307"/>
    <w:rsid w:val="00B95E36"/>
    <w:rsid w:val="00B960CD"/>
    <w:rsid w:val="00B96E3C"/>
    <w:rsid w:val="00B97696"/>
    <w:rsid w:val="00BA011C"/>
    <w:rsid w:val="00BA205F"/>
    <w:rsid w:val="00BA220D"/>
    <w:rsid w:val="00BA2D9A"/>
    <w:rsid w:val="00BA2F55"/>
    <w:rsid w:val="00BA32DB"/>
    <w:rsid w:val="00BA3F4C"/>
    <w:rsid w:val="00BA60C0"/>
    <w:rsid w:val="00BA6E38"/>
    <w:rsid w:val="00BB233B"/>
    <w:rsid w:val="00BB281B"/>
    <w:rsid w:val="00BB2C71"/>
    <w:rsid w:val="00BB3161"/>
    <w:rsid w:val="00BB328B"/>
    <w:rsid w:val="00BB32E8"/>
    <w:rsid w:val="00BB3ED9"/>
    <w:rsid w:val="00BB4152"/>
    <w:rsid w:val="00BB4647"/>
    <w:rsid w:val="00BB4F1B"/>
    <w:rsid w:val="00BB5F24"/>
    <w:rsid w:val="00BB6B21"/>
    <w:rsid w:val="00BB6FD7"/>
    <w:rsid w:val="00BB777B"/>
    <w:rsid w:val="00BC079F"/>
    <w:rsid w:val="00BC1935"/>
    <w:rsid w:val="00BC2AE6"/>
    <w:rsid w:val="00BC2CD4"/>
    <w:rsid w:val="00BC469F"/>
    <w:rsid w:val="00BD21D3"/>
    <w:rsid w:val="00BD2655"/>
    <w:rsid w:val="00BD2765"/>
    <w:rsid w:val="00BD4362"/>
    <w:rsid w:val="00BE1566"/>
    <w:rsid w:val="00BE2201"/>
    <w:rsid w:val="00BE29C8"/>
    <w:rsid w:val="00BE2DED"/>
    <w:rsid w:val="00BE401B"/>
    <w:rsid w:val="00BE4062"/>
    <w:rsid w:val="00BE4856"/>
    <w:rsid w:val="00BE55A2"/>
    <w:rsid w:val="00BE56A3"/>
    <w:rsid w:val="00BE56A9"/>
    <w:rsid w:val="00BE5E82"/>
    <w:rsid w:val="00BE7A08"/>
    <w:rsid w:val="00BF0672"/>
    <w:rsid w:val="00BF1AA1"/>
    <w:rsid w:val="00BF2A6D"/>
    <w:rsid w:val="00BF5862"/>
    <w:rsid w:val="00BF5CCA"/>
    <w:rsid w:val="00BF606D"/>
    <w:rsid w:val="00C0037D"/>
    <w:rsid w:val="00C02B3A"/>
    <w:rsid w:val="00C03704"/>
    <w:rsid w:val="00C03C15"/>
    <w:rsid w:val="00C0632B"/>
    <w:rsid w:val="00C06C39"/>
    <w:rsid w:val="00C06CD2"/>
    <w:rsid w:val="00C0751F"/>
    <w:rsid w:val="00C11F9F"/>
    <w:rsid w:val="00C13A30"/>
    <w:rsid w:val="00C1436A"/>
    <w:rsid w:val="00C1454F"/>
    <w:rsid w:val="00C14F7A"/>
    <w:rsid w:val="00C16FAC"/>
    <w:rsid w:val="00C17276"/>
    <w:rsid w:val="00C21B6D"/>
    <w:rsid w:val="00C22611"/>
    <w:rsid w:val="00C2264C"/>
    <w:rsid w:val="00C227B7"/>
    <w:rsid w:val="00C253F0"/>
    <w:rsid w:val="00C26BF5"/>
    <w:rsid w:val="00C27C62"/>
    <w:rsid w:val="00C31E95"/>
    <w:rsid w:val="00C35AFD"/>
    <w:rsid w:val="00C35E7C"/>
    <w:rsid w:val="00C37BD2"/>
    <w:rsid w:val="00C405CA"/>
    <w:rsid w:val="00C41712"/>
    <w:rsid w:val="00C4205A"/>
    <w:rsid w:val="00C42C68"/>
    <w:rsid w:val="00C43205"/>
    <w:rsid w:val="00C4414C"/>
    <w:rsid w:val="00C44473"/>
    <w:rsid w:val="00C445FB"/>
    <w:rsid w:val="00C45969"/>
    <w:rsid w:val="00C45CF3"/>
    <w:rsid w:val="00C45D44"/>
    <w:rsid w:val="00C478D2"/>
    <w:rsid w:val="00C47D47"/>
    <w:rsid w:val="00C50855"/>
    <w:rsid w:val="00C5085E"/>
    <w:rsid w:val="00C50981"/>
    <w:rsid w:val="00C515EC"/>
    <w:rsid w:val="00C51D88"/>
    <w:rsid w:val="00C5259B"/>
    <w:rsid w:val="00C52BBD"/>
    <w:rsid w:val="00C5410C"/>
    <w:rsid w:val="00C54BF8"/>
    <w:rsid w:val="00C555FD"/>
    <w:rsid w:val="00C5560B"/>
    <w:rsid w:val="00C556A7"/>
    <w:rsid w:val="00C5608D"/>
    <w:rsid w:val="00C56107"/>
    <w:rsid w:val="00C56427"/>
    <w:rsid w:val="00C56DC6"/>
    <w:rsid w:val="00C60112"/>
    <w:rsid w:val="00C61C11"/>
    <w:rsid w:val="00C61F9E"/>
    <w:rsid w:val="00C63E2D"/>
    <w:rsid w:val="00C6402A"/>
    <w:rsid w:val="00C64C81"/>
    <w:rsid w:val="00C6550B"/>
    <w:rsid w:val="00C671CA"/>
    <w:rsid w:val="00C70406"/>
    <w:rsid w:val="00C70F3E"/>
    <w:rsid w:val="00C71E1E"/>
    <w:rsid w:val="00C72014"/>
    <w:rsid w:val="00C727B5"/>
    <w:rsid w:val="00C72A90"/>
    <w:rsid w:val="00C738B9"/>
    <w:rsid w:val="00C74E96"/>
    <w:rsid w:val="00C76420"/>
    <w:rsid w:val="00C77317"/>
    <w:rsid w:val="00C77D0C"/>
    <w:rsid w:val="00C81DAD"/>
    <w:rsid w:val="00C822BF"/>
    <w:rsid w:val="00C8261C"/>
    <w:rsid w:val="00C82986"/>
    <w:rsid w:val="00C8655C"/>
    <w:rsid w:val="00C90655"/>
    <w:rsid w:val="00C911F0"/>
    <w:rsid w:val="00C91426"/>
    <w:rsid w:val="00C915BD"/>
    <w:rsid w:val="00C9174C"/>
    <w:rsid w:val="00C91C60"/>
    <w:rsid w:val="00C9282B"/>
    <w:rsid w:val="00C92ED0"/>
    <w:rsid w:val="00C931B6"/>
    <w:rsid w:val="00C93650"/>
    <w:rsid w:val="00C93BE3"/>
    <w:rsid w:val="00C9404E"/>
    <w:rsid w:val="00C94D8A"/>
    <w:rsid w:val="00C95CDA"/>
    <w:rsid w:val="00C95EC2"/>
    <w:rsid w:val="00C97E65"/>
    <w:rsid w:val="00CA10C1"/>
    <w:rsid w:val="00CA23BB"/>
    <w:rsid w:val="00CA27D4"/>
    <w:rsid w:val="00CA2E4D"/>
    <w:rsid w:val="00CA32E3"/>
    <w:rsid w:val="00CA3812"/>
    <w:rsid w:val="00CA4014"/>
    <w:rsid w:val="00CA5F34"/>
    <w:rsid w:val="00CA76B8"/>
    <w:rsid w:val="00CB0871"/>
    <w:rsid w:val="00CB2722"/>
    <w:rsid w:val="00CB340B"/>
    <w:rsid w:val="00CB35FC"/>
    <w:rsid w:val="00CB3677"/>
    <w:rsid w:val="00CB3957"/>
    <w:rsid w:val="00CB3C87"/>
    <w:rsid w:val="00CB45A3"/>
    <w:rsid w:val="00CB4B4F"/>
    <w:rsid w:val="00CB4CDD"/>
    <w:rsid w:val="00CB51AC"/>
    <w:rsid w:val="00CB5A6B"/>
    <w:rsid w:val="00CB68BB"/>
    <w:rsid w:val="00CB76C6"/>
    <w:rsid w:val="00CC2841"/>
    <w:rsid w:val="00CC4972"/>
    <w:rsid w:val="00CC6B35"/>
    <w:rsid w:val="00CC78B0"/>
    <w:rsid w:val="00CD1846"/>
    <w:rsid w:val="00CD315E"/>
    <w:rsid w:val="00CD319E"/>
    <w:rsid w:val="00CD321D"/>
    <w:rsid w:val="00CD39DF"/>
    <w:rsid w:val="00CD496E"/>
    <w:rsid w:val="00CD6290"/>
    <w:rsid w:val="00CD740A"/>
    <w:rsid w:val="00CD753D"/>
    <w:rsid w:val="00CE0FBB"/>
    <w:rsid w:val="00CE164D"/>
    <w:rsid w:val="00CE1A32"/>
    <w:rsid w:val="00CE2098"/>
    <w:rsid w:val="00CE26FB"/>
    <w:rsid w:val="00CE639D"/>
    <w:rsid w:val="00CE6AB1"/>
    <w:rsid w:val="00CE6E38"/>
    <w:rsid w:val="00CF41DC"/>
    <w:rsid w:val="00CF4995"/>
    <w:rsid w:val="00CF4CA5"/>
    <w:rsid w:val="00CF53B8"/>
    <w:rsid w:val="00CF555E"/>
    <w:rsid w:val="00CF5B92"/>
    <w:rsid w:val="00CF62D1"/>
    <w:rsid w:val="00CF6607"/>
    <w:rsid w:val="00CF66E1"/>
    <w:rsid w:val="00CF67F9"/>
    <w:rsid w:val="00CF7050"/>
    <w:rsid w:val="00CF79FB"/>
    <w:rsid w:val="00D00A37"/>
    <w:rsid w:val="00D01734"/>
    <w:rsid w:val="00D01C2A"/>
    <w:rsid w:val="00D02BA4"/>
    <w:rsid w:val="00D058A6"/>
    <w:rsid w:val="00D06799"/>
    <w:rsid w:val="00D073EE"/>
    <w:rsid w:val="00D07ECD"/>
    <w:rsid w:val="00D125B6"/>
    <w:rsid w:val="00D13D1D"/>
    <w:rsid w:val="00D16F86"/>
    <w:rsid w:val="00D17283"/>
    <w:rsid w:val="00D17572"/>
    <w:rsid w:val="00D17DB8"/>
    <w:rsid w:val="00D22483"/>
    <w:rsid w:val="00D24EEC"/>
    <w:rsid w:val="00D24F88"/>
    <w:rsid w:val="00D24FE5"/>
    <w:rsid w:val="00D253B4"/>
    <w:rsid w:val="00D25861"/>
    <w:rsid w:val="00D26C68"/>
    <w:rsid w:val="00D2753D"/>
    <w:rsid w:val="00D30549"/>
    <w:rsid w:val="00D32648"/>
    <w:rsid w:val="00D330DA"/>
    <w:rsid w:val="00D332FD"/>
    <w:rsid w:val="00D35F9B"/>
    <w:rsid w:val="00D360A9"/>
    <w:rsid w:val="00D37948"/>
    <w:rsid w:val="00D41E5B"/>
    <w:rsid w:val="00D43DDF"/>
    <w:rsid w:val="00D44B2F"/>
    <w:rsid w:val="00D44D5A"/>
    <w:rsid w:val="00D450A9"/>
    <w:rsid w:val="00D46304"/>
    <w:rsid w:val="00D473E1"/>
    <w:rsid w:val="00D47645"/>
    <w:rsid w:val="00D478DD"/>
    <w:rsid w:val="00D50D09"/>
    <w:rsid w:val="00D518D8"/>
    <w:rsid w:val="00D52D0D"/>
    <w:rsid w:val="00D533CE"/>
    <w:rsid w:val="00D534E9"/>
    <w:rsid w:val="00D5514B"/>
    <w:rsid w:val="00D55BAB"/>
    <w:rsid w:val="00D5685E"/>
    <w:rsid w:val="00D60485"/>
    <w:rsid w:val="00D608CB"/>
    <w:rsid w:val="00D6171E"/>
    <w:rsid w:val="00D62936"/>
    <w:rsid w:val="00D630A5"/>
    <w:rsid w:val="00D63B7F"/>
    <w:rsid w:val="00D647F2"/>
    <w:rsid w:val="00D64CDA"/>
    <w:rsid w:val="00D65B65"/>
    <w:rsid w:val="00D665C3"/>
    <w:rsid w:val="00D667B1"/>
    <w:rsid w:val="00D6719E"/>
    <w:rsid w:val="00D674CF"/>
    <w:rsid w:val="00D723CC"/>
    <w:rsid w:val="00D72716"/>
    <w:rsid w:val="00D729B6"/>
    <w:rsid w:val="00D736E3"/>
    <w:rsid w:val="00D7385C"/>
    <w:rsid w:val="00D73B19"/>
    <w:rsid w:val="00D76D14"/>
    <w:rsid w:val="00D77112"/>
    <w:rsid w:val="00D77212"/>
    <w:rsid w:val="00D7724D"/>
    <w:rsid w:val="00D77847"/>
    <w:rsid w:val="00D81D4D"/>
    <w:rsid w:val="00D82282"/>
    <w:rsid w:val="00D825F5"/>
    <w:rsid w:val="00D83DB1"/>
    <w:rsid w:val="00D8482F"/>
    <w:rsid w:val="00D84950"/>
    <w:rsid w:val="00D84BE2"/>
    <w:rsid w:val="00D84C75"/>
    <w:rsid w:val="00D84E16"/>
    <w:rsid w:val="00D860C0"/>
    <w:rsid w:val="00D86405"/>
    <w:rsid w:val="00D87492"/>
    <w:rsid w:val="00D879DE"/>
    <w:rsid w:val="00D90C4D"/>
    <w:rsid w:val="00D90C51"/>
    <w:rsid w:val="00D91B3E"/>
    <w:rsid w:val="00D9208A"/>
    <w:rsid w:val="00D922AB"/>
    <w:rsid w:val="00D92E84"/>
    <w:rsid w:val="00D93754"/>
    <w:rsid w:val="00D94276"/>
    <w:rsid w:val="00D948B4"/>
    <w:rsid w:val="00D94C36"/>
    <w:rsid w:val="00D9538D"/>
    <w:rsid w:val="00D96ADC"/>
    <w:rsid w:val="00DA0FDB"/>
    <w:rsid w:val="00DA1896"/>
    <w:rsid w:val="00DA2A42"/>
    <w:rsid w:val="00DA555A"/>
    <w:rsid w:val="00DA57F6"/>
    <w:rsid w:val="00DA5989"/>
    <w:rsid w:val="00DA6132"/>
    <w:rsid w:val="00DB0571"/>
    <w:rsid w:val="00DB391A"/>
    <w:rsid w:val="00DB406B"/>
    <w:rsid w:val="00DB712D"/>
    <w:rsid w:val="00DB7585"/>
    <w:rsid w:val="00DC0B24"/>
    <w:rsid w:val="00DC3F09"/>
    <w:rsid w:val="00DC5798"/>
    <w:rsid w:val="00DC625F"/>
    <w:rsid w:val="00DC72DC"/>
    <w:rsid w:val="00DC763B"/>
    <w:rsid w:val="00DC7D28"/>
    <w:rsid w:val="00DD04C8"/>
    <w:rsid w:val="00DD18DA"/>
    <w:rsid w:val="00DD2601"/>
    <w:rsid w:val="00DD413A"/>
    <w:rsid w:val="00DD4EFD"/>
    <w:rsid w:val="00DE1020"/>
    <w:rsid w:val="00DE12B6"/>
    <w:rsid w:val="00DE21D8"/>
    <w:rsid w:val="00DE250D"/>
    <w:rsid w:val="00DE27B0"/>
    <w:rsid w:val="00DE5753"/>
    <w:rsid w:val="00DE5E6F"/>
    <w:rsid w:val="00DE75E3"/>
    <w:rsid w:val="00DF1744"/>
    <w:rsid w:val="00DF1F33"/>
    <w:rsid w:val="00DF2CA4"/>
    <w:rsid w:val="00DF2F4B"/>
    <w:rsid w:val="00DF355B"/>
    <w:rsid w:val="00DF361E"/>
    <w:rsid w:val="00DF36C6"/>
    <w:rsid w:val="00DF40AB"/>
    <w:rsid w:val="00DF4471"/>
    <w:rsid w:val="00DF4E7E"/>
    <w:rsid w:val="00DF5BA1"/>
    <w:rsid w:val="00DF63D3"/>
    <w:rsid w:val="00DF6759"/>
    <w:rsid w:val="00E00071"/>
    <w:rsid w:val="00E01C89"/>
    <w:rsid w:val="00E02B23"/>
    <w:rsid w:val="00E06FA1"/>
    <w:rsid w:val="00E075F2"/>
    <w:rsid w:val="00E1123D"/>
    <w:rsid w:val="00E11488"/>
    <w:rsid w:val="00E12A64"/>
    <w:rsid w:val="00E12E2A"/>
    <w:rsid w:val="00E13EDB"/>
    <w:rsid w:val="00E1405A"/>
    <w:rsid w:val="00E146A1"/>
    <w:rsid w:val="00E159A9"/>
    <w:rsid w:val="00E204EC"/>
    <w:rsid w:val="00E20B66"/>
    <w:rsid w:val="00E21A73"/>
    <w:rsid w:val="00E21F73"/>
    <w:rsid w:val="00E2281B"/>
    <w:rsid w:val="00E2310C"/>
    <w:rsid w:val="00E236E6"/>
    <w:rsid w:val="00E23A15"/>
    <w:rsid w:val="00E24849"/>
    <w:rsid w:val="00E24988"/>
    <w:rsid w:val="00E25F48"/>
    <w:rsid w:val="00E25FD0"/>
    <w:rsid w:val="00E26E57"/>
    <w:rsid w:val="00E30630"/>
    <w:rsid w:val="00E3099C"/>
    <w:rsid w:val="00E30DF9"/>
    <w:rsid w:val="00E312AE"/>
    <w:rsid w:val="00E3479F"/>
    <w:rsid w:val="00E3630C"/>
    <w:rsid w:val="00E36454"/>
    <w:rsid w:val="00E366BC"/>
    <w:rsid w:val="00E3682A"/>
    <w:rsid w:val="00E3712A"/>
    <w:rsid w:val="00E37DD9"/>
    <w:rsid w:val="00E37F31"/>
    <w:rsid w:val="00E40CAE"/>
    <w:rsid w:val="00E40FD3"/>
    <w:rsid w:val="00E41120"/>
    <w:rsid w:val="00E415B8"/>
    <w:rsid w:val="00E416D0"/>
    <w:rsid w:val="00E42CB4"/>
    <w:rsid w:val="00E43997"/>
    <w:rsid w:val="00E44898"/>
    <w:rsid w:val="00E44913"/>
    <w:rsid w:val="00E450E7"/>
    <w:rsid w:val="00E45327"/>
    <w:rsid w:val="00E453A3"/>
    <w:rsid w:val="00E45EB9"/>
    <w:rsid w:val="00E467E1"/>
    <w:rsid w:val="00E46A44"/>
    <w:rsid w:val="00E46B44"/>
    <w:rsid w:val="00E50677"/>
    <w:rsid w:val="00E52735"/>
    <w:rsid w:val="00E53D83"/>
    <w:rsid w:val="00E54368"/>
    <w:rsid w:val="00E54F31"/>
    <w:rsid w:val="00E57227"/>
    <w:rsid w:val="00E57C7F"/>
    <w:rsid w:val="00E60085"/>
    <w:rsid w:val="00E610EB"/>
    <w:rsid w:val="00E61370"/>
    <w:rsid w:val="00E61A1E"/>
    <w:rsid w:val="00E6264C"/>
    <w:rsid w:val="00E640FF"/>
    <w:rsid w:val="00E6421A"/>
    <w:rsid w:val="00E65196"/>
    <w:rsid w:val="00E658C7"/>
    <w:rsid w:val="00E663E6"/>
    <w:rsid w:val="00E673FA"/>
    <w:rsid w:val="00E67BAC"/>
    <w:rsid w:val="00E70617"/>
    <w:rsid w:val="00E745A4"/>
    <w:rsid w:val="00E74A50"/>
    <w:rsid w:val="00E751A0"/>
    <w:rsid w:val="00E7649D"/>
    <w:rsid w:val="00E76537"/>
    <w:rsid w:val="00E76A76"/>
    <w:rsid w:val="00E77361"/>
    <w:rsid w:val="00E77373"/>
    <w:rsid w:val="00E82F2E"/>
    <w:rsid w:val="00E84434"/>
    <w:rsid w:val="00E854C1"/>
    <w:rsid w:val="00E85C43"/>
    <w:rsid w:val="00E8627D"/>
    <w:rsid w:val="00E87F8D"/>
    <w:rsid w:val="00E90806"/>
    <w:rsid w:val="00E90B04"/>
    <w:rsid w:val="00E935F2"/>
    <w:rsid w:val="00E9415F"/>
    <w:rsid w:val="00E95450"/>
    <w:rsid w:val="00E962D1"/>
    <w:rsid w:val="00E9694A"/>
    <w:rsid w:val="00E974AD"/>
    <w:rsid w:val="00EA029B"/>
    <w:rsid w:val="00EA035B"/>
    <w:rsid w:val="00EA0682"/>
    <w:rsid w:val="00EA084E"/>
    <w:rsid w:val="00EA0B48"/>
    <w:rsid w:val="00EA0CB2"/>
    <w:rsid w:val="00EA2351"/>
    <w:rsid w:val="00EA3283"/>
    <w:rsid w:val="00EA3BE8"/>
    <w:rsid w:val="00EA3BEF"/>
    <w:rsid w:val="00EA3CCB"/>
    <w:rsid w:val="00EA4E5F"/>
    <w:rsid w:val="00EA545B"/>
    <w:rsid w:val="00EA5C4D"/>
    <w:rsid w:val="00EA5E0E"/>
    <w:rsid w:val="00EA67F3"/>
    <w:rsid w:val="00EA70FA"/>
    <w:rsid w:val="00EA788B"/>
    <w:rsid w:val="00EA79A8"/>
    <w:rsid w:val="00EB1236"/>
    <w:rsid w:val="00EB3326"/>
    <w:rsid w:val="00EB3BED"/>
    <w:rsid w:val="00EB4445"/>
    <w:rsid w:val="00EB508F"/>
    <w:rsid w:val="00EB59BD"/>
    <w:rsid w:val="00EB7D49"/>
    <w:rsid w:val="00EC117C"/>
    <w:rsid w:val="00EC26A8"/>
    <w:rsid w:val="00EC359E"/>
    <w:rsid w:val="00EC3D42"/>
    <w:rsid w:val="00EC452F"/>
    <w:rsid w:val="00EC4CCC"/>
    <w:rsid w:val="00EC5EA7"/>
    <w:rsid w:val="00EC7C3F"/>
    <w:rsid w:val="00ED08B8"/>
    <w:rsid w:val="00ED16A4"/>
    <w:rsid w:val="00ED23E9"/>
    <w:rsid w:val="00ED2E90"/>
    <w:rsid w:val="00ED445D"/>
    <w:rsid w:val="00EE03E2"/>
    <w:rsid w:val="00EE09CE"/>
    <w:rsid w:val="00EE389F"/>
    <w:rsid w:val="00EE3931"/>
    <w:rsid w:val="00EE3DBE"/>
    <w:rsid w:val="00EE478E"/>
    <w:rsid w:val="00EE5038"/>
    <w:rsid w:val="00EE577E"/>
    <w:rsid w:val="00EE5855"/>
    <w:rsid w:val="00EE6A16"/>
    <w:rsid w:val="00EF026F"/>
    <w:rsid w:val="00EF0FAF"/>
    <w:rsid w:val="00EF152D"/>
    <w:rsid w:val="00EF2BA3"/>
    <w:rsid w:val="00EF349A"/>
    <w:rsid w:val="00EF4724"/>
    <w:rsid w:val="00EF4B1F"/>
    <w:rsid w:val="00EF4CD0"/>
    <w:rsid w:val="00EF66D0"/>
    <w:rsid w:val="00EF6D0B"/>
    <w:rsid w:val="00EF7E78"/>
    <w:rsid w:val="00F005C5"/>
    <w:rsid w:val="00F009BE"/>
    <w:rsid w:val="00F00D15"/>
    <w:rsid w:val="00F02177"/>
    <w:rsid w:val="00F03583"/>
    <w:rsid w:val="00F036E5"/>
    <w:rsid w:val="00F05894"/>
    <w:rsid w:val="00F06299"/>
    <w:rsid w:val="00F07E5C"/>
    <w:rsid w:val="00F12586"/>
    <w:rsid w:val="00F13D58"/>
    <w:rsid w:val="00F14BA9"/>
    <w:rsid w:val="00F152D8"/>
    <w:rsid w:val="00F16CEC"/>
    <w:rsid w:val="00F20D61"/>
    <w:rsid w:val="00F21F57"/>
    <w:rsid w:val="00F2382D"/>
    <w:rsid w:val="00F24011"/>
    <w:rsid w:val="00F24E48"/>
    <w:rsid w:val="00F26E98"/>
    <w:rsid w:val="00F26F4D"/>
    <w:rsid w:val="00F2715C"/>
    <w:rsid w:val="00F30453"/>
    <w:rsid w:val="00F330C7"/>
    <w:rsid w:val="00F332D6"/>
    <w:rsid w:val="00F3726E"/>
    <w:rsid w:val="00F402CE"/>
    <w:rsid w:val="00F40656"/>
    <w:rsid w:val="00F41257"/>
    <w:rsid w:val="00F41915"/>
    <w:rsid w:val="00F41EB2"/>
    <w:rsid w:val="00F42516"/>
    <w:rsid w:val="00F42550"/>
    <w:rsid w:val="00F42DD9"/>
    <w:rsid w:val="00F45187"/>
    <w:rsid w:val="00F459A6"/>
    <w:rsid w:val="00F47B27"/>
    <w:rsid w:val="00F503B0"/>
    <w:rsid w:val="00F5152E"/>
    <w:rsid w:val="00F53A75"/>
    <w:rsid w:val="00F55CD1"/>
    <w:rsid w:val="00F56B27"/>
    <w:rsid w:val="00F56F90"/>
    <w:rsid w:val="00F57061"/>
    <w:rsid w:val="00F57925"/>
    <w:rsid w:val="00F57CE0"/>
    <w:rsid w:val="00F60B7B"/>
    <w:rsid w:val="00F616C1"/>
    <w:rsid w:val="00F619D4"/>
    <w:rsid w:val="00F643A3"/>
    <w:rsid w:val="00F64573"/>
    <w:rsid w:val="00F64898"/>
    <w:rsid w:val="00F65F08"/>
    <w:rsid w:val="00F6636D"/>
    <w:rsid w:val="00F67305"/>
    <w:rsid w:val="00F674A5"/>
    <w:rsid w:val="00F71259"/>
    <w:rsid w:val="00F71448"/>
    <w:rsid w:val="00F72F4B"/>
    <w:rsid w:val="00F74028"/>
    <w:rsid w:val="00F748FE"/>
    <w:rsid w:val="00F759BC"/>
    <w:rsid w:val="00F775A4"/>
    <w:rsid w:val="00F779BA"/>
    <w:rsid w:val="00F77A7A"/>
    <w:rsid w:val="00F80520"/>
    <w:rsid w:val="00F806B9"/>
    <w:rsid w:val="00F816BF"/>
    <w:rsid w:val="00F81BB9"/>
    <w:rsid w:val="00F81C40"/>
    <w:rsid w:val="00F81FA7"/>
    <w:rsid w:val="00F81FC9"/>
    <w:rsid w:val="00F83D64"/>
    <w:rsid w:val="00F85E7A"/>
    <w:rsid w:val="00F87386"/>
    <w:rsid w:val="00F93130"/>
    <w:rsid w:val="00F93CC1"/>
    <w:rsid w:val="00F9410C"/>
    <w:rsid w:val="00F944A9"/>
    <w:rsid w:val="00F94B31"/>
    <w:rsid w:val="00F95CF3"/>
    <w:rsid w:val="00F970C0"/>
    <w:rsid w:val="00F97485"/>
    <w:rsid w:val="00FA0F79"/>
    <w:rsid w:val="00FA1754"/>
    <w:rsid w:val="00FA1D04"/>
    <w:rsid w:val="00FA46E8"/>
    <w:rsid w:val="00FA7F4B"/>
    <w:rsid w:val="00FB0E68"/>
    <w:rsid w:val="00FB2D2F"/>
    <w:rsid w:val="00FB3102"/>
    <w:rsid w:val="00FB4CA6"/>
    <w:rsid w:val="00FB64E9"/>
    <w:rsid w:val="00FB69C7"/>
    <w:rsid w:val="00FB71F7"/>
    <w:rsid w:val="00FB74E5"/>
    <w:rsid w:val="00FB7A8B"/>
    <w:rsid w:val="00FC0317"/>
    <w:rsid w:val="00FC0721"/>
    <w:rsid w:val="00FC0F6A"/>
    <w:rsid w:val="00FC2AA1"/>
    <w:rsid w:val="00FC3C61"/>
    <w:rsid w:val="00FC3C94"/>
    <w:rsid w:val="00FC7041"/>
    <w:rsid w:val="00FD04E5"/>
    <w:rsid w:val="00FD2271"/>
    <w:rsid w:val="00FD27BE"/>
    <w:rsid w:val="00FE0387"/>
    <w:rsid w:val="00FE12D2"/>
    <w:rsid w:val="00FE3A90"/>
    <w:rsid w:val="00FE3BD8"/>
    <w:rsid w:val="00FE5441"/>
    <w:rsid w:val="00FE589A"/>
    <w:rsid w:val="00FE5DB2"/>
    <w:rsid w:val="00FE6896"/>
    <w:rsid w:val="00FE72A5"/>
    <w:rsid w:val="00FE76F6"/>
    <w:rsid w:val="00FF1799"/>
    <w:rsid w:val="00FF1FDB"/>
    <w:rsid w:val="00FF4231"/>
    <w:rsid w:val="00FF7612"/>
    <w:rsid w:val="011B2E38"/>
    <w:rsid w:val="01521F42"/>
    <w:rsid w:val="0181317A"/>
    <w:rsid w:val="025F77FD"/>
    <w:rsid w:val="02C92703"/>
    <w:rsid w:val="02E2476B"/>
    <w:rsid w:val="02F010BD"/>
    <w:rsid w:val="037B4CD4"/>
    <w:rsid w:val="03F249DA"/>
    <w:rsid w:val="0427262A"/>
    <w:rsid w:val="058635C0"/>
    <w:rsid w:val="069E2A0D"/>
    <w:rsid w:val="07090184"/>
    <w:rsid w:val="074F5874"/>
    <w:rsid w:val="07950B9A"/>
    <w:rsid w:val="07DA1E4F"/>
    <w:rsid w:val="07EB1C23"/>
    <w:rsid w:val="08270B6E"/>
    <w:rsid w:val="08F4726B"/>
    <w:rsid w:val="093C27E8"/>
    <w:rsid w:val="09DA1E8A"/>
    <w:rsid w:val="09F56EEA"/>
    <w:rsid w:val="0A115A75"/>
    <w:rsid w:val="0A3227B1"/>
    <w:rsid w:val="0A342B82"/>
    <w:rsid w:val="0A403C01"/>
    <w:rsid w:val="0A827962"/>
    <w:rsid w:val="0AF00019"/>
    <w:rsid w:val="0B835206"/>
    <w:rsid w:val="0BD70BDD"/>
    <w:rsid w:val="0C330475"/>
    <w:rsid w:val="0CB445EE"/>
    <w:rsid w:val="0CD040B9"/>
    <w:rsid w:val="0CD30BCB"/>
    <w:rsid w:val="0CE93FC6"/>
    <w:rsid w:val="0D2160AD"/>
    <w:rsid w:val="0D824642"/>
    <w:rsid w:val="0DF64A2B"/>
    <w:rsid w:val="0F78649A"/>
    <w:rsid w:val="0FFA158B"/>
    <w:rsid w:val="10F241F4"/>
    <w:rsid w:val="113C6D55"/>
    <w:rsid w:val="115E1584"/>
    <w:rsid w:val="11B269F7"/>
    <w:rsid w:val="11EC2DFB"/>
    <w:rsid w:val="11F07372"/>
    <w:rsid w:val="120D2B57"/>
    <w:rsid w:val="12CB7EB1"/>
    <w:rsid w:val="146B482B"/>
    <w:rsid w:val="14ED3D4F"/>
    <w:rsid w:val="153A2A93"/>
    <w:rsid w:val="162C162E"/>
    <w:rsid w:val="16342843"/>
    <w:rsid w:val="163A03D4"/>
    <w:rsid w:val="174D6CD7"/>
    <w:rsid w:val="17A23294"/>
    <w:rsid w:val="1811244B"/>
    <w:rsid w:val="18D61DE5"/>
    <w:rsid w:val="18E43D2A"/>
    <w:rsid w:val="18F22B62"/>
    <w:rsid w:val="19095199"/>
    <w:rsid w:val="19660AF5"/>
    <w:rsid w:val="19A45FFA"/>
    <w:rsid w:val="19A5A771"/>
    <w:rsid w:val="1A002777"/>
    <w:rsid w:val="1A687788"/>
    <w:rsid w:val="1AC360F4"/>
    <w:rsid w:val="1AF01710"/>
    <w:rsid w:val="1B3C7030"/>
    <w:rsid w:val="1B774DCF"/>
    <w:rsid w:val="1BBD2998"/>
    <w:rsid w:val="1BD611B4"/>
    <w:rsid w:val="1BF3616B"/>
    <w:rsid w:val="1CC90D33"/>
    <w:rsid w:val="1D4542F2"/>
    <w:rsid w:val="1D4A702D"/>
    <w:rsid w:val="1DAB68F3"/>
    <w:rsid w:val="1E5D785F"/>
    <w:rsid w:val="1EA772E0"/>
    <w:rsid w:val="1EC36E40"/>
    <w:rsid w:val="1EEE5425"/>
    <w:rsid w:val="1F240B97"/>
    <w:rsid w:val="1F3D25F7"/>
    <w:rsid w:val="1F760EE3"/>
    <w:rsid w:val="1F9E347D"/>
    <w:rsid w:val="20137C9A"/>
    <w:rsid w:val="206D222B"/>
    <w:rsid w:val="20F25388"/>
    <w:rsid w:val="2126565D"/>
    <w:rsid w:val="218D42E9"/>
    <w:rsid w:val="21A37B18"/>
    <w:rsid w:val="21AE69D0"/>
    <w:rsid w:val="21E27EF8"/>
    <w:rsid w:val="21F76369"/>
    <w:rsid w:val="21F93DAA"/>
    <w:rsid w:val="225079A5"/>
    <w:rsid w:val="228D621F"/>
    <w:rsid w:val="23340BFF"/>
    <w:rsid w:val="239B11C1"/>
    <w:rsid w:val="24E42B5E"/>
    <w:rsid w:val="252D46D4"/>
    <w:rsid w:val="25CA1FE1"/>
    <w:rsid w:val="26351B89"/>
    <w:rsid w:val="26413A7C"/>
    <w:rsid w:val="265430D5"/>
    <w:rsid w:val="27693B3B"/>
    <w:rsid w:val="27775FB1"/>
    <w:rsid w:val="27781048"/>
    <w:rsid w:val="2793471D"/>
    <w:rsid w:val="27AD3DE6"/>
    <w:rsid w:val="27EA5F09"/>
    <w:rsid w:val="285F5C43"/>
    <w:rsid w:val="28B353A4"/>
    <w:rsid w:val="293A6AD1"/>
    <w:rsid w:val="29824F56"/>
    <w:rsid w:val="2A3C48D7"/>
    <w:rsid w:val="2AB84512"/>
    <w:rsid w:val="2B3950CF"/>
    <w:rsid w:val="2BAE0891"/>
    <w:rsid w:val="2BAE295A"/>
    <w:rsid w:val="2BF34BC9"/>
    <w:rsid w:val="2C1D8923"/>
    <w:rsid w:val="2C720219"/>
    <w:rsid w:val="2C862CC7"/>
    <w:rsid w:val="2C8B4C38"/>
    <w:rsid w:val="2CB915BF"/>
    <w:rsid w:val="2CBFC0DF"/>
    <w:rsid w:val="2DAB2C4C"/>
    <w:rsid w:val="2DE65545"/>
    <w:rsid w:val="2E355F9A"/>
    <w:rsid w:val="2E580F97"/>
    <w:rsid w:val="2E5D2DD6"/>
    <w:rsid w:val="2EBBDE5A"/>
    <w:rsid w:val="2EBD5180"/>
    <w:rsid w:val="2F0458BF"/>
    <w:rsid w:val="2F095A7F"/>
    <w:rsid w:val="2F146F4C"/>
    <w:rsid w:val="2F662E71"/>
    <w:rsid w:val="2F875074"/>
    <w:rsid w:val="2FA753F4"/>
    <w:rsid w:val="30AC57A3"/>
    <w:rsid w:val="31027D44"/>
    <w:rsid w:val="31461BA4"/>
    <w:rsid w:val="31A92612"/>
    <w:rsid w:val="31F93F49"/>
    <w:rsid w:val="32480CEA"/>
    <w:rsid w:val="331D6C21"/>
    <w:rsid w:val="34202BA0"/>
    <w:rsid w:val="34B26218"/>
    <w:rsid w:val="34B77486"/>
    <w:rsid w:val="34D16440"/>
    <w:rsid w:val="350A6272"/>
    <w:rsid w:val="35483AA0"/>
    <w:rsid w:val="35BCA720"/>
    <w:rsid w:val="36683D79"/>
    <w:rsid w:val="36DD78DE"/>
    <w:rsid w:val="375F19FA"/>
    <w:rsid w:val="378119D8"/>
    <w:rsid w:val="37E10067"/>
    <w:rsid w:val="37FB6C4A"/>
    <w:rsid w:val="386B345A"/>
    <w:rsid w:val="398F41B8"/>
    <w:rsid w:val="39AB4C98"/>
    <w:rsid w:val="39D32929"/>
    <w:rsid w:val="39D708D3"/>
    <w:rsid w:val="39DB3C78"/>
    <w:rsid w:val="3A401E77"/>
    <w:rsid w:val="3AFA0FD0"/>
    <w:rsid w:val="3AFFA0F8"/>
    <w:rsid w:val="3B220118"/>
    <w:rsid w:val="3B8511BD"/>
    <w:rsid w:val="3C896008"/>
    <w:rsid w:val="3CDA420D"/>
    <w:rsid w:val="3D0B0A36"/>
    <w:rsid w:val="3D116A98"/>
    <w:rsid w:val="3D4C635B"/>
    <w:rsid w:val="3EA515A9"/>
    <w:rsid w:val="3EAC5C0D"/>
    <w:rsid w:val="3F565B20"/>
    <w:rsid w:val="3FB80DE2"/>
    <w:rsid w:val="3FC76DEA"/>
    <w:rsid w:val="3FC918AB"/>
    <w:rsid w:val="40466551"/>
    <w:rsid w:val="40890670"/>
    <w:rsid w:val="40B756B8"/>
    <w:rsid w:val="41106099"/>
    <w:rsid w:val="416C244D"/>
    <w:rsid w:val="42165724"/>
    <w:rsid w:val="42664B22"/>
    <w:rsid w:val="42701998"/>
    <w:rsid w:val="42A8417A"/>
    <w:rsid w:val="43287234"/>
    <w:rsid w:val="434863BE"/>
    <w:rsid w:val="44BC77EC"/>
    <w:rsid w:val="44C600F1"/>
    <w:rsid w:val="44FA3248"/>
    <w:rsid w:val="452B3604"/>
    <w:rsid w:val="455E0ABF"/>
    <w:rsid w:val="456E01CD"/>
    <w:rsid w:val="45BB11D3"/>
    <w:rsid w:val="45F52E83"/>
    <w:rsid w:val="461055CC"/>
    <w:rsid w:val="46F94220"/>
    <w:rsid w:val="47056033"/>
    <w:rsid w:val="478E64B4"/>
    <w:rsid w:val="47C73595"/>
    <w:rsid w:val="47DD10E5"/>
    <w:rsid w:val="483C4C98"/>
    <w:rsid w:val="487158D3"/>
    <w:rsid w:val="49386E0C"/>
    <w:rsid w:val="4AC95862"/>
    <w:rsid w:val="4AEC308C"/>
    <w:rsid w:val="4B5611FD"/>
    <w:rsid w:val="4B7E115E"/>
    <w:rsid w:val="4B9D4D6D"/>
    <w:rsid w:val="4BCA3FB2"/>
    <w:rsid w:val="4BCF1BEC"/>
    <w:rsid w:val="4C3B1A47"/>
    <w:rsid w:val="4D136F18"/>
    <w:rsid w:val="4EA550A0"/>
    <w:rsid w:val="4F380A34"/>
    <w:rsid w:val="4F4A6D0D"/>
    <w:rsid w:val="4F4B07EE"/>
    <w:rsid w:val="4F8D2C39"/>
    <w:rsid w:val="504B72C7"/>
    <w:rsid w:val="50591CBD"/>
    <w:rsid w:val="507013E3"/>
    <w:rsid w:val="50802B94"/>
    <w:rsid w:val="51B0261D"/>
    <w:rsid w:val="51FE0FE5"/>
    <w:rsid w:val="524C7DAE"/>
    <w:rsid w:val="52B22222"/>
    <w:rsid w:val="52CF6267"/>
    <w:rsid w:val="52D37A10"/>
    <w:rsid w:val="54A06503"/>
    <w:rsid w:val="55006F88"/>
    <w:rsid w:val="551754FD"/>
    <w:rsid w:val="555C23A0"/>
    <w:rsid w:val="55A30406"/>
    <w:rsid w:val="55E662EC"/>
    <w:rsid w:val="579C2294"/>
    <w:rsid w:val="57D46AC1"/>
    <w:rsid w:val="581925E8"/>
    <w:rsid w:val="584C0094"/>
    <w:rsid w:val="587944B7"/>
    <w:rsid w:val="58B404D1"/>
    <w:rsid w:val="58B56E27"/>
    <w:rsid w:val="58B601A7"/>
    <w:rsid w:val="58C21280"/>
    <w:rsid w:val="59185FD0"/>
    <w:rsid w:val="59426C92"/>
    <w:rsid w:val="59965C3E"/>
    <w:rsid w:val="59C55934"/>
    <w:rsid w:val="5ADD34EB"/>
    <w:rsid w:val="5B53586E"/>
    <w:rsid w:val="5B61045D"/>
    <w:rsid w:val="5BA57803"/>
    <w:rsid w:val="5C3345B7"/>
    <w:rsid w:val="5C82434A"/>
    <w:rsid w:val="5D9018E3"/>
    <w:rsid w:val="5DB37F34"/>
    <w:rsid w:val="5DF85003"/>
    <w:rsid w:val="5E861468"/>
    <w:rsid w:val="5EB5F941"/>
    <w:rsid w:val="5FB74129"/>
    <w:rsid w:val="609752BA"/>
    <w:rsid w:val="61195304"/>
    <w:rsid w:val="6132184C"/>
    <w:rsid w:val="613B5B97"/>
    <w:rsid w:val="617023C4"/>
    <w:rsid w:val="61A14BC4"/>
    <w:rsid w:val="61BF24AB"/>
    <w:rsid w:val="6227C9DB"/>
    <w:rsid w:val="637FFFB3"/>
    <w:rsid w:val="63CB3E35"/>
    <w:rsid w:val="64202DC6"/>
    <w:rsid w:val="65030018"/>
    <w:rsid w:val="66186FE6"/>
    <w:rsid w:val="663E63C4"/>
    <w:rsid w:val="668F2B06"/>
    <w:rsid w:val="66D57033"/>
    <w:rsid w:val="673C6ECE"/>
    <w:rsid w:val="675E6B93"/>
    <w:rsid w:val="67A6247F"/>
    <w:rsid w:val="68126926"/>
    <w:rsid w:val="6842759D"/>
    <w:rsid w:val="68674A82"/>
    <w:rsid w:val="68771A3E"/>
    <w:rsid w:val="689C0DA3"/>
    <w:rsid w:val="689D2962"/>
    <w:rsid w:val="697F4323"/>
    <w:rsid w:val="69CB1A95"/>
    <w:rsid w:val="6A2E4FEA"/>
    <w:rsid w:val="6A435D1A"/>
    <w:rsid w:val="6A494BEF"/>
    <w:rsid w:val="6ABB33A4"/>
    <w:rsid w:val="6AC60B48"/>
    <w:rsid w:val="6B0B1C18"/>
    <w:rsid w:val="6BEF7C67"/>
    <w:rsid w:val="6C1F7166"/>
    <w:rsid w:val="6C6F16DC"/>
    <w:rsid w:val="6C821243"/>
    <w:rsid w:val="6DA53478"/>
    <w:rsid w:val="6DF96AA7"/>
    <w:rsid w:val="6F5713E8"/>
    <w:rsid w:val="6F7A0D26"/>
    <w:rsid w:val="6FB15394"/>
    <w:rsid w:val="6FDF70DA"/>
    <w:rsid w:val="70055143"/>
    <w:rsid w:val="705C0FC6"/>
    <w:rsid w:val="70887366"/>
    <w:rsid w:val="71777BEA"/>
    <w:rsid w:val="721A57FF"/>
    <w:rsid w:val="729C701E"/>
    <w:rsid w:val="72B3709A"/>
    <w:rsid w:val="73171221"/>
    <w:rsid w:val="734C0143"/>
    <w:rsid w:val="734D08F1"/>
    <w:rsid w:val="73AC30AC"/>
    <w:rsid w:val="741616D9"/>
    <w:rsid w:val="74426AAA"/>
    <w:rsid w:val="74AE50F0"/>
    <w:rsid w:val="7502464D"/>
    <w:rsid w:val="75037C1E"/>
    <w:rsid w:val="75196298"/>
    <w:rsid w:val="76065314"/>
    <w:rsid w:val="76170497"/>
    <w:rsid w:val="7643142C"/>
    <w:rsid w:val="7676734A"/>
    <w:rsid w:val="76EB617B"/>
    <w:rsid w:val="76F11A08"/>
    <w:rsid w:val="781B7D45"/>
    <w:rsid w:val="78242788"/>
    <w:rsid w:val="78826EEF"/>
    <w:rsid w:val="78B20FCE"/>
    <w:rsid w:val="78F138E1"/>
    <w:rsid w:val="79C40D55"/>
    <w:rsid w:val="79C83864"/>
    <w:rsid w:val="79D733AB"/>
    <w:rsid w:val="7A745A5C"/>
    <w:rsid w:val="7AD87B9F"/>
    <w:rsid w:val="7B1F45AC"/>
    <w:rsid w:val="7B2D1934"/>
    <w:rsid w:val="7B387682"/>
    <w:rsid w:val="7B473E56"/>
    <w:rsid w:val="7B54266E"/>
    <w:rsid w:val="7B99A3D0"/>
    <w:rsid w:val="7BA42308"/>
    <w:rsid w:val="7BB068AE"/>
    <w:rsid w:val="7BC359B7"/>
    <w:rsid w:val="7BDFA80B"/>
    <w:rsid w:val="7C0977CC"/>
    <w:rsid w:val="7C574303"/>
    <w:rsid w:val="7C7744B1"/>
    <w:rsid w:val="7DFE5586"/>
    <w:rsid w:val="7E0C2354"/>
    <w:rsid w:val="7E6D1BD5"/>
    <w:rsid w:val="7EB933F5"/>
    <w:rsid w:val="7EC30067"/>
    <w:rsid w:val="7EFD23DE"/>
    <w:rsid w:val="7F7E202A"/>
    <w:rsid w:val="7F7FCBC5"/>
    <w:rsid w:val="7FE013B4"/>
    <w:rsid w:val="7FFD4855"/>
    <w:rsid w:val="8FFDBEBF"/>
    <w:rsid w:val="97EA41DA"/>
    <w:rsid w:val="9BEC3434"/>
    <w:rsid w:val="A6D44E66"/>
    <w:rsid w:val="AA7F91CD"/>
    <w:rsid w:val="B8DDEE6F"/>
    <w:rsid w:val="BAE8917C"/>
    <w:rsid w:val="BAFF15D7"/>
    <w:rsid w:val="C7DF8E6B"/>
    <w:rsid w:val="CEB6ED14"/>
    <w:rsid w:val="DCE752F5"/>
    <w:rsid w:val="DD7F88FB"/>
    <w:rsid w:val="DE9F665B"/>
    <w:rsid w:val="DF7EB43C"/>
    <w:rsid w:val="DFF3CD9C"/>
    <w:rsid w:val="DFFECD98"/>
    <w:rsid w:val="E7EB8595"/>
    <w:rsid w:val="EBBF6405"/>
    <w:rsid w:val="EFBF6597"/>
    <w:rsid w:val="F0DF4B56"/>
    <w:rsid w:val="F53F6ACD"/>
    <w:rsid w:val="F89B928B"/>
    <w:rsid w:val="F8FBBD9E"/>
    <w:rsid w:val="F9CD1358"/>
    <w:rsid w:val="F9DED437"/>
    <w:rsid w:val="FA7B49F5"/>
    <w:rsid w:val="FB6F3D01"/>
    <w:rsid w:val="FBB698DB"/>
    <w:rsid w:val="FBDB3723"/>
    <w:rsid w:val="FC43D5C0"/>
    <w:rsid w:val="FDFD764B"/>
    <w:rsid w:val="FE2365B4"/>
    <w:rsid w:val="FEDD0E60"/>
    <w:rsid w:val="FEEF54D7"/>
    <w:rsid w:val="FF6D58AD"/>
    <w:rsid w:val="FFB35F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qFormat="1" w:unhideWhenUsed="0" w:uiPriority="99" w:semiHidden="0"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56"/>
    <w:qFormat/>
    <w:uiPriority w:val="9"/>
    <w:pPr>
      <w:keepNext/>
      <w:widowControl/>
      <w:tabs>
        <w:tab w:val="left" w:pos="432"/>
      </w:tabs>
      <w:ind w:left="432" w:hanging="432"/>
      <w:jc w:val="center"/>
      <w:outlineLvl w:val="0"/>
    </w:pPr>
    <w:rPr>
      <w:b/>
      <w:bCs/>
      <w:kern w:val="44"/>
      <w:sz w:val="44"/>
      <w:szCs w:val="44"/>
    </w:rPr>
  </w:style>
  <w:style w:type="paragraph" w:styleId="5">
    <w:name w:val="heading 2"/>
    <w:basedOn w:val="1"/>
    <w:next w:val="1"/>
    <w:link w:val="57"/>
    <w:qFormat/>
    <w:uiPriority w:val="99"/>
    <w:pPr>
      <w:keepNext/>
      <w:keepLines/>
      <w:spacing w:before="260" w:after="260" w:line="416" w:lineRule="auto"/>
      <w:outlineLvl w:val="1"/>
    </w:pPr>
    <w:rPr>
      <w:rFonts w:ascii="Arial" w:hAnsi="Arial" w:eastAsia="黑体"/>
      <w:b/>
      <w:sz w:val="32"/>
      <w:szCs w:val="20"/>
    </w:rPr>
  </w:style>
  <w:style w:type="paragraph" w:styleId="6">
    <w:name w:val="heading 3"/>
    <w:basedOn w:val="1"/>
    <w:next w:val="1"/>
    <w:link w:val="58"/>
    <w:qFormat/>
    <w:uiPriority w:val="99"/>
    <w:pPr>
      <w:keepNext/>
      <w:keepLines/>
      <w:widowControl/>
      <w:tabs>
        <w:tab w:val="left" w:pos="720"/>
      </w:tabs>
      <w:spacing w:before="120" w:after="120" w:line="360" w:lineRule="auto"/>
      <w:ind w:left="720" w:hanging="720"/>
      <w:jc w:val="center"/>
      <w:outlineLvl w:val="2"/>
    </w:pPr>
    <w:rPr>
      <w:b/>
      <w:kern w:val="0"/>
      <w:sz w:val="32"/>
      <w:szCs w:val="20"/>
    </w:rPr>
  </w:style>
  <w:style w:type="paragraph" w:styleId="7">
    <w:name w:val="heading 4"/>
    <w:basedOn w:val="1"/>
    <w:next w:val="1"/>
    <w:link w:val="59"/>
    <w:qFormat/>
    <w:uiPriority w:val="9"/>
    <w:pPr>
      <w:keepNext/>
      <w:keepLines/>
      <w:widowControl/>
      <w:spacing w:before="120" w:after="120" w:line="360" w:lineRule="auto"/>
      <w:jc w:val="center"/>
      <w:outlineLvl w:val="3"/>
    </w:pPr>
    <w:rPr>
      <w:rFonts w:ascii="Cambria" w:hAnsi="Cambria"/>
      <w:b/>
      <w:bCs/>
      <w:kern w:val="0"/>
      <w:szCs w:val="28"/>
    </w:rPr>
  </w:style>
  <w:style w:type="paragraph" w:styleId="8">
    <w:name w:val="heading 5"/>
    <w:basedOn w:val="1"/>
    <w:next w:val="1"/>
    <w:link w:val="60"/>
    <w:qFormat/>
    <w:uiPriority w:val="9"/>
    <w:pPr>
      <w:keepNext/>
      <w:keepLines/>
      <w:widowControl/>
      <w:spacing w:before="120" w:after="120" w:line="360" w:lineRule="auto"/>
      <w:ind w:firstLine="499"/>
      <w:jc w:val="left"/>
      <w:outlineLvl w:val="4"/>
    </w:pPr>
    <w:rPr>
      <w:b/>
      <w:bCs/>
      <w:kern w:val="0"/>
      <w:szCs w:val="28"/>
    </w:rPr>
  </w:style>
  <w:style w:type="paragraph" w:styleId="9">
    <w:name w:val="heading 6"/>
    <w:basedOn w:val="1"/>
    <w:next w:val="1"/>
    <w:link w:val="61"/>
    <w:qFormat/>
    <w:uiPriority w:val="9"/>
    <w:pPr>
      <w:keepNext/>
      <w:keepLines/>
      <w:widowControl/>
      <w:tabs>
        <w:tab w:val="left" w:pos="1440"/>
      </w:tabs>
      <w:spacing w:before="240" w:after="64" w:line="320" w:lineRule="auto"/>
      <w:ind w:left="1152" w:hanging="1152"/>
      <w:jc w:val="left"/>
      <w:outlineLvl w:val="5"/>
    </w:pPr>
    <w:rPr>
      <w:rFonts w:ascii="Cambria" w:hAnsi="Cambria"/>
      <w:b/>
      <w:bCs/>
      <w:kern w:val="0"/>
      <w:sz w:val="24"/>
    </w:rPr>
  </w:style>
  <w:style w:type="paragraph" w:styleId="10">
    <w:name w:val="heading 7"/>
    <w:basedOn w:val="1"/>
    <w:next w:val="1"/>
    <w:link w:val="62"/>
    <w:qFormat/>
    <w:uiPriority w:val="9"/>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63"/>
    <w:qFormat/>
    <w:uiPriority w:val="9"/>
    <w:pPr>
      <w:keepNext/>
      <w:keepLines/>
      <w:widowControl/>
      <w:tabs>
        <w:tab w:val="left" w:pos="1440"/>
      </w:tabs>
      <w:spacing w:before="240" w:after="64" w:line="320" w:lineRule="auto"/>
      <w:ind w:left="1440" w:hanging="1440"/>
      <w:jc w:val="left"/>
      <w:outlineLvl w:val="7"/>
    </w:pPr>
    <w:rPr>
      <w:rFonts w:ascii="Cambria" w:hAnsi="Cambria"/>
      <w:kern w:val="0"/>
      <w:sz w:val="24"/>
    </w:rPr>
  </w:style>
  <w:style w:type="paragraph" w:styleId="12">
    <w:name w:val="heading 9"/>
    <w:basedOn w:val="1"/>
    <w:next w:val="1"/>
    <w:link w:val="64"/>
    <w:qFormat/>
    <w:uiPriority w:val="9"/>
    <w:pPr>
      <w:keepNext/>
      <w:keepLines/>
      <w:widowControl/>
      <w:tabs>
        <w:tab w:val="left" w:pos="1584"/>
      </w:tabs>
      <w:spacing w:before="240" w:after="64" w:line="320" w:lineRule="auto"/>
      <w:ind w:left="1584" w:hanging="1584"/>
      <w:jc w:val="left"/>
      <w:outlineLvl w:val="8"/>
    </w:pPr>
    <w:rPr>
      <w:rFonts w:ascii="Cambria" w:hAnsi="Cambria"/>
      <w:kern w:val="0"/>
      <w:sz w:val="2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rPr>
      <w:rFonts w:ascii="宋体" w:hAnsi="Courier New" w:eastAsiaTheme="minorEastAsia" w:cstheme="minorBidi"/>
      <w:spacing w:val="-4"/>
    </w:rPr>
  </w:style>
  <w:style w:type="paragraph" w:styleId="3">
    <w:name w:val="Body Text Indent"/>
    <w:basedOn w:val="1"/>
    <w:next w:val="1"/>
    <w:link w:val="69"/>
    <w:qFormat/>
    <w:uiPriority w:val="99"/>
    <w:pPr>
      <w:widowControl/>
      <w:tabs>
        <w:tab w:val="left" w:pos="0"/>
        <w:tab w:val="left" w:pos="993"/>
        <w:tab w:val="left" w:pos="1134"/>
      </w:tabs>
      <w:spacing w:line="500" w:lineRule="exact"/>
      <w:ind w:firstLine="567"/>
    </w:pPr>
    <w:rPr>
      <w:kern w:val="0"/>
    </w:rPr>
  </w:style>
  <w:style w:type="paragraph" w:styleId="13">
    <w:name w:val="List Number"/>
    <w:basedOn w:val="1"/>
    <w:qFormat/>
    <w:uiPriority w:val="99"/>
    <w:pPr>
      <w:widowControl/>
      <w:tabs>
        <w:tab w:val="left" w:pos="454"/>
        <w:tab w:val="left" w:pos="720"/>
      </w:tabs>
      <w:spacing w:afterLines="50"/>
      <w:ind w:left="454" w:hanging="284"/>
      <w:jc w:val="left"/>
    </w:pPr>
    <w:rPr>
      <w:kern w:val="0"/>
      <w:sz w:val="24"/>
      <w:szCs w:val="20"/>
    </w:rPr>
  </w:style>
  <w:style w:type="paragraph" w:styleId="14">
    <w:name w:val="Normal Indent"/>
    <w:basedOn w:val="1"/>
    <w:link w:val="65"/>
    <w:qFormat/>
    <w:uiPriority w:val="99"/>
    <w:pPr>
      <w:ind w:firstLine="420"/>
    </w:pPr>
    <w:rPr>
      <w:sz w:val="21"/>
      <w:szCs w:val="20"/>
    </w:rPr>
  </w:style>
  <w:style w:type="paragraph" w:styleId="15">
    <w:name w:val="caption"/>
    <w:basedOn w:val="1"/>
    <w:next w:val="1"/>
    <w:qFormat/>
    <w:uiPriority w:val="99"/>
    <w:pPr>
      <w:spacing w:before="152" w:after="160"/>
    </w:pPr>
    <w:rPr>
      <w:rFonts w:ascii="Arial" w:hAnsi="Arial" w:eastAsia="黑体" w:cs="Arial"/>
      <w:sz w:val="20"/>
      <w:szCs w:val="20"/>
    </w:rPr>
  </w:style>
  <w:style w:type="paragraph" w:styleId="16">
    <w:name w:val="Document Map"/>
    <w:basedOn w:val="1"/>
    <w:link w:val="66"/>
    <w:semiHidden/>
    <w:qFormat/>
    <w:uiPriority w:val="99"/>
    <w:pPr>
      <w:shd w:val="clear" w:color="auto" w:fill="000080"/>
    </w:pPr>
    <w:rPr>
      <w:kern w:val="0"/>
      <w:sz w:val="16"/>
      <w:szCs w:val="16"/>
    </w:rPr>
  </w:style>
  <w:style w:type="paragraph" w:styleId="17">
    <w:name w:val="annotation text"/>
    <w:basedOn w:val="1"/>
    <w:link w:val="67"/>
    <w:semiHidden/>
    <w:qFormat/>
    <w:uiPriority w:val="99"/>
    <w:pPr>
      <w:adjustRightInd w:val="0"/>
      <w:spacing w:line="360" w:lineRule="atLeast"/>
      <w:jc w:val="left"/>
      <w:textAlignment w:val="baseline"/>
    </w:pPr>
    <w:rPr>
      <w:kern w:val="0"/>
      <w:sz w:val="24"/>
      <w:szCs w:val="20"/>
    </w:rPr>
  </w:style>
  <w:style w:type="paragraph" w:styleId="18">
    <w:name w:val="Body Text 3"/>
    <w:basedOn w:val="1"/>
    <w:link w:val="68"/>
    <w:qFormat/>
    <w:uiPriority w:val="99"/>
    <w:pPr>
      <w:snapToGrid w:val="0"/>
      <w:spacing w:before="50" w:after="50"/>
    </w:pPr>
    <w:rPr>
      <w:kern w:val="0"/>
      <w:sz w:val="16"/>
      <w:szCs w:val="16"/>
    </w:rPr>
  </w:style>
  <w:style w:type="paragraph" w:styleId="19">
    <w:name w:val="List Bullet 3"/>
    <w:basedOn w:val="1"/>
    <w:qFormat/>
    <w:uiPriority w:val="99"/>
    <w:pPr>
      <w:tabs>
        <w:tab w:val="left" w:pos="1200"/>
      </w:tabs>
      <w:ind w:left="1200" w:hanging="360"/>
    </w:pPr>
    <w:rPr>
      <w:sz w:val="21"/>
    </w:rPr>
  </w:style>
  <w:style w:type="paragraph" w:styleId="20">
    <w:name w:val="Body Text"/>
    <w:basedOn w:val="1"/>
    <w:next w:val="21"/>
    <w:link w:val="55"/>
    <w:qFormat/>
    <w:uiPriority w:val="99"/>
    <w:pPr>
      <w:spacing w:line="240" w:lineRule="atLeast"/>
    </w:pPr>
    <w:rPr>
      <w:kern w:val="0"/>
    </w:rPr>
  </w:style>
  <w:style w:type="paragraph" w:styleId="21">
    <w:name w:val="Body Text First Indent"/>
    <w:basedOn w:val="20"/>
    <w:next w:val="22"/>
    <w:qFormat/>
    <w:uiPriority w:val="0"/>
    <w:pPr>
      <w:widowControl/>
      <w:spacing w:line="360" w:lineRule="auto"/>
      <w:ind w:firstLine="420" w:firstLineChars="100"/>
      <w:jc w:val="left"/>
    </w:pPr>
    <w:rPr>
      <w:rFonts w:ascii="Calibri" w:hAnsi="Calibri"/>
      <w:sz w:val="24"/>
    </w:rPr>
  </w:style>
  <w:style w:type="paragraph" w:styleId="22">
    <w:name w:val="toc 6"/>
    <w:basedOn w:val="1"/>
    <w:next w:val="1"/>
    <w:qFormat/>
    <w:uiPriority w:val="39"/>
    <w:pPr>
      <w:widowControl/>
      <w:spacing w:after="200" w:line="276" w:lineRule="auto"/>
      <w:ind w:left="2100" w:leftChars="1000"/>
      <w:jc w:val="left"/>
    </w:pPr>
    <w:rPr>
      <w:rFonts w:ascii="Calibri" w:hAnsi="Calibri"/>
      <w:kern w:val="0"/>
      <w:sz w:val="22"/>
      <w:szCs w:val="22"/>
      <w:lang w:eastAsia="en-US" w:bidi="en-US"/>
    </w:rPr>
  </w:style>
  <w:style w:type="paragraph" w:styleId="23">
    <w:name w:val="List Number 3"/>
    <w:basedOn w:val="1"/>
    <w:qFormat/>
    <w:uiPriority w:val="99"/>
    <w:pPr>
      <w:tabs>
        <w:tab w:val="left" w:pos="1200"/>
      </w:tabs>
      <w:ind w:left="1200" w:hanging="360"/>
    </w:pPr>
    <w:rPr>
      <w:sz w:val="21"/>
    </w:rPr>
  </w:style>
  <w:style w:type="paragraph" w:styleId="24">
    <w:name w:val="List 2"/>
    <w:basedOn w:val="1"/>
    <w:qFormat/>
    <w:uiPriority w:val="99"/>
    <w:pPr>
      <w:ind w:left="100" w:leftChars="200" w:hanging="200" w:hangingChars="200"/>
    </w:pPr>
  </w:style>
  <w:style w:type="paragraph" w:styleId="25">
    <w:name w:val="Block Text"/>
    <w:basedOn w:val="1"/>
    <w:qFormat/>
    <w:uiPriority w:val="99"/>
    <w:pPr>
      <w:adjustRightInd w:val="0"/>
      <w:ind w:left="420" w:right="33"/>
      <w:jc w:val="left"/>
      <w:textAlignment w:val="baseline"/>
    </w:pPr>
    <w:rPr>
      <w:kern w:val="0"/>
      <w:sz w:val="24"/>
      <w:szCs w:val="20"/>
    </w:rPr>
  </w:style>
  <w:style w:type="paragraph" w:styleId="26">
    <w:name w:val="Plain Text"/>
    <w:basedOn w:val="1"/>
    <w:link w:val="71"/>
    <w:qFormat/>
    <w:uiPriority w:val="99"/>
    <w:pPr>
      <w:adjustRightInd w:val="0"/>
      <w:snapToGrid w:val="0"/>
    </w:pPr>
    <w:rPr>
      <w:rFonts w:ascii="宋体" w:hAnsi="Courier New"/>
      <w:sz w:val="21"/>
      <w:szCs w:val="20"/>
    </w:rPr>
  </w:style>
  <w:style w:type="paragraph" w:styleId="27">
    <w:name w:val="Date"/>
    <w:basedOn w:val="1"/>
    <w:next w:val="1"/>
    <w:link w:val="72"/>
    <w:qFormat/>
    <w:uiPriority w:val="99"/>
    <w:rPr>
      <w:kern w:val="0"/>
    </w:rPr>
  </w:style>
  <w:style w:type="paragraph" w:styleId="28">
    <w:name w:val="Body Text Indent 2"/>
    <w:basedOn w:val="1"/>
    <w:link w:val="73"/>
    <w:qFormat/>
    <w:uiPriority w:val="99"/>
    <w:pPr>
      <w:ind w:firstLine="560" w:firstLineChars="200"/>
    </w:pPr>
    <w:rPr>
      <w:rFonts w:ascii="宋体"/>
      <w:szCs w:val="20"/>
    </w:rPr>
  </w:style>
  <w:style w:type="paragraph" w:styleId="29">
    <w:name w:val="Balloon Text"/>
    <w:basedOn w:val="1"/>
    <w:link w:val="74"/>
    <w:semiHidden/>
    <w:qFormat/>
    <w:uiPriority w:val="99"/>
    <w:rPr>
      <w:kern w:val="0"/>
      <w:sz w:val="16"/>
      <w:szCs w:val="16"/>
    </w:rPr>
  </w:style>
  <w:style w:type="paragraph" w:styleId="30">
    <w:name w:val="footer"/>
    <w:basedOn w:val="1"/>
    <w:link w:val="75"/>
    <w:qFormat/>
    <w:uiPriority w:val="99"/>
    <w:pPr>
      <w:tabs>
        <w:tab w:val="center" w:pos="4153"/>
        <w:tab w:val="right" w:pos="8306"/>
      </w:tabs>
      <w:snapToGrid w:val="0"/>
      <w:jc w:val="left"/>
    </w:pPr>
    <w:rPr>
      <w:sz w:val="18"/>
      <w:szCs w:val="20"/>
    </w:rPr>
  </w:style>
  <w:style w:type="paragraph" w:styleId="31">
    <w:name w:val="header"/>
    <w:basedOn w:val="1"/>
    <w:link w:val="76"/>
    <w:qFormat/>
    <w:uiPriority w:val="99"/>
    <w:pPr>
      <w:pBdr>
        <w:bottom w:val="single" w:color="auto" w:sz="6" w:space="1"/>
      </w:pBdr>
      <w:tabs>
        <w:tab w:val="center" w:pos="4153"/>
        <w:tab w:val="right" w:pos="8306"/>
      </w:tabs>
      <w:snapToGrid w:val="0"/>
      <w:jc w:val="center"/>
    </w:pPr>
    <w:rPr>
      <w:sz w:val="18"/>
      <w:szCs w:val="20"/>
    </w:rPr>
  </w:style>
  <w:style w:type="paragraph" w:styleId="32">
    <w:name w:val="List"/>
    <w:basedOn w:val="1"/>
    <w:qFormat/>
    <w:uiPriority w:val="99"/>
    <w:pPr>
      <w:ind w:left="200" w:hanging="200" w:hangingChars="200"/>
    </w:pPr>
  </w:style>
  <w:style w:type="paragraph" w:styleId="33">
    <w:name w:val="Body Text Indent 3"/>
    <w:basedOn w:val="1"/>
    <w:link w:val="79"/>
    <w:qFormat/>
    <w:uiPriority w:val="99"/>
    <w:pPr>
      <w:ind w:firstLine="419" w:firstLineChars="161"/>
    </w:pPr>
    <w:rPr>
      <w:kern w:val="0"/>
      <w:sz w:val="16"/>
      <w:szCs w:val="16"/>
    </w:rPr>
  </w:style>
  <w:style w:type="paragraph" w:styleId="34">
    <w:name w:val="Body Text 2"/>
    <w:basedOn w:val="1"/>
    <w:link w:val="81"/>
    <w:qFormat/>
    <w:uiPriority w:val="99"/>
    <w:pPr>
      <w:widowControl/>
      <w:snapToGrid w:val="0"/>
      <w:spacing w:before="50" w:afterLines="50" w:line="400" w:lineRule="exact"/>
      <w:jc w:val="left"/>
    </w:pPr>
    <w:rPr>
      <w:kern w:val="0"/>
    </w:rPr>
  </w:style>
  <w:style w:type="paragraph" w:styleId="35">
    <w:name w:val="HTML Preformatted"/>
    <w:basedOn w:val="1"/>
    <w:link w:val="8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7"/>
    <w:next w:val="17"/>
    <w:link w:val="83"/>
    <w:qFormat/>
    <w:uiPriority w:val="99"/>
    <w:pPr>
      <w:adjustRightInd/>
      <w:spacing w:line="240" w:lineRule="auto"/>
      <w:textAlignment w:val="auto"/>
    </w:pPr>
    <w:rPr>
      <w:b/>
      <w:bCs/>
      <w:kern w:val="2"/>
      <w:sz w:val="28"/>
      <w:szCs w:val="24"/>
    </w:rPr>
  </w:style>
  <w:style w:type="table" w:styleId="39">
    <w:name w:val="Table Grid"/>
    <w:basedOn w:val="3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99"/>
    <w:rPr>
      <w:rFonts w:cs="Times New Roman"/>
      <w:b/>
    </w:rPr>
  </w:style>
  <w:style w:type="character" w:styleId="42">
    <w:name w:val="page number"/>
    <w:qFormat/>
    <w:uiPriority w:val="99"/>
    <w:rPr>
      <w:rFonts w:cs="Times New Roman"/>
    </w:rPr>
  </w:style>
  <w:style w:type="character" w:styleId="43">
    <w:name w:val="Emphasis"/>
    <w:qFormat/>
    <w:uiPriority w:val="99"/>
    <w:rPr>
      <w:rFonts w:cs="Times New Roman"/>
      <w:color w:val="CC0033"/>
    </w:rPr>
  </w:style>
  <w:style w:type="character" w:styleId="44">
    <w:name w:val="HTML Definition"/>
    <w:qFormat/>
    <w:uiPriority w:val="99"/>
    <w:rPr>
      <w:rFonts w:cs="Times New Roman"/>
      <w:sz w:val="21"/>
    </w:rPr>
  </w:style>
  <w:style w:type="character" w:styleId="45">
    <w:name w:val="HTML Typewriter"/>
    <w:qFormat/>
    <w:uiPriority w:val="99"/>
    <w:rPr>
      <w:rFonts w:ascii="monospace" w:hAnsi="monospace" w:eastAsia="Times New Roman" w:cs="Times New Roman"/>
      <w:sz w:val="20"/>
    </w:rPr>
  </w:style>
  <w:style w:type="character" w:styleId="46">
    <w:name w:val="HTML Acronym"/>
    <w:qFormat/>
    <w:uiPriority w:val="99"/>
    <w:rPr>
      <w:rFonts w:cs="Times New Roman"/>
    </w:rPr>
  </w:style>
  <w:style w:type="character" w:styleId="47">
    <w:name w:val="HTML Variable"/>
    <w:qFormat/>
    <w:uiPriority w:val="99"/>
    <w:rPr>
      <w:rFonts w:cs="Times New Roman"/>
      <w:sz w:val="21"/>
    </w:rPr>
  </w:style>
  <w:style w:type="character" w:styleId="48">
    <w:name w:val="Hyperlink"/>
    <w:qFormat/>
    <w:uiPriority w:val="99"/>
    <w:rPr>
      <w:rFonts w:cs="Times New Roman"/>
      <w:color w:val="333333"/>
      <w:sz w:val="21"/>
      <w:u w:val="none"/>
    </w:rPr>
  </w:style>
  <w:style w:type="character" w:styleId="49">
    <w:name w:val="HTML Code"/>
    <w:qFormat/>
    <w:uiPriority w:val="99"/>
    <w:rPr>
      <w:rFonts w:ascii="monospace" w:hAnsi="monospace" w:eastAsia="Times New Roman" w:cs="Times New Roman"/>
      <w:sz w:val="20"/>
    </w:rPr>
  </w:style>
  <w:style w:type="character" w:styleId="50">
    <w:name w:val="annotation reference"/>
    <w:qFormat/>
    <w:uiPriority w:val="99"/>
    <w:rPr>
      <w:rFonts w:cs="Times New Roman"/>
      <w:sz w:val="21"/>
      <w:szCs w:val="21"/>
    </w:rPr>
  </w:style>
  <w:style w:type="character" w:styleId="51">
    <w:name w:val="HTML Cite"/>
    <w:qFormat/>
    <w:uiPriority w:val="99"/>
    <w:rPr>
      <w:rFonts w:cs="Times New Roman"/>
      <w:sz w:val="21"/>
    </w:rPr>
  </w:style>
  <w:style w:type="character" w:styleId="52">
    <w:name w:val="HTML Keyboard"/>
    <w:qFormat/>
    <w:uiPriority w:val="99"/>
    <w:rPr>
      <w:rFonts w:ascii="monospace" w:hAnsi="monospace" w:eastAsia="Times New Roman" w:cs="Times New Roman"/>
      <w:sz w:val="20"/>
    </w:rPr>
  </w:style>
  <w:style w:type="character" w:styleId="53">
    <w:name w:val="HTML Sample"/>
    <w:qFormat/>
    <w:uiPriority w:val="99"/>
    <w:rPr>
      <w:rFonts w:ascii="monospace" w:hAnsi="monospace" w:eastAsia="Times New Roman" w:cs="Times New Roman"/>
      <w:sz w:val="21"/>
    </w:rPr>
  </w:style>
  <w:style w:type="paragraph" w:customStyle="1" w:styleId="5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5">
    <w:name w:val="正文文本 Char"/>
    <w:link w:val="20"/>
    <w:semiHidden/>
    <w:qFormat/>
    <w:uiPriority w:val="99"/>
    <w:rPr>
      <w:sz w:val="28"/>
      <w:szCs w:val="24"/>
    </w:rPr>
  </w:style>
  <w:style w:type="character" w:customStyle="1" w:styleId="56">
    <w:name w:val="标题 1 Char"/>
    <w:link w:val="4"/>
    <w:qFormat/>
    <w:uiPriority w:val="9"/>
    <w:rPr>
      <w:b/>
      <w:bCs/>
      <w:kern w:val="44"/>
      <w:sz w:val="44"/>
      <w:szCs w:val="44"/>
    </w:rPr>
  </w:style>
  <w:style w:type="character" w:customStyle="1" w:styleId="57">
    <w:name w:val="标题 2 Char"/>
    <w:link w:val="5"/>
    <w:qFormat/>
    <w:locked/>
    <w:uiPriority w:val="99"/>
    <w:rPr>
      <w:rFonts w:ascii="Arial" w:hAnsi="Arial" w:eastAsia="黑体"/>
      <w:b/>
      <w:kern w:val="2"/>
      <w:sz w:val="32"/>
      <w:lang w:val="en-US" w:eastAsia="zh-CN"/>
    </w:rPr>
  </w:style>
  <w:style w:type="character" w:customStyle="1" w:styleId="58">
    <w:name w:val="标题 3 Char"/>
    <w:link w:val="6"/>
    <w:qFormat/>
    <w:locked/>
    <w:uiPriority w:val="99"/>
    <w:rPr>
      <w:b/>
      <w:sz w:val="32"/>
    </w:rPr>
  </w:style>
  <w:style w:type="character" w:customStyle="1" w:styleId="59">
    <w:name w:val="标题 4 Char"/>
    <w:link w:val="7"/>
    <w:semiHidden/>
    <w:qFormat/>
    <w:uiPriority w:val="9"/>
    <w:rPr>
      <w:rFonts w:ascii="Cambria" w:hAnsi="Cambria" w:eastAsia="宋体" w:cs="Times New Roman"/>
      <w:b/>
      <w:bCs/>
      <w:sz w:val="28"/>
      <w:szCs w:val="28"/>
    </w:rPr>
  </w:style>
  <w:style w:type="character" w:customStyle="1" w:styleId="60">
    <w:name w:val="标题 5 Char"/>
    <w:link w:val="8"/>
    <w:semiHidden/>
    <w:qFormat/>
    <w:uiPriority w:val="9"/>
    <w:rPr>
      <w:b/>
      <w:bCs/>
      <w:sz w:val="28"/>
      <w:szCs w:val="28"/>
    </w:rPr>
  </w:style>
  <w:style w:type="character" w:customStyle="1" w:styleId="61">
    <w:name w:val="标题 6 Char"/>
    <w:link w:val="9"/>
    <w:semiHidden/>
    <w:qFormat/>
    <w:uiPriority w:val="9"/>
    <w:rPr>
      <w:rFonts w:ascii="Cambria" w:hAnsi="Cambria" w:eastAsia="宋体" w:cs="Times New Roman"/>
      <w:b/>
      <w:bCs/>
      <w:sz w:val="24"/>
      <w:szCs w:val="24"/>
    </w:rPr>
  </w:style>
  <w:style w:type="character" w:customStyle="1" w:styleId="62">
    <w:name w:val="标题 7 Char"/>
    <w:link w:val="10"/>
    <w:semiHidden/>
    <w:qFormat/>
    <w:uiPriority w:val="9"/>
    <w:rPr>
      <w:b/>
      <w:bCs/>
      <w:sz w:val="24"/>
      <w:szCs w:val="24"/>
    </w:rPr>
  </w:style>
  <w:style w:type="character" w:customStyle="1" w:styleId="63">
    <w:name w:val="标题 8 Char"/>
    <w:link w:val="11"/>
    <w:semiHidden/>
    <w:qFormat/>
    <w:uiPriority w:val="9"/>
    <w:rPr>
      <w:rFonts w:ascii="Cambria" w:hAnsi="Cambria" w:eastAsia="宋体" w:cs="Times New Roman"/>
      <w:sz w:val="24"/>
      <w:szCs w:val="24"/>
    </w:rPr>
  </w:style>
  <w:style w:type="character" w:customStyle="1" w:styleId="64">
    <w:name w:val="标题 9 Char"/>
    <w:link w:val="12"/>
    <w:semiHidden/>
    <w:qFormat/>
    <w:uiPriority w:val="9"/>
    <w:rPr>
      <w:rFonts w:ascii="Cambria" w:hAnsi="Cambria" w:eastAsia="宋体" w:cs="Times New Roman"/>
      <w:szCs w:val="21"/>
    </w:rPr>
  </w:style>
  <w:style w:type="character" w:customStyle="1" w:styleId="65">
    <w:name w:val="正文缩进 Char"/>
    <w:link w:val="14"/>
    <w:qFormat/>
    <w:locked/>
    <w:uiPriority w:val="99"/>
    <w:rPr>
      <w:rFonts w:eastAsia="宋体"/>
      <w:kern w:val="2"/>
      <w:sz w:val="21"/>
      <w:lang w:val="en-US" w:eastAsia="zh-CN"/>
    </w:rPr>
  </w:style>
  <w:style w:type="character" w:customStyle="1" w:styleId="66">
    <w:name w:val="文档结构图 Char"/>
    <w:link w:val="16"/>
    <w:semiHidden/>
    <w:qFormat/>
    <w:uiPriority w:val="99"/>
    <w:rPr>
      <w:sz w:val="16"/>
      <w:szCs w:val="0"/>
    </w:rPr>
  </w:style>
  <w:style w:type="character" w:customStyle="1" w:styleId="67">
    <w:name w:val="批注文字 Char"/>
    <w:link w:val="17"/>
    <w:semiHidden/>
    <w:qFormat/>
    <w:locked/>
    <w:uiPriority w:val="99"/>
    <w:rPr>
      <w:rFonts w:cs="Times New Roman"/>
      <w:sz w:val="24"/>
    </w:rPr>
  </w:style>
  <w:style w:type="character" w:customStyle="1" w:styleId="68">
    <w:name w:val="正文文本 3 Char"/>
    <w:link w:val="18"/>
    <w:semiHidden/>
    <w:qFormat/>
    <w:uiPriority w:val="99"/>
    <w:rPr>
      <w:sz w:val="16"/>
      <w:szCs w:val="16"/>
    </w:rPr>
  </w:style>
  <w:style w:type="character" w:customStyle="1" w:styleId="69">
    <w:name w:val="正文文本缩进 Char"/>
    <w:link w:val="3"/>
    <w:semiHidden/>
    <w:qFormat/>
    <w:uiPriority w:val="99"/>
    <w:rPr>
      <w:sz w:val="28"/>
      <w:szCs w:val="24"/>
    </w:rPr>
  </w:style>
  <w:style w:type="paragraph" w:customStyle="1" w:styleId="70">
    <w:name w:val="TOC 3"/>
    <w:basedOn w:val="1"/>
    <w:next w:val="1"/>
    <w:semiHidden/>
    <w:qFormat/>
    <w:uiPriority w:val="99"/>
    <w:pPr>
      <w:widowControl/>
      <w:ind w:left="400" w:right="255"/>
    </w:pPr>
    <w:rPr>
      <w:kern w:val="0"/>
      <w:sz w:val="24"/>
      <w:szCs w:val="20"/>
    </w:rPr>
  </w:style>
  <w:style w:type="character" w:customStyle="1" w:styleId="71">
    <w:name w:val="纯文本 Char"/>
    <w:link w:val="26"/>
    <w:qFormat/>
    <w:locked/>
    <w:uiPriority w:val="99"/>
    <w:rPr>
      <w:rFonts w:ascii="宋体" w:hAnsi="Courier New" w:eastAsia="宋体"/>
      <w:kern w:val="2"/>
      <w:sz w:val="21"/>
      <w:lang w:val="en-US" w:eastAsia="zh-CN"/>
    </w:rPr>
  </w:style>
  <w:style w:type="character" w:customStyle="1" w:styleId="72">
    <w:name w:val="日期 Char"/>
    <w:link w:val="27"/>
    <w:semiHidden/>
    <w:qFormat/>
    <w:uiPriority w:val="99"/>
    <w:rPr>
      <w:sz w:val="28"/>
      <w:szCs w:val="24"/>
    </w:rPr>
  </w:style>
  <w:style w:type="character" w:customStyle="1" w:styleId="73">
    <w:name w:val="正文文本缩进 2 Char"/>
    <w:link w:val="28"/>
    <w:qFormat/>
    <w:locked/>
    <w:uiPriority w:val="99"/>
    <w:rPr>
      <w:rFonts w:ascii="宋体" w:eastAsia="宋体"/>
      <w:kern w:val="2"/>
      <w:sz w:val="28"/>
    </w:rPr>
  </w:style>
  <w:style w:type="character" w:customStyle="1" w:styleId="74">
    <w:name w:val="批注框文本 Char"/>
    <w:link w:val="29"/>
    <w:semiHidden/>
    <w:qFormat/>
    <w:uiPriority w:val="99"/>
    <w:rPr>
      <w:sz w:val="16"/>
      <w:szCs w:val="0"/>
    </w:rPr>
  </w:style>
  <w:style w:type="character" w:customStyle="1" w:styleId="75">
    <w:name w:val="页脚 Char"/>
    <w:link w:val="30"/>
    <w:semiHidden/>
    <w:qFormat/>
    <w:locked/>
    <w:uiPriority w:val="99"/>
    <w:rPr>
      <w:rFonts w:eastAsia="宋体"/>
      <w:kern w:val="2"/>
      <w:sz w:val="18"/>
      <w:lang w:val="en-US" w:eastAsia="zh-CN"/>
    </w:rPr>
  </w:style>
  <w:style w:type="character" w:customStyle="1" w:styleId="76">
    <w:name w:val="页眉 Char"/>
    <w:link w:val="31"/>
    <w:semiHidden/>
    <w:qFormat/>
    <w:locked/>
    <w:uiPriority w:val="99"/>
    <w:rPr>
      <w:rFonts w:eastAsia="宋体"/>
      <w:kern w:val="2"/>
      <w:sz w:val="18"/>
      <w:lang w:val="en-US" w:eastAsia="zh-CN"/>
    </w:rPr>
  </w:style>
  <w:style w:type="paragraph" w:customStyle="1" w:styleId="77">
    <w:name w:val="TOC 1"/>
    <w:basedOn w:val="1"/>
    <w:next w:val="1"/>
    <w:qFormat/>
    <w:uiPriority w:val="99"/>
  </w:style>
  <w:style w:type="paragraph" w:customStyle="1" w:styleId="78">
    <w:name w:val="TOC 6"/>
    <w:basedOn w:val="1"/>
    <w:next w:val="1"/>
    <w:qFormat/>
    <w:uiPriority w:val="99"/>
    <w:pPr>
      <w:ind w:left="2100" w:leftChars="1000"/>
    </w:pPr>
    <w:rPr>
      <w:rFonts w:ascii="Calibri" w:hAnsi="Calibri"/>
      <w:szCs w:val="22"/>
    </w:rPr>
  </w:style>
  <w:style w:type="character" w:customStyle="1" w:styleId="79">
    <w:name w:val="正文文本缩进 3 Char"/>
    <w:link w:val="33"/>
    <w:semiHidden/>
    <w:qFormat/>
    <w:uiPriority w:val="99"/>
    <w:rPr>
      <w:sz w:val="16"/>
      <w:szCs w:val="16"/>
    </w:rPr>
  </w:style>
  <w:style w:type="paragraph" w:customStyle="1" w:styleId="80">
    <w:name w:val="TOC 2"/>
    <w:basedOn w:val="1"/>
    <w:next w:val="1"/>
    <w:qFormat/>
    <w:uiPriority w:val="99"/>
    <w:pPr>
      <w:ind w:left="420" w:leftChars="200"/>
    </w:pPr>
  </w:style>
  <w:style w:type="character" w:customStyle="1" w:styleId="81">
    <w:name w:val="正文文本 2 Char"/>
    <w:link w:val="34"/>
    <w:semiHidden/>
    <w:qFormat/>
    <w:uiPriority w:val="99"/>
    <w:rPr>
      <w:sz w:val="28"/>
      <w:szCs w:val="24"/>
    </w:rPr>
  </w:style>
  <w:style w:type="character" w:customStyle="1" w:styleId="82">
    <w:name w:val="HTML 预设格式 Char"/>
    <w:link w:val="35"/>
    <w:semiHidden/>
    <w:qFormat/>
    <w:uiPriority w:val="99"/>
    <w:rPr>
      <w:rFonts w:ascii="Courier New" w:hAnsi="Courier New" w:cs="Courier New"/>
      <w:sz w:val="20"/>
      <w:szCs w:val="20"/>
    </w:rPr>
  </w:style>
  <w:style w:type="character" w:customStyle="1" w:styleId="83">
    <w:name w:val="批注主题 Char"/>
    <w:link w:val="37"/>
    <w:qFormat/>
    <w:locked/>
    <w:uiPriority w:val="99"/>
  </w:style>
  <w:style w:type="paragraph" w:customStyle="1" w:styleId="84">
    <w:name w:val="正文文本首行缩进"/>
    <w:basedOn w:val="20"/>
    <w:next w:val="78"/>
    <w:link w:val="85"/>
    <w:qFormat/>
    <w:uiPriority w:val="99"/>
    <w:pPr>
      <w:spacing w:after="120" w:line="240" w:lineRule="auto"/>
      <w:ind w:firstLine="420" w:firstLineChars="100"/>
    </w:pPr>
  </w:style>
  <w:style w:type="character" w:customStyle="1" w:styleId="85">
    <w:name w:val="正文文本首行缩进 字符"/>
    <w:link w:val="84"/>
    <w:semiHidden/>
    <w:qFormat/>
    <w:uiPriority w:val="99"/>
  </w:style>
  <w:style w:type="paragraph" w:customStyle="1" w:styleId="86">
    <w:name w:val="正文文本首行缩进 2"/>
    <w:basedOn w:val="3"/>
    <w:link w:val="87"/>
    <w:qFormat/>
    <w:uiPriority w:val="99"/>
    <w:pPr>
      <w:spacing w:after="120" w:line="240" w:lineRule="auto"/>
      <w:ind w:left="420" w:leftChars="200" w:firstLine="420" w:firstLineChars="200"/>
    </w:pPr>
    <w:rPr>
      <w:sz w:val="21"/>
    </w:rPr>
  </w:style>
  <w:style w:type="character" w:customStyle="1" w:styleId="87">
    <w:name w:val="正文文本首行缩进 2 字符"/>
    <w:link w:val="86"/>
    <w:semiHidden/>
    <w:qFormat/>
    <w:uiPriority w:val="99"/>
  </w:style>
  <w:style w:type="character" w:customStyle="1" w:styleId="88">
    <w:name w:val="访问过的超链接"/>
    <w:qFormat/>
    <w:uiPriority w:val="99"/>
    <w:rPr>
      <w:rFonts w:cs="Times New Roman"/>
      <w:color w:val="333333"/>
      <w:sz w:val="21"/>
      <w:u w:val="none"/>
    </w:rPr>
  </w:style>
  <w:style w:type="character" w:customStyle="1" w:styleId="89">
    <w:name w:val="style1"/>
    <w:qFormat/>
    <w:uiPriority w:val="99"/>
    <w:rPr>
      <w:rFonts w:cs="Times New Roman"/>
    </w:rPr>
  </w:style>
  <w:style w:type="character" w:customStyle="1" w:styleId="90">
    <w:name w:val="Char Char1"/>
    <w:qFormat/>
    <w:uiPriority w:val="99"/>
    <w:rPr>
      <w:kern w:val="2"/>
      <w:sz w:val="18"/>
    </w:rPr>
  </w:style>
  <w:style w:type="character" w:customStyle="1" w:styleId="91">
    <w:name w:val="title14"/>
    <w:qFormat/>
    <w:uiPriority w:val="99"/>
    <w:rPr>
      <w:rFonts w:cs="Times New Roman"/>
    </w:rPr>
  </w:style>
  <w:style w:type="character" w:customStyle="1" w:styleId="92">
    <w:name w:val="正文（首行缩进两字） Char Char Char Char1"/>
    <w:qFormat/>
    <w:uiPriority w:val="99"/>
    <w:rPr>
      <w:rFonts w:eastAsia="宋体"/>
      <w:kern w:val="2"/>
      <w:sz w:val="21"/>
      <w:lang w:val="en-US" w:eastAsia="zh-CN"/>
    </w:rPr>
  </w:style>
  <w:style w:type="character" w:customStyle="1" w:styleId="93">
    <w:name w:val="style51"/>
    <w:qFormat/>
    <w:uiPriority w:val="99"/>
    <w:rPr>
      <w:sz w:val="18"/>
    </w:rPr>
  </w:style>
  <w:style w:type="character" w:customStyle="1" w:styleId="94">
    <w:name w:val="Char Char2"/>
    <w:qFormat/>
    <w:uiPriority w:val="99"/>
    <w:rPr>
      <w:rFonts w:ascii="宋体" w:hAnsi="Courier New" w:eastAsia="宋体"/>
      <w:sz w:val="21"/>
      <w:lang w:val="en-US" w:eastAsia="zh-CN"/>
    </w:rPr>
  </w:style>
  <w:style w:type="character" w:customStyle="1" w:styleId="95">
    <w:name w:val="Char Char6"/>
    <w:qFormat/>
    <w:uiPriority w:val="99"/>
    <w:rPr>
      <w:rFonts w:eastAsia="宋体"/>
      <w:kern w:val="2"/>
      <w:sz w:val="18"/>
      <w:lang w:val="en-US" w:eastAsia="zh-CN"/>
    </w:rPr>
  </w:style>
  <w:style w:type="character" w:customStyle="1" w:styleId="96">
    <w:name w:val="Char Char10"/>
    <w:qFormat/>
    <w:uiPriority w:val="99"/>
    <w:rPr>
      <w:rFonts w:ascii="宋体" w:hAnsi="Courier New" w:eastAsia="宋体"/>
      <w:kern w:val="2"/>
      <w:sz w:val="24"/>
      <w:lang w:val="en-US" w:eastAsia="zh-CN"/>
    </w:rPr>
  </w:style>
  <w:style w:type="character" w:customStyle="1" w:styleId="97">
    <w:name w:val="flname7"/>
    <w:qFormat/>
    <w:uiPriority w:val="99"/>
    <w:rPr>
      <w:rFonts w:cs="Times New Roman"/>
    </w:rPr>
  </w:style>
  <w:style w:type="character" w:customStyle="1" w:styleId="98">
    <w:name w:val="a Char"/>
    <w:link w:val="99"/>
    <w:qFormat/>
    <w:locked/>
    <w:uiPriority w:val="99"/>
    <w:rPr>
      <w:rFonts w:ascii="宋体" w:hAnsi="宋体" w:eastAsia="仿宋_GB2312"/>
      <w:sz w:val="24"/>
      <w:lang w:val="en-US" w:eastAsia="zh-CN"/>
    </w:rPr>
  </w:style>
  <w:style w:type="paragraph" w:customStyle="1" w:styleId="99">
    <w:name w:val="a"/>
    <w:basedOn w:val="1"/>
    <w:link w:val="98"/>
    <w:qFormat/>
    <w:uiPriority w:val="99"/>
    <w:pPr>
      <w:widowControl/>
      <w:spacing w:before="100" w:beforeAutospacing="1" w:after="100" w:afterAutospacing="1"/>
      <w:jc w:val="left"/>
    </w:pPr>
    <w:rPr>
      <w:rFonts w:ascii="宋体" w:hAnsi="宋体" w:eastAsia="仿宋_GB2312"/>
      <w:kern w:val="0"/>
      <w:sz w:val="24"/>
      <w:szCs w:val="20"/>
    </w:rPr>
  </w:style>
  <w:style w:type="character" w:customStyle="1" w:styleId="100">
    <w:name w:val="141"/>
    <w:qFormat/>
    <w:uiPriority w:val="99"/>
    <w:rPr>
      <w:color w:val="333333"/>
      <w:sz w:val="21"/>
      <w:u w:val="none"/>
    </w:rPr>
  </w:style>
  <w:style w:type="character" w:customStyle="1" w:styleId="101">
    <w:name w:val="font51"/>
    <w:qFormat/>
    <w:uiPriority w:val="99"/>
    <w:rPr>
      <w:rFonts w:ascii="宋体" w:hAnsi="宋体" w:eastAsia="宋体"/>
      <w:color w:val="000000"/>
      <w:sz w:val="18"/>
      <w:u w:val="none"/>
    </w:rPr>
  </w:style>
  <w:style w:type="character" w:customStyle="1" w:styleId="102">
    <w:name w:val="font71"/>
    <w:qFormat/>
    <w:uiPriority w:val="99"/>
    <w:rPr>
      <w:rFonts w:ascii="Arial" w:hAnsi="Arial"/>
      <w:color w:val="000000"/>
      <w:sz w:val="18"/>
      <w:u w:val="none"/>
    </w:rPr>
  </w:style>
  <w:style w:type="character" w:customStyle="1" w:styleId="103">
    <w:name w:val="font3"/>
    <w:qFormat/>
    <w:uiPriority w:val="99"/>
    <w:rPr>
      <w:rFonts w:cs="Times New Roman"/>
    </w:rPr>
  </w:style>
  <w:style w:type="character" w:customStyle="1" w:styleId="104">
    <w:name w:val="style2"/>
    <w:qFormat/>
    <w:uiPriority w:val="99"/>
    <w:rPr>
      <w:rFonts w:cs="Times New Roman"/>
    </w:rPr>
  </w:style>
  <w:style w:type="character" w:customStyle="1" w:styleId="105">
    <w:name w:val="标题 1 Char Char"/>
    <w:qFormat/>
    <w:uiPriority w:val="99"/>
    <w:rPr>
      <w:rFonts w:eastAsia="宋体"/>
      <w:b/>
      <w:spacing w:val="-2"/>
      <w:sz w:val="24"/>
      <w:lang w:val="en-US" w:eastAsia="zh-CN"/>
    </w:rPr>
  </w:style>
  <w:style w:type="character" w:customStyle="1" w:styleId="106">
    <w:name w:val="para"/>
    <w:qFormat/>
    <w:uiPriority w:val="99"/>
    <w:rPr>
      <w:rFonts w:cs="Times New Roman"/>
    </w:rPr>
  </w:style>
  <w:style w:type="character" w:customStyle="1" w:styleId="107">
    <w:name w:val="maywed421"/>
    <w:qFormat/>
    <w:uiPriority w:val="99"/>
    <w:rPr>
      <w:color w:val="366FB6"/>
      <w:u w:val="none"/>
    </w:rPr>
  </w:style>
  <w:style w:type="character" w:customStyle="1" w:styleId="108">
    <w:name w:val="ptb181"/>
    <w:qFormat/>
    <w:uiPriority w:val="99"/>
    <w:rPr>
      <w:rFonts w:ascii="Verdana" w:hAnsi="Verdana"/>
      <w:b/>
      <w:color w:val="000000"/>
      <w:sz w:val="26"/>
    </w:rPr>
  </w:style>
  <w:style w:type="character" w:customStyle="1" w:styleId="109">
    <w:name w:val="节标题 1.1 Char Char"/>
    <w:qFormat/>
    <w:uiPriority w:val="99"/>
    <w:rPr>
      <w:rFonts w:ascii="Arial" w:hAnsi="Arial" w:eastAsia="黑体"/>
      <w:b/>
      <w:kern w:val="2"/>
      <w:sz w:val="32"/>
      <w:lang w:val="en-US" w:eastAsia="zh-CN"/>
    </w:rPr>
  </w:style>
  <w:style w:type="character" w:customStyle="1" w:styleId="110">
    <w:name w:val="b titlename wangputoptitle"/>
    <w:qFormat/>
    <w:uiPriority w:val="99"/>
    <w:rPr>
      <w:rFonts w:cs="Times New Roman"/>
    </w:rPr>
  </w:style>
  <w:style w:type="character" w:customStyle="1" w:styleId="111">
    <w:name w:val="正文（首行缩进两字） Char Char Char Char11"/>
    <w:qFormat/>
    <w:uiPriority w:val="99"/>
    <w:rPr>
      <w:rFonts w:eastAsia="宋体"/>
      <w:kern w:val="2"/>
      <w:sz w:val="21"/>
      <w:lang w:val="en-US" w:eastAsia="zh-CN"/>
    </w:rPr>
  </w:style>
  <w:style w:type="character" w:customStyle="1" w:styleId="112">
    <w:name w:val="style5"/>
    <w:qFormat/>
    <w:uiPriority w:val="99"/>
    <w:rPr>
      <w:rFonts w:cs="Times New Roman"/>
    </w:rPr>
  </w:style>
  <w:style w:type="character" w:customStyle="1" w:styleId="113">
    <w:name w:val="sdtype"/>
    <w:qFormat/>
    <w:uiPriority w:val="99"/>
  </w:style>
  <w:style w:type="character" w:customStyle="1" w:styleId="114">
    <w:name w:val="普通文字 Char1"/>
    <w:qFormat/>
    <w:uiPriority w:val="99"/>
    <w:rPr>
      <w:rFonts w:ascii="宋体" w:hAnsi="Courier New" w:eastAsia="宋体"/>
      <w:kern w:val="2"/>
      <w:sz w:val="21"/>
      <w:lang w:val="en-US" w:eastAsia="zh-CN"/>
    </w:rPr>
  </w:style>
  <w:style w:type="character" w:customStyle="1" w:styleId="115">
    <w:name w:val="2级标题 Char"/>
    <w:link w:val="116"/>
    <w:qFormat/>
    <w:locked/>
    <w:uiPriority w:val="99"/>
    <w:rPr>
      <w:rFonts w:ascii="黑体" w:hAnsi="黑体" w:eastAsia="黑体"/>
      <w:b/>
      <w:sz w:val="36"/>
      <w:lang w:eastAsia="en-US"/>
    </w:rPr>
  </w:style>
  <w:style w:type="paragraph" w:customStyle="1" w:styleId="116">
    <w:name w:val="2级标题"/>
    <w:basedOn w:val="1"/>
    <w:link w:val="115"/>
    <w:qFormat/>
    <w:uiPriority w:val="99"/>
    <w:pPr>
      <w:keepLines/>
      <w:spacing w:before="240" w:after="120" w:line="360" w:lineRule="auto"/>
      <w:contextualSpacing/>
      <w:jc w:val="left"/>
      <w:outlineLvl w:val="1"/>
    </w:pPr>
    <w:rPr>
      <w:rFonts w:ascii="黑体" w:hAnsi="黑体" w:eastAsia="黑体"/>
      <w:b/>
      <w:kern w:val="0"/>
      <w:sz w:val="36"/>
      <w:szCs w:val="20"/>
      <w:lang w:eastAsia="en-US"/>
    </w:rPr>
  </w:style>
  <w:style w:type="character" w:customStyle="1" w:styleId="117">
    <w:name w:val="3级标题 Char"/>
    <w:link w:val="118"/>
    <w:qFormat/>
    <w:locked/>
    <w:uiPriority w:val="99"/>
    <w:rPr>
      <w:rFonts w:ascii="黑体" w:hAnsi="黑体" w:eastAsia="黑体"/>
      <w:b/>
      <w:sz w:val="36"/>
      <w:lang w:eastAsia="en-US"/>
    </w:rPr>
  </w:style>
  <w:style w:type="paragraph" w:customStyle="1" w:styleId="118">
    <w:name w:val="3级标题"/>
    <w:basedOn w:val="1"/>
    <w:link w:val="117"/>
    <w:qFormat/>
    <w:uiPriority w:val="99"/>
    <w:pPr>
      <w:keepLines/>
      <w:spacing w:before="120" w:after="120" w:line="360" w:lineRule="auto"/>
      <w:contextualSpacing/>
      <w:jc w:val="left"/>
      <w:outlineLvl w:val="2"/>
    </w:pPr>
    <w:rPr>
      <w:rFonts w:ascii="黑体" w:hAnsi="黑体" w:eastAsia="黑体"/>
      <w:b/>
      <w:kern w:val="0"/>
      <w:sz w:val="36"/>
      <w:szCs w:val="20"/>
      <w:lang w:eastAsia="en-US"/>
    </w:rPr>
  </w:style>
  <w:style w:type="character" w:customStyle="1" w:styleId="119">
    <w:name w:val="!正文 Char"/>
    <w:link w:val="120"/>
    <w:qFormat/>
    <w:locked/>
    <w:uiPriority w:val="99"/>
    <w:rPr>
      <w:kern w:val="2"/>
      <w:sz w:val="24"/>
      <w:szCs w:val="22"/>
      <w:lang w:val="zh-CN" w:eastAsia="zh-CN" w:bidi="ar-SA"/>
    </w:rPr>
  </w:style>
  <w:style w:type="paragraph" w:customStyle="1" w:styleId="120">
    <w:name w:val="!正文"/>
    <w:link w:val="119"/>
    <w:qFormat/>
    <w:uiPriority w:val="99"/>
    <w:pPr>
      <w:spacing w:line="360" w:lineRule="auto"/>
      <w:ind w:firstLine="200" w:firstLineChars="200"/>
    </w:pPr>
    <w:rPr>
      <w:rFonts w:ascii="Times New Roman" w:hAnsi="Times New Roman" w:eastAsia="宋体" w:cs="Times New Roman"/>
      <w:kern w:val="2"/>
      <w:sz w:val="24"/>
      <w:szCs w:val="22"/>
      <w:lang w:val="zh-CN" w:eastAsia="zh-CN" w:bidi="ar-SA"/>
    </w:rPr>
  </w:style>
  <w:style w:type="paragraph" w:customStyle="1" w:styleId="121">
    <w:name w:val="Char Char Char"/>
    <w:basedOn w:val="16"/>
    <w:qFormat/>
    <w:uiPriority w:val="99"/>
    <w:rPr>
      <w:rFonts w:ascii="Tahoma" w:hAnsi="Tahoma"/>
      <w:sz w:val="24"/>
    </w:rPr>
  </w:style>
  <w:style w:type="paragraph" w:customStyle="1" w:styleId="122">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123">
    <w:name w:val="z-窗体底端1"/>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24">
    <w:name w:val="paragraph1"/>
    <w:basedOn w:val="1"/>
    <w:qFormat/>
    <w:uiPriority w:val="99"/>
    <w:pPr>
      <w:spacing w:afterLines="30" w:line="360" w:lineRule="auto"/>
      <w:ind w:firstLine="420" w:firstLineChars="200"/>
    </w:pPr>
    <w:rPr>
      <w:rFonts w:eastAsia="楷体_GB2312"/>
      <w:sz w:val="24"/>
      <w:szCs w:val="20"/>
    </w:rPr>
  </w:style>
  <w:style w:type="paragraph" w:customStyle="1" w:styleId="125">
    <w:name w:val="列表编号 3 New"/>
    <w:basedOn w:val="1"/>
    <w:qFormat/>
    <w:uiPriority w:val="99"/>
    <w:pPr>
      <w:widowControl/>
      <w:tabs>
        <w:tab w:val="left" w:pos="482"/>
      </w:tabs>
      <w:spacing w:afterLines="50"/>
      <w:ind w:left="432" w:hanging="432"/>
      <w:jc w:val="left"/>
    </w:pPr>
    <w:rPr>
      <w:kern w:val="0"/>
      <w:sz w:val="24"/>
      <w:szCs w:val="20"/>
    </w:rPr>
  </w:style>
  <w:style w:type="paragraph" w:customStyle="1" w:styleId="126">
    <w:name w:val="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27">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128">
    <w:name w:val="Char1"/>
    <w:basedOn w:val="1"/>
    <w:qFormat/>
    <w:uiPriority w:val="99"/>
    <w:rPr>
      <w:rFonts w:ascii="仿宋_GB2312" w:eastAsia="仿宋_GB2312"/>
      <w:b/>
      <w:sz w:val="32"/>
      <w:szCs w:val="32"/>
    </w:rPr>
  </w:style>
  <w:style w:type="paragraph" w:customStyle="1" w:styleId="129">
    <w:name w:val="Char Char24 Char Char Char Char"/>
    <w:basedOn w:val="1"/>
    <w:qFormat/>
    <w:uiPriority w:val="99"/>
    <w:pPr>
      <w:widowControl/>
      <w:spacing w:after="160" w:line="240" w:lineRule="exact"/>
      <w:jc w:val="left"/>
    </w:pPr>
    <w:rPr>
      <w:rFonts w:ascii="仿宋_GB2312" w:eastAsia="仿宋_GB2312"/>
      <w:spacing w:val="20"/>
    </w:rPr>
  </w:style>
  <w:style w:type="paragraph" w:customStyle="1" w:styleId="130">
    <w:name w:val="彩色列表 - 强调文字颜色 11"/>
    <w:basedOn w:val="1"/>
    <w:qFormat/>
    <w:uiPriority w:val="99"/>
    <w:pPr>
      <w:ind w:left="720"/>
      <w:contextualSpacing/>
    </w:pPr>
  </w:style>
  <w:style w:type="paragraph" w:customStyle="1" w:styleId="131">
    <w:name w:val="Char Char Char Char Char Char Char"/>
    <w:basedOn w:val="1"/>
    <w:qFormat/>
    <w:uiPriority w:val="99"/>
    <w:pPr>
      <w:tabs>
        <w:tab w:val="left" w:pos="432"/>
      </w:tabs>
      <w:ind w:left="432" w:hanging="432"/>
    </w:pPr>
    <w:rPr>
      <w:rFonts w:ascii="Tahoma" w:hAnsi="Tahoma"/>
      <w:sz w:val="24"/>
      <w:szCs w:val="20"/>
    </w:rPr>
  </w:style>
  <w:style w:type="paragraph" w:customStyle="1" w:styleId="132">
    <w:name w:val="修订1"/>
    <w:qFormat/>
    <w:uiPriority w:val="99"/>
    <w:rPr>
      <w:rFonts w:ascii="Times New Roman" w:hAnsi="Times New Roman" w:eastAsia="宋体" w:cs="Times New Roman"/>
      <w:kern w:val="2"/>
      <w:sz w:val="28"/>
      <w:szCs w:val="24"/>
      <w:lang w:val="en-US" w:eastAsia="zh-CN" w:bidi="ar-SA"/>
    </w:rPr>
  </w:style>
  <w:style w:type="paragraph" w:customStyle="1" w:styleId="133">
    <w:name w:val="_Style 9"/>
    <w:basedOn w:val="1"/>
    <w:qFormat/>
    <w:uiPriority w:val="99"/>
  </w:style>
  <w:style w:type="paragraph" w:customStyle="1" w:styleId="134">
    <w:name w:val="样式 表格正文 + 两端对齐"/>
    <w:basedOn w:val="1"/>
    <w:qFormat/>
    <w:uiPriority w:val="99"/>
    <w:pPr>
      <w:spacing w:line="300" w:lineRule="auto"/>
    </w:pPr>
    <w:rPr>
      <w:sz w:val="24"/>
      <w:szCs w:val="20"/>
    </w:rPr>
  </w:style>
  <w:style w:type="paragraph" w:customStyle="1" w:styleId="135">
    <w:name w:val="table_lines"/>
    <w:basedOn w:val="1"/>
    <w:qFormat/>
    <w:uiPriority w:val="99"/>
    <w:pPr>
      <w:widowControl/>
      <w:jc w:val="left"/>
    </w:pPr>
    <w:rPr>
      <w:kern w:val="0"/>
      <w:sz w:val="20"/>
      <w:szCs w:val="20"/>
      <w:lang w:val="de-DE" w:eastAsia="de-DE"/>
    </w:rPr>
  </w:style>
  <w:style w:type="paragraph" w:customStyle="1" w:styleId="136">
    <w:name w:val="正文段"/>
    <w:basedOn w:val="1"/>
    <w:qFormat/>
    <w:uiPriority w:val="99"/>
    <w:pPr>
      <w:widowControl/>
      <w:snapToGrid w:val="0"/>
      <w:spacing w:afterLines="50"/>
      <w:ind w:firstLine="200" w:firstLineChars="200"/>
    </w:pPr>
    <w:rPr>
      <w:kern w:val="0"/>
      <w:sz w:val="24"/>
      <w:szCs w:val="20"/>
    </w:rPr>
  </w:style>
  <w:style w:type="paragraph" w:customStyle="1" w:styleId="137">
    <w:name w:val="List Paragraph1"/>
    <w:basedOn w:val="1"/>
    <w:qFormat/>
    <w:uiPriority w:val="99"/>
    <w:pPr>
      <w:ind w:firstLine="420" w:firstLineChars="200"/>
    </w:pPr>
    <w:rPr>
      <w:rFonts w:ascii="Calibri" w:hAnsi="Calibri"/>
      <w:sz w:val="21"/>
      <w:szCs w:val="22"/>
    </w:rPr>
  </w:style>
  <w:style w:type="paragraph" w:customStyle="1" w:styleId="138">
    <w:name w:val="文档正文"/>
    <w:basedOn w:val="1"/>
    <w:qFormat/>
    <w:uiPriority w:val="99"/>
    <w:pPr>
      <w:adjustRightInd w:val="0"/>
      <w:spacing w:line="312" w:lineRule="atLeast"/>
      <w:ind w:firstLine="567"/>
      <w:textAlignment w:val="baseline"/>
    </w:pPr>
    <w:rPr>
      <w:rFonts w:ascii="长城仿宋" w:eastAsia="长城仿宋"/>
      <w:kern w:val="0"/>
      <w:szCs w:val="20"/>
    </w:rPr>
  </w:style>
  <w:style w:type="paragraph" w:customStyle="1" w:styleId="139">
    <w:name w:val="Char Char7 Char"/>
    <w:basedOn w:val="1"/>
    <w:qFormat/>
    <w:uiPriority w:val="99"/>
    <w:pPr>
      <w:tabs>
        <w:tab w:val="left" w:pos="425"/>
      </w:tabs>
      <w:ind w:left="420" w:leftChars="200" w:firstLine="270" w:firstLineChars="150"/>
    </w:pPr>
    <w:rPr>
      <w:sz w:val="21"/>
    </w:rPr>
  </w:style>
  <w:style w:type="paragraph" w:customStyle="1" w:styleId="140">
    <w:name w:val="Char1 Char Char Char"/>
    <w:basedOn w:val="1"/>
    <w:qFormat/>
    <w:uiPriority w:val="99"/>
    <w:rPr>
      <w:rFonts w:ascii="Tahoma" w:hAnsi="Tahoma"/>
      <w:sz w:val="24"/>
      <w:szCs w:val="20"/>
    </w:rPr>
  </w:style>
  <w:style w:type="paragraph" w:customStyle="1" w:styleId="141">
    <w:name w:val="tableheading"/>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2">
    <w:name w:val="Char Char Char Char Char Char Char1"/>
    <w:basedOn w:val="1"/>
    <w:qFormat/>
    <w:uiPriority w:val="99"/>
    <w:pPr>
      <w:tabs>
        <w:tab w:val="left" w:pos="432"/>
      </w:tabs>
      <w:ind w:left="432" w:hanging="432"/>
    </w:pPr>
    <w:rPr>
      <w:rFonts w:ascii="Tahoma" w:hAnsi="Tahoma"/>
      <w:sz w:val="24"/>
      <w:szCs w:val="20"/>
    </w:rPr>
  </w:style>
  <w:style w:type="paragraph" w:customStyle="1" w:styleId="143">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44">
    <w:name w:val="tabletext"/>
    <w:basedOn w:val="1"/>
    <w:qFormat/>
    <w:uiPriority w:val="99"/>
    <w:pPr>
      <w:widowControl/>
      <w:spacing w:before="100" w:beforeAutospacing="1" w:after="100" w:afterAutospacing="1"/>
      <w:jc w:val="left"/>
    </w:pPr>
    <w:rPr>
      <w:rFonts w:ascii="宋体" w:hAnsi="宋体"/>
      <w:kern w:val="0"/>
      <w:sz w:val="24"/>
    </w:rPr>
  </w:style>
  <w:style w:type="paragraph" w:customStyle="1" w:styleId="145">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46">
    <w:name w:val="table_1stline"/>
    <w:basedOn w:val="1"/>
    <w:qFormat/>
    <w:uiPriority w:val="99"/>
    <w:pPr>
      <w:widowControl/>
      <w:spacing w:before="120"/>
      <w:jc w:val="left"/>
    </w:pPr>
    <w:rPr>
      <w:bCs/>
      <w:kern w:val="0"/>
      <w:sz w:val="20"/>
      <w:szCs w:val="20"/>
      <w:lang w:val="de-DE" w:eastAsia="de-DE"/>
    </w:rPr>
  </w:style>
  <w:style w:type="paragraph" w:customStyle="1" w:styleId="147">
    <w:name w:val="unnamed5"/>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48">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149">
    <w:name w:val="默认段落字体 Para Char Char Char Char Char Char Char Char Char1 Char Char Char Char"/>
    <w:basedOn w:val="1"/>
    <w:qFormat/>
    <w:uiPriority w:val="99"/>
    <w:rPr>
      <w:rFonts w:ascii="Tahoma" w:hAnsi="Tahoma"/>
      <w:sz w:val="24"/>
      <w:szCs w:val="20"/>
    </w:rPr>
  </w:style>
  <w:style w:type="paragraph" w:customStyle="1" w:styleId="150">
    <w:name w:val="Char Char Char 字元 字元"/>
    <w:basedOn w:val="1"/>
    <w:qFormat/>
    <w:uiPriority w:val="99"/>
    <w:pPr>
      <w:spacing w:line="360" w:lineRule="auto"/>
      <w:ind w:firstLine="200" w:firstLineChars="200"/>
    </w:pPr>
    <w:rPr>
      <w:rFonts w:ascii="宋体" w:hAnsi="宋体" w:cs="宋体"/>
      <w:sz w:val="24"/>
    </w:rPr>
  </w:style>
  <w:style w:type="paragraph" w:customStyle="1" w:styleId="151">
    <w:name w:val="+正文"/>
    <w:basedOn w:val="1"/>
    <w:qFormat/>
    <w:uiPriority w:val="99"/>
    <w:pPr>
      <w:spacing w:line="360" w:lineRule="auto"/>
      <w:ind w:firstLine="200" w:firstLineChars="200"/>
    </w:pPr>
    <w:rPr>
      <w:sz w:val="24"/>
      <w:szCs w:val="28"/>
    </w:rPr>
  </w:style>
  <w:style w:type="paragraph" w:customStyle="1" w:styleId="152">
    <w:name w:val="Char Char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53">
    <w:name w:val="标准正文"/>
    <w:basedOn w:val="1"/>
    <w:qFormat/>
    <w:uiPriority w:val="99"/>
    <w:pPr>
      <w:adjustRightInd w:val="0"/>
      <w:snapToGrid w:val="0"/>
      <w:spacing w:line="360" w:lineRule="auto"/>
      <w:jc w:val="left"/>
    </w:pPr>
    <w:rPr>
      <w:rFonts w:ascii="宋体"/>
      <w:sz w:val="24"/>
      <w:szCs w:val="21"/>
    </w:rPr>
  </w:style>
  <w:style w:type="paragraph" w:styleId="154">
    <w:name w:val="No Spacing"/>
    <w:basedOn w:val="1"/>
    <w:qFormat/>
    <w:uiPriority w:val="99"/>
    <w:rPr>
      <w:rFonts w:ascii="Calibri" w:hAnsi="Calibri"/>
      <w:sz w:val="20"/>
      <w:szCs w:val="20"/>
    </w:rPr>
  </w:style>
  <w:style w:type="paragraph" w:customStyle="1" w:styleId="155">
    <w:name w:val="表格文字"/>
    <w:basedOn w:val="1"/>
    <w:next w:val="20"/>
    <w:qFormat/>
    <w:uiPriority w:val="99"/>
    <w:pPr>
      <w:adjustRightInd w:val="0"/>
      <w:spacing w:line="420" w:lineRule="atLeast"/>
      <w:jc w:val="left"/>
      <w:textAlignment w:val="baseline"/>
    </w:pPr>
    <w:rPr>
      <w:kern w:val="0"/>
    </w:rPr>
  </w:style>
  <w:style w:type="paragraph" w:customStyle="1" w:styleId="156">
    <w:name w:val="章正文"/>
    <w:basedOn w:val="1"/>
    <w:qFormat/>
    <w:uiPriority w:val="99"/>
    <w:pPr>
      <w:spacing w:beforeLines="50" w:after="120" w:line="300" w:lineRule="auto"/>
      <w:ind w:firstLine="480"/>
    </w:pPr>
    <w:rPr>
      <w:rFonts w:ascii="Helvetica" w:hAnsi="Helvetica"/>
      <w:kern w:val="0"/>
      <w:sz w:val="24"/>
    </w:rPr>
  </w:style>
  <w:style w:type="paragraph" w:customStyle="1" w:styleId="157">
    <w:name w:val="Table Paragraph"/>
    <w:basedOn w:val="1"/>
    <w:qFormat/>
    <w:uiPriority w:val="99"/>
    <w:rPr>
      <w:rFonts w:ascii="宋体" w:hAnsi="宋体" w:cs="宋体"/>
      <w:lang w:val="zh-CN"/>
    </w:rPr>
  </w:style>
  <w:style w:type="paragraph" w:customStyle="1" w:styleId="158">
    <w:name w:val="样式 标题 1 + 段后: 0.5 行"/>
    <w:basedOn w:val="4"/>
    <w:qFormat/>
    <w:uiPriority w:val="99"/>
    <w:pPr>
      <w:spacing w:before="120" w:afterLines="50"/>
      <w:ind w:left="0" w:firstLine="0"/>
    </w:pPr>
    <w:rPr>
      <w:rFonts w:cs="宋体"/>
      <w:sz w:val="28"/>
    </w:rPr>
  </w:style>
  <w:style w:type="paragraph" w:customStyle="1" w:styleId="159">
    <w:name w:val="_Style 8"/>
    <w:basedOn w:val="1"/>
    <w:next w:val="1"/>
    <w:qFormat/>
    <w:uiPriority w:val="99"/>
    <w:pPr>
      <w:pBdr>
        <w:bottom w:val="single" w:color="auto" w:sz="6" w:space="1"/>
      </w:pBdr>
      <w:jc w:val="center"/>
    </w:pPr>
    <w:rPr>
      <w:rFonts w:ascii="Arial"/>
      <w:vanish/>
      <w:sz w:val="16"/>
    </w:rPr>
  </w:style>
  <w:style w:type="paragraph" w:customStyle="1" w:styleId="160">
    <w:name w:val="Other|1"/>
    <w:basedOn w:val="1"/>
    <w:qFormat/>
    <w:uiPriority w:val="99"/>
    <w:pPr>
      <w:spacing w:line="345" w:lineRule="exact"/>
      <w:jc w:val="left"/>
    </w:pPr>
    <w:rPr>
      <w:rFonts w:ascii="MingLiUfalt" w:hAnsi="MingLiUfalt" w:eastAsia="MingLiUfalt" w:cs="MingLiUfalt"/>
      <w:kern w:val="0"/>
      <w:sz w:val="20"/>
      <w:szCs w:val="20"/>
      <w:lang w:val="zh-TW" w:eastAsia="zh-TW"/>
    </w:rPr>
  </w:style>
  <w:style w:type="paragraph" w:customStyle="1" w:styleId="161">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62">
    <w:name w:val="列表段落"/>
    <w:basedOn w:val="1"/>
    <w:qFormat/>
    <w:uiPriority w:val="99"/>
    <w:pPr>
      <w:ind w:firstLine="420" w:firstLineChars="200"/>
    </w:pPr>
    <w:rPr>
      <w:rFonts w:ascii="Calibri" w:hAnsi="Calibri"/>
    </w:rPr>
  </w:style>
  <w:style w:type="paragraph" w:customStyle="1" w:styleId="163">
    <w:name w:val="修订2"/>
    <w:hidden/>
    <w:unhideWhenUsed/>
    <w:qFormat/>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7"/>
    <customShpInfo spid="_x0000_s4103"/>
    <customShpInfo spid="_x0000_s4104" textRotate="1"/>
    <customShpInfo spid="_x0000_s4099"/>
    <customShpInfo spid="_x0000_s4102" textRotate="1"/>
    <customShpInfo spid="_x0000_s4101"/>
    <customShpInfo spid="_x0000_s4105" textRotate="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xinxizhongxin</Company>
  <Pages>93</Pages>
  <Words>44953</Words>
  <Characters>48995</Characters>
  <Lines>378</Lines>
  <Paragraphs>106</Paragraphs>
  <TotalTime>0</TotalTime>
  <ScaleCrop>false</ScaleCrop>
  <LinksUpToDate>false</LinksUpToDate>
  <CharactersWithSpaces>49583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2022-10-27T11:09:00Z</dcterms:created>
  <dc:creator>xueyong</dc:creator>
  <cp:lastModifiedBy>VIVI</cp:lastModifiedBy>
  <cp:lastPrinted>2022-10-27T14:42:00Z</cp:lastPrinted>
  <dcterms:modified xsi:type="dcterms:W3CDTF">2022-11-04T03:05:53Z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E0A10A5208034A40B55B4B1FD61AFFD8</vt:lpwstr>
  </property>
</Properties>
</file>