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pStyle w:val="2"/>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val="0"/>
          <w:color w:val="auto"/>
          <w:sz w:val="56"/>
          <w:szCs w:val="56"/>
          <w:highlight w:val="none"/>
        </w:rPr>
      </w:pPr>
      <w:r>
        <w:rPr>
          <w:rFonts w:hint="eastAsia" w:ascii="仿宋" w:hAnsi="仿宋" w:eastAsia="仿宋" w:cs="仿宋"/>
          <w:b/>
          <w:bCs w:val="0"/>
          <w:color w:val="auto"/>
          <w:sz w:val="56"/>
          <w:szCs w:val="56"/>
          <w:highlight w:val="none"/>
        </w:rPr>
        <w:t>杭州市萧山区中医</w:t>
      </w:r>
      <w:bookmarkStart w:id="440" w:name="_GoBack"/>
      <w:bookmarkEnd w:id="440"/>
      <w:r>
        <w:rPr>
          <w:rFonts w:hint="eastAsia" w:ascii="仿宋" w:hAnsi="仿宋" w:eastAsia="仿宋" w:cs="仿宋"/>
          <w:b/>
          <w:bCs w:val="0"/>
          <w:color w:val="auto"/>
          <w:sz w:val="56"/>
          <w:szCs w:val="56"/>
          <w:highlight w:val="none"/>
        </w:rPr>
        <w:t>院</w:t>
      </w:r>
    </w:p>
    <w:p>
      <w:pPr>
        <w:adjustRightInd/>
        <w:spacing w:line="360" w:lineRule="auto"/>
        <w:jc w:val="center"/>
        <w:rPr>
          <w:rFonts w:hint="eastAsia" w:ascii="仿宋" w:hAnsi="仿宋" w:eastAsia="仿宋" w:cs="仿宋"/>
          <w:b/>
          <w:bCs w:val="0"/>
          <w:color w:val="auto"/>
          <w:sz w:val="56"/>
          <w:szCs w:val="56"/>
          <w:highlight w:val="none"/>
        </w:rPr>
      </w:pPr>
      <w:r>
        <w:rPr>
          <w:rFonts w:hint="eastAsia" w:ascii="仿宋" w:hAnsi="仿宋" w:eastAsia="仿宋" w:cs="仿宋"/>
          <w:b/>
          <w:bCs w:val="0"/>
          <w:color w:val="auto"/>
          <w:sz w:val="56"/>
          <w:szCs w:val="56"/>
          <w:highlight w:val="none"/>
        </w:rPr>
        <w:t>一般检验外送检测采购项目</w:t>
      </w:r>
    </w:p>
    <w:p>
      <w:pPr>
        <w:adjustRightInd/>
        <w:spacing w:line="240" w:lineRule="auto"/>
        <w:jc w:val="center"/>
        <w:rPr>
          <w:rFonts w:hint="eastAsia" w:ascii="仿宋" w:hAnsi="仿宋" w:eastAsia="仿宋" w:cs="仿宋"/>
          <w:b w:val="0"/>
          <w:bCs/>
          <w:color w:val="auto"/>
          <w:sz w:val="40"/>
          <w:szCs w:val="40"/>
          <w:highlight w:val="none"/>
        </w:rPr>
      </w:pPr>
    </w:p>
    <w:p>
      <w:pPr>
        <w:pStyle w:val="2"/>
        <w:rPr>
          <w:rFonts w:hint="eastAsia" w:ascii="仿宋" w:hAnsi="仿宋" w:eastAsia="仿宋" w:cs="仿宋"/>
          <w:color w:val="auto"/>
          <w:highlight w:val="none"/>
        </w:rPr>
      </w:pPr>
    </w:p>
    <w:p>
      <w:pPr>
        <w:adjustRightInd/>
        <w:spacing w:line="360" w:lineRule="auto"/>
        <w:jc w:val="center"/>
        <w:rPr>
          <w:rFonts w:hint="eastAsia" w:ascii="仿宋" w:hAnsi="仿宋" w:eastAsia="仿宋" w:cs="仿宋"/>
          <w:b/>
          <w:color w:val="auto"/>
          <w:sz w:val="56"/>
          <w:szCs w:val="72"/>
          <w:highlight w:val="none"/>
        </w:rPr>
      </w:pPr>
      <w:r>
        <w:rPr>
          <w:rFonts w:hint="eastAsia" w:ascii="仿宋" w:hAnsi="仿宋" w:eastAsia="仿宋" w:cs="仿宋"/>
          <w:b/>
          <w:color w:val="auto"/>
          <w:sz w:val="56"/>
          <w:szCs w:val="72"/>
          <w:highlight w:val="none"/>
        </w:rPr>
        <w:t>招标文件</w:t>
      </w:r>
      <w:r>
        <w:rPr>
          <w:rFonts w:hint="eastAsia" w:ascii="仿宋" w:hAnsi="仿宋" w:eastAsia="仿宋" w:cs="仿宋"/>
          <w:b/>
          <w:color w:val="auto"/>
          <w:sz w:val="56"/>
          <w:szCs w:val="72"/>
          <w:highlight w:val="none"/>
        </w:rPr>
        <w:br w:type="textWrapping"/>
      </w:r>
      <w:r>
        <w:rPr>
          <w:rFonts w:hint="eastAsia" w:ascii="仿宋" w:hAnsi="仿宋" w:eastAsia="仿宋" w:cs="仿宋"/>
          <w:b/>
          <w:color w:val="auto"/>
          <w:sz w:val="56"/>
          <w:szCs w:val="72"/>
          <w:highlight w:val="none"/>
        </w:rPr>
        <w:t>（</w:t>
      </w:r>
      <w:r>
        <w:rPr>
          <w:rFonts w:hint="eastAsia" w:ascii="仿宋" w:hAnsi="仿宋" w:eastAsia="仿宋" w:cs="仿宋"/>
          <w:b/>
          <w:color w:val="auto"/>
          <w:sz w:val="56"/>
          <w:szCs w:val="72"/>
          <w:highlight w:val="none"/>
        </w:rPr>
        <w:t>电子招投标</w:t>
      </w:r>
      <w:r>
        <w:rPr>
          <w:rFonts w:hint="eastAsia" w:ascii="仿宋" w:hAnsi="仿宋" w:eastAsia="仿宋" w:cs="仿宋"/>
          <w:b/>
          <w:color w:val="auto"/>
          <w:sz w:val="56"/>
          <w:szCs w:val="72"/>
          <w:highlight w:val="none"/>
        </w:rPr>
        <w:t>）</w:t>
      </w:r>
    </w:p>
    <w:p>
      <w:pPr>
        <w:spacing w:line="360" w:lineRule="auto"/>
        <w:jc w:val="center"/>
        <w:rPr>
          <w:rFonts w:hint="eastAsia" w:ascii="仿宋" w:hAnsi="仿宋" w:eastAsia="仿宋" w:cs="仿宋"/>
          <w:b/>
          <w:color w:val="auto"/>
          <w:sz w:val="24"/>
          <w:highlight w:val="none"/>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编号:HXGK2021057</w:t>
      </w:r>
    </w:p>
    <w:p>
      <w:pPr>
        <w:snapToGrid w:val="0"/>
        <w:spacing w:line="360" w:lineRule="auto"/>
        <w:jc w:val="center"/>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杭州市萧山区中医院</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2021</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21</w:t>
      </w:r>
      <w:r>
        <w:rPr>
          <w:rFonts w:hint="eastAsia" w:ascii="仿宋" w:hAnsi="仿宋" w:eastAsia="仿宋" w:cs="仿宋"/>
          <w:bCs/>
          <w:color w:val="auto"/>
          <w:sz w:val="32"/>
          <w:szCs w:val="32"/>
          <w:highlight w:val="none"/>
        </w:rPr>
        <w:t>日</w:t>
      </w:r>
    </w:p>
    <w:p>
      <w:pPr>
        <w:snapToGrid w:val="0"/>
        <w:spacing w:line="360" w:lineRule="auto"/>
        <w:jc w:val="center"/>
        <w:rPr>
          <w:rFonts w:hint="eastAsia" w:ascii="仿宋" w:hAnsi="仿宋" w:eastAsia="仿宋" w:cs="仿宋"/>
          <w:bCs/>
          <w:color w:val="auto"/>
          <w:sz w:val="32"/>
          <w:szCs w:val="32"/>
          <w:highlight w:val="none"/>
        </w:rPr>
      </w:pPr>
    </w:p>
    <w:p>
      <w:pPr>
        <w:snapToGrid w:val="0"/>
        <w:spacing w:line="360" w:lineRule="auto"/>
        <w:jc w:val="center"/>
        <w:rPr>
          <w:rFonts w:hint="eastAsia" w:ascii="仿宋" w:hAnsi="仿宋" w:eastAsia="仿宋" w:cs="仿宋"/>
          <w:bCs/>
          <w:color w:val="auto"/>
          <w:sz w:val="32"/>
          <w:szCs w:val="32"/>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bookmarkStart w:id="3" w:name="第一部分"/>
      <w:r>
        <w:rPr>
          <w:rFonts w:hint="eastAsia" w:ascii="仿宋" w:hAnsi="仿宋" w:eastAsia="仿宋" w:cs="仿宋"/>
          <w:color w:val="auto"/>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color w:val="auto"/>
          <w:highlight w:val="none"/>
        </w:rPr>
        <w:t>第一部分 招标公告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u w:val="single"/>
        </w:rPr>
        <w:t>杭州市萧山区中医院一般检验外送检测采购项目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8"/>
          <w:rFonts w:hint="eastAsia" w:ascii="仿宋" w:hAnsi="仿宋" w:eastAsia="仿宋" w:cs="仿宋"/>
          <w:color w:val="auto"/>
          <w:sz w:val="24"/>
          <w:szCs w:val="24"/>
          <w:highlight w:val="none"/>
        </w:rPr>
        <w:t>https://www.zcygov.cn/）获取（下载）招标文件，并于202</w:t>
      </w:r>
      <w:r>
        <w:rPr>
          <w:rStyle w:val="68"/>
          <w:rFonts w:hint="eastAsia" w:ascii="仿宋" w:hAnsi="仿宋" w:eastAsia="仿宋" w:cs="仿宋"/>
          <w:color w:val="auto"/>
          <w:sz w:val="24"/>
          <w:szCs w:val="24"/>
          <w:highlight w:val="none"/>
          <w:lang w:val="en-US" w:eastAsia="zh-CN"/>
        </w:rPr>
        <w:t>2</w:t>
      </w:r>
      <w:r>
        <w:rPr>
          <w:rStyle w:val="68"/>
          <w:rFonts w:hint="eastAsia" w:ascii="仿宋" w:hAnsi="仿宋" w:eastAsia="仿宋" w:cs="仿宋"/>
          <w:color w:val="auto"/>
          <w:sz w:val="24"/>
          <w:szCs w:val="24"/>
          <w:highlight w:val="none"/>
        </w:rPr>
        <w:t>年</w:t>
      </w:r>
      <w:r>
        <w:rPr>
          <w:rStyle w:val="68"/>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Style w:val="5"/>
        <w:numPr>
          <w:ilvl w:val="0"/>
          <w:numId w:val="0"/>
        </w:numPr>
        <w:rPr>
          <w:rFonts w:hint="eastAsia" w:ascii="仿宋" w:hAnsi="仿宋" w:eastAsia="仿宋" w:cs="仿宋"/>
          <w:color w:val="auto"/>
          <w:sz w:val="24"/>
          <w:szCs w:val="28"/>
          <w:highlight w:val="none"/>
        </w:rPr>
      </w:pPr>
      <w:bookmarkStart w:id="11" w:name="_Toc35393790"/>
      <w:bookmarkStart w:id="12" w:name="_Toc28359079"/>
      <w:bookmarkStart w:id="13" w:name="_Toc28359002"/>
      <w:bookmarkStart w:id="14" w:name="_Toc35393621"/>
      <w:bookmarkStart w:id="15" w:name="_Hlk24379207"/>
    </w:p>
    <w:p>
      <w:pPr>
        <w:pStyle w:val="5"/>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一、项目基本情况</w:t>
      </w:r>
      <w:bookmarkEnd w:id="11"/>
      <w:bookmarkEnd w:id="12"/>
      <w:bookmarkEnd w:id="13"/>
      <w:bookmarkEnd w:id="14"/>
    </w:p>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项目编号：HXGK2021057</w:t>
      </w:r>
    </w:p>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项目名称：杭州市萧山区中医院一般检验外送检测采购项目</w:t>
      </w:r>
    </w:p>
    <w:bookmarkEnd w:id="15"/>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1500000.00</w:t>
      </w:r>
      <w:r>
        <w:rPr>
          <w:rFonts w:hint="eastAsia" w:ascii="仿宋" w:hAnsi="仿宋" w:eastAsia="仿宋" w:cs="仿宋"/>
          <w:color w:val="auto"/>
          <w:sz w:val="24"/>
          <w:szCs w:val="28"/>
          <w:highlight w:val="none"/>
        </w:rPr>
        <w:t>元</w:t>
      </w:r>
    </w:p>
    <w:p>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1500000.00</w:t>
      </w:r>
      <w:r>
        <w:rPr>
          <w:rFonts w:hint="eastAsia" w:ascii="仿宋" w:hAnsi="仿宋" w:eastAsia="仿宋" w:cs="仿宋"/>
          <w:color w:val="auto"/>
          <w:sz w:val="24"/>
          <w:szCs w:val="28"/>
          <w:highlight w:val="none"/>
        </w:rPr>
        <w:t>元</w:t>
      </w:r>
    </w:p>
    <w:p>
      <w:pPr>
        <w:spacing w:line="360" w:lineRule="auto"/>
        <w:ind w:left="420" w:left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采购需求：杭州市萧山区中医院一般检验外送检测</w:t>
      </w:r>
      <w:r>
        <w:rPr>
          <w:rFonts w:hint="eastAsia" w:ascii="仿宋" w:hAnsi="仿宋" w:eastAsia="仿宋" w:cs="仿宋"/>
          <w:color w:val="auto"/>
          <w:sz w:val="24"/>
          <w:szCs w:val="28"/>
          <w:highlight w:val="none"/>
          <w:lang w:val="en-US" w:eastAsia="zh-CN"/>
        </w:rPr>
        <w:t>,</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《第三部分</w:t>
      </w:r>
      <w:r>
        <w:rPr>
          <w:rFonts w:hint="eastAsia" w:ascii="仿宋" w:hAnsi="仿宋" w:eastAsia="仿宋" w:cs="仿宋"/>
          <w:color w:val="auto"/>
          <w:sz w:val="24"/>
          <w:szCs w:val="28"/>
          <w:highlight w:val="none"/>
          <w:lang w:val="en-US" w:eastAsia="zh-CN"/>
        </w:rPr>
        <w:t xml:space="preserve"> 采购需求》。</w:t>
      </w:r>
    </w:p>
    <w:p>
      <w:pPr>
        <w:pStyle w:val="17"/>
        <w:spacing w:line="360" w:lineRule="auto"/>
        <w:ind w:left="420" w:leftChars="200" w:firstLine="6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标项名称: </w:t>
      </w:r>
      <w:r>
        <w:rPr>
          <w:rFonts w:hint="eastAsia" w:ascii="仿宋" w:hAnsi="仿宋" w:eastAsia="仿宋" w:cs="仿宋"/>
          <w:color w:val="auto"/>
          <w:sz w:val="24"/>
          <w:szCs w:val="28"/>
          <w:highlight w:val="none"/>
        </w:rPr>
        <w:t>杭州市萧山区中医院一般检验外送检测采购项目</w:t>
      </w:r>
    </w:p>
    <w:p>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 1  </w:t>
      </w:r>
    </w:p>
    <w:p>
      <w:pPr>
        <w:pStyle w:val="1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1500000.00</w:t>
      </w:r>
      <w:r>
        <w:rPr>
          <w:rFonts w:hint="eastAsia" w:ascii="仿宋" w:hAnsi="仿宋" w:eastAsia="仿宋" w:cs="仿宋"/>
          <w:color w:val="auto"/>
          <w:sz w:val="24"/>
          <w:highlight w:val="none"/>
        </w:rPr>
        <w:t>元</w:t>
      </w:r>
    </w:p>
    <w:p>
      <w:pPr>
        <w:pStyle w:val="1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eastAsia="zh-CN"/>
        </w:rPr>
        <w:t>详见《第三部分</w:t>
      </w:r>
      <w:r>
        <w:rPr>
          <w:rFonts w:hint="eastAsia" w:ascii="仿宋" w:hAnsi="仿宋" w:eastAsia="仿宋" w:cs="仿宋"/>
          <w:color w:val="auto"/>
          <w:sz w:val="24"/>
          <w:highlight w:val="none"/>
          <w:lang w:val="en-US" w:eastAsia="zh-CN"/>
        </w:rPr>
        <w:t xml:space="preserve"> 采购需求》</w:t>
      </w:r>
    </w:p>
    <w:p>
      <w:pPr>
        <w:pStyle w:val="17"/>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pPr>
        <w:spacing w:line="360" w:lineRule="auto"/>
        <w:ind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合同履约期限：服务时间为自合同签订后 1 年。</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本项目是否接受联合体投标：（ ）是；（√）否</w:t>
      </w:r>
      <w:r>
        <w:rPr>
          <w:rFonts w:hint="eastAsia" w:ascii="仿宋" w:hAnsi="仿宋" w:eastAsia="仿宋" w:cs="仿宋"/>
          <w:b/>
          <w:color w:val="auto"/>
          <w:sz w:val="24"/>
          <w:highlight w:val="none"/>
        </w:rPr>
        <w:t xml:space="preserve"> </w:t>
      </w:r>
    </w:p>
    <w:p>
      <w:pPr>
        <w:pStyle w:val="5"/>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w:t>
      </w:r>
      <w:bookmarkStart w:id="16" w:name="_Toc35393622"/>
      <w:bookmarkStart w:id="17" w:name="_Toc28359003"/>
      <w:bookmarkStart w:id="18" w:name="_Toc28359080"/>
      <w:bookmarkStart w:id="19" w:name="_Toc35393791"/>
      <w:r>
        <w:rPr>
          <w:rFonts w:hint="eastAsia" w:ascii="仿宋" w:hAnsi="仿宋" w:eastAsia="仿宋" w:cs="仿宋"/>
          <w:color w:val="auto"/>
          <w:sz w:val="24"/>
          <w:szCs w:val="28"/>
          <w:highlight w:val="none"/>
        </w:rPr>
        <w:t>申请人的资格要求：</w:t>
      </w:r>
      <w:bookmarkEnd w:id="16"/>
      <w:bookmarkEnd w:id="17"/>
      <w:bookmarkEnd w:id="18"/>
      <w:bookmarkEnd w:id="19"/>
    </w:p>
    <w:p>
      <w:pPr>
        <w:spacing w:line="360" w:lineRule="auto"/>
        <w:ind w:firstLine="480" w:firstLineChars="200"/>
        <w:rPr>
          <w:rFonts w:hint="eastAsia" w:ascii="仿宋" w:hAnsi="仿宋" w:eastAsia="仿宋" w:cs="仿宋"/>
          <w:color w:val="auto"/>
          <w:sz w:val="24"/>
          <w:highlight w:val="none"/>
        </w:rPr>
      </w:pPr>
      <w:bookmarkStart w:id="20" w:name="_Toc28359081"/>
      <w:bookmarkStart w:id="21" w:name="_Toc35393792"/>
      <w:bookmarkStart w:id="22" w:name="_Toc28359004"/>
      <w:bookmarkStart w:id="23" w:name="_Toc35393623"/>
      <w:r>
        <w:rPr>
          <w:rFonts w:hint="eastAsia" w:ascii="仿宋" w:hAnsi="仿宋" w:eastAsia="仿宋" w:cs="仿宋"/>
          <w:color w:val="auto"/>
          <w:sz w:val="24"/>
          <w:highlight w:val="none"/>
        </w:rPr>
        <w:t>1.满足《中华人民共和国政府采购法》第二十二条规定；</w:t>
      </w:r>
    </w:p>
    <w:p>
      <w:pPr>
        <w:pStyle w:val="5"/>
        <w:numPr>
          <w:ilvl w:val="0"/>
          <w:numId w:val="0"/>
        </w:numPr>
        <w:ind w:left="432"/>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2.单位负责人为同一人或者存在直接控股、管理关系的不同供应商，不得参加同一合同项下的政府采购活动。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具有取得医疗执业许可证的专业的检验所。</w:t>
      </w:r>
    </w:p>
    <w:p>
      <w:pPr>
        <w:pStyle w:val="5"/>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三、获取招标文件</w:t>
      </w:r>
      <w:bookmarkEnd w:id="20"/>
      <w:bookmarkEnd w:id="21"/>
      <w:bookmarkEnd w:id="22"/>
      <w:bookmarkEnd w:id="23"/>
    </w:p>
    <w:p>
      <w:pPr>
        <w:spacing w:line="360" w:lineRule="auto"/>
        <w:ind w:firstLine="482" w:firstLineChars="200"/>
        <w:rPr>
          <w:rFonts w:hint="eastAsia" w:ascii="仿宋" w:hAnsi="仿宋" w:eastAsia="仿宋" w:cs="仿宋"/>
          <w:color w:val="auto"/>
          <w:sz w:val="24"/>
          <w:highlight w:val="none"/>
        </w:rPr>
      </w:pPr>
      <w:bookmarkStart w:id="24" w:name="_Toc28359082"/>
      <w:bookmarkStart w:id="25" w:name="_Toc28359005"/>
      <w:bookmarkStart w:id="26" w:name="_Toc35393624"/>
      <w:bookmarkStart w:id="27" w:name="_Toc35393793"/>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Style w:val="5"/>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四、提交投标文件</w:t>
      </w:r>
      <w:bookmarkEnd w:id="24"/>
      <w:bookmarkEnd w:id="25"/>
      <w:r>
        <w:rPr>
          <w:rFonts w:hint="eastAsia" w:ascii="仿宋" w:hAnsi="仿宋" w:eastAsia="仿宋" w:cs="仿宋"/>
          <w:color w:val="auto"/>
          <w:sz w:val="24"/>
          <w:szCs w:val="28"/>
          <w:highlight w:val="none"/>
        </w:rPr>
        <w:t>截止时间、开标时间和地点</w:t>
      </w:r>
      <w:bookmarkEnd w:id="26"/>
      <w:bookmarkEnd w:id="27"/>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szCs w:val="28"/>
          <w:highlight w:val="none"/>
        </w:rPr>
        <w:t>202</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12</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00</w:t>
      </w:r>
      <w:r>
        <w:rPr>
          <w:rFonts w:hint="eastAsia" w:ascii="仿宋" w:hAnsi="仿宋" w:eastAsia="仿宋" w:cs="仿宋"/>
          <w:color w:val="auto"/>
          <w:sz w:val="24"/>
          <w:szCs w:val="28"/>
          <w:highlight w:val="non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szCs w:val="28"/>
          <w:highlight w:val="none"/>
        </w:rPr>
        <w:t>202</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12</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点</w:t>
      </w:r>
      <w:r>
        <w:rPr>
          <w:rFonts w:hint="eastAsia" w:ascii="仿宋" w:hAnsi="仿宋" w:eastAsia="仿宋" w:cs="仿宋"/>
          <w:color w:val="auto"/>
          <w:sz w:val="24"/>
          <w:szCs w:val="28"/>
          <w:highlight w:val="none"/>
          <w:lang w:val="en-US" w:eastAsia="zh-CN"/>
        </w:rPr>
        <w:t>00</w:t>
      </w:r>
      <w:r>
        <w:rPr>
          <w:rFonts w:hint="eastAsia" w:ascii="仿宋" w:hAnsi="仿宋" w:eastAsia="仿宋" w:cs="仿宋"/>
          <w:color w:val="auto"/>
          <w:sz w:val="24"/>
          <w:szCs w:val="28"/>
          <w:highlight w:val="non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color w:val="auto"/>
          <w:sz w:val="24"/>
          <w:szCs w:val="28"/>
          <w:highlight w:val="none"/>
        </w:rPr>
        <w:t>政采云平台网上递交。</w:t>
      </w:r>
    </w:p>
    <w:p>
      <w:pPr>
        <w:pStyle w:val="5"/>
        <w:numPr>
          <w:ilvl w:val="0"/>
          <w:numId w:val="0"/>
        </w:numPr>
        <w:rPr>
          <w:rFonts w:hint="eastAsia" w:ascii="仿宋" w:hAnsi="仿宋" w:eastAsia="仿宋" w:cs="仿宋"/>
          <w:color w:val="auto"/>
          <w:sz w:val="24"/>
          <w:szCs w:val="28"/>
          <w:highlight w:val="none"/>
        </w:rPr>
      </w:pPr>
      <w:bookmarkStart w:id="28" w:name="_Toc28359007"/>
      <w:bookmarkStart w:id="29" w:name="_Toc35393625"/>
      <w:bookmarkStart w:id="30" w:name="_Toc28359084"/>
      <w:bookmarkStart w:id="31" w:name="_Toc35393794"/>
      <w:r>
        <w:rPr>
          <w:rFonts w:hint="eastAsia" w:ascii="仿宋" w:hAnsi="仿宋" w:eastAsia="仿宋" w:cs="仿宋"/>
          <w:color w:val="auto"/>
          <w:sz w:val="24"/>
          <w:szCs w:val="28"/>
          <w:highlight w:val="none"/>
        </w:rPr>
        <w:t>五、公告期限</w:t>
      </w:r>
      <w:bookmarkEnd w:id="28"/>
      <w:bookmarkEnd w:id="29"/>
      <w:bookmarkEnd w:id="30"/>
      <w:bookmarkEnd w:id="31"/>
    </w:p>
    <w:p>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pPr>
        <w:pStyle w:val="5"/>
        <w:numPr>
          <w:ilvl w:val="0"/>
          <w:numId w:val="0"/>
        </w:numPr>
        <w:rPr>
          <w:rFonts w:hint="eastAsia" w:ascii="仿宋" w:hAnsi="仿宋" w:eastAsia="仿宋" w:cs="仿宋"/>
          <w:color w:val="auto"/>
          <w:sz w:val="24"/>
          <w:szCs w:val="28"/>
          <w:highlight w:val="none"/>
        </w:rPr>
      </w:pPr>
      <w:bookmarkStart w:id="32" w:name="_Toc35393626"/>
      <w:bookmarkStart w:id="33" w:name="_Toc35393795"/>
      <w:r>
        <w:rPr>
          <w:rFonts w:hint="eastAsia" w:ascii="仿宋" w:hAnsi="仿宋" w:eastAsia="仿宋" w:cs="仿宋"/>
          <w:color w:val="auto"/>
          <w:sz w:val="24"/>
          <w:szCs w:val="28"/>
          <w:highlight w:val="none"/>
        </w:rPr>
        <w:t>六、其他补充事宜</w:t>
      </w:r>
      <w:bookmarkEnd w:id="32"/>
      <w:bookmarkEnd w:id="33"/>
    </w:p>
    <w:p>
      <w:pPr>
        <w:spacing w:line="360" w:lineRule="auto"/>
        <w:ind w:firstLine="480" w:firstLineChars="200"/>
        <w:rPr>
          <w:rFonts w:hint="eastAsia" w:ascii="仿宋" w:hAnsi="仿宋" w:eastAsia="仿宋" w:cs="仿宋"/>
          <w:color w:val="auto"/>
          <w:sz w:val="24"/>
          <w:highlight w:val="none"/>
        </w:rPr>
      </w:pPr>
      <w:bookmarkStart w:id="34" w:name="_Toc35393796"/>
      <w:bookmarkStart w:id="35" w:name="_Toc35393627"/>
      <w:bookmarkStart w:id="36" w:name="_Toc28359008"/>
      <w:bookmarkStart w:id="37" w:name="_Toc28359085"/>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需要落实的政府采购政策：包括节约资源、保护环境、支持创新、促进中小企业发展等。详见招标文件的第二部分总则。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3.电子招投标的说明：</w:t>
      </w:r>
      <w:r>
        <w:rPr>
          <w:rFonts w:hint="eastAsia" w:ascii="仿宋" w:hAnsi="仿宋" w:eastAsia="仿宋" w:cs="仿宋"/>
          <w:color w:val="auto"/>
          <w:sz w:val="24"/>
          <w:highlight w:val="none"/>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w:t>
      </w:r>
      <w:r>
        <w:rPr>
          <w:rFonts w:hint="eastAsia" w:ascii="仿宋" w:hAnsi="仿宋" w:eastAsia="仿宋" w:cs="仿宋"/>
          <w:color w:val="auto"/>
          <w:sz w:val="24"/>
          <w:highlight w:val="none"/>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 w:hAnsi="仿宋" w:eastAsia="仿宋" w:cs="仿宋"/>
          <w:color w:val="auto"/>
          <w:sz w:val="24"/>
          <w:highlight w:val="none"/>
        </w:rPr>
        <w:t>8）投标文件的传输递交：投标人在投标截止时间前将加密的投标文件上传至政府采购云平台，还可以在投标截止时间前直接提交。备份投标文件的制作、存储、密封详见招标文件第二部分。</w:t>
      </w: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5"/>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七、对本次招标提出询问，请按</w:t>
      </w:r>
      <w:r>
        <w:rPr>
          <w:rFonts w:hint="eastAsia" w:ascii="仿宋" w:hAnsi="仿宋" w:eastAsia="仿宋" w:cs="仿宋"/>
          <w:color w:val="auto"/>
          <w:sz w:val="24"/>
          <w:szCs w:val="28"/>
          <w:highlight w:val="none"/>
        </w:rPr>
        <w:t>以下方式</w:t>
      </w:r>
      <w:r>
        <w:rPr>
          <w:rFonts w:hint="eastAsia" w:ascii="仿宋" w:hAnsi="仿宋" w:eastAsia="仿宋" w:cs="仿宋"/>
          <w:color w:val="auto"/>
          <w:sz w:val="24"/>
          <w:szCs w:val="28"/>
          <w:highlight w:val="none"/>
        </w:rPr>
        <w:t>联系。</w:t>
      </w:r>
      <w:bookmarkEnd w:id="34"/>
      <w:bookmarkEnd w:id="35"/>
      <w:bookmarkEnd w:id="36"/>
      <w:bookmarkEnd w:id="37"/>
    </w:p>
    <w:p>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rPr>
        <w:t>采购人信息</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名称：杭州市萧山区中医院</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杭州市萧山区育才路</w:t>
      </w:r>
      <w:r>
        <w:rPr>
          <w:rFonts w:hint="eastAsia" w:ascii="仿宋" w:hAnsi="仿宋" w:eastAsia="仿宋" w:cs="仿宋"/>
          <w:color w:val="auto"/>
          <w:sz w:val="24"/>
          <w:szCs w:val="28"/>
          <w:highlight w:val="none"/>
          <w:lang w:val="en-US" w:eastAsia="zh-CN"/>
        </w:rPr>
        <w:t>156号</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0571-</w:t>
      </w:r>
      <w:r>
        <w:rPr>
          <w:rFonts w:hint="eastAsia" w:ascii="仿宋" w:hAnsi="仿宋" w:eastAsia="仿宋" w:cs="仿宋"/>
          <w:color w:val="auto"/>
          <w:sz w:val="24"/>
          <w:szCs w:val="28"/>
          <w:highlight w:val="none"/>
          <w:lang w:val="en-US" w:eastAsia="zh-CN"/>
        </w:rPr>
        <w:t>82722701</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w:t>
      </w:r>
      <w:r>
        <w:rPr>
          <w:rFonts w:hint="eastAsia" w:ascii="仿宋" w:hAnsi="仿宋" w:eastAsia="仿宋" w:cs="仿宋"/>
          <w:color w:val="auto"/>
          <w:sz w:val="24"/>
          <w:szCs w:val="28"/>
          <w:highlight w:val="none"/>
        </w:rPr>
        <w:t>（询问）：陶清</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w:t>
      </w:r>
      <w:r>
        <w:rPr>
          <w:rFonts w:hint="eastAsia" w:ascii="仿宋" w:hAnsi="仿宋" w:eastAsia="仿宋" w:cs="仿宋"/>
          <w:color w:val="auto"/>
          <w:sz w:val="24"/>
          <w:szCs w:val="28"/>
          <w:highlight w:val="none"/>
        </w:rPr>
        <w:t>（询问）：</w:t>
      </w:r>
      <w:r>
        <w:rPr>
          <w:rFonts w:hint="eastAsia" w:ascii="仿宋" w:hAnsi="仿宋" w:eastAsia="仿宋" w:cs="仿宋"/>
          <w:color w:val="auto"/>
          <w:sz w:val="24"/>
          <w:szCs w:val="28"/>
          <w:highlight w:val="none"/>
          <w:lang w:val="en-US" w:eastAsia="zh-CN"/>
        </w:rPr>
        <w:t>15372091821</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971885218@qq.com</w:t>
      </w:r>
      <w:r>
        <w:rPr>
          <w:rFonts w:hint="eastAsia" w:ascii="仿宋" w:hAnsi="仿宋" w:eastAsia="仿宋" w:cs="仿宋"/>
          <w:color w:val="auto"/>
          <w:sz w:val="24"/>
          <w:szCs w:val="28"/>
          <w:highlight w:val="none"/>
        </w:rPr>
        <w:t>（邮箱）</w:t>
      </w:r>
    </w:p>
    <w:p>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rPr>
        <w:t>徐亦生</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color w:val="auto"/>
          <w:sz w:val="24"/>
          <w:szCs w:val="28"/>
          <w:highlight w:val="none"/>
        </w:rPr>
        <w:t>：</w:t>
      </w:r>
      <w:bookmarkStart w:id="38" w:name="_Toc28359009"/>
      <w:bookmarkStart w:id="39" w:name="_Toc28359086"/>
      <w:r>
        <w:rPr>
          <w:rFonts w:hint="eastAsia" w:ascii="仿宋" w:hAnsi="仿宋" w:eastAsia="仿宋" w:cs="仿宋"/>
          <w:color w:val="auto"/>
          <w:sz w:val="24"/>
          <w:szCs w:val="28"/>
          <w:highlight w:val="none"/>
        </w:rPr>
        <w:t>15372091869</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648015054@qq.com</w:t>
      </w:r>
    </w:p>
    <w:bookmarkEnd w:id="38"/>
    <w:bookmarkEnd w:id="39"/>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名称：浙江华夏工程管理有限公司</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地址：杭州市萧山区金城路540号心意广场3幢</w:t>
      </w:r>
      <w:r>
        <w:rPr>
          <w:rFonts w:hint="eastAsia" w:ascii="仿宋" w:hAnsi="仿宋" w:eastAsia="仿宋" w:cs="仿宋"/>
          <w:color w:val="auto"/>
          <w:sz w:val="24"/>
          <w:szCs w:val="28"/>
          <w:highlight w:val="none"/>
          <w:lang w:val="en-US" w:eastAsia="zh-CN"/>
        </w:rPr>
        <w:t>1802</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w:t>
      </w:r>
      <w:r>
        <w:rPr>
          <w:rFonts w:hint="eastAsia" w:ascii="仿宋" w:hAnsi="仿宋" w:eastAsia="仿宋" w:cs="仿宋"/>
          <w:color w:val="auto"/>
          <w:sz w:val="24"/>
          <w:szCs w:val="28"/>
          <w:highlight w:val="none"/>
        </w:rPr>
        <w:t>真：0571-83736670</w:t>
      </w:r>
    </w:p>
    <w:p>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张荣</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项目联系方式（询问）：0571-57572683</w:t>
      </w:r>
      <w:r>
        <w:rPr>
          <w:rFonts w:hint="eastAsia" w:ascii="仿宋" w:hAnsi="仿宋" w:eastAsia="仿宋" w:cs="仿宋"/>
          <w:color w:val="auto"/>
          <w:sz w:val="24"/>
          <w:szCs w:val="28"/>
          <w:highlight w:val="none"/>
          <w:lang w:val="en-US" w:eastAsia="zh-CN"/>
        </w:rPr>
        <w:t xml:space="preserve">  15267040072</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质疑联系人：尚赛</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 xml:space="preserve">质疑联系方式：0571-57572683 </w:t>
      </w:r>
      <w:r>
        <w:rPr>
          <w:rFonts w:hint="eastAsia" w:ascii="仿宋" w:hAnsi="仿宋" w:eastAsia="仿宋" w:cs="仿宋"/>
          <w:color w:val="auto"/>
          <w:sz w:val="24"/>
          <w:szCs w:val="28"/>
          <w:highlight w:val="none"/>
          <w:lang w:val="en-US" w:eastAsia="zh-CN"/>
        </w:rPr>
        <w:t xml:space="preserve"> 1065599210@qq.com</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地址：萧山区人民路318号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传真：0571-82752687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联系人：陈先生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监督投诉电话：0571-82752687         </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rPr>
        <w:t> </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rPr>
        <w:t> </w:t>
      </w:r>
    </w:p>
    <w:p>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57"/>
        <w:jc w:val="both"/>
        <w:rPr>
          <w:rFonts w:hint="eastAsia" w:ascii="仿宋" w:hAnsi="仿宋" w:eastAsia="仿宋" w:cs="仿宋"/>
          <w:color w:val="auto"/>
          <w:highlight w:val="none"/>
          <w:lang w:val="en-US"/>
        </w:rPr>
      </w:pPr>
    </w:p>
    <w:p>
      <w:pPr>
        <w:pStyle w:val="4"/>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第二部分</w:t>
      </w:r>
      <w:bookmarkEnd w:id="8"/>
      <w:r>
        <w:rPr>
          <w:rFonts w:hint="eastAsia" w:ascii="仿宋" w:hAnsi="仿宋" w:eastAsia="仿宋" w:cs="仿宋"/>
          <w:color w:val="auto"/>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有关本项目开展所需的</w:t>
            </w:r>
            <w:r>
              <w:rPr>
                <w:rFonts w:hint="eastAsia" w:ascii="仿宋" w:hAnsi="仿宋" w:eastAsia="仿宋" w:cs="仿宋"/>
                <w:color w:val="auto"/>
                <w:sz w:val="24"/>
                <w:highlight w:val="none"/>
              </w:rPr>
              <w:t>所有</w:t>
            </w:r>
            <w:r>
              <w:rPr>
                <w:rFonts w:hint="eastAsia" w:ascii="仿宋" w:hAnsi="仿宋" w:eastAsia="仿宋" w:cs="仿宋"/>
                <w:color w:val="auto"/>
                <w:kern w:val="0"/>
                <w:sz w:val="24"/>
                <w:highlight w:val="none"/>
                <w:lang w:val="zh-CN"/>
              </w:rPr>
              <w:t>费用均计入报价。</w:t>
            </w:r>
            <w:r>
              <w:rPr>
                <w:rFonts w:hint="eastAsia" w:ascii="仿宋" w:hAnsi="仿宋" w:eastAsia="仿宋" w:cs="仿宋"/>
                <w:color w:val="auto"/>
                <w:sz w:val="24"/>
                <w:highlight w:val="none"/>
              </w:rPr>
              <w:t>《投标（开标）一览表》是报价的唯一载体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投标报价高于本项目采购预算或者最高限价的;</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highlight w:val="none"/>
              </w:rPr>
              <w:t>;</w:t>
            </w:r>
          </w:p>
          <w:p>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highlight w:val="none"/>
              </w:rPr>
              <w:t>▲《投标（开标）一览表》填写不完整或字迹不能辨认或有漏项的；</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▲资格文件、商务技术文件与报价文件未分开制作</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w:t>
            </w:r>
            <w:r>
              <w:rPr>
                <w:rFonts w:hint="eastAsia" w:ascii="仿宋" w:hAnsi="仿宋" w:eastAsia="仿宋" w:cs="仿宋"/>
                <w:color w:val="auto"/>
                <w:kern w:val="0"/>
                <w:sz w:val="24"/>
                <w:highlight w:val="none"/>
              </w:rPr>
              <w:t>见招标文件第二部分</w:t>
            </w:r>
            <w:r>
              <w:rPr>
                <w:rFonts w:hint="eastAsia" w:ascii="仿宋" w:hAnsi="仿宋" w:eastAsia="仿宋" w:cs="仿宋"/>
                <w:color w:val="auto"/>
                <w:kern w:val="0"/>
                <w:sz w:val="24"/>
                <w:highlight w:val="none"/>
              </w:rPr>
              <w:t>11.1。</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资信证明文件：</w:t>
            </w:r>
            <w:r>
              <w:rPr>
                <w:rFonts w:hint="eastAsia" w:ascii="仿宋" w:hAnsi="仿宋" w:eastAsia="仿宋" w:cs="仿宋"/>
                <w:color w:val="auto"/>
                <w:sz w:val="24"/>
                <w:highlight w:val="none"/>
              </w:rPr>
              <w:t>根据招标文件第四部分评标标准提供。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2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p>
            <w:pPr>
              <w:snapToGrid w:val="0"/>
              <w:spacing w:line="360" w:lineRule="auto"/>
              <w:jc w:val="center"/>
              <w:rPr>
                <w:rFonts w:hint="eastAsia" w:ascii="仿宋" w:hAnsi="仿宋" w:eastAsia="仿宋" w:cs="仿宋"/>
                <w:color w:val="auto"/>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w:t>
            </w:r>
            <w:r>
              <w:rPr>
                <w:rFonts w:hint="eastAsia" w:ascii="仿宋" w:hAnsi="仿宋" w:eastAsia="仿宋" w:cs="仿宋"/>
                <w:color w:val="auto"/>
                <w:sz w:val="24"/>
                <w:highlight w:val="none"/>
              </w:rPr>
              <w:t>电子投标。</w:t>
            </w:r>
          </w:p>
          <w:p>
            <w:pPr>
              <w:pStyle w:val="32"/>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供应商应准备电子投标文件参与投标：</w:t>
            </w:r>
          </w:p>
          <w:p>
            <w:pPr>
              <w:pStyle w:val="32"/>
              <w:numPr>
                <w:ilvl w:val="0"/>
                <w:numId w:val="8"/>
              </w:numPr>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电子投标文件，按政采云平台</w:t>
            </w:r>
            <w:r>
              <w:rPr>
                <w:rFonts w:hint="eastAsia" w:ascii="仿宋" w:hAnsi="仿宋" w:eastAsia="仿宋" w:cs="仿宋"/>
                <w:color w:val="auto"/>
                <w:sz w:val="24"/>
                <w:highlight w:val="none"/>
              </w:rPr>
              <w:t>项目采购-电子招投标操作指南</w:t>
            </w:r>
            <w:r>
              <w:rPr>
                <w:rFonts w:hint="eastAsia" w:ascii="仿宋" w:hAnsi="仿宋" w:eastAsia="仿宋" w:cs="仿宋"/>
                <w:color w:val="auto"/>
                <w:sz w:val="24"/>
                <w:highlight w:val="none"/>
              </w:rPr>
              <w:t>及本招标文件要求递交</w:t>
            </w:r>
            <w:r>
              <w:rPr>
                <w:rFonts w:hint="eastAsia" w:ascii="仿宋" w:hAnsi="仿宋" w:eastAsia="仿宋" w:cs="仿宋"/>
                <w:color w:val="auto"/>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▲未传输递交电子投标文件的，投标无效。</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▲未在系统解密时间内完成解密的，视为投标人自行放弃投标，投标无效。</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rPr>
              <w:t>保证金</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投标保证金：不收取。</w:t>
            </w:r>
          </w:p>
          <w:p>
            <w:pPr>
              <w:pStyle w:val="17"/>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履约保证金：收取</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pStyle w:val="17"/>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供应商应当以支票、汇票、本票或者金融机构、担保机构出具的保函等非现金形式提交。</w:t>
            </w:r>
          </w:p>
          <w:p>
            <w:pPr>
              <w:pStyle w:val="17"/>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w:t>
            </w:r>
            <w:r>
              <w:rPr>
                <w:rFonts w:hint="eastAsia" w:ascii="仿宋" w:hAnsi="仿宋" w:eastAsia="仿宋" w:cs="仿宋"/>
                <w:b/>
                <w:color w:val="auto"/>
                <w:sz w:val="24"/>
                <w:highlight w:val="none"/>
              </w:rPr>
              <w:t>审查</w:t>
            </w:r>
            <w:r>
              <w:rPr>
                <w:rFonts w:hint="eastAsia" w:ascii="仿宋" w:hAnsi="仿宋" w:eastAsia="仿宋" w:cs="仿宋"/>
                <w:b/>
                <w:color w:val="auto"/>
                <w:sz w:val="24"/>
                <w:highlight w:val="none"/>
              </w:rPr>
              <w:t>及</w:t>
            </w:r>
            <w:r>
              <w:rPr>
                <w:rFonts w:hint="eastAsia" w:ascii="仿宋" w:hAnsi="仿宋" w:eastAsia="仿宋" w:cs="仿宋"/>
                <w:b/>
                <w:color w:val="auto"/>
                <w:sz w:val="24"/>
                <w:highlight w:val="none"/>
              </w:rPr>
              <w:t>信用信息</w:t>
            </w:r>
            <w:r>
              <w:rPr>
                <w:rFonts w:hint="eastAsia" w:ascii="仿宋" w:hAnsi="仿宋" w:eastAsia="仿宋" w:cs="仿宋"/>
                <w:b/>
                <w:color w:val="auto"/>
                <w:sz w:val="24"/>
                <w:highlight w:val="none"/>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rPr>
              <w:t>资格文件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rPr>
              <w:t>信用信息</w:t>
            </w:r>
            <w:r>
              <w:rPr>
                <w:rFonts w:hint="eastAsia" w:ascii="仿宋" w:hAnsi="仿宋" w:eastAsia="仿宋" w:cs="仿宋"/>
                <w:color w:val="auto"/>
                <w:sz w:val="24"/>
                <w:highlight w:val="none"/>
              </w:rPr>
              <w:t>查询</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8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采购标的：杭州市萧山区中医院一般检验外送检测采购项目</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，所属行业：</w:t>
            </w:r>
            <w:r>
              <w:rPr>
                <w:rFonts w:hint="eastAsia" w:ascii="仿宋" w:hAnsi="仿宋" w:eastAsia="仿宋" w:cs="仿宋"/>
                <w:color w:val="auto"/>
                <w:kern w:val="0"/>
                <w:sz w:val="24"/>
                <w:highlight w:val="none"/>
                <w:lang w:val="en-US" w:eastAsia="zh-CN"/>
              </w:rPr>
              <w:t>其他未列明行业。</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434" w:firstLineChars="18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sz w:val="24"/>
                <w:highlight w:val="none"/>
                <w:u w:val="single"/>
              </w:rPr>
              <w:t>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w:t>
            </w:r>
            <w:r>
              <w:rPr>
                <w:rFonts w:hint="eastAsia" w:ascii="仿宋" w:hAnsi="仿宋" w:eastAsia="仿宋" w:cs="仿宋"/>
                <w:b/>
                <w:color w:val="auto"/>
                <w:sz w:val="24"/>
                <w:highlight w:val="none"/>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rPr>
              <w:t>人质疑接收人：</w:t>
            </w:r>
            <w:r>
              <w:rPr>
                <w:rFonts w:hint="eastAsia" w:ascii="仿宋" w:hAnsi="仿宋" w:eastAsia="仿宋" w:cs="仿宋"/>
                <w:color w:val="auto"/>
                <w:sz w:val="24"/>
                <w:highlight w:val="none"/>
                <w:u w:val="single"/>
              </w:rPr>
              <w:t xml:space="preserve"> 徐亦生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15372091869</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地址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杭州市萧山区育才路</w:t>
            </w:r>
            <w:r>
              <w:rPr>
                <w:rFonts w:hint="eastAsia" w:ascii="仿宋" w:hAnsi="仿宋" w:eastAsia="仿宋" w:cs="仿宋"/>
                <w:color w:val="auto"/>
                <w:sz w:val="24"/>
                <w:highlight w:val="none"/>
                <w:u w:val="single"/>
                <w:lang w:val="en-US" w:eastAsia="zh-CN"/>
              </w:rPr>
              <w:t>156号</w:t>
            </w:r>
            <w:r>
              <w:rPr>
                <w:rFonts w:hint="eastAsia" w:ascii="仿宋" w:hAnsi="仿宋" w:eastAsia="仿宋" w:cs="仿宋"/>
                <w:color w:val="auto"/>
                <w:sz w:val="24"/>
                <w:highlight w:val="none"/>
                <w:u w:val="single"/>
              </w:rPr>
              <w:t xml:space="preserve">  邮箱：648015054@qq.com</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采购机构质疑接收人：</w:t>
            </w:r>
            <w:r>
              <w:rPr>
                <w:rFonts w:hint="eastAsia" w:ascii="仿宋" w:hAnsi="仿宋" w:eastAsia="仿宋" w:cs="仿宋"/>
                <w:b w:val="0"/>
                <w:bCs/>
                <w:color w:val="auto"/>
                <w:sz w:val="24"/>
                <w:highlight w:val="none"/>
                <w:u w:val="single"/>
                <w:lang w:eastAsia="zh-CN"/>
              </w:rPr>
              <w:t>尚赛</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联系方式：</w:t>
            </w:r>
            <w:r>
              <w:rPr>
                <w:rFonts w:hint="eastAsia" w:ascii="仿宋" w:hAnsi="仿宋" w:eastAsia="仿宋" w:cs="仿宋"/>
                <w:b w:val="0"/>
                <w:bCs/>
                <w:color w:val="auto"/>
                <w:sz w:val="24"/>
                <w:highlight w:val="none"/>
                <w:u w:val="single"/>
              </w:rPr>
              <w:t xml:space="preserve"> 0571-57572683</w:t>
            </w:r>
            <w:r>
              <w:rPr>
                <w:rFonts w:hint="eastAsia" w:ascii="仿宋" w:hAnsi="仿宋" w:eastAsia="仿宋" w:cs="仿宋"/>
                <w:b w:val="0"/>
                <w:bCs/>
                <w:color w:val="auto"/>
                <w:sz w:val="24"/>
                <w:highlight w:val="none"/>
              </w:rPr>
              <w:t xml:space="preserve"> </w:t>
            </w:r>
          </w:p>
          <w:p>
            <w:pPr>
              <w:snapToGrid w:val="0"/>
              <w:spacing w:line="360" w:lineRule="auto"/>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u w:val="single"/>
              </w:rPr>
              <w:t>地址：杭州市萧山区金城路540号心意广场3幢</w:t>
            </w:r>
            <w:r>
              <w:rPr>
                <w:rFonts w:hint="eastAsia" w:ascii="仿宋" w:hAnsi="仿宋" w:eastAsia="仿宋" w:cs="仿宋"/>
                <w:b w:val="0"/>
                <w:bCs/>
                <w:color w:val="auto"/>
                <w:sz w:val="24"/>
                <w:highlight w:val="none"/>
                <w:u w:val="single"/>
                <w:lang w:val="en-US" w:eastAsia="zh-CN"/>
              </w:rPr>
              <w:t>1802</w:t>
            </w:r>
          </w:p>
          <w:p>
            <w:pPr>
              <w:snapToGrid w:val="0"/>
              <w:spacing w:line="360" w:lineRule="auto"/>
              <w:rPr>
                <w:rFonts w:hint="eastAsia"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u w:val="single"/>
              </w:rPr>
              <w:t>邮箱：</w:t>
            </w:r>
            <w:r>
              <w:rPr>
                <w:rFonts w:hint="eastAsia" w:ascii="仿宋" w:hAnsi="仿宋" w:eastAsia="仿宋" w:cs="仿宋"/>
                <w:b w:val="0"/>
                <w:bCs/>
                <w:color w:val="auto"/>
                <w:sz w:val="24"/>
                <w:highlight w:val="none"/>
                <w:u w:val="single"/>
                <w:lang w:val="en-US" w:eastAsia="zh-CN"/>
              </w:rPr>
              <w:t>1065599210</w:t>
            </w:r>
            <w:r>
              <w:rPr>
                <w:rFonts w:hint="eastAsia" w:ascii="仿宋" w:hAnsi="仿宋" w:eastAsia="仿宋" w:cs="仿宋"/>
                <w:b w:val="0"/>
                <w:bCs/>
                <w:color w:val="auto"/>
                <w:sz w:val="24"/>
                <w:highlight w:val="none"/>
                <w:u w:val="single"/>
              </w:rPr>
              <w:t xml:space="preserve">@qq.com </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w:t>
            </w:r>
            <w:r>
              <w:rPr>
                <w:rFonts w:hint="eastAsia" w:ascii="仿宋" w:hAnsi="仿宋" w:eastAsia="仿宋" w:cs="仿宋"/>
                <w:b/>
                <w:color w:val="auto"/>
                <w:sz w:val="24"/>
                <w:highlight w:val="none"/>
              </w:rPr>
              <w:t>邮箱方式发送质疑，须提交符合法规</w:t>
            </w:r>
            <w:r>
              <w:rPr>
                <w:rFonts w:hint="eastAsia" w:ascii="仿宋" w:hAnsi="仿宋" w:eastAsia="仿宋" w:cs="仿宋"/>
                <w:b/>
                <w:color w:val="auto"/>
                <w:sz w:val="24"/>
                <w:highlight w:val="none"/>
              </w:rPr>
              <w:t>及</w:t>
            </w:r>
            <w:r>
              <w:rPr>
                <w:rFonts w:hint="eastAsia" w:ascii="仿宋" w:hAnsi="仿宋" w:eastAsia="仿宋" w:cs="仿宋"/>
                <w:b/>
                <w:color w:val="auto"/>
                <w:sz w:val="24"/>
                <w:highlight w:val="none"/>
              </w:rPr>
              <w:t>招标文件要求的质疑文件（</w:t>
            </w:r>
            <w:r>
              <w:rPr>
                <w:rFonts w:hint="eastAsia" w:ascii="仿宋" w:hAnsi="仿宋" w:eastAsia="仿宋" w:cs="仿宋"/>
                <w:b/>
                <w:color w:val="auto"/>
                <w:sz w:val="24"/>
                <w:highlight w:val="none"/>
              </w:rPr>
              <w:t>参考附件2）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盖章扫描</w:t>
            </w:r>
            <w:r>
              <w:rPr>
                <w:rFonts w:hint="eastAsia" w:ascii="仿宋" w:hAnsi="仿宋" w:eastAsia="仿宋" w:cs="仿宋"/>
                <w:b/>
                <w:color w:val="auto"/>
                <w:sz w:val="24"/>
                <w:highlight w:val="none"/>
              </w:rPr>
              <w:t>后</w:t>
            </w:r>
            <w:r>
              <w:rPr>
                <w:rFonts w:hint="eastAsia" w:ascii="仿宋" w:hAnsi="仿宋" w:eastAsia="仿宋" w:cs="仿宋"/>
                <w:b/>
                <w:color w:val="auto"/>
                <w:sz w:val="24"/>
                <w:highlight w:val="none"/>
              </w:rPr>
              <w:t>发送</w:t>
            </w:r>
            <w:r>
              <w:rPr>
                <w:rFonts w:hint="eastAsia" w:ascii="仿宋" w:hAnsi="仿宋" w:eastAsia="仿宋" w:cs="仿宋"/>
                <w:b/>
                <w:color w:val="auto"/>
                <w:sz w:val="24"/>
                <w:highlight w:val="none"/>
              </w:rPr>
              <w:t>，质疑的</w:t>
            </w:r>
            <w:r>
              <w:rPr>
                <w:rFonts w:hint="eastAsia" w:ascii="仿宋" w:hAnsi="仿宋" w:eastAsia="仿宋" w:cs="仿宋"/>
                <w:b/>
                <w:color w:val="auto"/>
                <w:sz w:val="24"/>
                <w:highlight w:val="none"/>
              </w:rPr>
              <w:t>受理按答</w:t>
            </w:r>
            <w:r>
              <w:rPr>
                <w:rFonts w:hint="eastAsia" w:ascii="仿宋" w:hAnsi="仿宋" w:eastAsia="仿宋" w:cs="仿宋"/>
                <w:b/>
                <w:color w:val="auto"/>
                <w:sz w:val="24"/>
                <w:highlight w:val="none"/>
              </w:rPr>
              <w:t>复</w:t>
            </w:r>
            <w:r>
              <w:rPr>
                <w:rFonts w:hint="eastAsia" w:ascii="仿宋" w:hAnsi="仿宋" w:eastAsia="仿宋" w:cs="仿宋"/>
                <w:b/>
                <w:color w:val="auto"/>
                <w:sz w:val="24"/>
                <w:highlight w:val="none"/>
              </w:rPr>
              <w:t>主体</w:t>
            </w:r>
            <w:r>
              <w:rPr>
                <w:rFonts w:hint="eastAsia" w:ascii="仿宋" w:hAnsi="仿宋" w:eastAsia="仿宋" w:cs="仿宋"/>
                <w:b/>
                <w:color w:val="auto"/>
                <w:sz w:val="24"/>
                <w:highlight w:val="none"/>
              </w:rPr>
              <w:t>划分以</w:t>
            </w:r>
            <w:r>
              <w:rPr>
                <w:rFonts w:hint="eastAsia" w:ascii="仿宋" w:hAnsi="仿宋" w:eastAsia="仿宋" w:cs="仿宋"/>
                <w:b/>
                <w:color w:val="auto"/>
                <w:sz w:val="24"/>
                <w:highlight w:val="none"/>
              </w:rPr>
              <w:t>采购人</w:t>
            </w:r>
            <w:r>
              <w:rPr>
                <w:rFonts w:hint="eastAsia" w:ascii="仿宋" w:hAnsi="仿宋" w:eastAsia="仿宋" w:cs="仿宋"/>
                <w:b/>
                <w:color w:val="auto"/>
                <w:sz w:val="24"/>
                <w:highlight w:val="none"/>
              </w:rPr>
              <w:t>或采购机构</w:t>
            </w:r>
            <w:r>
              <w:rPr>
                <w:rFonts w:hint="eastAsia" w:ascii="仿宋" w:hAnsi="仿宋" w:eastAsia="仿宋" w:cs="仿宋"/>
                <w:b/>
                <w:color w:val="auto"/>
                <w:sz w:val="24"/>
                <w:highlight w:val="none"/>
              </w:rPr>
              <w:t>邮箱回复确认受理</w:t>
            </w:r>
            <w:r>
              <w:rPr>
                <w:rFonts w:hint="eastAsia" w:ascii="仿宋" w:hAnsi="仿宋" w:eastAsia="仿宋" w:cs="仿宋"/>
                <w:b/>
                <w:color w:val="auto"/>
                <w:sz w:val="24"/>
                <w:highlight w:val="none"/>
              </w:rPr>
              <w:t>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w:t>
            </w:r>
            <w:r>
              <w:rPr>
                <w:rFonts w:hint="eastAsia" w:ascii="仿宋" w:hAnsi="仿宋" w:eastAsia="仿宋" w:cs="仿宋"/>
                <w:color w:val="auto"/>
                <w:sz w:val="24"/>
                <w:highlight w:val="none"/>
              </w:rPr>
              <w:t>资格条件、采购需求、评分办法及采购过程中有关现场考察或开标前答疑会事项由</w:t>
            </w:r>
            <w:r>
              <w:rPr>
                <w:rFonts w:hint="eastAsia" w:ascii="仿宋" w:hAnsi="仿宋" w:eastAsia="仿宋" w:cs="仿宋"/>
                <w:color w:val="auto"/>
                <w:sz w:val="24"/>
                <w:highlight w:val="none"/>
              </w:rPr>
              <w:t>采购人进行答复。</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涉及</w:t>
            </w:r>
            <w:r>
              <w:rPr>
                <w:rFonts w:hint="eastAsia" w:ascii="仿宋" w:hAnsi="仿宋" w:eastAsia="仿宋" w:cs="仿宋"/>
                <w:color w:val="auto"/>
                <w:sz w:val="24"/>
                <w:highlight w:val="none"/>
              </w:rPr>
              <w:t>流程组织等</w:t>
            </w:r>
            <w:r>
              <w:rPr>
                <w:rFonts w:hint="eastAsia" w:ascii="仿宋" w:hAnsi="仿宋" w:eastAsia="仿宋" w:cs="仿宋"/>
                <w:color w:val="auto"/>
                <w:sz w:val="24"/>
                <w:highlight w:val="none"/>
              </w:rPr>
              <w:t>相关</w:t>
            </w:r>
            <w:r>
              <w:rPr>
                <w:rFonts w:hint="eastAsia" w:ascii="仿宋" w:hAnsi="仿宋" w:eastAsia="仿宋" w:cs="仿宋"/>
                <w:color w:val="auto"/>
                <w:sz w:val="24"/>
                <w:highlight w:val="none"/>
              </w:rPr>
              <w:t>事项，由</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9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rPr>
              <w:t>服务类</w:t>
            </w:r>
            <w:r>
              <w:rPr>
                <w:rFonts w:hint="eastAsia" w:ascii="仿宋" w:hAnsi="仿宋" w:eastAsia="仿宋" w:cs="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标项一</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（1）环境标志产品：</w:t>
            </w:r>
            <w:r>
              <w:rPr>
                <w:rFonts w:hint="eastAsia" w:ascii="仿宋" w:hAnsi="仿宋" w:eastAsia="仿宋" w:cs="仿宋"/>
                <w:b w:val="0"/>
                <w:bCs/>
                <w:color w:val="auto"/>
                <w:kern w:val="0"/>
                <w:sz w:val="24"/>
                <w:highlight w:val="non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kern w:val="0"/>
                <w:sz w:val="24"/>
                <w:highlight w:val="none"/>
              </w:rPr>
              <w:t xml:space="preserve">）无；（ </w:t>
            </w:r>
            <w:r>
              <w:rPr>
                <w:rFonts w:hint="eastAsia" w:ascii="仿宋" w:hAnsi="仿宋" w:eastAsia="仿宋" w:cs="仿宋"/>
                <w:b w:val="0"/>
                <w:bCs/>
                <w:color w:val="auto"/>
                <w:kern w:val="0"/>
                <w:sz w:val="24"/>
                <w:highlight w:val="none"/>
              </w:rPr>
              <w:t xml:space="preserve"> </w:t>
            </w:r>
            <w:r>
              <w:rPr>
                <w:rFonts w:hint="eastAsia" w:ascii="仿宋" w:hAnsi="仿宋" w:eastAsia="仿宋" w:cs="仿宋"/>
                <w:b w:val="0"/>
                <w:bCs/>
                <w:color w:val="auto"/>
                <w:kern w:val="0"/>
                <w:sz w:val="24"/>
                <w:highlight w:val="none"/>
              </w:rPr>
              <w:t>）有</w:t>
            </w:r>
            <w:r>
              <w:rPr>
                <w:rFonts w:hint="eastAsia" w:ascii="仿宋" w:hAnsi="仿宋" w:eastAsia="仿宋" w:cs="仿宋"/>
                <w:b w:val="0"/>
                <w:bCs/>
                <w:color w:val="auto"/>
                <w:kern w:val="0"/>
                <w:sz w:val="24"/>
                <w:highlight w:val="none"/>
                <w:lang w:val="en-US" w:eastAsia="zh-CN"/>
              </w:rPr>
              <w:t>,</w:t>
            </w:r>
            <w:r>
              <w:rPr>
                <w:rFonts w:hint="eastAsia" w:ascii="仿宋" w:hAnsi="仿宋" w:eastAsia="仿宋" w:cs="仿宋"/>
                <w:color w:val="auto"/>
                <w:sz w:val="24"/>
                <w:highlight w:val="none"/>
              </w:rPr>
              <w:t>拟采购的</w:t>
            </w: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属于环境标志产品政府采购品目清单，实施优先采购。</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（2）节能产品：</w:t>
            </w:r>
            <w:r>
              <w:rPr>
                <w:rFonts w:hint="eastAsia" w:ascii="仿宋" w:hAnsi="仿宋" w:eastAsia="仿宋" w:cs="仿宋"/>
                <w:b w:val="0"/>
                <w:bCs w:val="0"/>
                <w:color w:val="auto"/>
                <w:kern w:val="0"/>
                <w:sz w:val="24"/>
                <w:highlight w:val="none"/>
              </w:rPr>
              <w:t>优先采购</w:t>
            </w: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0"/>
                <w:sz w:val="24"/>
                <w:highlight w:val="none"/>
              </w:rPr>
              <w:t>无；</w:t>
            </w: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0"/>
                <w:sz w:val="24"/>
                <w:highlight w:val="none"/>
              </w:rPr>
              <w:t>有</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拟采购的</w:t>
            </w: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属于节能产品政府采购品目清单，实施优先采购；</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b/>
                <w:bCs/>
                <w:color w:val="auto"/>
                <w:kern w:val="0"/>
                <w:sz w:val="24"/>
                <w:highlight w:val="none"/>
              </w:rPr>
              <w:t>强制采购：</w:t>
            </w:r>
            <w:r>
              <w:rPr>
                <w:rFonts w:hint="eastAsia" w:ascii="仿宋" w:hAnsi="仿宋" w:eastAsia="仿宋" w:cs="仿宋"/>
                <w:b w:val="0"/>
                <w:bCs/>
                <w:color w:val="auto"/>
                <w:sz w:val="24"/>
                <w:highlight w:val="non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无；</w:t>
            </w:r>
            <w:r>
              <w:rPr>
                <w:rFonts w:hint="eastAsia" w:ascii="仿宋" w:hAnsi="仿宋" w:eastAsia="仿宋" w:cs="仿宋"/>
                <w:b w:val="0"/>
                <w:bCs/>
                <w:color w:val="auto"/>
                <w:sz w:val="24"/>
                <w:highlight w:val="none"/>
              </w:rPr>
              <w:t xml:space="preserve">（ </w:t>
            </w:r>
            <w:r>
              <w:rPr>
                <w:rFonts w:hint="eastAsia" w:ascii="仿宋" w:hAnsi="仿宋" w:eastAsia="仿宋" w:cs="仿宋"/>
                <w:b w:val="0"/>
                <w:bCs/>
                <w:color w:val="auto"/>
                <w:sz w:val="24"/>
                <w:highlight w:val="non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有，</w:t>
            </w:r>
            <w:r>
              <w:rPr>
                <w:rFonts w:hint="eastAsia" w:ascii="仿宋" w:hAnsi="仿宋" w:eastAsia="仿宋" w:cs="仿宋"/>
                <w:color w:val="auto"/>
                <w:sz w:val="24"/>
                <w:highlight w:val="none"/>
                <w:u w:val="single"/>
              </w:rPr>
              <w:t>（产品名称）</w:t>
            </w:r>
            <w:r>
              <w:rPr>
                <w:rFonts w:hint="eastAsia" w:ascii="仿宋" w:hAnsi="仿宋" w:eastAsia="仿宋" w:cs="仿宋"/>
                <w:color w:val="auto"/>
                <w:sz w:val="24"/>
                <w:highlight w:val="none"/>
              </w:rPr>
              <w:t>节能产品政府采购品目清单，为政府强制采购产品，实施强制采购。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w:t>
            </w:r>
            <w:r>
              <w:rPr>
                <w:rFonts w:hint="eastAsia" w:ascii="仿宋" w:hAnsi="仿宋" w:eastAsia="仿宋" w:cs="仿宋"/>
                <w:b/>
                <w:color w:val="auto"/>
                <w:sz w:val="24"/>
                <w:highlight w:val="none"/>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rPr>
              <w:t>支持</w:t>
            </w:r>
            <w:r>
              <w:rPr>
                <w:rFonts w:hint="eastAsia" w:ascii="仿宋" w:hAnsi="仿宋" w:eastAsia="仿宋" w:cs="仿宋"/>
                <w:color w:val="auto"/>
                <w:sz w:val="24"/>
                <w:highlight w:val="none"/>
              </w:rPr>
              <w:t>《杭州市萧山区政府采购支持中小企业信用融资暂行办法》。</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w:t>
            </w:r>
            <w:r>
              <w:rPr>
                <w:rFonts w:hint="eastAsia" w:ascii="仿宋" w:hAnsi="仿宋" w:eastAsia="仿宋" w:cs="仿宋"/>
                <w:color w:val="auto"/>
                <w:sz w:val="24"/>
                <w:highlight w:val="none"/>
              </w:rPr>
              <w:t>融资需求的中标供应商可参照相关规定及银行方案</w:t>
            </w:r>
            <w:r>
              <w:rPr>
                <w:rFonts w:hint="eastAsia" w:ascii="仿宋" w:hAnsi="仿宋" w:eastAsia="仿宋" w:cs="仿宋"/>
                <w:color w:val="auto"/>
                <w:sz w:val="24"/>
                <w:highlight w:val="none"/>
              </w:rPr>
              <w:t>凭政府采购合同向相关合作银行提出信用融资（贷款）申请。详见</w:t>
            </w:r>
            <w:r>
              <w:rPr>
                <w:rFonts w:hint="eastAsia" w:ascii="仿宋" w:hAnsi="仿宋" w:eastAsia="仿宋" w:cs="仿宋"/>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杭州市萧山区财政局；</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地址：杭州市萧山区人民路318号；</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 0571- 82752687</w:t>
            </w:r>
          </w:p>
        </w:tc>
      </w:tr>
    </w:tbl>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rPr>
        <w:t>通用</w:t>
      </w:r>
      <w:r>
        <w:rPr>
          <w:rFonts w:hint="eastAsia" w:ascii="仿宋" w:hAnsi="仿宋" w:eastAsia="仿宋" w:cs="仿宋"/>
          <w:b/>
          <w:color w:val="auto"/>
          <w:sz w:val="24"/>
          <w:highlight w:val="none"/>
        </w:rPr>
        <w:t>总则</w:t>
      </w:r>
      <w:r>
        <w:rPr>
          <w:rFonts w:hint="eastAsia" w:ascii="仿宋" w:hAnsi="仿宋" w:eastAsia="仿宋" w:cs="仿宋"/>
          <w:b/>
          <w:color w:val="auto"/>
          <w:sz w:val="24"/>
          <w:highlight w:val="none"/>
        </w:rPr>
        <w:t>条款与前附表等专</w:t>
      </w:r>
      <w:r>
        <w:rPr>
          <w:rFonts w:hint="eastAsia" w:ascii="仿宋" w:hAnsi="仿宋" w:eastAsia="仿宋" w:cs="仿宋"/>
          <w:b/>
          <w:color w:val="auto"/>
          <w:sz w:val="24"/>
          <w:highlight w:val="none"/>
        </w:rPr>
        <w:t>用</w:t>
      </w:r>
      <w:r>
        <w:rPr>
          <w:rFonts w:hint="eastAsia" w:ascii="仿宋" w:hAnsi="仿宋" w:eastAsia="仿宋" w:cs="仿宋"/>
          <w:b/>
          <w:color w:val="auto"/>
          <w:sz w:val="24"/>
          <w:highlight w:val="none"/>
        </w:rPr>
        <w:t>特别规定有冲突之处，以专用条款（</w:t>
      </w:r>
      <w:r>
        <w:rPr>
          <w:rFonts w:hint="eastAsia" w:ascii="仿宋" w:hAnsi="仿宋" w:eastAsia="仿宋" w:cs="仿宋"/>
          <w:b/>
          <w:color w:val="auto"/>
          <w:sz w:val="24"/>
          <w:highlight w:val="none"/>
        </w:rPr>
        <w:t>特别规定</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为准</w:t>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40" w:name="_Toc164416483"/>
      <w:bookmarkStart w:id="41"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rPr>
        <w:t xml:space="preserve">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 </w:t>
      </w:r>
      <w:r>
        <w:rPr>
          <w:rFonts w:hint="eastAsia" w:ascii="仿宋" w:hAnsi="仿宋" w:eastAsia="仿宋" w:cs="仿宋"/>
          <w:color w:val="auto"/>
          <w:sz w:val="24"/>
          <w:highlight w:val="none"/>
        </w:rPr>
        <w:t>“采购人”系指招标公告中载明的本项目的采购人。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“负责人”系指法人企业的法定负责人，或其他组织为</w:t>
      </w:r>
      <w:r>
        <w:rPr>
          <w:rFonts w:hint="eastAsia" w:ascii="仿宋" w:hAnsi="仿宋" w:eastAsia="仿宋" w:cs="仿宋"/>
          <w:color w:val="auto"/>
          <w:sz w:val="24"/>
          <w:highlight w:val="none"/>
        </w:rPr>
        <w:t>法律、行政法规规定代表单位行使职权的主要负责人</w:t>
      </w:r>
      <w:r>
        <w:rPr>
          <w:rFonts w:hint="eastAsia" w:ascii="仿宋" w:hAnsi="仿宋" w:eastAsia="仿宋" w:cs="仿宋"/>
          <w:color w:val="auto"/>
          <w:sz w:val="24"/>
          <w:highlight w:val="none"/>
        </w:rPr>
        <w:t>，或自然人本人。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系指实质性要求条款，“★”系产品采购项目中单一产品或核心产品。</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节能环保要求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hint="eastAsia" w:ascii="仿宋" w:hAnsi="仿宋" w:eastAsia="仿宋" w:cs="仿宋"/>
          <w:b/>
          <w:color w:val="auto"/>
          <w:sz w:val="24"/>
          <w:highlight w:val="none"/>
        </w:rPr>
        <w:t>投产品</w:t>
      </w:r>
      <w:r>
        <w:rPr>
          <w:rFonts w:hint="eastAsia" w:ascii="仿宋" w:hAnsi="仿宋" w:eastAsia="仿宋" w:cs="仿宋"/>
          <w:b/>
          <w:color w:val="auto"/>
          <w:sz w:val="24"/>
          <w:highlight w:val="none"/>
        </w:rPr>
        <w:t>国家确定的认证机构出具的、处于有效期之内的节能产品、环境标志产品认证证书，否则投标无效。</w:t>
      </w:r>
      <w:r>
        <w:rPr>
          <w:rFonts w:hint="eastAsia" w:ascii="仿宋" w:hAnsi="仿宋" w:eastAsia="仿宋" w:cs="仿宋"/>
          <w:color w:val="auto"/>
          <w:sz w:val="24"/>
          <w:highlight w:val="none"/>
        </w:rPr>
        <w:t>（注：在最新一期节能产品品目</w:t>
      </w:r>
      <w:r>
        <w:rPr>
          <w:rFonts w:hint="eastAsia" w:ascii="仿宋" w:hAnsi="仿宋" w:eastAsia="仿宋" w:cs="仿宋"/>
          <w:color w:val="auto"/>
          <w:sz w:val="24"/>
          <w:highlight w:val="none"/>
        </w:rPr>
        <w:t>清单</w:t>
      </w:r>
      <w:r>
        <w:rPr>
          <w:rFonts w:hint="eastAsia" w:ascii="仿宋" w:hAnsi="仿宋" w:eastAsia="仿宋" w:cs="仿宋"/>
          <w:color w:val="auto"/>
          <w:sz w:val="24"/>
          <w:highlight w:val="none"/>
        </w:rPr>
        <w:t>发布之后开展的政府采购活动，执行最新一期节能清单。在此之前已经开展但尚未进入评审环节的政府采购活动，执行上期或最新</w:t>
      </w:r>
      <w:r>
        <w:rPr>
          <w:rFonts w:hint="eastAsia" w:ascii="仿宋" w:hAnsi="仿宋" w:eastAsia="仿宋" w:cs="仿宋"/>
          <w:color w:val="auto"/>
          <w:sz w:val="24"/>
          <w:highlight w:val="none"/>
        </w:rPr>
        <w:t>一期品目清单</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本项目如需采购节能品目清单中的政府强制采购的节能产品的，必须</w:t>
      </w:r>
      <w:r>
        <w:rPr>
          <w:rFonts w:hint="eastAsia" w:ascii="仿宋" w:hAnsi="仿宋" w:eastAsia="仿宋" w:cs="仿宋"/>
          <w:b/>
          <w:color w:val="auto"/>
          <w:sz w:val="24"/>
          <w:szCs w:val="21"/>
          <w:highlight w:val="none"/>
        </w:rPr>
        <w:t>以强制采购的品目清单内产品投标，</w:t>
      </w:r>
      <w:r>
        <w:rPr>
          <w:rFonts w:hint="eastAsia" w:ascii="仿宋" w:hAnsi="仿宋" w:eastAsia="仿宋" w:cs="仿宋"/>
          <w:b/>
          <w:color w:val="auto"/>
          <w:sz w:val="24"/>
          <w:szCs w:val="21"/>
          <w:highlight w:val="none"/>
        </w:rPr>
        <w:t>投标人未按</w:t>
      </w:r>
      <w:r>
        <w:rPr>
          <w:rFonts w:hint="eastAsia" w:ascii="仿宋" w:hAnsi="仿宋" w:eastAsia="仿宋" w:cs="仿宋"/>
          <w:b/>
          <w:color w:val="auto"/>
          <w:sz w:val="24"/>
          <w:szCs w:val="21"/>
          <w:highlight w:val="none"/>
        </w:rPr>
        <w:t>要求</w:t>
      </w:r>
      <w:r>
        <w:rPr>
          <w:rFonts w:hint="eastAsia" w:ascii="仿宋" w:hAnsi="仿宋" w:eastAsia="仿宋" w:cs="仿宋"/>
          <w:b/>
          <w:color w:val="auto"/>
          <w:sz w:val="24"/>
          <w:szCs w:val="21"/>
          <w:highlight w:val="none"/>
        </w:rPr>
        <w:t>提供品目</w:t>
      </w:r>
      <w:r>
        <w:rPr>
          <w:rFonts w:hint="eastAsia" w:ascii="仿宋" w:hAnsi="仿宋" w:eastAsia="仿宋" w:cs="仿宋"/>
          <w:b/>
          <w:color w:val="auto"/>
          <w:sz w:val="24"/>
          <w:szCs w:val="21"/>
          <w:highlight w:val="none"/>
        </w:rPr>
        <w:t>清单内的节能产品</w:t>
      </w:r>
      <w:r>
        <w:rPr>
          <w:rFonts w:hint="eastAsia" w:ascii="仿宋" w:hAnsi="仿宋" w:eastAsia="仿宋" w:cs="仿宋"/>
          <w:b/>
          <w:color w:val="auto"/>
          <w:sz w:val="24"/>
          <w:szCs w:val="21"/>
          <w:highlight w:val="none"/>
        </w:rPr>
        <w:t>或</w:t>
      </w:r>
      <w:r>
        <w:rPr>
          <w:rFonts w:hint="eastAsia" w:ascii="仿宋" w:hAnsi="仿宋" w:eastAsia="仿宋" w:cs="仿宋"/>
          <w:b/>
          <w:color w:val="auto"/>
          <w:sz w:val="24"/>
          <w:szCs w:val="21"/>
          <w:highlight w:val="none"/>
        </w:rPr>
        <w:t>相关证明</w:t>
      </w:r>
      <w:r>
        <w:rPr>
          <w:rFonts w:hint="eastAsia" w:ascii="仿宋" w:hAnsi="仿宋" w:eastAsia="仿宋" w:cs="仿宋"/>
          <w:b/>
          <w:color w:val="auto"/>
          <w:sz w:val="24"/>
          <w:szCs w:val="21"/>
          <w:highlight w:val="none"/>
        </w:rPr>
        <w:t>，投标无效。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3.2.2投标人提供产品如是环境标志产品，应当优先</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rPr>
        <w:t>关于印发环境标志产品政府采购品目清单的通知</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财库〔2019〕</w:t>
      </w: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号内</w:t>
      </w:r>
      <w:r>
        <w:rPr>
          <w:rFonts w:hint="eastAsia" w:ascii="仿宋" w:hAnsi="仿宋" w:eastAsia="仿宋" w:cs="仿宋"/>
          <w:color w:val="auto"/>
          <w:sz w:val="24"/>
          <w:highlight w:val="none"/>
        </w:rPr>
        <w:t>产品，</w:t>
      </w:r>
      <w:r>
        <w:rPr>
          <w:rFonts w:hint="eastAsia" w:ascii="仿宋" w:hAnsi="仿宋" w:eastAsia="仿宋" w:cs="仿宋"/>
          <w:color w:val="auto"/>
          <w:sz w:val="24"/>
          <w:highlight w:val="none"/>
        </w:rPr>
        <w:t>涉及项目</w:t>
      </w:r>
      <w:r>
        <w:rPr>
          <w:rFonts w:hint="eastAsia" w:ascii="仿宋" w:hAnsi="仿宋" w:eastAsia="仿宋" w:cs="仿宋"/>
          <w:color w:val="auto"/>
          <w:sz w:val="24"/>
          <w:highlight w:val="none"/>
        </w:rPr>
        <w:t>评分条款加分</w:t>
      </w:r>
      <w:r>
        <w:rPr>
          <w:rFonts w:hint="eastAsia" w:ascii="仿宋" w:hAnsi="仿宋" w:eastAsia="仿宋" w:cs="仿宋"/>
          <w:color w:val="auto"/>
          <w:sz w:val="24"/>
          <w:highlight w:val="none"/>
        </w:rPr>
        <w:t>项</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rPr>
        <w:t>应当</w:t>
      </w:r>
      <w:r>
        <w:rPr>
          <w:rFonts w:hint="eastAsia" w:ascii="仿宋" w:hAnsi="仿宋" w:eastAsia="仿宋" w:cs="仿宋"/>
          <w:color w:val="auto"/>
          <w:sz w:val="24"/>
          <w:highlight w:val="none"/>
        </w:rPr>
        <w:t>提</w:t>
      </w:r>
      <w:r>
        <w:rPr>
          <w:rFonts w:hint="eastAsia" w:ascii="仿宋" w:hAnsi="仿宋" w:eastAsia="仿宋" w:cs="仿宋"/>
          <w:color w:val="auto"/>
          <w:sz w:val="24"/>
          <w:highlight w:val="none"/>
        </w:rPr>
        <w:t>供财库〔2019〕1</w:t>
      </w:r>
      <w:r>
        <w:rPr>
          <w:rFonts w:hint="eastAsia" w:ascii="仿宋" w:hAnsi="仿宋" w:eastAsia="仿宋" w:cs="仿宋"/>
          <w:color w:val="auto"/>
          <w:sz w:val="24"/>
          <w:highlight w:val="none"/>
        </w:rPr>
        <w:t>8</w:t>
      </w:r>
      <w:r>
        <w:rPr>
          <w:rFonts w:hint="eastAsia" w:ascii="仿宋" w:hAnsi="仿宋" w:eastAsia="仿宋" w:cs="仿宋"/>
          <w:color w:val="auto"/>
          <w:sz w:val="24"/>
          <w:highlight w:val="none"/>
        </w:rPr>
        <w:t>号文件清单</w:t>
      </w:r>
      <w:r>
        <w:rPr>
          <w:rFonts w:hint="eastAsia" w:ascii="仿宋" w:hAnsi="仿宋" w:eastAsia="仿宋" w:cs="仿宋"/>
          <w:color w:val="auto"/>
          <w:sz w:val="24"/>
          <w:highlight w:val="none"/>
        </w:rPr>
        <w:t>，并提供</w:t>
      </w:r>
      <w:r>
        <w:rPr>
          <w:rFonts w:hint="eastAsia" w:ascii="仿宋" w:hAnsi="仿宋" w:eastAsia="仿宋" w:cs="仿宋"/>
          <w:color w:val="auto"/>
          <w:sz w:val="24"/>
          <w:highlight w:val="none"/>
        </w:rPr>
        <w:t>国家确定的认证机构出具的、处于有效期之内的环境标志产品认证证书。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w:t>
      </w:r>
      <w:r>
        <w:rPr>
          <w:rFonts w:hint="eastAsia" w:ascii="仿宋" w:hAnsi="仿宋" w:eastAsia="仿宋" w:cs="仿宋"/>
          <w:color w:val="auto"/>
          <w:kern w:val="0"/>
          <w:sz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w:t>
      </w:r>
      <w:r>
        <w:rPr>
          <w:rFonts w:hint="eastAsia" w:ascii="仿宋" w:hAnsi="仿宋" w:eastAsia="仿宋" w:cs="仿宋"/>
          <w:color w:val="auto"/>
          <w:kern w:val="0"/>
          <w:sz w:val="24"/>
          <w:highlight w:val="none"/>
        </w:rPr>
        <w:t>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w:t>
      </w: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w:t>
      </w:r>
      <w:r>
        <w:rPr>
          <w:rFonts w:hint="eastAsia" w:ascii="仿宋" w:hAnsi="仿宋" w:eastAsia="仿宋" w:cs="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rPr>
        <w:t>10%的扣除，用扣除后的价格参与评审。接受大中型企业与小微企业组成联合体或者允许大中型企业向一家或者多家小微企业分包的</w:t>
      </w:r>
      <w:r>
        <w:rPr>
          <w:rFonts w:hint="eastAsia" w:ascii="仿宋" w:hAnsi="仿宋" w:eastAsia="仿宋" w:cs="仿宋"/>
          <w:color w:val="auto"/>
          <w:sz w:val="24"/>
          <w:highlight w:val="none"/>
        </w:rPr>
        <w:t>政府</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rPr>
        <w:t>货物或服务</w:t>
      </w:r>
      <w:r>
        <w:rPr>
          <w:rFonts w:hint="eastAsia" w:ascii="仿宋" w:hAnsi="仿宋" w:eastAsia="仿宋" w:cs="仿宋"/>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4符合《关于促进残疾人就业政府采购政策的通知》（财库〔</w:t>
      </w:r>
      <w:r>
        <w:rPr>
          <w:rFonts w:hint="eastAsia" w:ascii="仿宋" w:hAnsi="仿宋" w:eastAsia="仿宋" w:cs="仿宋"/>
          <w:color w:val="auto"/>
          <w:sz w:val="24"/>
          <w:highlight w:val="none"/>
        </w:rPr>
        <w:t>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5符合《关于政府采购支持监狱企业发展有关问题的通知》（财库</w:t>
      </w:r>
      <w:r>
        <w:rPr>
          <w:rFonts w:hint="eastAsia" w:ascii="仿宋" w:hAnsi="仿宋" w:eastAsia="仿宋" w:cs="仿宋"/>
          <w:color w:val="auto"/>
          <w:sz w:val="24"/>
          <w:highlight w:val="none"/>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6可享受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的投标人应按照招标文件格式要求提供《中小企业声明函》，投标人提供的《中小企业声明函》与实际情况不符的，不享受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7中小企业</w:t>
      </w:r>
      <w:r>
        <w:rPr>
          <w:rFonts w:hint="eastAsia" w:ascii="仿宋" w:hAnsi="仿宋" w:eastAsia="仿宋" w:cs="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 xml:space="preserve">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r>
        <w:rPr>
          <w:rFonts w:hint="eastAsia" w:ascii="仿宋" w:hAnsi="仿宋" w:eastAsia="仿宋" w:cs="仿宋"/>
          <w:color w:val="auto"/>
          <w:kern w:val="0"/>
          <w:sz w:val="24"/>
          <w:highlight w:val="none"/>
          <w:lang w:val="zh-CN"/>
        </w:rPr>
        <w:t xml:space="preserve"> </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w:t>
      </w:r>
      <w:r>
        <w:rPr>
          <w:rFonts w:hint="eastAsia" w:ascii="仿宋" w:hAnsi="仿宋" w:eastAsia="仿宋" w:cs="仿宋"/>
          <w:color w:val="auto"/>
          <w:sz w:val="24"/>
          <w:highlight w:val="none"/>
        </w:rPr>
        <w:t>疑，否则，采购人或者采购机构不予受理：</w:t>
      </w:r>
    </w:p>
    <w:p>
      <w:pPr>
        <w:pStyle w:val="17"/>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.1</w:t>
      </w:r>
      <w:r>
        <w:rPr>
          <w:rFonts w:hint="eastAsia" w:ascii="仿宋" w:hAnsi="仿宋" w:eastAsia="仿宋" w:cs="仿宋"/>
          <w:snapToGrid/>
          <w:color w:val="auto"/>
          <w:kern w:val="2"/>
          <w:sz w:val="24"/>
          <w:highlight w:val="none"/>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2"/>
        <w:spacing w:line="360" w:lineRule="auto"/>
        <w:ind w:right="-512"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对采购结果提出质疑的，质疑期限自采购结果公告期限届满之日起计算。对采购结果提出质疑的，采购人或采购机构负责答复。（详见前附表相关规定）</w:t>
      </w:r>
    </w:p>
    <w:p>
      <w:pPr>
        <w:pStyle w:val="32"/>
        <w:snapToGrid w:val="0"/>
        <w:spacing w:line="360" w:lineRule="auto"/>
        <w:ind w:right="-512"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615"/>
        <w:shd w:val="clear" w:color="auto" w:fill="FFFFFF"/>
        <w:snapToGrid w:val="0"/>
        <w:spacing w:after="240" w:afterAutospacing="0" w:line="360" w:lineRule="auto"/>
        <w:contextualSpacing/>
        <w:rPr>
          <w:rFonts w:hint="eastAsia" w:ascii="仿宋" w:hAnsi="仿宋" w:eastAsia="仿宋" w:cs="仿宋"/>
          <w:snapToGrid w:val="0"/>
          <w:color w:val="auto"/>
          <w:kern w:val="2"/>
          <w:szCs w:val="21"/>
          <w:highlight w:val="none"/>
        </w:rPr>
      </w:pPr>
      <w:r>
        <w:rPr>
          <w:rFonts w:hint="eastAsia" w:ascii="仿宋" w:hAnsi="仿宋" w:eastAsia="仿宋" w:cs="仿宋"/>
          <w:snapToGrid w:val="0"/>
          <w:color w:val="auto"/>
          <w:kern w:val="2"/>
          <w:szCs w:val="21"/>
          <w:highlight w:val="none"/>
        </w:rPr>
        <w:t>　　</w:t>
      </w:r>
      <w:r>
        <w:rPr>
          <w:rFonts w:hint="eastAsia" w:ascii="仿宋" w:hAnsi="仿宋" w:eastAsia="仿宋" w:cs="仿宋"/>
          <w:color w:val="auto"/>
          <w:highlight w:val="none"/>
          <w:lang w:val="zh-CN"/>
        </w:rPr>
        <w:t>4.2.3.1</w:t>
      </w:r>
      <w:r>
        <w:rPr>
          <w:rFonts w:hint="eastAsia" w:ascii="仿宋" w:hAnsi="仿宋" w:eastAsia="仿宋" w:cs="仿宋"/>
          <w:snapToGrid w:val="0"/>
          <w:color w:val="auto"/>
          <w:kern w:val="2"/>
          <w:szCs w:val="21"/>
          <w:highlight w:val="none"/>
        </w:rPr>
        <w:t>供应商的姓名或者名称、地址、邮编、联系人及联系电话；</w:t>
      </w:r>
    </w:p>
    <w:p>
      <w:pPr>
        <w:pStyle w:val="615"/>
        <w:shd w:val="clear" w:color="auto" w:fill="FFFFFF"/>
        <w:snapToGrid w:val="0"/>
        <w:spacing w:after="240" w:afterAutospacing="0" w:line="360" w:lineRule="auto"/>
        <w:contextualSpacing/>
        <w:rPr>
          <w:rFonts w:hint="eastAsia" w:ascii="仿宋" w:hAnsi="仿宋" w:eastAsia="仿宋" w:cs="仿宋"/>
          <w:snapToGrid w:val="0"/>
          <w:color w:val="auto"/>
          <w:kern w:val="2"/>
          <w:szCs w:val="21"/>
          <w:highlight w:val="none"/>
        </w:rPr>
      </w:pPr>
      <w:r>
        <w:rPr>
          <w:rFonts w:hint="eastAsia" w:ascii="仿宋" w:hAnsi="仿宋" w:eastAsia="仿宋" w:cs="仿宋"/>
          <w:snapToGrid w:val="0"/>
          <w:color w:val="auto"/>
          <w:kern w:val="2"/>
          <w:szCs w:val="21"/>
          <w:highlight w:val="none"/>
        </w:rPr>
        <w:t>　　</w:t>
      </w:r>
      <w:r>
        <w:rPr>
          <w:rFonts w:hint="eastAsia" w:ascii="仿宋" w:hAnsi="仿宋" w:eastAsia="仿宋" w:cs="仿宋"/>
          <w:color w:val="auto"/>
          <w:highlight w:val="none"/>
          <w:lang w:val="zh-CN"/>
        </w:rPr>
        <w:t>4.2.3.2</w:t>
      </w:r>
      <w:r>
        <w:rPr>
          <w:rFonts w:hint="eastAsia" w:ascii="仿宋" w:hAnsi="仿宋" w:eastAsia="仿宋" w:cs="仿宋"/>
          <w:snapToGrid w:val="0"/>
          <w:color w:val="auto"/>
          <w:kern w:val="2"/>
          <w:szCs w:val="21"/>
          <w:highlight w:val="none"/>
        </w:rPr>
        <w:t>质疑项目的名称、编号；</w:t>
      </w:r>
    </w:p>
    <w:p>
      <w:pPr>
        <w:pStyle w:val="615"/>
        <w:shd w:val="clear" w:color="auto" w:fill="FFFFFF"/>
        <w:snapToGrid w:val="0"/>
        <w:spacing w:after="240" w:afterAutospacing="0" w:line="360" w:lineRule="auto"/>
        <w:contextualSpacing/>
        <w:rPr>
          <w:rFonts w:hint="eastAsia" w:ascii="仿宋" w:hAnsi="仿宋" w:eastAsia="仿宋" w:cs="仿宋"/>
          <w:snapToGrid w:val="0"/>
          <w:color w:val="auto"/>
          <w:kern w:val="2"/>
          <w:szCs w:val="21"/>
          <w:highlight w:val="none"/>
        </w:rPr>
      </w:pPr>
      <w:r>
        <w:rPr>
          <w:rFonts w:hint="eastAsia" w:ascii="仿宋" w:hAnsi="仿宋" w:eastAsia="仿宋" w:cs="仿宋"/>
          <w:snapToGrid w:val="0"/>
          <w:color w:val="auto"/>
          <w:kern w:val="2"/>
          <w:szCs w:val="21"/>
          <w:highlight w:val="none"/>
        </w:rPr>
        <w:t>　　</w:t>
      </w:r>
      <w:r>
        <w:rPr>
          <w:rFonts w:hint="eastAsia" w:ascii="仿宋" w:hAnsi="仿宋" w:eastAsia="仿宋" w:cs="仿宋"/>
          <w:color w:val="auto"/>
          <w:highlight w:val="none"/>
          <w:lang w:val="zh-CN"/>
        </w:rPr>
        <w:t>4.2.3.3</w:t>
      </w:r>
      <w:r>
        <w:rPr>
          <w:rFonts w:hint="eastAsia" w:ascii="仿宋" w:hAnsi="仿宋" w:eastAsia="仿宋" w:cs="仿宋"/>
          <w:snapToGrid w:val="0"/>
          <w:color w:val="auto"/>
          <w:kern w:val="2"/>
          <w:szCs w:val="21"/>
          <w:highlight w:val="none"/>
        </w:rPr>
        <w:t>具体、明确的质疑事项和与质疑事项相关的请求；</w:t>
      </w:r>
    </w:p>
    <w:p>
      <w:pPr>
        <w:pStyle w:val="615"/>
        <w:shd w:val="clear" w:color="auto" w:fill="FFFFFF"/>
        <w:snapToGrid w:val="0"/>
        <w:spacing w:after="240" w:afterAutospacing="0" w:line="360" w:lineRule="auto"/>
        <w:contextualSpacing/>
        <w:rPr>
          <w:rFonts w:hint="eastAsia" w:ascii="仿宋" w:hAnsi="仿宋" w:eastAsia="仿宋" w:cs="仿宋"/>
          <w:snapToGrid w:val="0"/>
          <w:color w:val="auto"/>
          <w:kern w:val="2"/>
          <w:szCs w:val="21"/>
          <w:highlight w:val="none"/>
        </w:rPr>
      </w:pPr>
      <w:r>
        <w:rPr>
          <w:rFonts w:hint="eastAsia" w:ascii="仿宋" w:hAnsi="仿宋" w:eastAsia="仿宋" w:cs="仿宋"/>
          <w:snapToGrid w:val="0"/>
          <w:color w:val="auto"/>
          <w:kern w:val="2"/>
          <w:szCs w:val="21"/>
          <w:highlight w:val="none"/>
        </w:rPr>
        <w:t>　　</w:t>
      </w:r>
      <w:r>
        <w:rPr>
          <w:rFonts w:hint="eastAsia" w:ascii="仿宋" w:hAnsi="仿宋" w:eastAsia="仿宋" w:cs="仿宋"/>
          <w:color w:val="auto"/>
          <w:highlight w:val="none"/>
          <w:lang w:val="zh-CN"/>
        </w:rPr>
        <w:t>4.2.3.4</w:t>
      </w:r>
      <w:r>
        <w:rPr>
          <w:rFonts w:hint="eastAsia" w:ascii="仿宋" w:hAnsi="仿宋" w:eastAsia="仿宋" w:cs="仿宋"/>
          <w:snapToGrid w:val="0"/>
          <w:color w:val="auto"/>
          <w:kern w:val="2"/>
          <w:szCs w:val="21"/>
          <w:highlight w:val="none"/>
        </w:rPr>
        <w:t>事实依据；</w:t>
      </w:r>
    </w:p>
    <w:p>
      <w:pPr>
        <w:pStyle w:val="615"/>
        <w:shd w:val="clear" w:color="auto" w:fill="FFFFFF"/>
        <w:snapToGrid w:val="0"/>
        <w:spacing w:after="240" w:afterAutospacing="0" w:line="360" w:lineRule="auto"/>
        <w:contextualSpacing/>
        <w:rPr>
          <w:rFonts w:hint="eastAsia" w:ascii="仿宋" w:hAnsi="仿宋" w:eastAsia="仿宋" w:cs="仿宋"/>
          <w:snapToGrid w:val="0"/>
          <w:color w:val="auto"/>
          <w:kern w:val="2"/>
          <w:szCs w:val="21"/>
          <w:highlight w:val="none"/>
        </w:rPr>
      </w:pPr>
      <w:r>
        <w:rPr>
          <w:rFonts w:hint="eastAsia" w:ascii="仿宋" w:hAnsi="仿宋" w:eastAsia="仿宋" w:cs="仿宋"/>
          <w:snapToGrid w:val="0"/>
          <w:color w:val="auto"/>
          <w:kern w:val="2"/>
          <w:szCs w:val="21"/>
          <w:highlight w:val="none"/>
        </w:rPr>
        <w:t>　　</w:t>
      </w:r>
      <w:r>
        <w:rPr>
          <w:rFonts w:hint="eastAsia" w:ascii="仿宋" w:hAnsi="仿宋" w:eastAsia="仿宋" w:cs="仿宋"/>
          <w:color w:val="auto"/>
          <w:highlight w:val="none"/>
          <w:lang w:val="zh-CN"/>
        </w:rPr>
        <w:t>4.2.3.5</w:t>
      </w:r>
      <w:r>
        <w:rPr>
          <w:rFonts w:hint="eastAsia" w:ascii="仿宋" w:hAnsi="仿宋" w:eastAsia="仿宋" w:cs="仿宋"/>
          <w:snapToGrid w:val="0"/>
          <w:color w:val="auto"/>
          <w:kern w:val="2"/>
          <w:szCs w:val="21"/>
          <w:highlight w:val="none"/>
        </w:rPr>
        <w:t>必要的法律依据；</w:t>
      </w:r>
    </w:p>
    <w:p>
      <w:pPr>
        <w:pStyle w:val="615"/>
        <w:shd w:val="clear" w:color="auto" w:fill="FFFFFF"/>
        <w:snapToGrid w:val="0"/>
        <w:spacing w:after="240" w:afterAutospacing="0" w:line="360" w:lineRule="auto"/>
        <w:ind w:firstLine="480"/>
        <w:contextualSpacing/>
        <w:rPr>
          <w:rFonts w:hint="eastAsia" w:ascii="仿宋" w:hAnsi="仿宋" w:eastAsia="仿宋" w:cs="仿宋"/>
          <w:snapToGrid w:val="0"/>
          <w:color w:val="auto"/>
          <w:kern w:val="2"/>
          <w:szCs w:val="21"/>
          <w:highlight w:val="none"/>
        </w:rPr>
      </w:pPr>
      <w:r>
        <w:rPr>
          <w:rFonts w:hint="eastAsia" w:ascii="仿宋" w:hAnsi="仿宋" w:eastAsia="仿宋" w:cs="仿宋"/>
          <w:color w:val="auto"/>
          <w:highlight w:val="none"/>
          <w:lang w:val="zh-CN"/>
        </w:rPr>
        <w:t>4.2.3.6</w:t>
      </w:r>
      <w:r>
        <w:rPr>
          <w:rFonts w:hint="eastAsia" w:ascii="仿宋" w:hAnsi="仿宋" w:eastAsia="仿宋" w:cs="仿宋"/>
          <w:snapToGrid w:val="0"/>
          <w:color w:val="auto"/>
          <w:kern w:val="2"/>
          <w:szCs w:val="21"/>
          <w:highlight w:val="none"/>
        </w:rPr>
        <w:t>提出质疑的日期。</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w:t>
      </w:r>
      <w:r>
        <w:rPr>
          <w:rFonts w:hint="eastAsia" w:ascii="仿宋" w:hAnsi="仿宋" w:eastAsia="仿宋" w:cs="仿宋"/>
          <w:color w:val="auto"/>
          <w:highlight w:val="none"/>
        </w:rPr>
        <w:t>供应商为自然人的，应当由本人签字；供应商为法人或者其他组织的，应当由法定代表人、主要负责人，或者其授权代表签字或者盖章，并加盖公章。</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61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w:t>
      </w:r>
      <w:r>
        <w:rPr>
          <w:rFonts w:hint="eastAsia" w:ascii="仿宋" w:hAnsi="仿宋" w:eastAsia="仿宋" w:cs="仿宋"/>
          <w:color w:val="auto"/>
          <w:highlight w:val="none"/>
        </w:rPr>
        <w:t>采购人负责供应商质疑答复。采购人委托采购代理机构采购的，采购代理机构在委托授权范围内作出答复。采购人或</w:t>
      </w:r>
      <w:r>
        <w:rPr>
          <w:rFonts w:hint="eastAsia" w:ascii="仿宋" w:hAnsi="仿宋" w:eastAsia="仿宋" w:cs="仿宋"/>
          <w:color w:val="auto"/>
          <w:highlight w:val="none"/>
        </w:rPr>
        <w:t>者采购机构应当在收到供应商的书面质疑后七个工作日内作出答复，并以书面形式通知质疑供应商和其他与质疑处理结果有利害关系的政府采购当事人，但答复的内容不得涉及商业秘密。</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4.2.6质疑接收人：详见前附表</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rPr>
        <w:t>.1质疑供应商对采购人、采购机构的答复不满意或者采购人、采购机构未在规定的时间内作出答复的，可以在答复期满后十五个工作日内向同级政府采购监督管理部门提出投诉。</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rPr>
        <w:t>.3供应商投诉应当有明确的请求和必要的证明材料。</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rPr>
        <w:t>.5 以联合体形式参加政府采购活动的，其投诉应当由组成联合体的所有供应商共同提出。</w:t>
      </w:r>
    </w:p>
    <w:p>
      <w:pPr>
        <w:pStyle w:val="615"/>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217"/>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bookmarkStart w:id="42" w:name="_Hlt68057669"/>
      <w:bookmarkEnd w:id="42"/>
      <w:bookmarkStart w:id="43" w:name="_Hlt68072990"/>
      <w:bookmarkEnd w:id="43"/>
      <w:bookmarkStart w:id="44" w:name="_Hlt74729768"/>
      <w:bookmarkEnd w:id="44"/>
      <w:bookmarkStart w:id="45" w:name="_Hlt74730295"/>
      <w:bookmarkEnd w:id="45"/>
      <w:bookmarkStart w:id="46" w:name="_Hlt75236290"/>
      <w:bookmarkEnd w:id="46"/>
      <w:bookmarkStart w:id="47" w:name="_Hlt74714665"/>
      <w:bookmarkEnd w:id="47"/>
      <w:bookmarkStart w:id="48" w:name="_Hlt74707468"/>
      <w:bookmarkEnd w:id="48"/>
      <w:bookmarkStart w:id="49" w:name="_Toc91899879"/>
      <w:r>
        <w:rPr>
          <w:rFonts w:hint="eastAsia" w:ascii="仿宋" w:hAnsi="仿宋" w:eastAsia="仿宋" w:cs="仿宋"/>
          <w:b/>
          <w:color w:val="auto"/>
          <w:sz w:val="32"/>
          <w:szCs w:val="20"/>
          <w:highlight w:val="none"/>
        </w:rPr>
        <w:t>二、招标文件</w:t>
      </w:r>
      <w:bookmarkEnd w:id="49"/>
      <w:r>
        <w:rPr>
          <w:rFonts w:hint="eastAsia" w:ascii="仿宋" w:hAnsi="仿宋" w:eastAsia="仿宋" w:cs="仿宋"/>
          <w:b/>
          <w:color w:val="auto"/>
          <w:sz w:val="32"/>
          <w:szCs w:val="20"/>
          <w:highlight w:val="none"/>
        </w:rPr>
        <w:t>的构成、澄清、修改</w:t>
      </w:r>
    </w:p>
    <w:p>
      <w:pPr>
        <w:pStyle w:val="32"/>
        <w:spacing w:line="360" w:lineRule="auto"/>
        <w:ind w:right="-512" w:firstLine="576"/>
        <w:rPr>
          <w:rFonts w:hint="eastAsia" w:ascii="仿宋" w:hAnsi="仿宋" w:eastAsia="仿宋" w:cs="仿宋"/>
          <w:b/>
          <w:color w:val="auto"/>
          <w:sz w:val="24"/>
          <w:szCs w:val="24"/>
          <w:highlight w:val="none"/>
        </w:rPr>
      </w:pPr>
      <w:bookmarkStart w:id="50" w:name="_Toc91899880"/>
      <w:bookmarkStart w:id="51" w:name="_Hlt74730307"/>
      <w:r>
        <w:rPr>
          <w:rFonts w:hint="eastAsia" w:ascii="仿宋" w:hAnsi="仿宋" w:eastAsia="仿宋" w:cs="仿宋"/>
          <w:b/>
          <w:color w:val="auto"/>
          <w:sz w:val="24"/>
          <w:szCs w:val="24"/>
          <w:highlight w:val="none"/>
        </w:rPr>
        <w:t>5．招标文件的构成</w:t>
      </w:r>
      <w:bookmarkEnd w:id="50"/>
    </w:p>
    <w:bookmarkEnd w:id="51"/>
    <w:p>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招标公告</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投标人须知</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拟签订的合同文本</w:t>
      </w:r>
    </w:p>
    <w:p>
      <w:pPr>
        <w:pStyle w:val="32"/>
        <w:numPr>
          <w:ilvl w:val="0"/>
          <w:numId w:val="4"/>
        </w:numPr>
        <w:spacing w:line="360" w:lineRule="auto"/>
        <w:ind w:left="-359"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应提交的有关格式范例</w:t>
      </w:r>
    </w:p>
    <w:p>
      <w:pPr>
        <w:wordWrap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内容亦为招标文件的组成部分，</w:t>
      </w:r>
      <w:r>
        <w:rPr>
          <w:rFonts w:hint="eastAsia" w:ascii="仿宋" w:hAnsi="仿宋" w:eastAsia="仿宋" w:cs="仿宋"/>
          <w:bCs/>
          <w:color w:val="auto"/>
          <w:sz w:val="24"/>
          <w:highlight w:val="none"/>
        </w:rPr>
        <w:t>投标人</w:t>
      </w:r>
      <w:r>
        <w:rPr>
          <w:rFonts w:hint="eastAsia" w:ascii="仿宋" w:hAnsi="仿宋" w:eastAsia="仿宋" w:cs="仿宋"/>
          <w:bCs/>
          <w:color w:val="auto"/>
          <w:sz w:val="24"/>
          <w:highlight w:val="none"/>
        </w:rPr>
        <w:t>须自行</w:t>
      </w:r>
      <w:r>
        <w:rPr>
          <w:rFonts w:hint="eastAsia" w:ascii="仿宋" w:hAnsi="仿宋" w:eastAsia="仿宋" w:cs="仿宋"/>
          <w:bCs/>
          <w:color w:val="auto"/>
          <w:sz w:val="24"/>
          <w:highlight w:val="none"/>
        </w:rPr>
        <w:t>于</w:t>
      </w:r>
      <w:r>
        <w:rPr>
          <w:rFonts w:hint="eastAsia" w:ascii="仿宋" w:hAnsi="仿宋" w:eastAsia="仿宋" w:cs="仿宋"/>
          <w:bCs/>
          <w:color w:val="auto"/>
          <w:sz w:val="24"/>
          <w:highlight w:val="none"/>
        </w:rPr>
        <w:t>招标公告所</w:t>
      </w:r>
      <w:r>
        <w:rPr>
          <w:rFonts w:hint="eastAsia" w:ascii="仿宋" w:hAnsi="仿宋" w:eastAsia="仿宋" w:cs="仿宋"/>
          <w:bCs/>
          <w:color w:val="auto"/>
          <w:sz w:val="24"/>
          <w:highlight w:val="none"/>
        </w:rPr>
        <w:t>在网站</w:t>
      </w:r>
      <w:r>
        <w:rPr>
          <w:rFonts w:hint="eastAsia" w:ascii="仿宋" w:hAnsi="仿宋" w:eastAsia="仿宋" w:cs="仿宋"/>
          <w:bCs/>
          <w:color w:val="auto"/>
          <w:sz w:val="24"/>
          <w:highlight w:val="none"/>
        </w:rPr>
        <w:t>获取</w:t>
      </w:r>
      <w:r>
        <w:rPr>
          <w:rFonts w:hint="eastAsia" w:ascii="仿宋" w:hAnsi="仿宋" w:eastAsia="仿宋" w:cs="仿宋"/>
          <w:bCs/>
          <w:color w:val="auto"/>
          <w:sz w:val="24"/>
          <w:highlight w:val="none"/>
        </w:rPr>
        <w:t>相关信息（</w:t>
      </w:r>
      <w:r>
        <w:rPr>
          <w:rFonts w:hint="eastAsia" w:ascii="仿宋" w:hAnsi="仿宋" w:eastAsia="仿宋" w:cs="仿宋"/>
          <w:bCs/>
          <w:color w:val="auto"/>
          <w:sz w:val="24"/>
          <w:highlight w:val="none"/>
        </w:rPr>
        <w:t>浙江政府采购网</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w:t>
      </w:r>
    </w:p>
    <w:p>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6.1已获取招标文件的潜在投标人，若有问题需要澄清，应于投标截止时间前，以书面形式向采购机构提出，采购机构与采购人研究后，对认为有必要回答的问题，将以公告</w:t>
      </w:r>
      <w:r>
        <w:rPr>
          <w:rFonts w:hint="eastAsia" w:ascii="仿宋" w:hAnsi="仿宋" w:eastAsia="仿宋" w:cs="仿宋"/>
          <w:color w:val="auto"/>
          <w:highlight w:val="none"/>
        </w:rPr>
        <w:t>形式</w:t>
      </w:r>
      <w:r>
        <w:rPr>
          <w:rFonts w:hint="eastAsia" w:ascii="仿宋" w:hAnsi="仿宋" w:eastAsia="仿宋" w:cs="仿宋"/>
          <w:color w:val="auto"/>
          <w:highlight w:val="none"/>
        </w:rPr>
        <w:t>通知所有招标文件收受人。</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6.2采购机构如对已发出的招标文件进行必要澄清或者修改的，将在发布招标公告的网站上发布更正、</w:t>
      </w:r>
      <w:r>
        <w:rPr>
          <w:rFonts w:hint="eastAsia" w:ascii="仿宋" w:hAnsi="仿宋" w:eastAsia="仿宋" w:cs="仿宋"/>
          <w:color w:val="auto"/>
          <w:highlight w:val="none"/>
        </w:rPr>
        <w:t>补遗</w:t>
      </w:r>
      <w:r>
        <w:rPr>
          <w:rFonts w:hint="eastAsia" w:ascii="仿宋" w:hAnsi="仿宋" w:eastAsia="仿宋" w:cs="仿宋"/>
          <w:color w:val="auto"/>
          <w:highlight w:val="none"/>
        </w:rPr>
        <w:t>公告，同时视情况延长投标截止时间和开标时间。该公告澄清或者修改的内容为招标文件的组成部分。</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投标文件未按招标文件更正、</w:t>
      </w:r>
      <w:r>
        <w:rPr>
          <w:rFonts w:hint="eastAsia" w:ascii="仿宋" w:hAnsi="仿宋" w:eastAsia="仿宋" w:cs="仿宋"/>
          <w:b/>
          <w:color w:val="auto"/>
          <w:sz w:val="24"/>
          <w:szCs w:val="21"/>
          <w:highlight w:val="none"/>
        </w:rPr>
        <w:t>补遗公告</w:t>
      </w:r>
      <w:r>
        <w:rPr>
          <w:rFonts w:hint="eastAsia" w:ascii="仿宋" w:hAnsi="仿宋" w:eastAsia="仿宋" w:cs="仿宋"/>
          <w:b/>
          <w:color w:val="auto"/>
          <w:sz w:val="24"/>
          <w:szCs w:val="21"/>
          <w:highlight w:val="none"/>
        </w:rPr>
        <w:t>的澄清、修改的内容编制，又不符合实质性要求的，投标无效。</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bookmarkStart w:id="52" w:name="_Hlt75236011"/>
      <w:bookmarkEnd w:id="52"/>
      <w:bookmarkStart w:id="53" w:name="_Toc91899884"/>
      <w:r>
        <w:rPr>
          <w:rFonts w:hint="eastAsia" w:ascii="仿宋" w:hAnsi="仿宋" w:eastAsia="仿宋" w:cs="仿宋"/>
          <w:b/>
          <w:color w:val="auto"/>
          <w:sz w:val="30"/>
          <w:szCs w:val="20"/>
          <w:highlight w:val="none"/>
        </w:rPr>
        <w:t>三、投标</w:t>
      </w:r>
      <w:bookmarkEnd w:id="53"/>
    </w:p>
    <w:p>
      <w:pPr>
        <w:pStyle w:val="32"/>
        <w:spacing w:line="360" w:lineRule="auto"/>
        <w:ind w:right="-512" w:firstLine="576"/>
        <w:rPr>
          <w:rFonts w:hint="eastAsia" w:ascii="仿宋" w:hAnsi="仿宋" w:eastAsia="仿宋" w:cs="仿宋"/>
          <w:b/>
          <w:color w:val="auto"/>
          <w:sz w:val="24"/>
          <w:szCs w:val="24"/>
          <w:highlight w:val="none"/>
        </w:rPr>
      </w:pPr>
      <w:bookmarkStart w:id="54" w:name="_Toc91899892"/>
      <w:bookmarkStart w:id="55" w:name="_Toc86216991"/>
      <w:r>
        <w:rPr>
          <w:rFonts w:hint="eastAsia" w:ascii="仿宋" w:hAnsi="仿宋" w:eastAsia="仿宋" w:cs="仿宋"/>
          <w:b/>
          <w:color w:val="auto"/>
          <w:sz w:val="24"/>
          <w:szCs w:val="24"/>
          <w:highlight w:val="none"/>
        </w:rPr>
        <w:t>7.招标文件的获取</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w:t>
      </w:r>
      <w:r>
        <w:rPr>
          <w:rFonts w:hint="eastAsia" w:ascii="仿宋" w:hAnsi="仿宋" w:eastAsia="仿宋" w:cs="仿宋"/>
          <w:b/>
          <w:color w:val="auto"/>
          <w:sz w:val="24"/>
          <w:szCs w:val="21"/>
          <w:highlight w:val="none"/>
        </w:rPr>
        <w:t>要求完</w:t>
      </w:r>
      <w:r>
        <w:rPr>
          <w:rFonts w:hint="eastAsia" w:ascii="仿宋" w:hAnsi="仿宋" w:eastAsia="仿宋" w:cs="仿宋"/>
          <w:b/>
          <w:color w:val="auto"/>
          <w:sz w:val="24"/>
          <w:szCs w:val="21"/>
          <w:highlight w:val="none"/>
        </w:rPr>
        <w:t>成</w:t>
      </w:r>
      <w:r>
        <w:rPr>
          <w:rFonts w:hint="eastAsia" w:ascii="仿宋" w:hAnsi="仿宋" w:eastAsia="仿宋" w:cs="仿宋"/>
          <w:b/>
          <w:color w:val="auto"/>
          <w:sz w:val="24"/>
          <w:szCs w:val="21"/>
          <w:highlight w:val="none"/>
        </w:rPr>
        <w:t>采购文件</w:t>
      </w:r>
      <w:r>
        <w:rPr>
          <w:rFonts w:hint="eastAsia" w:ascii="仿宋" w:hAnsi="仿宋" w:eastAsia="仿宋" w:cs="仿宋"/>
          <w:b/>
          <w:color w:val="auto"/>
          <w:sz w:val="24"/>
          <w:szCs w:val="21"/>
          <w:highlight w:val="none"/>
        </w:rPr>
        <w:t>获取的</w:t>
      </w:r>
      <w:r>
        <w:rPr>
          <w:rFonts w:hint="eastAsia" w:ascii="仿宋" w:hAnsi="仿宋" w:eastAsia="仿宋" w:cs="仿宋"/>
          <w:b/>
          <w:color w:val="auto"/>
          <w:sz w:val="24"/>
          <w:szCs w:val="21"/>
          <w:highlight w:val="none"/>
        </w:rPr>
        <w:t>，</w:t>
      </w:r>
      <w:r>
        <w:rPr>
          <w:rFonts w:hint="eastAsia" w:ascii="仿宋" w:hAnsi="仿宋" w:eastAsia="仿宋" w:cs="仿宋"/>
          <w:b/>
          <w:color w:val="auto"/>
          <w:sz w:val="24"/>
          <w:szCs w:val="21"/>
          <w:highlight w:val="none"/>
        </w:rPr>
        <w:t>投标无效。</w:t>
      </w:r>
    </w:p>
    <w:p>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right="-512"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pPr>
        <w:pStyle w:val="32"/>
        <w:spacing w:line="360" w:lineRule="auto"/>
        <w:ind w:right="-512" w:firstLine="576"/>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217"/>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bookmarkStart w:id="56" w:name="_Toc91899887"/>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21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投标文件未按本条规定的格式编制的，投标无效；</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6"/>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Style w:val="217"/>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pPr>
        <w:pStyle w:val="21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12.4.1</w:t>
      </w:r>
      <w:r>
        <w:rPr>
          <w:rFonts w:hint="eastAsia" w:ascii="仿宋" w:hAnsi="仿宋" w:eastAsia="仿宋" w:cs="仿宋"/>
          <w:color w:val="auto"/>
          <w:szCs w:val="24"/>
          <w:highlight w:val="none"/>
        </w:rPr>
        <w:t>投标人制作纸质投标文件须在投标文件封面上标明“正本”与“副本”字样、项目名称与标项号，并加盖投标人公章。正本内容与副本不一致时，以正本为准。</w:t>
      </w:r>
    </w:p>
    <w:p>
      <w:pPr>
        <w:pStyle w:val="21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12.4.2投标文件正本应使用不能擦去的墨水打印或书写</w:t>
      </w:r>
      <w:r>
        <w:rPr>
          <w:rFonts w:hint="eastAsia" w:ascii="仿宋" w:hAnsi="仿宋" w:eastAsia="仿宋" w:cs="仿宋"/>
          <w:color w:val="auto"/>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2.4.4 投标文件建议采用A4幅面，按顺序统一编目编码装订成册。</w:t>
      </w:r>
      <w:r>
        <w:rPr>
          <w:rFonts w:hint="eastAsia" w:ascii="仿宋" w:hAnsi="仿宋" w:eastAsia="仿宋" w:cs="仿宋"/>
          <w:b/>
          <w:color w:val="auto"/>
          <w:sz w:val="24"/>
          <w:highlight w:val="none"/>
        </w:rPr>
        <w:t>提倡双面打印</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13.投标文件的装订、签署、盖章</w:t>
      </w:r>
    </w:p>
    <w:p>
      <w:pPr>
        <w:pStyle w:val="21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21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纸质备份文件（如有）须将投标文件的资格文件、商务技术文件、报价文件</w:t>
      </w:r>
      <w:r>
        <w:rPr>
          <w:rFonts w:hint="eastAsia" w:ascii="仿宋" w:hAnsi="仿宋" w:eastAsia="仿宋" w:cs="仿宋"/>
          <w:b/>
          <w:color w:val="auto"/>
          <w:sz w:val="24"/>
          <w:highlight w:val="none"/>
        </w:rPr>
        <w:t>三</w:t>
      </w:r>
      <w:r>
        <w:rPr>
          <w:rFonts w:hint="eastAsia" w:ascii="仿宋" w:hAnsi="仿宋" w:eastAsia="仿宋" w:cs="仿宋"/>
          <w:color w:val="auto"/>
          <w:sz w:val="24"/>
          <w:highlight w:val="none"/>
        </w:rPr>
        <w:t>部分分别装订成册，投标文件的装订必须采用</w:t>
      </w:r>
      <w:r>
        <w:rPr>
          <w:rFonts w:hint="eastAsia" w:ascii="仿宋" w:hAnsi="仿宋" w:eastAsia="仿宋" w:cs="仿宋"/>
          <w:b/>
          <w:color w:val="auto"/>
          <w:sz w:val="24"/>
          <w:highlight w:val="none"/>
        </w:rPr>
        <w:t>胶订或线订</w:t>
      </w:r>
      <w:r>
        <w:rPr>
          <w:rFonts w:hint="eastAsia" w:ascii="仿宋" w:hAnsi="仿宋" w:eastAsia="仿宋" w:cs="仿宋"/>
          <w:color w:val="auto"/>
          <w:sz w:val="24"/>
          <w:highlight w:val="none"/>
        </w:rPr>
        <w:t>形式，不得采用活页装订方式（胶订或线订以外装订形式视为活页装订）。</w:t>
      </w:r>
      <w:r>
        <w:rPr>
          <w:rFonts w:hint="eastAsia" w:ascii="仿宋" w:hAnsi="仿宋" w:eastAsia="仿宋" w:cs="仿宋"/>
          <w:b/>
          <w:color w:val="auto"/>
          <w:sz w:val="24"/>
          <w:highlight w:val="none"/>
        </w:rPr>
        <w:t>▲对不符合装订要求的投标文件，按投标无效处理。</w:t>
      </w:r>
    </w:p>
    <w:p>
      <w:pPr>
        <w:pStyle w:val="21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13.3招标文件对投标文件签署、盖章的要求适用于电子签章（盖章）。</w:t>
      </w:r>
    </w:p>
    <w:p>
      <w:pPr>
        <w:pStyle w:val="21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14.</w:t>
      </w:r>
      <w:r>
        <w:rPr>
          <w:rFonts w:hint="eastAsia" w:ascii="仿宋" w:hAnsi="仿宋" w:eastAsia="仿宋" w:cs="仿宋"/>
          <w:b/>
          <w:color w:val="auto"/>
          <w:highlight w:val="none"/>
        </w:rPr>
        <w:t xml:space="preserve"> </w:t>
      </w:r>
      <w:r>
        <w:rPr>
          <w:rFonts w:hint="eastAsia" w:ascii="仿宋" w:hAnsi="仿宋" w:eastAsia="仿宋" w:cs="仿宋"/>
          <w:b/>
          <w:color w:val="auto"/>
          <w:szCs w:val="24"/>
          <w:highlight w:val="none"/>
        </w:rPr>
        <w:t>投标文件的提交、补充、修改、撤回</w:t>
      </w:r>
    </w:p>
    <w:p>
      <w:pPr>
        <w:pStyle w:val="21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.3采购机构可以视情况延长投标文件提交的截止时间。在上述情况下，采购机构与投标人以前在投标截止期方面的全部权利、责任和义务，将适用于延长至新的投标截止期。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.4.1 投标人的补充、修改文件，应按本须知规定编制、密封、标志和递交，如果一份投标文件有几份函件时，应注明哪一份有效，否则所作修改视为无效。</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.4.2投标人对投标文件的修改均要加以说明，否则其修改将被视为无效。</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w:t>
      </w:r>
      <w:r>
        <w:rPr>
          <w:rFonts w:hint="eastAsia" w:ascii="仿宋" w:hAnsi="仿宋" w:eastAsia="仿宋" w:cs="仿宋"/>
          <w:color w:val="auto"/>
          <w:szCs w:val="24"/>
          <w:highlight w:val="none"/>
        </w:rPr>
        <w:t>.4.4</w:t>
      </w:r>
      <w:r>
        <w:rPr>
          <w:rFonts w:hint="eastAsia" w:ascii="仿宋" w:hAnsi="仿宋" w:eastAsia="仿宋" w:cs="仿宋"/>
          <w:color w:val="auto"/>
          <w:highlight w:val="none"/>
        </w:rPr>
        <w:t>在开标后规定的投标有效期内</w:t>
      </w:r>
      <w:r>
        <w:rPr>
          <w:rFonts w:hint="eastAsia" w:ascii="仿宋" w:hAnsi="仿宋" w:eastAsia="仿宋" w:cs="仿宋"/>
          <w:color w:val="auto"/>
          <w:szCs w:val="24"/>
          <w:highlight w:val="none"/>
        </w:rPr>
        <w:t>，投标人不能撤销投标文件。</w:t>
      </w:r>
    </w:p>
    <w:p>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15. </w:t>
      </w:r>
      <w:r>
        <w:rPr>
          <w:rFonts w:hint="eastAsia" w:ascii="仿宋" w:hAnsi="仿宋" w:eastAsia="仿宋" w:cs="仿宋"/>
          <w:b w:val="0"/>
          <w:bCs/>
          <w:color w:val="auto"/>
          <w:sz w:val="24"/>
          <w:highlight w:val="none"/>
        </w:rPr>
        <w:t>备份投</w:t>
      </w:r>
      <w:r>
        <w:rPr>
          <w:rFonts w:hint="eastAsia" w:ascii="仿宋" w:hAnsi="仿宋" w:eastAsia="仿宋" w:cs="仿宋"/>
          <w:b w:val="0"/>
          <w:bCs/>
          <w:color w:val="auto"/>
          <w:sz w:val="24"/>
          <w:highlight w:val="none"/>
        </w:rPr>
        <w:t>标文件（如有）以及投标文件的递交</w:t>
      </w:r>
    </w:p>
    <w:p>
      <w:pPr>
        <w:pStyle w:val="217"/>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15.1备份</w:t>
      </w:r>
      <w:r>
        <w:rPr>
          <w:rFonts w:hint="eastAsia" w:ascii="仿宋" w:hAnsi="仿宋" w:eastAsia="仿宋" w:cs="仿宋"/>
          <w:color w:val="auto"/>
          <w:szCs w:val="24"/>
          <w:highlight w:val="none"/>
        </w:rPr>
        <w:t>投标文件须</w:t>
      </w:r>
      <w:r>
        <w:rPr>
          <w:rFonts w:hint="eastAsia" w:ascii="仿宋" w:hAnsi="仿宋" w:eastAsia="仿宋" w:cs="仿宋"/>
          <w:b/>
          <w:color w:val="auto"/>
          <w:szCs w:val="24"/>
          <w:highlight w:val="none"/>
        </w:rPr>
        <w:t>密封包装</w:t>
      </w:r>
      <w:r>
        <w:rPr>
          <w:rFonts w:hint="eastAsia" w:ascii="仿宋" w:hAnsi="仿宋" w:eastAsia="仿宋" w:cs="仿宋"/>
          <w:color w:val="auto"/>
          <w:szCs w:val="24"/>
          <w:highlight w:val="none"/>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color w:val="auto"/>
          <w:szCs w:val="24"/>
          <w:highlight w:val="none"/>
        </w:rPr>
        <w:t>。没有密封包装的投标文件，将被拒收。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rPr>
        <w:t>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highlight w:val="none"/>
        </w:rPr>
        <w:t>存储、密封规定的备份投标文件将被视为无效或者被拒绝接收。</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投标人仅提交备份投标文件，没有在电子交易平台传输递交投标文件的，投标无效。</w:t>
      </w:r>
    </w:p>
    <w:p>
      <w:pPr>
        <w:pStyle w:val="21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w:t>
      </w:r>
      <w:r>
        <w:rPr>
          <w:rFonts w:hint="eastAsia" w:ascii="仿宋" w:hAnsi="仿宋" w:eastAsia="仿宋" w:cs="仿宋"/>
          <w:color w:val="auto"/>
          <w:szCs w:val="24"/>
          <w:highlight w:val="none"/>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w:t>
      </w:r>
      <w:r>
        <w:rPr>
          <w:rFonts w:hint="eastAsia" w:ascii="仿宋" w:hAnsi="仿宋" w:eastAsia="仿宋" w:cs="仿宋"/>
          <w:color w:val="auto"/>
          <w:szCs w:val="24"/>
          <w:highlight w:val="none"/>
        </w:rPr>
        <w:t>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15.6</w:t>
      </w:r>
      <w:r>
        <w:rPr>
          <w:rFonts w:hint="eastAsia" w:ascii="仿宋" w:hAnsi="仿宋" w:eastAsia="仿宋" w:cs="仿宋"/>
          <w:color w:val="auto"/>
          <w:szCs w:val="24"/>
          <w:highlight w:val="none"/>
        </w:rPr>
        <w:t>如项目须备份投标文件，</w:t>
      </w:r>
      <w:r>
        <w:rPr>
          <w:rFonts w:hint="eastAsia" w:ascii="仿宋" w:hAnsi="仿宋" w:eastAsia="仿宋" w:cs="仿宋"/>
          <w:color w:val="auto"/>
          <w:highlight w:val="none"/>
        </w:rPr>
        <w:t>投标人应按“招标公告”及前附表规定的时间、地点完成采购文件</w:t>
      </w:r>
      <w:r>
        <w:rPr>
          <w:rFonts w:hint="eastAsia" w:ascii="仿宋" w:hAnsi="仿宋" w:eastAsia="仿宋" w:cs="仿宋"/>
          <w:color w:val="auto"/>
          <w:highlight w:val="none"/>
        </w:rPr>
        <w:t>获取手续并</w:t>
      </w:r>
      <w:r>
        <w:rPr>
          <w:rFonts w:hint="eastAsia" w:ascii="仿宋" w:hAnsi="仿宋" w:eastAsia="仿宋" w:cs="仿宋"/>
          <w:color w:val="auto"/>
          <w:highlight w:val="none"/>
        </w:rPr>
        <w:t>将投标文件提交给</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w:t>
      </w:r>
      <w:r>
        <w:rPr>
          <w:rFonts w:hint="eastAsia" w:ascii="仿宋" w:hAnsi="仿宋" w:eastAsia="仿宋" w:cs="仿宋"/>
          <w:color w:val="auto"/>
          <w:szCs w:val="24"/>
          <w:highlight w:val="none"/>
        </w:rPr>
        <w:t>采购机构</w:t>
      </w:r>
      <w:r>
        <w:rPr>
          <w:rFonts w:hint="eastAsia" w:ascii="仿宋" w:hAnsi="仿宋" w:eastAsia="仿宋" w:cs="仿宋"/>
          <w:color w:val="auto"/>
          <w:highlight w:val="none"/>
        </w:rPr>
        <w:t>将拒绝接受逾期送达的投标文件和</w:t>
      </w:r>
      <w:r>
        <w:rPr>
          <w:rFonts w:hint="eastAsia" w:ascii="仿宋" w:hAnsi="仿宋" w:eastAsia="仿宋" w:cs="仿宋"/>
          <w:color w:val="auto"/>
          <w:highlight w:val="none"/>
        </w:rPr>
        <w:t>未按公告要求</w:t>
      </w:r>
      <w:r>
        <w:rPr>
          <w:rFonts w:hint="eastAsia" w:ascii="仿宋" w:hAnsi="仿宋" w:eastAsia="仿宋" w:cs="仿宋"/>
          <w:color w:val="auto"/>
          <w:highlight w:val="none"/>
        </w:rPr>
        <w:t>完成采购</w:t>
      </w:r>
      <w:r>
        <w:rPr>
          <w:rFonts w:hint="eastAsia" w:ascii="仿宋" w:hAnsi="仿宋" w:eastAsia="仿宋" w:cs="仿宋"/>
          <w:color w:val="auto"/>
          <w:highlight w:val="none"/>
        </w:rPr>
        <w:t>文件获取的</w:t>
      </w:r>
      <w:r>
        <w:rPr>
          <w:rFonts w:hint="eastAsia" w:ascii="仿宋" w:hAnsi="仿宋" w:eastAsia="仿宋" w:cs="仿宋"/>
          <w:color w:val="auto"/>
          <w:highlight w:val="none"/>
        </w:rPr>
        <w:t>投标人</w:t>
      </w:r>
      <w:r>
        <w:rPr>
          <w:rFonts w:hint="eastAsia" w:ascii="仿宋" w:hAnsi="仿宋" w:eastAsia="仿宋" w:cs="仿宋"/>
          <w:color w:val="auto"/>
          <w:highlight w:val="none"/>
        </w:rPr>
        <w:t>递交的投标</w:t>
      </w:r>
      <w:r>
        <w:rPr>
          <w:rFonts w:hint="eastAsia" w:ascii="仿宋" w:hAnsi="仿宋" w:eastAsia="仿宋" w:cs="仿宋"/>
          <w:color w:val="auto"/>
          <w:highlight w:val="none"/>
        </w:rPr>
        <w:t>文件。</w:t>
      </w:r>
    </w:p>
    <w:bookmarkEnd w:id="54"/>
    <w:bookmarkEnd w:id="55"/>
    <w:p>
      <w:pPr>
        <w:pStyle w:val="21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rPr>
        <w:t>6</w:t>
      </w:r>
      <w:r>
        <w:rPr>
          <w:rFonts w:hint="eastAsia" w:ascii="仿宋" w:hAnsi="仿宋" w:eastAsia="仿宋" w:cs="仿宋"/>
          <w:b/>
          <w:color w:val="auto"/>
          <w:szCs w:val="24"/>
          <w:highlight w:val="none"/>
        </w:rPr>
        <w:t>.投标文件的无效处理</w:t>
      </w:r>
    </w:p>
    <w:p>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21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rPr>
        <w:t>7</w:t>
      </w:r>
      <w:r>
        <w:rPr>
          <w:rFonts w:hint="eastAsia" w:ascii="仿宋" w:hAnsi="仿宋" w:eastAsia="仿宋" w:cs="仿宋"/>
          <w:b/>
          <w:color w:val="auto"/>
          <w:szCs w:val="24"/>
          <w:highlight w:val="none"/>
        </w:rPr>
        <w:t>.投标有效期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rPr>
        <w:t>7</w:t>
      </w:r>
      <w:r>
        <w:rPr>
          <w:rFonts w:hint="eastAsia" w:ascii="仿宋" w:hAnsi="仿宋" w:eastAsia="仿宋" w:cs="仿宋"/>
          <w:color w:val="auto"/>
          <w:sz w:val="24"/>
          <w:szCs w:val="20"/>
          <w:highlight w:val="none"/>
        </w:rPr>
        <w:t>.1投标有效期为从提交投标文件的截止之日起90天。▲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21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rPr>
        <w:t>7</w:t>
      </w:r>
      <w:r>
        <w:rPr>
          <w:rFonts w:hint="eastAsia" w:ascii="仿宋" w:hAnsi="仿宋" w:eastAsia="仿宋" w:cs="仿宋"/>
          <w:color w:val="auto"/>
          <w:highlight w:val="none"/>
        </w:rPr>
        <w:t>.2投标文件合格投递后，自投标截止日期起，在投标有效期内有效。</w:t>
      </w:r>
    </w:p>
    <w:p>
      <w:pPr>
        <w:pStyle w:val="21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rPr>
        <w:t>7</w:t>
      </w:r>
      <w:r>
        <w:rPr>
          <w:rFonts w:hint="eastAsia" w:ascii="仿宋" w:hAnsi="仿宋" w:eastAsia="仿宋" w:cs="仿宋"/>
          <w:color w:val="auto"/>
          <w:highlight w:val="none"/>
        </w:rPr>
        <w:t>.3在原定投标有效期满之前，如果出现特殊情况，采购机构可以以公告形式通知投标人延长投标有效期。</w:t>
      </w:r>
      <w:r>
        <w:rPr>
          <w:rFonts w:hint="eastAsia" w:ascii="仿宋" w:hAnsi="仿宋" w:eastAsia="仿宋" w:cs="仿宋"/>
          <w:color w:val="auto"/>
          <w:highlight w:val="none"/>
        </w:rPr>
        <w:t>投标人同意延长的，不得要求或被允许修改其投标文件，投标人拒绝延长的，其投标无效。</w:t>
      </w:r>
    </w:p>
    <w:p>
      <w:pPr>
        <w:pStyle w:val="217"/>
        <w:spacing w:before="0"/>
        <w:ind w:firstLine="1928" w:firstLineChars="600"/>
        <w:rPr>
          <w:rFonts w:hint="eastAsia" w:ascii="仿宋" w:hAnsi="仿宋" w:eastAsia="仿宋" w:cs="仿宋"/>
          <w:b/>
          <w:color w:val="auto"/>
          <w:sz w:val="32"/>
          <w:highlight w:val="none"/>
        </w:rPr>
      </w:pPr>
      <w:bookmarkStart w:id="57" w:name="_Toc91899897"/>
    </w:p>
    <w:p>
      <w:pPr>
        <w:pStyle w:val="217"/>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bookmarkEnd w:id="57"/>
      <w:r>
        <w:rPr>
          <w:rFonts w:hint="eastAsia" w:ascii="仿宋" w:hAnsi="仿宋" w:eastAsia="仿宋" w:cs="仿宋"/>
          <w:b/>
          <w:color w:val="auto"/>
          <w:sz w:val="32"/>
          <w:highlight w:val="none"/>
        </w:rPr>
        <w:t>、资格审查与信用信息查询</w:t>
      </w:r>
    </w:p>
    <w:p>
      <w:pPr>
        <w:pStyle w:val="49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pPr>
        <w:pStyle w:val="49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.1采购机构按照招标文件规定的时间通过电子交易平台组织开标，所有投标人均应当准时在线参加</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投标人不足3家的，不得开标。</w:t>
      </w:r>
    </w:p>
    <w:p>
      <w:pPr>
        <w:pStyle w:val="49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.2开标时，电子交易平台按开标时间自动提取所有投标文件。采购机构依托电子交易平台发起开始解密指令，投标人按照平台提示和招标文件的规定在半小时内完成在线解密。</w:t>
      </w:r>
    </w:p>
    <w:p>
      <w:pPr>
        <w:pStyle w:val="49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.3项目允许提供备份文件时，</w:t>
      </w:r>
      <w:r>
        <w:rPr>
          <w:rFonts w:hint="eastAsia" w:ascii="仿宋" w:hAnsi="仿宋" w:eastAsia="仿宋" w:cs="仿宋"/>
          <w:color w:val="auto"/>
          <w:sz w:val="24"/>
          <w:highlight w:val="none"/>
        </w:rPr>
        <w:t>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color w:val="auto"/>
          <w:sz w:val="24"/>
          <w:highlight w:val="none"/>
        </w:rPr>
        <w:t>投</w:t>
      </w:r>
      <w:r>
        <w:rPr>
          <w:rFonts w:hint="eastAsia" w:ascii="仿宋" w:hAnsi="仿宋" w:eastAsia="仿宋" w:cs="仿宋"/>
          <w:b/>
          <w:color w:val="auto"/>
          <w:sz w:val="24"/>
          <w:highlight w:val="none"/>
        </w:rPr>
        <w:t>标文件已按时解密的，备份投标文件自动失效。</w:t>
      </w:r>
    </w:p>
    <w:p>
      <w:pPr>
        <w:pStyle w:val="49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备份投标文件的接收</w:t>
      </w:r>
      <w:r>
        <w:rPr>
          <w:rFonts w:hint="eastAsia" w:ascii="仿宋" w:hAnsi="仿宋" w:eastAsia="仿宋" w:cs="仿宋"/>
          <w:color w:val="auto"/>
          <w:sz w:val="24"/>
          <w:highlight w:val="none"/>
        </w:rPr>
        <w:t>在招标文件确定的时间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rPr>
        <w:t>。</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color w:val="auto"/>
          <w:sz w:val="24"/>
          <w:szCs w:val="20"/>
          <w:highlight w:val="none"/>
        </w:rPr>
        <w:t>、资格审查</w:t>
      </w:r>
    </w:p>
    <w:p>
      <w:pPr>
        <w:pStyle w:val="21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rPr>
        <w:t>.1开标后，采购人将依法对投标人的资格进行审查。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21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rPr>
        <w:t>.3投标人未按照招标文件要求提供与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21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w:t>
      </w:r>
      <w:r>
        <w:rPr>
          <w:rFonts w:hint="eastAsia" w:ascii="仿宋" w:hAnsi="仿宋" w:eastAsia="仿宋" w:cs="仿宋"/>
          <w:color w:val="auto"/>
          <w:highlight w:val="none"/>
        </w:rPr>
        <w:t>.4对未通过资格审查的投标人，采购人或采购机构告知其未通过的原因。</w:t>
      </w:r>
    </w:p>
    <w:p>
      <w:pPr>
        <w:pStyle w:val="21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w:t>
      </w:r>
      <w:r>
        <w:rPr>
          <w:rFonts w:hint="eastAsia" w:ascii="仿宋" w:hAnsi="仿宋" w:eastAsia="仿宋" w:cs="仿宋"/>
          <w:color w:val="auto"/>
          <w:highlight w:val="none"/>
        </w:rPr>
        <w:t>.5合格投标人不足3家的，不再评标。</w:t>
      </w:r>
    </w:p>
    <w:p>
      <w:pPr>
        <w:pStyle w:val="21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rPr>
        <w:t>、信用信息查询</w:t>
      </w:r>
    </w:p>
    <w:p>
      <w:pPr>
        <w:pStyle w:val="21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kern w:val="0"/>
          <w:szCs w:val="24"/>
          <w:highlight w:val="none"/>
        </w:rPr>
        <w:t>.1信用信息查询渠道及截止时间：采购人或</w:t>
      </w:r>
      <w:r>
        <w:rPr>
          <w:rFonts w:hint="eastAsia" w:ascii="仿宋" w:hAnsi="仿宋" w:eastAsia="仿宋" w:cs="仿宋"/>
          <w:color w:val="auto"/>
          <w:kern w:val="0"/>
          <w:szCs w:val="24"/>
          <w:highlight w:val="none"/>
        </w:rPr>
        <w:t>采购机构</w:t>
      </w:r>
      <w:r>
        <w:rPr>
          <w:rFonts w:hint="eastAsia" w:ascii="仿宋" w:hAnsi="仿宋" w:eastAsia="仿宋" w:cs="仿宋"/>
          <w:color w:val="auto"/>
          <w:kern w:val="0"/>
          <w:szCs w:val="24"/>
          <w:highlight w:val="none"/>
        </w:rPr>
        <w:t>将通过“信用中国”网站(www.creditchina.gov.cn)、中国政府采购网(www.ccgp.gov.cn)渠道查询投标人投标截止时间前的信用记录。</w:t>
      </w:r>
    </w:p>
    <w:p>
      <w:pPr>
        <w:pStyle w:val="21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kern w:val="0"/>
          <w:szCs w:val="24"/>
          <w:highlight w:val="none"/>
        </w:rPr>
        <w:t>.2信用信息查询记录和证据留存的具体方式：现场查询的投标人的信用记录、查询结果经确认后将与采购文件一起存档。</w:t>
      </w:r>
    </w:p>
    <w:p>
      <w:pPr>
        <w:pStyle w:val="21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.3信用信息的使用规则：经查询列入失信被执行人名单、重大税收违法案件当事人名单、政府采购严重违法失信行为记录名单的投标人将被拒绝参与政府采购活动。</w:t>
      </w:r>
    </w:p>
    <w:p>
      <w:pPr>
        <w:pStyle w:val="21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217"/>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bookmarkStart w:id="58" w:name="_Hlt75236101"/>
      <w:bookmarkEnd w:id="58"/>
      <w:bookmarkStart w:id="59" w:name="_Toc91899902"/>
      <w:r>
        <w:rPr>
          <w:rFonts w:hint="eastAsia" w:ascii="仿宋" w:hAnsi="仿宋" w:eastAsia="仿宋" w:cs="仿宋"/>
          <w:b/>
          <w:color w:val="auto"/>
          <w:sz w:val="36"/>
          <w:szCs w:val="36"/>
          <w:highlight w:val="none"/>
        </w:rPr>
        <w:t>五、评标</w:t>
      </w:r>
      <w:bookmarkEnd w:id="59"/>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b/>
          <w:color w:val="auto"/>
          <w:highlight w:val="none"/>
        </w:rPr>
        <w:t>. 确定中标供应商</w:t>
      </w:r>
    </w:p>
    <w:p>
      <w:pPr>
        <w:pStyle w:val="21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pPr>
        <w:pStyle w:val="21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w:t>
      </w:r>
      <w:r>
        <w:rPr>
          <w:rFonts w:hint="eastAsia" w:ascii="仿宋" w:hAnsi="仿宋" w:eastAsia="仿宋" w:cs="仿宋"/>
          <w:b/>
          <w:color w:val="auto"/>
          <w:szCs w:val="24"/>
          <w:highlight w:val="none"/>
        </w:rPr>
        <w:t>.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sz w:val="24"/>
          <w:highlight w:val="none"/>
          <w:lang w:eastAsia="zh-CN"/>
        </w:rPr>
        <w:t>开标记录、未中标情况说明、</w:t>
      </w:r>
      <w:r>
        <w:rPr>
          <w:rFonts w:hint="eastAsia" w:ascii="仿宋" w:hAnsi="仿宋" w:eastAsia="仿宋" w:cs="仿宋"/>
          <w:color w:val="auto"/>
          <w:sz w:val="24"/>
          <w:highlight w:val="none"/>
        </w:rPr>
        <w:t>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w:t>
      </w:r>
      <w:r>
        <w:rPr>
          <w:rFonts w:hint="eastAsia" w:ascii="仿宋" w:hAnsi="仿宋" w:eastAsia="仿宋" w:cs="仿宋"/>
          <w:b/>
          <w:color w:val="auto"/>
          <w:highlight w:val="none"/>
        </w:rPr>
        <w:t>.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w:t>
      </w:r>
    </w:p>
    <w:p>
      <w:pPr>
        <w:pStyle w:val="21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w:t>
      </w:r>
      <w:r>
        <w:rPr>
          <w:rFonts w:hint="eastAsia" w:ascii="仿宋" w:hAnsi="仿宋" w:eastAsia="仿宋" w:cs="仿宋"/>
          <w:b/>
          <w:color w:val="auto"/>
          <w:highlight w:val="none"/>
        </w:rPr>
        <w:t>. 履约保证金</w:t>
      </w:r>
    </w:p>
    <w:p>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 xml:space="preserve">%。 </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w:t>
      </w:r>
      <w:r>
        <w:rPr>
          <w:rFonts w:hint="eastAsia" w:ascii="仿宋" w:hAnsi="仿宋" w:eastAsia="仿宋" w:cs="仿宋"/>
          <w:b/>
          <w:color w:val="auto"/>
          <w:sz w:val="32"/>
          <w:highlight w:val="none"/>
        </w:rPr>
        <w:t>电子</w:t>
      </w:r>
      <w:r>
        <w:rPr>
          <w:rFonts w:hint="eastAsia" w:ascii="仿宋" w:hAnsi="仿宋" w:eastAsia="仿宋" w:cs="仿宋"/>
          <w:b/>
          <w:color w:val="auto"/>
          <w:sz w:val="32"/>
          <w:highlight w:val="none"/>
        </w:rPr>
        <w:t>交易活动的中止</w:t>
      </w:r>
    </w:p>
    <w:p>
      <w:pPr>
        <w:pStyle w:val="21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27</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w:t>
      </w:r>
      <w:r>
        <w:rPr>
          <w:rFonts w:hint="eastAsia" w:ascii="仿宋" w:hAnsi="仿宋" w:eastAsia="仿宋" w:cs="仿宋"/>
          <w:color w:val="auto"/>
          <w:highlight w:val="none"/>
        </w:rPr>
        <w:t>导致</w:t>
      </w:r>
      <w:r>
        <w:rPr>
          <w:rFonts w:hint="eastAsia" w:ascii="仿宋" w:hAnsi="仿宋" w:eastAsia="仿宋" w:cs="仿宋"/>
          <w:color w:val="auto"/>
          <w:highlight w:val="none"/>
        </w:rPr>
        <w:t>电子交易平台</w:t>
      </w:r>
      <w:r>
        <w:rPr>
          <w:rFonts w:hint="eastAsia" w:ascii="仿宋" w:hAnsi="仿宋" w:eastAsia="仿宋" w:cs="仿宋"/>
          <w:color w:val="auto"/>
          <w:highlight w:val="none"/>
        </w:rPr>
        <w:t>无法正常运行，或者无法保证电子</w:t>
      </w:r>
      <w:r>
        <w:rPr>
          <w:rFonts w:hint="eastAsia" w:ascii="仿宋" w:hAnsi="仿宋" w:eastAsia="仿宋" w:cs="仿宋"/>
          <w:color w:val="auto"/>
          <w:highlight w:val="none"/>
        </w:rPr>
        <w:t>交易</w:t>
      </w:r>
      <w:r>
        <w:rPr>
          <w:rFonts w:hint="eastAsia" w:ascii="仿宋" w:hAnsi="仿宋" w:eastAsia="仿宋" w:cs="仿宋"/>
          <w:color w:val="auto"/>
          <w:highlight w:val="none"/>
        </w:rPr>
        <w:t>的公平、公正和安全时，</w:t>
      </w:r>
      <w:r>
        <w:rPr>
          <w:rFonts w:hint="eastAsia" w:ascii="仿宋" w:hAnsi="仿宋" w:eastAsia="仿宋" w:cs="仿宋"/>
          <w:color w:val="auto"/>
          <w:highlight w:val="none"/>
        </w:rPr>
        <w:t>采购机构可</w:t>
      </w:r>
      <w:r>
        <w:rPr>
          <w:rFonts w:hint="eastAsia" w:ascii="仿宋" w:hAnsi="仿宋" w:eastAsia="仿宋" w:cs="仿宋"/>
          <w:color w:val="auto"/>
          <w:highlight w:val="none"/>
        </w:rPr>
        <w:t>中止电子</w:t>
      </w:r>
      <w:r>
        <w:rPr>
          <w:rFonts w:hint="eastAsia" w:ascii="仿宋" w:hAnsi="仿宋" w:eastAsia="仿宋" w:cs="仿宋"/>
          <w:color w:val="auto"/>
          <w:highlight w:val="none"/>
        </w:rPr>
        <w:t>交易活动</w:t>
      </w:r>
      <w:r>
        <w:rPr>
          <w:rFonts w:hint="eastAsia" w:ascii="仿宋" w:hAnsi="仿宋" w:eastAsia="仿宋" w:cs="仿宋"/>
          <w:color w:val="auto"/>
          <w:highlight w:val="none"/>
        </w:rPr>
        <w:t>：</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w:t>
      </w:r>
      <w:r>
        <w:rPr>
          <w:rFonts w:hint="eastAsia" w:ascii="仿宋" w:hAnsi="仿宋" w:eastAsia="仿宋" w:cs="仿宋"/>
          <w:color w:val="auto"/>
          <w:highlight w:val="none"/>
        </w:rPr>
        <w:t>.1电子交易</w:t>
      </w:r>
      <w:r>
        <w:rPr>
          <w:rFonts w:hint="eastAsia" w:ascii="仿宋" w:hAnsi="仿宋" w:eastAsia="仿宋" w:cs="仿宋"/>
          <w:color w:val="auto"/>
          <w:highlight w:val="none"/>
        </w:rPr>
        <w:t>平台发生故障而无法</w:t>
      </w:r>
      <w:r>
        <w:rPr>
          <w:rFonts w:hint="eastAsia" w:ascii="仿宋" w:hAnsi="仿宋" w:eastAsia="仿宋" w:cs="仿宋"/>
          <w:color w:val="auto"/>
          <w:highlight w:val="none"/>
        </w:rPr>
        <w:t>登录</w:t>
      </w:r>
      <w:r>
        <w:rPr>
          <w:rFonts w:hint="eastAsia" w:ascii="仿宋" w:hAnsi="仿宋" w:eastAsia="仿宋" w:cs="仿宋"/>
          <w:color w:val="auto"/>
          <w:highlight w:val="none"/>
        </w:rPr>
        <w:t xml:space="preserve">访问的； </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w:t>
      </w:r>
      <w:r>
        <w:rPr>
          <w:rFonts w:hint="eastAsia" w:ascii="仿宋" w:hAnsi="仿宋" w:eastAsia="仿宋" w:cs="仿宋"/>
          <w:color w:val="auto"/>
          <w:highlight w:val="none"/>
        </w:rPr>
        <w:t>.2电子交易</w:t>
      </w:r>
      <w:r>
        <w:rPr>
          <w:rFonts w:hint="eastAsia" w:ascii="仿宋" w:hAnsi="仿宋" w:eastAsia="仿宋" w:cs="仿宋"/>
          <w:color w:val="auto"/>
          <w:highlight w:val="none"/>
        </w:rPr>
        <w:t>平台应用或数据库出现错误，不能进行正常操作</w:t>
      </w:r>
      <w:r>
        <w:rPr>
          <w:rFonts w:hint="eastAsia" w:ascii="仿宋" w:hAnsi="仿宋" w:eastAsia="仿宋" w:cs="仿宋"/>
          <w:color w:val="auto"/>
          <w:highlight w:val="none"/>
        </w:rPr>
        <w:t>的</w:t>
      </w:r>
      <w:r>
        <w:rPr>
          <w:rFonts w:hint="eastAsia" w:ascii="仿宋" w:hAnsi="仿宋" w:eastAsia="仿宋" w:cs="仿宋"/>
          <w:color w:val="auto"/>
          <w:highlight w:val="none"/>
        </w:rPr>
        <w:t>；</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w:t>
      </w:r>
      <w:r>
        <w:rPr>
          <w:rFonts w:hint="eastAsia" w:ascii="仿宋" w:hAnsi="仿宋" w:eastAsia="仿宋" w:cs="仿宋"/>
          <w:color w:val="auto"/>
          <w:highlight w:val="none"/>
        </w:rPr>
        <w:t>.3电子交易</w:t>
      </w:r>
      <w:r>
        <w:rPr>
          <w:rFonts w:hint="eastAsia" w:ascii="仿宋" w:hAnsi="仿宋" w:eastAsia="仿宋" w:cs="仿宋"/>
          <w:color w:val="auto"/>
          <w:highlight w:val="none"/>
        </w:rPr>
        <w:t>平台发现</w:t>
      </w:r>
      <w:r>
        <w:rPr>
          <w:rFonts w:hint="eastAsia" w:ascii="仿宋" w:hAnsi="仿宋" w:eastAsia="仿宋" w:cs="仿宋"/>
          <w:color w:val="auto"/>
          <w:highlight w:val="none"/>
        </w:rPr>
        <w:t>严重</w:t>
      </w:r>
      <w:r>
        <w:rPr>
          <w:rFonts w:hint="eastAsia" w:ascii="仿宋" w:hAnsi="仿宋" w:eastAsia="仿宋" w:cs="仿宋"/>
          <w:color w:val="auto"/>
          <w:highlight w:val="none"/>
        </w:rPr>
        <w:t>安全漏洞，有潜在泄密危险的</w:t>
      </w:r>
      <w:r>
        <w:rPr>
          <w:rFonts w:hint="eastAsia" w:ascii="仿宋" w:hAnsi="仿宋" w:eastAsia="仿宋" w:cs="仿宋"/>
          <w:color w:val="auto"/>
          <w:highlight w:val="none"/>
        </w:rPr>
        <w:t>；</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w:t>
      </w:r>
      <w:r>
        <w:rPr>
          <w:rFonts w:hint="eastAsia" w:ascii="仿宋" w:hAnsi="仿宋" w:eastAsia="仿宋" w:cs="仿宋"/>
          <w:color w:val="auto"/>
          <w:highlight w:val="none"/>
        </w:rPr>
        <w:t>.4</w:t>
      </w:r>
      <w:r>
        <w:rPr>
          <w:rFonts w:hint="eastAsia" w:ascii="仿宋" w:hAnsi="仿宋" w:eastAsia="仿宋" w:cs="仿宋"/>
          <w:color w:val="auto"/>
          <w:highlight w:val="none"/>
        </w:rPr>
        <w:t>病毒发作</w:t>
      </w:r>
      <w:r>
        <w:rPr>
          <w:rFonts w:hint="eastAsia" w:ascii="仿宋" w:hAnsi="仿宋" w:eastAsia="仿宋" w:cs="仿宋"/>
          <w:color w:val="auto"/>
          <w:highlight w:val="none"/>
        </w:rPr>
        <w:t>导致不能进行</w:t>
      </w:r>
      <w:r>
        <w:rPr>
          <w:rFonts w:hint="eastAsia" w:ascii="仿宋" w:hAnsi="仿宋" w:eastAsia="仿宋" w:cs="仿宋"/>
          <w:color w:val="auto"/>
          <w:highlight w:val="none"/>
        </w:rPr>
        <w:t xml:space="preserve">正常操作的； </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w:t>
      </w:r>
      <w:r>
        <w:rPr>
          <w:rFonts w:hint="eastAsia" w:ascii="仿宋" w:hAnsi="仿宋" w:eastAsia="仿宋" w:cs="仿宋"/>
          <w:color w:val="auto"/>
          <w:highlight w:val="none"/>
        </w:rPr>
        <w:t>.5其他</w:t>
      </w:r>
      <w:r>
        <w:rPr>
          <w:rFonts w:hint="eastAsia" w:ascii="仿宋" w:hAnsi="仿宋" w:eastAsia="仿宋" w:cs="仿宋"/>
          <w:color w:val="auto"/>
          <w:highlight w:val="none"/>
        </w:rPr>
        <w:t>无法保证</w:t>
      </w:r>
      <w:r>
        <w:rPr>
          <w:rFonts w:hint="eastAsia" w:ascii="仿宋" w:hAnsi="仿宋" w:eastAsia="仿宋" w:cs="仿宋"/>
          <w:color w:val="auto"/>
          <w:highlight w:val="none"/>
        </w:rPr>
        <w:t>电子交易</w:t>
      </w:r>
      <w:r>
        <w:rPr>
          <w:rFonts w:hint="eastAsia" w:ascii="仿宋" w:hAnsi="仿宋" w:eastAsia="仿宋" w:cs="仿宋"/>
          <w:color w:val="auto"/>
          <w:highlight w:val="none"/>
        </w:rPr>
        <w:t>的公平、公正和安全的情况。</w:t>
      </w:r>
    </w:p>
    <w:p>
      <w:pPr>
        <w:pStyle w:val="21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w:t>
      </w:r>
      <w:r>
        <w:rPr>
          <w:rFonts w:hint="eastAsia" w:ascii="仿宋" w:hAnsi="仿宋" w:eastAsia="仿宋" w:cs="仿宋"/>
          <w:color w:val="auto"/>
          <w:highlight w:val="none"/>
        </w:rPr>
        <w:t>以上情形</w:t>
      </w:r>
      <w:r>
        <w:rPr>
          <w:rFonts w:hint="eastAsia" w:ascii="仿宋" w:hAnsi="仿宋" w:eastAsia="仿宋" w:cs="仿宋"/>
          <w:color w:val="auto"/>
          <w:highlight w:val="none"/>
        </w:rPr>
        <w:t>，</w:t>
      </w:r>
      <w:r>
        <w:rPr>
          <w:rFonts w:hint="eastAsia" w:ascii="仿宋" w:hAnsi="仿宋" w:eastAsia="仿宋" w:cs="仿宋"/>
          <w:color w:val="auto"/>
          <w:highlight w:val="none"/>
        </w:rPr>
        <w:t>不影响采购公平、公正性的，采购组织机构可以</w:t>
      </w:r>
      <w:r>
        <w:rPr>
          <w:rFonts w:hint="eastAsia" w:ascii="仿宋" w:hAnsi="仿宋" w:eastAsia="仿宋" w:cs="仿宋"/>
          <w:color w:val="auto"/>
          <w:highlight w:val="none"/>
        </w:rPr>
        <w:t>待上述情形消除后继续</w:t>
      </w:r>
      <w:r>
        <w:rPr>
          <w:rFonts w:hint="eastAsia" w:ascii="仿宋" w:hAnsi="仿宋" w:eastAsia="仿宋" w:cs="仿宋"/>
          <w:color w:val="auto"/>
          <w:highlight w:val="none"/>
        </w:rPr>
        <w:t>组织电子交易</w:t>
      </w:r>
      <w:r>
        <w:rPr>
          <w:rFonts w:hint="eastAsia" w:ascii="仿宋" w:hAnsi="仿宋" w:eastAsia="仿宋" w:cs="仿宋"/>
          <w:color w:val="auto"/>
          <w:highlight w:val="none"/>
        </w:rPr>
        <w:t>活动</w:t>
      </w:r>
      <w:r>
        <w:rPr>
          <w:rFonts w:hint="eastAsia" w:ascii="仿宋" w:hAnsi="仿宋" w:eastAsia="仿宋" w:cs="仿宋"/>
          <w:color w:val="auto"/>
          <w:highlight w:val="none"/>
        </w:rPr>
        <w:t>，也可以决定某些环节以纸质形式进行；影响或可能影响</w:t>
      </w:r>
      <w:r>
        <w:rPr>
          <w:rFonts w:hint="eastAsia" w:ascii="仿宋" w:hAnsi="仿宋" w:eastAsia="仿宋" w:cs="仿宋"/>
          <w:color w:val="auto"/>
          <w:highlight w:val="none"/>
        </w:rPr>
        <w:t>采购公平、公正</w:t>
      </w:r>
      <w:r>
        <w:rPr>
          <w:rFonts w:hint="eastAsia" w:ascii="仿宋" w:hAnsi="仿宋" w:eastAsia="仿宋" w:cs="仿宋"/>
          <w:color w:val="auto"/>
          <w:highlight w:val="none"/>
        </w:rPr>
        <w:t>性</w:t>
      </w:r>
      <w:r>
        <w:rPr>
          <w:rFonts w:hint="eastAsia" w:ascii="仿宋" w:hAnsi="仿宋" w:eastAsia="仿宋" w:cs="仿宋"/>
          <w:color w:val="auto"/>
          <w:highlight w:val="none"/>
        </w:rPr>
        <w:t>的，</w:t>
      </w:r>
      <w:r>
        <w:rPr>
          <w:rFonts w:hint="eastAsia" w:ascii="仿宋" w:hAnsi="仿宋" w:eastAsia="仿宋" w:cs="仿宋"/>
          <w:color w:val="auto"/>
          <w:highlight w:val="none"/>
        </w:rPr>
        <w:t>应当重新采购</w:t>
      </w:r>
      <w:r>
        <w:rPr>
          <w:rFonts w:hint="eastAsia" w:ascii="仿宋" w:hAnsi="仿宋" w:eastAsia="仿宋" w:cs="仿宋"/>
          <w:color w:val="auto"/>
          <w:highlight w:val="none"/>
        </w:rPr>
        <w:t>。</w:t>
      </w:r>
    </w:p>
    <w:p>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w:t>
      </w:r>
      <w:r>
        <w:rPr>
          <w:rFonts w:hint="eastAsia" w:ascii="仿宋" w:hAnsi="仿宋" w:eastAsia="仿宋" w:cs="仿宋"/>
          <w:b/>
          <w:color w:val="auto"/>
          <w:highlight w:val="none"/>
        </w:rPr>
        <w:t>.验收</w:t>
      </w:r>
    </w:p>
    <w:p>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w:t>
      </w:r>
      <w:r>
        <w:rPr>
          <w:rFonts w:hint="eastAsia" w:ascii="仿宋" w:hAnsi="仿宋" w:eastAsia="仿宋" w:cs="仿宋"/>
          <w:color w:val="auto"/>
          <w:kern w:val="0"/>
          <w:sz w:val="24"/>
          <w:highlight w:val="none"/>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rPr>
        <w:t>万元（含）以上的或使用镇（街道平台）财政性资金采购且合同金额在</w:t>
      </w:r>
      <w:r>
        <w:rPr>
          <w:rFonts w:hint="eastAsia" w:ascii="仿宋" w:hAnsi="仿宋" w:eastAsia="仿宋" w:cs="仿宋"/>
          <w:color w:val="auto"/>
          <w:kern w:val="0"/>
          <w:sz w:val="24"/>
          <w:highlight w:val="none"/>
        </w:rPr>
        <w:t>50</w:t>
      </w:r>
      <w:r>
        <w:rPr>
          <w:rFonts w:hint="eastAsia" w:ascii="仿宋" w:hAnsi="仿宋" w:eastAsia="仿宋" w:cs="仿宋"/>
          <w:color w:val="auto"/>
          <w:kern w:val="0"/>
          <w:sz w:val="24"/>
          <w:highlight w:val="none"/>
        </w:rPr>
        <w:t>万元（含）以上的货物类政府采购项目的验收，按萧市监【</w:t>
      </w:r>
      <w:r>
        <w:rPr>
          <w:rFonts w:hint="eastAsia" w:ascii="仿宋" w:hAnsi="仿宋" w:eastAsia="仿宋" w:cs="仿宋"/>
          <w:color w:val="auto"/>
          <w:kern w:val="0"/>
          <w:sz w:val="24"/>
          <w:highlight w:val="none"/>
        </w:rPr>
        <w:t>2015</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t>127</w:t>
      </w:r>
      <w:r>
        <w:rPr>
          <w:rFonts w:hint="eastAsia" w:ascii="仿宋" w:hAnsi="仿宋" w:eastAsia="仿宋" w:cs="仿宋"/>
          <w:color w:val="auto"/>
          <w:kern w:val="0"/>
          <w:sz w:val="24"/>
          <w:highlight w:val="none"/>
        </w:rPr>
        <w:t>号、萧市监【</w:t>
      </w:r>
      <w:r>
        <w:rPr>
          <w:rFonts w:hint="eastAsia" w:ascii="仿宋" w:hAnsi="仿宋" w:eastAsia="仿宋" w:cs="仿宋"/>
          <w:color w:val="auto"/>
          <w:kern w:val="0"/>
          <w:sz w:val="24"/>
          <w:highlight w:val="none"/>
        </w:rPr>
        <w:t>2019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rPr>
        <w:t>号等</w:t>
      </w:r>
      <w:r>
        <w:rPr>
          <w:rFonts w:hint="eastAsia" w:ascii="仿宋" w:hAnsi="仿宋" w:eastAsia="仿宋" w:cs="仿宋"/>
          <w:color w:val="auto"/>
          <w:kern w:val="0"/>
          <w:sz w:val="24"/>
          <w:highlight w:val="none"/>
        </w:rPr>
        <w:t>相关</w:t>
      </w:r>
      <w:r>
        <w:rPr>
          <w:rFonts w:hint="eastAsia" w:ascii="仿宋" w:hAnsi="仿宋" w:eastAsia="仿宋" w:cs="仿宋"/>
          <w:color w:val="auto"/>
          <w:kern w:val="0"/>
          <w:sz w:val="24"/>
          <w:highlight w:val="none"/>
        </w:rPr>
        <w:t>文件执行（如</w:t>
      </w:r>
      <w:r>
        <w:rPr>
          <w:rFonts w:hint="eastAsia" w:ascii="仿宋" w:hAnsi="仿宋" w:eastAsia="仿宋" w:cs="仿宋"/>
          <w:color w:val="auto"/>
          <w:kern w:val="0"/>
          <w:sz w:val="24"/>
          <w:highlight w:val="none"/>
        </w:rPr>
        <w:t>项目发布之时已有新</w:t>
      </w:r>
      <w:r>
        <w:rPr>
          <w:rFonts w:hint="eastAsia" w:ascii="仿宋" w:hAnsi="仿宋" w:eastAsia="仿宋" w:cs="仿宋"/>
          <w:color w:val="auto"/>
          <w:kern w:val="0"/>
          <w:sz w:val="24"/>
          <w:highlight w:val="none"/>
        </w:rPr>
        <w:t>文件</w:t>
      </w:r>
      <w:r>
        <w:rPr>
          <w:rFonts w:hint="eastAsia" w:ascii="仿宋" w:hAnsi="仿宋" w:eastAsia="仿宋" w:cs="仿宋"/>
          <w:color w:val="auto"/>
          <w:kern w:val="0"/>
          <w:sz w:val="24"/>
          <w:highlight w:val="none"/>
        </w:rPr>
        <w:t>，按照最新文件执行</w:t>
      </w:r>
      <w:r>
        <w:rPr>
          <w:rFonts w:hint="eastAsia" w:ascii="仿宋" w:hAnsi="仿宋" w:eastAsia="仿宋" w:cs="仿宋"/>
          <w:color w:val="auto"/>
          <w:kern w:val="0"/>
          <w:sz w:val="24"/>
          <w:highlight w:val="none"/>
        </w:rPr>
        <w:t>）。存在隐蔽工程的项目，采购单位及供应商应在货物到货并将实施安装前，申请进行初验收。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w:t>
      </w:r>
      <w:r>
        <w:rPr>
          <w:rFonts w:hint="eastAsia" w:ascii="仿宋" w:hAnsi="仿宋" w:eastAsia="仿宋" w:cs="仿宋"/>
          <w:color w:val="auto"/>
          <w:kern w:val="0"/>
          <w:sz w:val="24"/>
          <w:highlight w:val="none"/>
        </w:rPr>
        <w:t>.2除</w:t>
      </w:r>
      <w:r>
        <w:rPr>
          <w:rFonts w:hint="eastAsia" w:ascii="仿宋" w:hAnsi="仿宋" w:eastAsia="仿宋" w:cs="仿宋"/>
          <w:color w:val="auto"/>
          <w:kern w:val="0"/>
          <w:sz w:val="24"/>
          <w:highlight w:val="none"/>
        </w:rPr>
        <w:t>28</w:t>
      </w:r>
      <w:r>
        <w:rPr>
          <w:rFonts w:hint="eastAsia" w:ascii="仿宋" w:hAnsi="仿宋" w:eastAsia="仿宋" w:cs="仿宋"/>
          <w:color w:val="auto"/>
          <w:kern w:val="0"/>
          <w:sz w:val="24"/>
          <w:highlight w:val="none"/>
        </w:rPr>
        <w:t>.1规定情形外，采购人可以自行验收或邀请参加本项目的其他投标人或者第三方机构参与验收。</w:t>
      </w:r>
    </w:p>
    <w:p>
      <w:pPr>
        <w:adjustRightInd/>
        <w:spacing w:line="360" w:lineRule="auto"/>
        <w:ind w:firstLine="3845" w:firstLineChars="1197"/>
        <w:outlineLvl w:val="0"/>
        <w:rPr>
          <w:rFonts w:hint="eastAsia" w:ascii="仿宋" w:hAnsi="仿宋" w:eastAsia="仿宋" w:cs="仿宋"/>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4"/>
        <w:rPr>
          <w:rFonts w:hint="eastAsia" w:ascii="仿宋" w:hAnsi="仿宋" w:eastAsia="仿宋" w:cs="仿宋"/>
          <w:color w:val="auto"/>
          <w:highlight w:val="none"/>
        </w:rPr>
      </w:pPr>
      <w:bookmarkStart w:id="60" w:name="第四部分"/>
      <w:r>
        <w:rPr>
          <w:rFonts w:hint="eastAsia" w:ascii="仿宋" w:hAnsi="仿宋" w:eastAsia="仿宋" w:cs="仿宋"/>
          <w:color w:val="auto"/>
          <w:highlight w:val="none"/>
        </w:rPr>
        <w:t>第三部分   采购需求</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pStyle w:val="6"/>
        <w:numPr>
          <w:ilvl w:val="2"/>
          <w:numId w:val="0"/>
        </w:numPr>
        <w:ind w:left="180" w:leftChars="0"/>
        <w:jc w:val="center"/>
        <w:rPr>
          <w:rFonts w:hint="eastAsia" w:ascii="仿宋" w:hAnsi="仿宋" w:eastAsia="仿宋" w:cs="仿宋"/>
          <w:color w:val="auto"/>
          <w:sz w:val="24"/>
          <w:szCs w:val="24"/>
          <w:highlight w:val="none"/>
        </w:rPr>
      </w:pPr>
      <w:bookmarkStart w:id="61" w:name="_Toc16173964"/>
      <w:bookmarkStart w:id="62" w:name="_Toc523909753"/>
      <w:r>
        <w:rPr>
          <w:rFonts w:hint="eastAsia" w:ascii="仿宋" w:hAnsi="仿宋" w:eastAsia="仿宋" w:cs="仿宋"/>
          <w:color w:val="auto"/>
          <w:sz w:val="24"/>
          <w:szCs w:val="24"/>
          <w:highlight w:val="none"/>
        </w:rPr>
        <w:t>一、采购一览表</w:t>
      </w:r>
      <w:bookmarkEnd w:id="61"/>
      <w:bookmarkEnd w:id="62"/>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949"/>
        <w:gridCol w:w="2001"/>
        <w:gridCol w:w="801"/>
        <w:gridCol w:w="801"/>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bookmarkStart w:id="63" w:name="_二期网络工程项目改造需求"/>
            <w:bookmarkEnd w:id="63"/>
            <w:r>
              <w:rPr>
                <w:rFonts w:hint="eastAsia" w:ascii="仿宋" w:hAnsi="仿宋" w:eastAsia="仿宋" w:cs="仿宋"/>
                <w:color w:val="auto"/>
                <w:sz w:val="24"/>
                <w:szCs w:val="24"/>
                <w:highlight w:val="none"/>
              </w:rPr>
              <w:t>标项</w:t>
            </w:r>
          </w:p>
        </w:tc>
        <w:tc>
          <w:tcPr>
            <w:tcW w:w="3949"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名   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规格及技术要求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1</w:t>
            </w:r>
          </w:p>
        </w:tc>
        <w:tc>
          <w:tcPr>
            <w:tcW w:w="3949"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杭州市萧山区中医院一般检验外送检测采购项目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 xml:space="preserve"> 详见采购需求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b/>
                <w:color w:val="auto"/>
                <w:spacing w:val="-8"/>
                <w:sz w:val="24"/>
                <w:szCs w:val="24"/>
                <w:highlight w:val="none"/>
              </w:rPr>
            </w:pPr>
            <w:r>
              <w:rPr>
                <w:rFonts w:hint="eastAsia" w:ascii="仿宋" w:hAnsi="仿宋" w:eastAsia="仿宋" w:cs="仿宋"/>
                <w:color w:val="auto"/>
                <w:sz w:val="24"/>
                <w:szCs w:val="24"/>
                <w:highlight w:val="none"/>
              </w:rPr>
              <w:t>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仿宋" w:hAnsi="仿宋" w:eastAsia="仿宋" w:cs="仿宋"/>
                <w:color w:val="auto"/>
                <w:sz w:val="24"/>
                <w:szCs w:val="24"/>
                <w:highlight w:val="none"/>
              </w:rPr>
            </w:pPr>
          </w:p>
        </w:tc>
      </w:tr>
    </w:tbl>
    <w:p>
      <w:pPr>
        <w:pStyle w:val="6"/>
        <w:numPr>
          <w:ilvl w:val="2"/>
          <w:numId w:val="0"/>
        </w:numPr>
        <w:ind w:left="180" w:leftChars="0"/>
        <w:jc w:val="center"/>
        <w:rPr>
          <w:rFonts w:hint="eastAsia" w:ascii="仿宋" w:hAnsi="仿宋" w:eastAsia="仿宋" w:cs="仿宋"/>
          <w:bCs/>
          <w:color w:val="auto"/>
          <w:sz w:val="24"/>
          <w:szCs w:val="24"/>
          <w:highlight w:val="none"/>
        </w:rPr>
      </w:pPr>
      <w:bookmarkStart w:id="64" w:name="_Toc16173965"/>
      <w:r>
        <w:rPr>
          <w:rFonts w:hint="eastAsia" w:ascii="仿宋" w:hAnsi="仿宋" w:eastAsia="仿宋" w:cs="仿宋"/>
          <w:bCs/>
          <w:color w:val="auto"/>
          <w:sz w:val="24"/>
          <w:szCs w:val="24"/>
          <w:highlight w:val="none"/>
        </w:rPr>
        <w:t>二、采购需求</w:t>
      </w:r>
      <w:bookmarkEnd w:id="64"/>
    </w:p>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（一）、技术需求</w:t>
      </w:r>
    </w:p>
    <w:p>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1.服务内容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具体包括：标本接收、运输、检测、报告送到医院、售后、投诉和纠纷处理以及相关附加服务。</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2.检验要求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（1）提供相应的《项目总汇与采样手册》及《临床检验指导手册》，开展项目能满足临床需求。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周一至周日工作时间内，派工作人员在医院实时收取标本，及时处理，每天一次，特殊情况按需接收，每批实时做好登记，同时与医院LIS做好核对。按标本保存条件进行运输，对保证标本的可靠性和有效性负责，保证检验报告的准确性和及时性。必须做好与医院LIS的对接，提供的报告在医院LIS系统里按医院的报告格式发放，但台头必须是杭州市萧山区中医院，附检验单位地址、联系方式、签名为独立检验所及工作人员。医院可实时通过网络查收外送标本已完成的报告。当外送标本报告不能在医院LIS上查询时，应立即派人员妥善处理。如检测结果为危急值，应立即报告给科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（3）对检验后的标本进行妥善保存，以便检验结果有疑义时进行免费复查或再委托其他第三方检验，这种情况所发生的费用，由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▲（4）对于因标本丢失、未在规定时间内出具报告或检验项目检测结果不准确等造成的医疗事故（医疗事件）或医疗纠纷，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承担全部经济及法律责任，并提出书面承诺。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对交易发起人不明原因（非院方及患者原因或产品质量问题）引起的医疗投诉、纠纷，能协助交易发起人做好患者的协调工作，并承担一定的处理费用。若不能积极配合者，下次招标不予考虑。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▲（5）外送软件与医院LIS系统做好接口，结果实时自动准确导入，接口费用由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▲（6）检测者需为检验技师及以上职称人员，复核者需为主管检验师及以上职称。响应时提供人员资质证书和社保机构出具的近6个月社保证明原件。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（7）合同期内，由于代理权限的转移或者公司注销等原因，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应以书面的形式说明原因并协助医院做好产品的延续工作。同时医院有权重新确定新</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质量或服务不能达到规定要求，医院将终止合同并由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承担一切损失。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（9）遵守保密制度，保护受检者的秘密，未经许可，不得向无关人员泄露受检者的检测情况，如有传染病阳性的报告，应负责及时报告给送检单位。</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3.对检测结果要求及违约处理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（1）医院应在检测项目要求的规定时间内，协助</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按照规定的方式对其所采集的检测标本进行前处理和存储。如因医院采集或处理存储不当造成检测标本不符检测要求的，由医院自行承担后果。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（2）检测标本的交付：医院应将检测标本统一存放在双方约定的地点，并安排人员与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配送专员进行检测标本交接签收。</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（3）因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未履行本合同约定的义务（包括但不限于未及时报送检测报告、检测结果不准确、检测标本毁损甚至丢失、检测标本及结果向第三方泄露），医院有权终止合同，并要求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支付违约金，违约金约定为合同期累计外包费用的1‰，医院可直接从应付款项中扣除违约金。如果给被检人造成损失的，应赔偿相应的损失。</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（二）商务需求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1.服务期限:服务时间为自合同签订</w:t>
      </w:r>
      <w:r>
        <w:rPr>
          <w:rFonts w:hint="eastAsia" w:ascii="仿宋" w:hAnsi="仿宋" w:eastAsia="仿宋" w:cs="仿宋"/>
          <w:color w:val="auto"/>
          <w:sz w:val="24"/>
          <w:szCs w:val="24"/>
          <w:highlight w:val="none"/>
          <w:lang w:eastAsia="zh-CN"/>
        </w:rPr>
        <w:t>之日起</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标本外送检测服务的收取具本次招标的检测项目占浙江省医疗服务价格收费标准的百分比（小写，小数点后保留两位，如50.00）。所有检测项目的折扣率均须一致。如：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投标报价为50.00%，即中标后按检测项目浙江省医疗服务价格收费标准×50.00%的价格执行体为：标本外送检测服务费=外送检验项目医院收入×</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价。</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最高折扣不能高于75%。</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核算的唯一标准是浙江省医疗服务行业物价收费标准。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除政策调整因素外，合同期内投标价不能调整。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检测服务费包括但不限于样本采集、运输服务，配套车辆设备，配套服务人员，售后服务，质量监控信息，外送标本检测成本等完成本项目所产的一切费用，医院除标本检测服务费，不再另收支付任何其他费用。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3.付款方式：检测费用按月结算，业务量的结算以当月检测清单或外送标本登记的签收记录为准。次月30日为费用结算日。（账期60天）全额付款。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应根据医院要求提供相关资质证明材料原件（包括但不限于仪器、试剂、校准品、质控品、人员资质、第三方评价证书等），双方以此作为提供检验报告的依据。未按要求提供材料的，医院有权取消该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的中标资格，重新组织招标。合同履行期间，医院视具体中标和使用情况，对不符合医院使用要求的个别项目产品进行调整，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应配合做好相关工作。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（2）合同期内，若</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累计三次无正当理由不能提供相应服务，医院有权取消合同。合同期内，医院可采取盲样考核或实地飞行检查方式验证结果的可靠性。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（3）在合同履行期间如遇上级部门出台规定，合同标的需执行该规定，本合同自行终止，有关合同的遗留问题由双方协商解决。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（4）合同期满后，在医院没有再次进行招标前，或因再次招标至</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改变，原</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必须协助医院做好衔接工作且供应价不变。合同期内，如有授权、法人等变更情况，医院有权中止合同。</w:t>
      </w:r>
    </w:p>
    <w:p>
      <w:pPr>
        <w:pStyle w:val="6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（5）因不可预见的政策性调整，甲方有权终止合同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（6）全面导入ISO15189质量管理体系并协助质量体系的建设。</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第四部分   </w:t>
      </w:r>
      <w:bookmarkStart w:id="65" w:name="_Toc184308105"/>
      <w:bookmarkEnd w:id="65"/>
      <w:bookmarkStart w:id="66" w:name="_Toc184312094"/>
      <w:bookmarkEnd w:id="66"/>
      <w:bookmarkStart w:id="67" w:name="_Toc184308041"/>
      <w:bookmarkEnd w:id="67"/>
      <w:bookmarkStart w:id="68" w:name="_Toc184310342"/>
      <w:bookmarkEnd w:id="68"/>
      <w:bookmarkStart w:id="69" w:name="_Toc184312072"/>
      <w:bookmarkEnd w:id="69"/>
      <w:bookmarkStart w:id="70" w:name="_Toc184313243"/>
      <w:bookmarkEnd w:id="70"/>
      <w:bookmarkStart w:id="71" w:name="_Toc184308042"/>
      <w:bookmarkEnd w:id="71"/>
      <w:bookmarkStart w:id="72" w:name="_Toc184308040"/>
      <w:bookmarkEnd w:id="72"/>
      <w:bookmarkStart w:id="73" w:name="_Toc184310277"/>
      <w:bookmarkEnd w:id="73"/>
      <w:bookmarkStart w:id="74" w:name="_Toc184308044"/>
      <w:bookmarkEnd w:id="74"/>
      <w:bookmarkStart w:id="75" w:name="_Toc184312085"/>
      <w:bookmarkEnd w:id="75"/>
      <w:bookmarkStart w:id="76" w:name="_Toc184313244"/>
      <w:bookmarkEnd w:id="76"/>
      <w:bookmarkStart w:id="77" w:name="_Toc184308043"/>
      <w:bookmarkEnd w:id="77"/>
      <w:bookmarkStart w:id="78" w:name="_Toc184310322"/>
      <w:bookmarkEnd w:id="78"/>
      <w:bookmarkStart w:id="79" w:name="_Toc184310279"/>
      <w:bookmarkEnd w:id="79"/>
      <w:bookmarkStart w:id="80" w:name="_Toc184314415"/>
      <w:bookmarkEnd w:id="80"/>
      <w:bookmarkStart w:id="81" w:name="_Toc184313246"/>
      <w:bookmarkEnd w:id="81"/>
      <w:bookmarkStart w:id="82" w:name="_Toc184308055"/>
      <w:bookmarkEnd w:id="82"/>
      <w:bookmarkStart w:id="83" w:name="_Toc184312084"/>
      <w:bookmarkEnd w:id="83"/>
      <w:bookmarkStart w:id="84" w:name="_Toc184313263"/>
      <w:bookmarkEnd w:id="84"/>
      <w:bookmarkStart w:id="85" w:name="_Toc184313277"/>
      <w:bookmarkEnd w:id="85"/>
      <w:bookmarkStart w:id="86" w:name="_Toc184313245"/>
      <w:bookmarkEnd w:id="86"/>
      <w:bookmarkStart w:id="87" w:name="_Toc184313262"/>
      <w:bookmarkEnd w:id="87"/>
      <w:bookmarkStart w:id="88" w:name="_Toc184310274"/>
      <w:bookmarkEnd w:id="88"/>
      <w:bookmarkStart w:id="89" w:name="_Toc184314449"/>
      <w:bookmarkEnd w:id="89"/>
      <w:bookmarkStart w:id="90" w:name="_Toc184314414"/>
      <w:bookmarkEnd w:id="90"/>
      <w:bookmarkStart w:id="91" w:name="_Toc184314459"/>
      <w:bookmarkEnd w:id="91"/>
      <w:bookmarkStart w:id="92" w:name="_Toc184313280"/>
      <w:bookmarkEnd w:id="92"/>
      <w:bookmarkStart w:id="93" w:name="_Toc184308037"/>
      <w:bookmarkEnd w:id="93"/>
      <w:bookmarkStart w:id="94" w:name="_Toc184314450"/>
      <w:bookmarkEnd w:id="94"/>
      <w:bookmarkStart w:id="95" w:name="_Toc184310317"/>
      <w:bookmarkEnd w:id="95"/>
      <w:bookmarkStart w:id="96" w:name="_Toc184310278"/>
      <w:bookmarkEnd w:id="96"/>
      <w:bookmarkStart w:id="97" w:name="_Toc184314417"/>
      <w:bookmarkEnd w:id="97"/>
      <w:bookmarkStart w:id="98" w:name="_Toc184313287"/>
      <w:bookmarkEnd w:id="98"/>
      <w:bookmarkStart w:id="99" w:name="_Toc184310298"/>
      <w:bookmarkEnd w:id="99"/>
      <w:bookmarkStart w:id="100" w:name="_Toc184310296"/>
      <w:bookmarkEnd w:id="100"/>
      <w:bookmarkStart w:id="101" w:name="_Toc184314416"/>
      <w:bookmarkEnd w:id="101"/>
      <w:bookmarkStart w:id="102" w:name="_Toc184312075"/>
      <w:bookmarkEnd w:id="102"/>
      <w:bookmarkStart w:id="103" w:name="_Toc184314412"/>
      <w:bookmarkEnd w:id="103"/>
      <w:bookmarkStart w:id="104" w:name="_Toc184310314"/>
      <w:bookmarkEnd w:id="104"/>
      <w:bookmarkStart w:id="105" w:name="_Toc184312117"/>
      <w:bookmarkEnd w:id="105"/>
      <w:bookmarkStart w:id="106" w:name="_Toc184314431"/>
      <w:bookmarkEnd w:id="106"/>
      <w:bookmarkStart w:id="107" w:name="_Toc184312073"/>
      <w:bookmarkEnd w:id="107"/>
      <w:bookmarkStart w:id="108" w:name="_Toc184313251"/>
      <w:bookmarkEnd w:id="108"/>
      <w:bookmarkStart w:id="109" w:name="_Toc184312074"/>
      <w:bookmarkEnd w:id="109"/>
      <w:bookmarkStart w:id="110" w:name="_Toc184312135"/>
      <w:bookmarkEnd w:id="110"/>
      <w:bookmarkStart w:id="111" w:name="_Toc184308101"/>
      <w:bookmarkEnd w:id="111"/>
      <w:bookmarkStart w:id="112" w:name="_Toc184313307"/>
      <w:bookmarkEnd w:id="112"/>
      <w:bookmarkStart w:id="113" w:name="_Toc184313281"/>
      <w:bookmarkEnd w:id="113"/>
      <w:bookmarkStart w:id="114" w:name="_Toc184312070"/>
      <w:bookmarkEnd w:id="114"/>
      <w:bookmarkStart w:id="115" w:name="_Toc184308039"/>
      <w:bookmarkEnd w:id="115"/>
      <w:bookmarkStart w:id="116" w:name="_Toc184314478"/>
      <w:bookmarkEnd w:id="116"/>
      <w:bookmarkStart w:id="117" w:name="_Toc184313254"/>
      <w:bookmarkEnd w:id="117"/>
      <w:bookmarkStart w:id="118" w:name="_Toc184310292"/>
      <w:bookmarkEnd w:id="118"/>
      <w:bookmarkStart w:id="119" w:name="_Toc184310280"/>
      <w:bookmarkEnd w:id="119"/>
      <w:bookmarkStart w:id="120" w:name="_Toc184314447"/>
      <w:bookmarkEnd w:id="120"/>
      <w:bookmarkStart w:id="121" w:name="_Toc184314430"/>
      <w:bookmarkEnd w:id="121"/>
      <w:bookmarkStart w:id="122" w:name="_Toc184310336"/>
      <w:bookmarkEnd w:id="122"/>
      <w:bookmarkStart w:id="123" w:name="_Toc184312086"/>
      <w:bookmarkEnd w:id="123"/>
      <w:bookmarkStart w:id="124" w:name="_Toc184314458"/>
      <w:bookmarkEnd w:id="124"/>
      <w:bookmarkStart w:id="125" w:name="_Toc184308054"/>
      <w:bookmarkEnd w:id="125"/>
      <w:bookmarkStart w:id="126" w:name="_Toc184308049"/>
      <w:bookmarkEnd w:id="126"/>
      <w:bookmarkStart w:id="127" w:name="_Toc184313306"/>
      <w:bookmarkEnd w:id="127"/>
      <w:bookmarkStart w:id="128" w:name="_Toc184308053"/>
      <w:bookmarkEnd w:id="128"/>
      <w:bookmarkStart w:id="129" w:name="_Toc184312069"/>
      <w:bookmarkEnd w:id="129"/>
      <w:bookmarkStart w:id="130" w:name="_Toc184313257"/>
      <w:bookmarkEnd w:id="130"/>
      <w:bookmarkStart w:id="131" w:name="_Toc184310275"/>
      <w:bookmarkEnd w:id="131"/>
      <w:bookmarkStart w:id="132" w:name="_Toc184310291"/>
      <w:bookmarkEnd w:id="132"/>
      <w:bookmarkStart w:id="133" w:name="_Toc184313275"/>
      <w:bookmarkEnd w:id="133"/>
      <w:bookmarkStart w:id="134" w:name="_Toc184308057"/>
      <w:bookmarkEnd w:id="134"/>
      <w:bookmarkStart w:id="135" w:name="_Toc184313253"/>
      <w:bookmarkEnd w:id="135"/>
      <w:bookmarkStart w:id="136" w:name="_Toc184308081"/>
      <w:bookmarkEnd w:id="136"/>
      <w:bookmarkStart w:id="137" w:name="_Toc184314418"/>
      <w:bookmarkEnd w:id="137"/>
      <w:bookmarkStart w:id="138" w:name="_Toc184312115"/>
      <w:bookmarkEnd w:id="138"/>
      <w:bookmarkStart w:id="139" w:name="_Toc184314473"/>
      <w:bookmarkEnd w:id="139"/>
      <w:bookmarkStart w:id="140" w:name="_Toc184308047"/>
      <w:bookmarkEnd w:id="140"/>
      <w:bookmarkStart w:id="141" w:name="_Toc184310341"/>
      <w:bookmarkEnd w:id="141"/>
      <w:bookmarkStart w:id="142" w:name="_Toc184312112"/>
      <w:bookmarkEnd w:id="142"/>
      <w:bookmarkStart w:id="143" w:name="_Toc184314440"/>
      <w:bookmarkEnd w:id="143"/>
      <w:bookmarkStart w:id="144" w:name="_Toc184310281"/>
      <w:bookmarkEnd w:id="144"/>
      <w:bookmarkStart w:id="145" w:name="_Toc184314475"/>
      <w:bookmarkEnd w:id="145"/>
      <w:bookmarkStart w:id="146" w:name="_Toc184310299"/>
      <w:bookmarkEnd w:id="146"/>
      <w:bookmarkStart w:id="147" w:name="_Toc184313260"/>
      <w:bookmarkEnd w:id="147"/>
      <w:bookmarkStart w:id="148" w:name="_Toc184314446"/>
      <w:bookmarkEnd w:id="148"/>
      <w:bookmarkStart w:id="149" w:name="_Toc184314432"/>
      <w:bookmarkEnd w:id="149"/>
      <w:bookmarkStart w:id="150" w:name="_Toc184314426"/>
      <w:bookmarkEnd w:id="150"/>
      <w:bookmarkStart w:id="151" w:name="_Toc184310288"/>
      <w:bookmarkEnd w:id="151"/>
      <w:bookmarkStart w:id="152" w:name="_Toc184308058"/>
      <w:bookmarkEnd w:id="152"/>
      <w:bookmarkStart w:id="153" w:name="_Toc184313283"/>
      <w:bookmarkEnd w:id="153"/>
      <w:bookmarkStart w:id="154" w:name="_Toc184310289"/>
      <w:bookmarkEnd w:id="154"/>
      <w:bookmarkStart w:id="155" w:name="_Toc184312087"/>
      <w:bookmarkEnd w:id="155"/>
      <w:bookmarkStart w:id="156" w:name="_Toc184314454"/>
      <w:bookmarkEnd w:id="156"/>
      <w:bookmarkStart w:id="157" w:name="_Toc184310315"/>
      <w:bookmarkEnd w:id="157"/>
      <w:bookmarkStart w:id="158" w:name="_Toc184314428"/>
      <w:bookmarkEnd w:id="158"/>
      <w:bookmarkStart w:id="159" w:name="_Toc184308052"/>
      <w:bookmarkEnd w:id="159"/>
      <w:bookmarkStart w:id="160" w:name="_Toc184308061"/>
      <w:bookmarkEnd w:id="160"/>
      <w:bookmarkStart w:id="161" w:name="_Toc184310305"/>
      <w:bookmarkEnd w:id="161"/>
      <w:bookmarkStart w:id="162" w:name="_Toc184313292"/>
      <w:bookmarkEnd w:id="162"/>
      <w:bookmarkStart w:id="163" w:name="_Toc184308056"/>
      <w:bookmarkEnd w:id="163"/>
      <w:bookmarkStart w:id="164" w:name="_Toc184312067"/>
      <w:bookmarkEnd w:id="164"/>
      <w:bookmarkStart w:id="165" w:name="_Toc184314429"/>
      <w:bookmarkEnd w:id="165"/>
      <w:bookmarkStart w:id="166" w:name="_Toc184313303"/>
      <w:bookmarkEnd w:id="166"/>
      <w:bookmarkStart w:id="167" w:name="_Toc184313255"/>
      <w:bookmarkEnd w:id="167"/>
      <w:bookmarkStart w:id="168" w:name="_Toc184313271"/>
      <w:bookmarkEnd w:id="168"/>
      <w:bookmarkStart w:id="169" w:name="_Toc184314413"/>
      <w:bookmarkEnd w:id="169"/>
      <w:bookmarkStart w:id="170" w:name="_Toc184312116"/>
      <w:bookmarkEnd w:id="170"/>
      <w:bookmarkStart w:id="171" w:name="_Toc184312083"/>
      <w:bookmarkEnd w:id="171"/>
      <w:bookmarkStart w:id="172" w:name="_Toc184308067"/>
      <w:bookmarkEnd w:id="172"/>
      <w:bookmarkStart w:id="173" w:name="_Toc184313267"/>
      <w:bookmarkEnd w:id="173"/>
      <w:bookmarkStart w:id="174" w:name="_Toc184312096"/>
      <w:bookmarkEnd w:id="174"/>
      <w:bookmarkStart w:id="175" w:name="_Toc184312088"/>
      <w:bookmarkEnd w:id="175"/>
      <w:bookmarkStart w:id="176" w:name="_Toc184310307"/>
      <w:bookmarkEnd w:id="176"/>
      <w:bookmarkStart w:id="177" w:name="_Toc184312103"/>
      <w:bookmarkEnd w:id="177"/>
      <w:bookmarkStart w:id="178" w:name="_Toc184308064"/>
      <w:bookmarkEnd w:id="178"/>
      <w:bookmarkStart w:id="179" w:name="_Toc184313270"/>
      <w:bookmarkEnd w:id="179"/>
      <w:bookmarkStart w:id="180" w:name="_Toc184314434"/>
      <w:bookmarkEnd w:id="180"/>
      <w:bookmarkStart w:id="181" w:name="_Toc184310293"/>
      <w:bookmarkEnd w:id="181"/>
      <w:bookmarkStart w:id="182" w:name="_Toc184312095"/>
      <w:bookmarkEnd w:id="182"/>
      <w:bookmarkStart w:id="183" w:name="_Toc184312100"/>
      <w:bookmarkEnd w:id="183"/>
      <w:bookmarkStart w:id="184" w:name="_Toc184310282"/>
      <w:bookmarkEnd w:id="184"/>
      <w:bookmarkStart w:id="185" w:name="_Toc184313259"/>
      <w:bookmarkEnd w:id="185"/>
      <w:bookmarkStart w:id="186" w:name="_Toc184312136"/>
      <w:bookmarkEnd w:id="186"/>
      <w:bookmarkStart w:id="187" w:name="_Toc184313258"/>
      <w:bookmarkEnd w:id="187"/>
      <w:bookmarkStart w:id="188" w:name="_Toc184314442"/>
      <w:bookmarkEnd w:id="188"/>
      <w:bookmarkStart w:id="189" w:name="_Toc184313238"/>
      <w:bookmarkEnd w:id="189"/>
      <w:bookmarkStart w:id="190" w:name="_Toc184310273"/>
      <w:bookmarkEnd w:id="190"/>
      <w:bookmarkStart w:id="191" w:name="_Toc184308069"/>
      <w:bookmarkEnd w:id="191"/>
      <w:bookmarkStart w:id="192" w:name="_Toc184308074"/>
      <w:bookmarkEnd w:id="192"/>
      <w:bookmarkStart w:id="193" w:name="_Toc184310300"/>
      <w:bookmarkEnd w:id="193"/>
      <w:bookmarkStart w:id="194" w:name="_Toc184310297"/>
      <w:bookmarkEnd w:id="194"/>
      <w:bookmarkStart w:id="195" w:name="_Toc184314455"/>
      <w:bookmarkEnd w:id="195"/>
      <w:bookmarkStart w:id="196" w:name="_Toc184310311"/>
      <w:bookmarkEnd w:id="196"/>
      <w:bookmarkStart w:id="197" w:name="_Toc184313268"/>
      <w:bookmarkEnd w:id="197"/>
      <w:bookmarkStart w:id="198" w:name="_Toc184312097"/>
      <w:bookmarkEnd w:id="198"/>
      <w:bookmarkStart w:id="199" w:name="_Toc184313256"/>
      <w:bookmarkEnd w:id="199"/>
      <w:bookmarkStart w:id="200" w:name="_Toc184313269"/>
      <w:bookmarkEnd w:id="200"/>
      <w:bookmarkStart w:id="201" w:name="_Toc184312068"/>
      <w:bookmarkEnd w:id="201"/>
      <w:bookmarkStart w:id="202" w:name="_Toc184312098"/>
      <w:bookmarkEnd w:id="202"/>
      <w:bookmarkStart w:id="203" w:name="_Toc184312106"/>
      <w:bookmarkEnd w:id="203"/>
      <w:bookmarkStart w:id="204" w:name="_Toc184314439"/>
      <w:bookmarkEnd w:id="204"/>
      <w:bookmarkStart w:id="205" w:name="_Toc184308066"/>
      <w:bookmarkEnd w:id="205"/>
      <w:bookmarkStart w:id="206" w:name="_Toc184314419"/>
      <w:bookmarkEnd w:id="206"/>
      <w:bookmarkStart w:id="207" w:name="_Toc184308065"/>
      <w:bookmarkEnd w:id="207"/>
      <w:bookmarkStart w:id="208" w:name="_Toc184310337"/>
      <w:bookmarkEnd w:id="208"/>
      <w:bookmarkStart w:id="209" w:name="_Toc184314423"/>
      <w:bookmarkEnd w:id="209"/>
      <w:bookmarkStart w:id="210" w:name="_Toc184312126"/>
      <w:bookmarkEnd w:id="210"/>
      <w:bookmarkStart w:id="211" w:name="_Toc184314445"/>
      <w:bookmarkEnd w:id="211"/>
      <w:bookmarkStart w:id="212" w:name="_Toc184310302"/>
      <w:bookmarkEnd w:id="212"/>
      <w:bookmarkStart w:id="213" w:name="_Toc184313272"/>
      <w:bookmarkEnd w:id="213"/>
      <w:bookmarkStart w:id="214" w:name="_Toc184312113"/>
      <w:bookmarkEnd w:id="214"/>
      <w:bookmarkStart w:id="215" w:name="_Toc184310285"/>
      <w:bookmarkEnd w:id="215"/>
      <w:bookmarkStart w:id="216" w:name="_Toc184314410"/>
      <w:bookmarkEnd w:id="216"/>
      <w:bookmarkStart w:id="217" w:name="_Toc184312081"/>
      <w:bookmarkEnd w:id="217"/>
      <w:bookmarkStart w:id="218" w:name="_Toc184314444"/>
      <w:bookmarkEnd w:id="218"/>
      <w:bookmarkStart w:id="219" w:name="_Toc184312102"/>
      <w:bookmarkEnd w:id="219"/>
      <w:bookmarkStart w:id="220" w:name="_Toc184308070"/>
      <w:bookmarkEnd w:id="220"/>
      <w:bookmarkStart w:id="221" w:name="_Toc184314438"/>
      <w:bookmarkEnd w:id="221"/>
      <w:bookmarkStart w:id="222" w:name="_Toc184313239"/>
      <w:bookmarkEnd w:id="222"/>
      <w:bookmarkStart w:id="223" w:name="_Toc184308084"/>
      <w:bookmarkEnd w:id="223"/>
      <w:bookmarkStart w:id="224" w:name="_Toc184313247"/>
      <w:bookmarkEnd w:id="224"/>
      <w:bookmarkStart w:id="225" w:name="_Toc184310303"/>
      <w:bookmarkEnd w:id="225"/>
      <w:bookmarkStart w:id="226" w:name="_Toc184310301"/>
      <w:bookmarkEnd w:id="226"/>
      <w:bookmarkStart w:id="227" w:name="_Toc184310283"/>
      <w:bookmarkEnd w:id="227"/>
      <w:bookmarkStart w:id="228" w:name="_Toc184310284"/>
      <w:bookmarkEnd w:id="228"/>
      <w:bookmarkStart w:id="229" w:name="_Toc184313249"/>
      <w:bookmarkEnd w:id="229"/>
      <w:bookmarkStart w:id="230" w:name="_Toc184310310"/>
      <w:bookmarkEnd w:id="230"/>
      <w:bookmarkStart w:id="231" w:name="_Toc184313252"/>
      <w:bookmarkEnd w:id="231"/>
      <w:bookmarkStart w:id="232" w:name="_Toc184314456"/>
      <w:bookmarkEnd w:id="232"/>
      <w:bookmarkStart w:id="233" w:name="_Toc184314443"/>
      <w:bookmarkEnd w:id="233"/>
      <w:bookmarkStart w:id="234" w:name="_Toc184312079"/>
      <w:bookmarkEnd w:id="234"/>
      <w:bookmarkStart w:id="235" w:name="_Toc184312104"/>
      <w:bookmarkEnd w:id="235"/>
      <w:bookmarkStart w:id="236" w:name="_Toc184314451"/>
      <w:bookmarkEnd w:id="236"/>
      <w:bookmarkStart w:id="237" w:name="_Toc184314480"/>
      <w:bookmarkEnd w:id="237"/>
      <w:bookmarkStart w:id="238" w:name="_Toc184312101"/>
      <w:bookmarkEnd w:id="238"/>
      <w:bookmarkStart w:id="239" w:name="_Toc184314436"/>
      <w:bookmarkEnd w:id="239"/>
      <w:bookmarkStart w:id="240" w:name="_Toc184314453"/>
      <w:bookmarkEnd w:id="240"/>
      <w:bookmarkStart w:id="241" w:name="_Toc184314441"/>
      <w:bookmarkEnd w:id="241"/>
      <w:bookmarkStart w:id="242" w:name="_Toc184312138"/>
      <w:bookmarkEnd w:id="242"/>
      <w:bookmarkStart w:id="243" w:name="_Toc184312119"/>
      <w:bookmarkEnd w:id="243"/>
      <w:bookmarkStart w:id="244" w:name="_Toc184313242"/>
      <w:bookmarkEnd w:id="244"/>
      <w:bookmarkStart w:id="245" w:name="_Toc184310343"/>
      <w:bookmarkEnd w:id="245"/>
      <w:bookmarkStart w:id="246" w:name="_Toc184313266"/>
      <w:bookmarkEnd w:id="246"/>
      <w:bookmarkStart w:id="247" w:name="_Toc184314420"/>
      <w:bookmarkEnd w:id="247"/>
      <w:bookmarkStart w:id="248" w:name="_Toc184313240"/>
      <w:bookmarkEnd w:id="248"/>
      <w:bookmarkStart w:id="249" w:name="_Toc184308071"/>
      <w:bookmarkEnd w:id="249"/>
      <w:bookmarkStart w:id="250" w:name="_Toc184308048"/>
      <w:bookmarkEnd w:id="250"/>
      <w:bookmarkStart w:id="251" w:name="_Toc184313264"/>
      <w:bookmarkEnd w:id="251"/>
      <w:bookmarkStart w:id="252" w:name="_Toc184308072"/>
      <w:bookmarkEnd w:id="252"/>
      <w:bookmarkStart w:id="253" w:name="_Toc184310286"/>
      <w:bookmarkEnd w:id="253"/>
      <w:bookmarkStart w:id="254" w:name="_Toc184312071"/>
      <w:bookmarkEnd w:id="254"/>
      <w:bookmarkStart w:id="255" w:name="_Toc184312131"/>
      <w:bookmarkEnd w:id="255"/>
      <w:bookmarkStart w:id="256" w:name="_Toc184308086"/>
      <w:bookmarkEnd w:id="256"/>
      <w:bookmarkStart w:id="257" w:name="_Toc184313273"/>
      <w:bookmarkEnd w:id="257"/>
      <w:bookmarkStart w:id="258" w:name="_Toc184310331"/>
      <w:bookmarkEnd w:id="258"/>
      <w:bookmarkStart w:id="259" w:name="_Toc184308082"/>
      <w:bookmarkEnd w:id="259"/>
      <w:bookmarkStart w:id="260" w:name="_Toc184308100"/>
      <w:bookmarkEnd w:id="260"/>
      <w:bookmarkStart w:id="261" w:name="_Toc184312108"/>
      <w:bookmarkEnd w:id="261"/>
      <w:bookmarkStart w:id="262" w:name="_Toc184314422"/>
      <w:bookmarkEnd w:id="262"/>
      <w:bookmarkStart w:id="263" w:name="_Toc184310308"/>
      <w:bookmarkEnd w:id="263"/>
      <w:bookmarkStart w:id="264" w:name="_Toc184312099"/>
      <w:bookmarkEnd w:id="264"/>
      <w:bookmarkStart w:id="265" w:name="_Toc184314421"/>
      <w:bookmarkEnd w:id="265"/>
      <w:bookmarkStart w:id="266" w:name="_Toc184308102"/>
      <w:bookmarkEnd w:id="266"/>
      <w:bookmarkStart w:id="267" w:name="_Toc184314482"/>
      <w:bookmarkEnd w:id="267"/>
      <w:bookmarkStart w:id="268" w:name="_Toc184308063"/>
      <w:bookmarkEnd w:id="268"/>
      <w:bookmarkStart w:id="269" w:name="_Toc184312125"/>
      <w:bookmarkEnd w:id="269"/>
      <w:bookmarkStart w:id="270" w:name="_Toc184313241"/>
      <w:bookmarkEnd w:id="270"/>
      <w:bookmarkStart w:id="271" w:name="_Toc184313248"/>
      <w:bookmarkEnd w:id="271"/>
      <w:bookmarkStart w:id="272" w:name="_Toc184310327"/>
      <w:bookmarkEnd w:id="272"/>
      <w:bookmarkStart w:id="273" w:name="_Toc184308078"/>
      <w:bookmarkEnd w:id="273"/>
      <w:bookmarkStart w:id="274" w:name="_Toc184308079"/>
      <w:bookmarkEnd w:id="274"/>
      <w:bookmarkStart w:id="275" w:name="_Toc184310319"/>
      <w:bookmarkEnd w:id="275"/>
      <w:bookmarkStart w:id="276" w:name="_Toc184310309"/>
      <w:bookmarkEnd w:id="276"/>
      <w:bookmarkStart w:id="277" w:name="_Toc184308051"/>
      <w:bookmarkEnd w:id="277"/>
      <w:bookmarkStart w:id="278" w:name="_Toc184314479"/>
      <w:bookmarkEnd w:id="278"/>
      <w:bookmarkStart w:id="279" w:name="_Toc184313308"/>
      <w:bookmarkEnd w:id="279"/>
      <w:bookmarkStart w:id="280" w:name="_Toc184314468"/>
      <w:bookmarkEnd w:id="280"/>
      <w:bookmarkStart w:id="281" w:name="_Toc184312114"/>
      <w:bookmarkEnd w:id="281"/>
      <w:bookmarkStart w:id="282" w:name="_Toc184308083"/>
      <w:bookmarkEnd w:id="282"/>
      <w:bookmarkStart w:id="283" w:name="_Toc184312093"/>
      <w:bookmarkEnd w:id="283"/>
      <w:bookmarkStart w:id="284" w:name="_Toc184312078"/>
      <w:bookmarkEnd w:id="284"/>
      <w:bookmarkStart w:id="285" w:name="_Toc184310324"/>
      <w:bookmarkEnd w:id="285"/>
      <w:bookmarkStart w:id="286" w:name="_Toc184313293"/>
      <w:bookmarkEnd w:id="286"/>
      <w:bookmarkStart w:id="287" w:name="_Toc184308107"/>
      <w:bookmarkEnd w:id="287"/>
      <w:bookmarkStart w:id="288" w:name="_Toc184308108"/>
      <w:bookmarkEnd w:id="288"/>
      <w:bookmarkStart w:id="289" w:name="_Toc184314462"/>
      <w:bookmarkEnd w:id="289"/>
      <w:bookmarkStart w:id="290" w:name="_Toc184310323"/>
      <w:bookmarkEnd w:id="290"/>
      <w:bookmarkStart w:id="291" w:name="_Toc184313294"/>
      <w:bookmarkEnd w:id="291"/>
      <w:bookmarkStart w:id="292" w:name="_Toc184308087"/>
      <w:bookmarkEnd w:id="292"/>
      <w:bookmarkStart w:id="293" w:name="_Toc184314461"/>
      <w:bookmarkEnd w:id="293"/>
      <w:bookmarkStart w:id="294" w:name="_Toc184310306"/>
      <w:bookmarkEnd w:id="294"/>
      <w:bookmarkStart w:id="295" w:name="_Toc184314481"/>
      <w:bookmarkEnd w:id="295"/>
      <w:bookmarkStart w:id="296" w:name="_Toc184312137"/>
      <w:bookmarkEnd w:id="296"/>
      <w:bookmarkStart w:id="297" w:name="_Toc184312139"/>
      <w:bookmarkEnd w:id="297"/>
      <w:bookmarkStart w:id="298" w:name="_Toc184313310"/>
      <w:bookmarkEnd w:id="298"/>
      <w:bookmarkStart w:id="299" w:name="_Toc184308077"/>
      <w:bookmarkEnd w:id="299"/>
      <w:bookmarkStart w:id="300" w:name="_Toc184312091"/>
      <w:bookmarkEnd w:id="300"/>
      <w:bookmarkStart w:id="301" w:name="_Toc184310326"/>
      <w:bookmarkEnd w:id="301"/>
      <w:bookmarkStart w:id="302" w:name="_Toc184308094"/>
      <w:bookmarkEnd w:id="302"/>
      <w:bookmarkStart w:id="303" w:name="_Toc184312120"/>
      <w:bookmarkEnd w:id="303"/>
      <w:bookmarkStart w:id="304" w:name="_Toc184313289"/>
      <w:bookmarkEnd w:id="304"/>
      <w:bookmarkStart w:id="305" w:name="_Toc184308085"/>
      <w:bookmarkEnd w:id="305"/>
      <w:bookmarkStart w:id="306" w:name="_Toc184312123"/>
      <w:bookmarkEnd w:id="306"/>
      <w:bookmarkStart w:id="307" w:name="_Toc184314464"/>
      <w:bookmarkEnd w:id="307"/>
      <w:bookmarkStart w:id="308" w:name="_Toc184308091"/>
      <w:bookmarkEnd w:id="308"/>
      <w:bookmarkStart w:id="309" w:name="_Toc184310329"/>
      <w:bookmarkEnd w:id="309"/>
      <w:bookmarkStart w:id="310" w:name="_Toc184314465"/>
      <w:bookmarkEnd w:id="310"/>
      <w:bookmarkStart w:id="311" w:name="_Toc184314460"/>
      <w:bookmarkEnd w:id="311"/>
      <w:bookmarkStart w:id="312" w:name="_Toc184312105"/>
      <w:bookmarkEnd w:id="312"/>
      <w:bookmarkStart w:id="313" w:name="_Toc184313302"/>
      <w:bookmarkEnd w:id="313"/>
      <w:bookmarkStart w:id="314" w:name="_Toc184313288"/>
      <w:bookmarkEnd w:id="314"/>
      <w:bookmarkStart w:id="315" w:name="_Toc184308095"/>
      <w:bookmarkEnd w:id="315"/>
      <w:bookmarkStart w:id="316" w:name="_Toc184313295"/>
      <w:bookmarkEnd w:id="316"/>
      <w:bookmarkStart w:id="317" w:name="_Toc184310313"/>
      <w:bookmarkEnd w:id="317"/>
      <w:bookmarkStart w:id="318" w:name="_Toc184308090"/>
      <w:bookmarkEnd w:id="318"/>
      <w:bookmarkStart w:id="319" w:name="_Toc184313274"/>
      <w:bookmarkEnd w:id="319"/>
      <w:bookmarkStart w:id="320" w:name="_Toc184313279"/>
      <w:bookmarkEnd w:id="320"/>
      <w:bookmarkStart w:id="321" w:name="_Toc184312118"/>
      <w:bookmarkEnd w:id="321"/>
      <w:bookmarkStart w:id="322" w:name="_Toc184308088"/>
      <w:bookmarkEnd w:id="322"/>
      <w:bookmarkStart w:id="323" w:name="_Toc184312109"/>
      <w:bookmarkEnd w:id="323"/>
      <w:bookmarkStart w:id="324" w:name="_Toc184310328"/>
      <w:bookmarkEnd w:id="324"/>
      <w:bookmarkStart w:id="325" w:name="_Toc184314463"/>
      <w:bookmarkEnd w:id="325"/>
      <w:bookmarkStart w:id="326" w:name="_Toc184310325"/>
      <w:bookmarkEnd w:id="326"/>
      <w:bookmarkStart w:id="327" w:name="_Toc184313290"/>
      <w:bookmarkEnd w:id="327"/>
      <w:bookmarkStart w:id="328" w:name="_Toc184312124"/>
      <w:bookmarkEnd w:id="328"/>
      <w:bookmarkStart w:id="329" w:name="_Toc184313296"/>
      <w:bookmarkEnd w:id="329"/>
      <w:bookmarkStart w:id="330" w:name="_Toc184312080"/>
      <w:bookmarkEnd w:id="330"/>
      <w:bookmarkStart w:id="331" w:name="_Toc184310330"/>
      <w:bookmarkEnd w:id="331"/>
      <w:bookmarkStart w:id="332" w:name="_Toc184310335"/>
      <w:bookmarkEnd w:id="332"/>
      <w:bookmarkStart w:id="333" w:name="_Toc184312133"/>
      <w:bookmarkEnd w:id="333"/>
      <w:bookmarkStart w:id="334" w:name="_Toc184308089"/>
      <w:bookmarkEnd w:id="334"/>
      <w:bookmarkStart w:id="335" w:name="_Toc184310333"/>
      <w:bookmarkEnd w:id="335"/>
      <w:bookmarkStart w:id="336" w:name="_Toc184310338"/>
      <w:bookmarkEnd w:id="336"/>
      <w:bookmarkStart w:id="337" w:name="_Toc184308093"/>
      <w:bookmarkEnd w:id="337"/>
      <w:bookmarkStart w:id="338" w:name="_Toc184313291"/>
      <w:bookmarkEnd w:id="338"/>
      <w:bookmarkStart w:id="339" w:name="_Toc184310339"/>
      <w:bookmarkEnd w:id="339"/>
      <w:bookmarkStart w:id="340" w:name="_Toc184314437"/>
      <w:bookmarkEnd w:id="340"/>
      <w:bookmarkStart w:id="341" w:name="_Toc184314472"/>
      <w:bookmarkEnd w:id="341"/>
      <w:bookmarkStart w:id="342" w:name="_Toc184312122"/>
      <w:bookmarkEnd w:id="342"/>
      <w:bookmarkStart w:id="343" w:name="_Toc184313300"/>
      <w:bookmarkEnd w:id="343"/>
      <w:bookmarkStart w:id="344" w:name="_Toc184313276"/>
      <w:bookmarkEnd w:id="344"/>
      <w:bookmarkStart w:id="345" w:name="_Toc184314467"/>
      <w:bookmarkEnd w:id="345"/>
      <w:bookmarkStart w:id="346" w:name="_Toc184308068"/>
      <w:bookmarkEnd w:id="346"/>
      <w:bookmarkStart w:id="347" w:name="_Toc184312129"/>
      <w:bookmarkEnd w:id="347"/>
      <w:bookmarkStart w:id="348" w:name="_Toc184310312"/>
      <w:bookmarkEnd w:id="348"/>
      <w:bookmarkStart w:id="349" w:name="_Toc184308097"/>
      <w:bookmarkEnd w:id="349"/>
      <w:bookmarkStart w:id="350" w:name="_Toc184308103"/>
      <w:bookmarkEnd w:id="350"/>
      <w:bookmarkStart w:id="351" w:name="_Toc184310340"/>
      <w:bookmarkEnd w:id="351"/>
      <w:bookmarkStart w:id="352" w:name="_Toc184308092"/>
      <w:bookmarkEnd w:id="352"/>
      <w:bookmarkStart w:id="353" w:name="_Toc184313298"/>
      <w:bookmarkEnd w:id="353"/>
      <w:bookmarkStart w:id="354" w:name="_Toc184314476"/>
      <w:bookmarkEnd w:id="354"/>
      <w:bookmarkStart w:id="355" w:name="_Toc184308076"/>
      <w:bookmarkEnd w:id="355"/>
      <w:bookmarkStart w:id="356" w:name="_Toc184314466"/>
      <w:bookmarkEnd w:id="356"/>
      <w:bookmarkStart w:id="357" w:name="_Toc184314457"/>
      <w:bookmarkEnd w:id="357"/>
      <w:bookmarkStart w:id="358" w:name="_Toc184312134"/>
      <w:bookmarkEnd w:id="358"/>
      <w:bookmarkStart w:id="359" w:name="_Toc184313250"/>
      <w:bookmarkEnd w:id="359"/>
      <w:bookmarkStart w:id="360" w:name="_Toc184312130"/>
      <w:bookmarkEnd w:id="360"/>
      <w:bookmarkStart w:id="361" w:name="_Toc184308098"/>
      <w:bookmarkEnd w:id="361"/>
      <w:bookmarkStart w:id="362" w:name="_Toc184310332"/>
      <w:bookmarkEnd w:id="362"/>
      <w:bookmarkStart w:id="363" w:name="_Toc184312121"/>
      <w:bookmarkEnd w:id="363"/>
      <w:bookmarkStart w:id="364" w:name="_Toc184308106"/>
      <w:bookmarkEnd w:id="364"/>
      <w:bookmarkStart w:id="365" w:name="_Toc184313301"/>
      <w:bookmarkEnd w:id="365"/>
      <w:bookmarkStart w:id="366" w:name="_Toc184312090"/>
      <w:bookmarkEnd w:id="366"/>
      <w:bookmarkStart w:id="367" w:name="_Toc184313297"/>
      <w:bookmarkEnd w:id="367"/>
      <w:bookmarkStart w:id="368" w:name="_Toc184310320"/>
      <w:bookmarkEnd w:id="368"/>
      <w:bookmarkStart w:id="369" w:name="_Toc184314477"/>
      <w:bookmarkEnd w:id="369"/>
      <w:bookmarkStart w:id="370" w:name="_Toc184312110"/>
      <w:bookmarkEnd w:id="370"/>
      <w:bookmarkStart w:id="371" w:name="_Toc184312082"/>
      <w:bookmarkEnd w:id="371"/>
      <w:bookmarkStart w:id="372" w:name="_Toc184313304"/>
      <w:bookmarkEnd w:id="372"/>
      <w:bookmarkStart w:id="373" w:name="_Toc184313299"/>
      <w:bookmarkEnd w:id="373"/>
      <w:bookmarkStart w:id="374" w:name="_Toc184310290"/>
      <w:bookmarkEnd w:id="374"/>
      <w:bookmarkStart w:id="375" w:name="_Toc184312092"/>
      <w:bookmarkEnd w:id="375"/>
      <w:bookmarkStart w:id="376" w:name="_Toc184308080"/>
      <w:bookmarkEnd w:id="376"/>
      <w:bookmarkStart w:id="377" w:name="_Toc184310318"/>
      <w:bookmarkEnd w:id="377"/>
      <w:bookmarkStart w:id="378" w:name="_Toc184314452"/>
      <w:bookmarkEnd w:id="378"/>
      <w:bookmarkStart w:id="379" w:name="_Toc184314470"/>
      <w:bookmarkEnd w:id="379"/>
      <w:bookmarkStart w:id="380" w:name="_Toc184314471"/>
      <w:bookmarkEnd w:id="380"/>
      <w:bookmarkStart w:id="381" w:name="_Toc184310334"/>
      <w:bookmarkEnd w:id="381"/>
      <w:bookmarkStart w:id="382" w:name="_Toc184312077"/>
      <w:bookmarkEnd w:id="382"/>
      <w:bookmarkStart w:id="383" w:name="_Toc184308046"/>
      <w:bookmarkEnd w:id="383"/>
      <w:bookmarkStart w:id="384" w:name="_Toc184308036"/>
      <w:bookmarkEnd w:id="384"/>
      <w:bookmarkStart w:id="385" w:name="_Toc184312132"/>
      <w:bookmarkEnd w:id="385"/>
      <w:bookmarkStart w:id="386" w:name="_Toc184308099"/>
      <w:bookmarkEnd w:id="386"/>
      <w:bookmarkStart w:id="387" w:name="_Toc184312128"/>
      <w:bookmarkEnd w:id="387"/>
      <w:bookmarkStart w:id="388" w:name="_Toc184308096"/>
      <w:bookmarkEnd w:id="388"/>
      <w:bookmarkStart w:id="389" w:name="_Toc184314474"/>
      <w:bookmarkEnd w:id="389"/>
      <w:bookmarkStart w:id="390" w:name="_Toc184310276"/>
      <w:bookmarkEnd w:id="390"/>
      <w:bookmarkStart w:id="391" w:name="_Toc184310294"/>
      <w:bookmarkEnd w:id="391"/>
      <w:bookmarkStart w:id="392" w:name="_Toc184313305"/>
      <w:bookmarkEnd w:id="392"/>
      <w:bookmarkStart w:id="393" w:name="_Toc184308075"/>
      <w:bookmarkEnd w:id="393"/>
      <w:bookmarkStart w:id="394" w:name="_Toc184313309"/>
      <w:bookmarkEnd w:id="394"/>
      <w:bookmarkStart w:id="395" w:name="_Toc184312107"/>
      <w:bookmarkEnd w:id="395"/>
      <w:bookmarkStart w:id="396" w:name="_Toc184310295"/>
      <w:bookmarkEnd w:id="396"/>
      <w:bookmarkStart w:id="397" w:name="_Toc184308050"/>
      <w:bookmarkEnd w:id="397"/>
      <w:bookmarkStart w:id="398" w:name="_Toc184313278"/>
      <w:bookmarkEnd w:id="398"/>
      <w:bookmarkStart w:id="399" w:name="_Toc184313265"/>
      <w:bookmarkEnd w:id="399"/>
      <w:bookmarkStart w:id="400" w:name="_Toc184314448"/>
      <w:bookmarkEnd w:id="400"/>
      <w:bookmarkStart w:id="401" w:name="_Toc184313286"/>
      <w:bookmarkEnd w:id="401"/>
      <w:bookmarkStart w:id="402" w:name="_Toc184314424"/>
      <w:bookmarkEnd w:id="402"/>
      <w:bookmarkStart w:id="403" w:name="_Toc184314425"/>
      <w:bookmarkEnd w:id="403"/>
      <w:bookmarkStart w:id="404" w:name="_Toc184308038"/>
      <w:bookmarkEnd w:id="404"/>
      <w:bookmarkStart w:id="405" w:name="_Toc184308073"/>
      <w:bookmarkEnd w:id="405"/>
      <w:bookmarkStart w:id="406" w:name="_Toc184310287"/>
      <w:bookmarkEnd w:id="406"/>
      <w:bookmarkStart w:id="407" w:name="_Toc184314435"/>
      <w:bookmarkEnd w:id="407"/>
      <w:bookmarkStart w:id="408" w:name="_Toc184314427"/>
      <w:bookmarkEnd w:id="408"/>
      <w:bookmarkStart w:id="409" w:name="_Toc184313285"/>
      <w:bookmarkEnd w:id="409"/>
      <w:bookmarkStart w:id="410" w:name="_Toc184308059"/>
      <w:bookmarkEnd w:id="410"/>
      <w:bookmarkStart w:id="411" w:name="_Toc184313282"/>
      <w:bookmarkEnd w:id="411"/>
      <w:bookmarkStart w:id="412" w:name="_Toc184314411"/>
      <w:bookmarkEnd w:id="412"/>
      <w:bookmarkStart w:id="413" w:name="_Toc184312111"/>
      <w:bookmarkEnd w:id="413"/>
      <w:bookmarkStart w:id="414" w:name="_Toc184312089"/>
      <w:bookmarkEnd w:id="414"/>
      <w:bookmarkStart w:id="415" w:name="_Toc184314469"/>
      <w:bookmarkEnd w:id="415"/>
      <w:bookmarkStart w:id="416" w:name="_Toc184310304"/>
      <w:bookmarkEnd w:id="416"/>
      <w:bookmarkStart w:id="417" w:name="_Toc184312076"/>
      <w:bookmarkEnd w:id="417"/>
      <w:bookmarkStart w:id="418" w:name="_Toc184310344"/>
      <w:bookmarkEnd w:id="418"/>
      <w:bookmarkStart w:id="419" w:name="_Toc184313261"/>
      <w:bookmarkEnd w:id="419"/>
      <w:bookmarkStart w:id="420" w:name="_Toc184314433"/>
      <w:bookmarkEnd w:id="420"/>
      <w:bookmarkStart w:id="421" w:name="_Toc184308104"/>
      <w:bookmarkEnd w:id="421"/>
      <w:bookmarkStart w:id="422" w:name="_Toc184313284"/>
      <w:bookmarkEnd w:id="422"/>
      <w:bookmarkStart w:id="423" w:name="_Toc184312127"/>
      <w:bookmarkEnd w:id="423"/>
      <w:bookmarkStart w:id="424" w:name="_Toc184310272"/>
      <w:bookmarkEnd w:id="424"/>
      <w:bookmarkStart w:id="425" w:name="_Toc184308045"/>
      <w:bookmarkEnd w:id="425"/>
      <w:bookmarkStart w:id="426" w:name="_Toc184308060"/>
      <w:bookmarkEnd w:id="426"/>
      <w:bookmarkStart w:id="427" w:name="_Toc184310321"/>
      <w:bookmarkEnd w:id="427"/>
      <w:bookmarkStart w:id="428" w:name="_Toc184310316"/>
      <w:bookmarkEnd w:id="428"/>
      <w:bookmarkStart w:id="429" w:name="_Toc184308062"/>
      <w:bookmarkEnd w:id="429"/>
      <w:r>
        <w:rPr>
          <w:rFonts w:hint="eastAsia" w:ascii="仿宋" w:hAnsi="仿宋" w:eastAsia="仿宋" w:cs="仿宋"/>
          <w:color w:val="auto"/>
          <w:highlight w:val="none"/>
        </w:rPr>
        <w:t>评标方法及评分标准</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0"/>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3" w:hRule="atLeast"/>
        </w:trPr>
        <w:tc>
          <w:tcPr>
            <w:tcW w:w="5000" w:type="pct"/>
            <w:vAlign w:val="center"/>
          </w:tcPr>
          <w:p>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w:t>
            </w:r>
            <w:r>
              <w:rPr>
                <w:rFonts w:hint="eastAsia" w:ascii="仿宋" w:hAnsi="仿宋" w:eastAsia="仿宋" w:cs="仿宋"/>
                <w:color w:val="auto"/>
                <w:sz w:val="24"/>
                <w:highlight w:val="none"/>
              </w:rPr>
              <w:t>资信与商务部分、技术部分</w:t>
            </w:r>
            <w:r>
              <w:rPr>
                <w:rFonts w:hint="eastAsia" w:ascii="仿宋" w:hAnsi="仿宋" w:eastAsia="仿宋" w:cs="仿宋"/>
                <w:color w:val="auto"/>
                <w:sz w:val="24"/>
                <w:highlight w:val="none"/>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技术部分</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rPr>
              <w:t>资信与商务部分</w:t>
            </w:r>
            <w:r>
              <w:rPr>
                <w:rFonts w:hint="eastAsia" w:ascii="仿宋" w:hAnsi="仿宋" w:eastAsia="仿宋" w:cs="仿宋"/>
                <w:color w:val="auto"/>
                <w:sz w:val="24"/>
                <w:highlight w:val="none"/>
              </w:rPr>
              <w:t>得分之和，总和为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rPr>
              <w:t xml:space="preserve"> </w:t>
            </w:r>
          </w:p>
          <w:p>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各投标人的技术和服务方案、投标人资信与商务部分得分为：评标委员会各成员评分的算术平均值。各投标人的投标价格得分按投标价格评分</w:t>
            </w:r>
            <w:r>
              <w:rPr>
                <w:rFonts w:hint="eastAsia" w:ascii="仿宋" w:hAnsi="仿宋" w:eastAsia="仿宋" w:cs="仿宋"/>
                <w:b/>
                <w:color w:val="auto"/>
                <w:sz w:val="24"/>
                <w:highlight w:val="none"/>
              </w:rPr>
              <w:t>公式由采购机构计算，</w:t>
            </w:r>
            <w:r>
              <w:rPr>
                <w:rFonts w:hint="eastAsia" w:ascii="仿宋" w:hAnsi="仿宋" w:eastAsia="仿宋" w:cs="仿宋"/>
                <w:b/>
                <w:color w:val="auto"/>
                <w:sz w:val="24"/>
                <w:highlight w:val="none"/>
              </w:rPr>
              <w:t>评标委员会审核。</w:t>
            </w:r>
            <w:r>
              <w:rPr>
                <w:rFonts w:hint="eastAsia" w:ascii="仿宋" w:hAnsi="仿宋" w:eastAsia="仿宋" w:cs="仿宋"/>
                <w:color w:val="auto"/>
                <w:sz w:val="24"/>
                <w:highlight w:val="none"/>
              </w:rPr>
              <w:t>根据上述评标原则，分值安排如下：</w:t>
            </w:r>
          </w:p>
        </w:tc>
      </w:tr>
    </w:tbl>
    <w:p>
      <w:pPr>
        <w:widowControl/>
        <w:spacing w:line="360" w:lineRule="auto"/>
        <w:rPr>
          <w:rFonts w:hint="eastAsia" w:ascii="仿宋" w:hAnsi="仿宋" w:eastAsia="仿宋" w:cs="仿宋"/>
          <w:b/>
          <w:color w:val="auto"/>
          <w:sz w:val="32"/>
          <w:highlight w:val="none"/>
        </w:rPr>
      </w:pPr>
    </w:p>
    <w:p>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bl>
      <w:tblPr>
        <w:tblStyle w:val="60"/>
        <w:tblW w:w="9481" w:type="dxa"/>
        <w:jc w:val="center"/>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988"/>
        <w:gridCol w:w="816"/>
        <w:gridCol w:w="5381"/>
        <w:gridCol w:w="1137"/>
        <w:gridCol w:w="1159"/>
      </w:tblGrid>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97" w:type="dxa"/>
            <w:gridSpan w:val="2"/>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137"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59" w:type="dxa"/>
            <w:tcBorders>
              <w:tl2br w:val="nil"/>
              <w:tr2bl w:val="nil"/>
            </w:tcBorders>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988" w:type="dxa"/>
            <w:vMerge w:val="restart"/>
            <w:tcBorders>
              <w:tl2br w:val="nil"/>
              <w:tr2bl w:val="nil"/>
            </w:tcBorders>
            <w:vAlign w:val="center"/>
          </w:tcPr>
          <w:p>
            <w:pPr>
              <w:widowControl/>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 信(</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5381"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自201</w:t>
            </w: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bidi="ar"/>
              </w:rPr>
              <w:t>年起获得</w:t>
            </w:r>
            <w:r>
              <w:rPr>
                <w:rFonts w:hint="eastAsia" w:ascii="仿宋" w:hAnsi="仿宋" w:eastAsia="仿宋" w:cs="仿宋"/>
                <w:color w:val="auto"/>
                <w:kern w:val="0"/>
                <w:sz w:val="24"/>
                <w:szCs w:val="24"/>
                <w:highlight w:val="none"/>
                <w:lang w:eastAsia="zh-CN" w:bidi="ar"/>
              </w:rPr>
              <w:t>省级</w:t>
            </w:r>
            <w:r>
              <w:rPr>
                <w:rFonts w:hint="eastAsia" w:ascii="仿宋" w:hAnsi="仿宋" w:eastAsia="仿宋" w:cs="仿宋"/>
                <w:color w:val="auto"/>
                <w:kern w:val="0"/>
                <w:sz w:val="24"/>
                <w:szCs w:val="24"/>
                <w:highlight w:val="none"/>
                <w:lang w:bidi="ar"/>
              </w:rPr>
              <w:t>政府部门认定的省级重点实验室资质者得2分，未获得者不得分。</w:t>
            </w:r>
          </w:p>
        </w:tc>
        <w:tc>
          <w:tcPr>
            <w:tcW w:w="113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0-2分</w:t>
            </w:r>
          </w:p>
        </w:tc>
        <w:tc>
          <w:tcPr>
            <w:tcW w:w="115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381" w:type="dxa"/>
            <w:tcBorders>
              <w:tl2br w:val="nil"/>
              <w:tr2bl w:val="nil"/>
            </w:tcBorders>
            <w:shd w:val="clear" w:color="auto" w:fill="auto"/>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投标人实验室获得ISO45001（医学检验、病理诊断服务活动所涉及的职业健康安全管理认证）得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分，ISO14001（医学检验、病理诊断服务活动所涉及的环境管理认证）得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分，提供证书复印件</w:t>
            </w:r>
          </w:p>
        </w:tc>
        <w:tc>
          <w:tcPr>
            <w:tcW w:w="113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15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381" w:type="dxa"/>
            <w:tcBorders>
              <w:tl2br w:val="nil"/>
              <w:tr2bl w:val="nil"/>
            </w:tcBorders>
            <w:shd w:val="clear" w:color="auto" w:fill="auto"/>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投标人自2018年1月1日以来完成</w:t>
            </w:r>
            <w:r>
              <w:rPr>
                <w:rFonts w:hint="eastAsia" w:ascii="仿宋" w:hAnsi="仿宋" w:eastAsia="仿宋" w:cs="仿宋"/>
                <w:color w:val="auto"/>
                <w:sz w:val="24"/>
                <w:szCs w:val="24"/>
                <w:highlight w:val="none"/>
                <w:lang w:eastAsia="zh-CN"/>
              </w:rPr>
              <w:t>省级三级医院</w:t>
            </w:r>
            <w:r>
              <w:rPr>
                <w:rFonts w:hint="eastAsia" w:ascii="仿宋" w:hAnsi="仿宋" w:eastAsia="仿宋" w:cs="仿宋"/>
                <w:color w:val="auto"/>
                <w:sz w:val="24"/>
                <w:szCs w:val="24"/>
                <w:highlight w:val="none"/>
              </w:rPr>
              <w:t>类似项目的，每提供一个类似项目业绩得1分，最多得5分（须提供合同复印件</w:t>
            </w:r>
            <w:r>
              <w:rPr>
                <w:rFonts w:hint="eastAsia" w:ascii="仿宋" w:hAnsi="仿宋" w:eastAsia="仿宋" w:cs="仿宋"/>
                <w:color w:val="auto"/>
                <w:kern w:val="0"/>
                <w:sz w:val="24"/>
                <w:szCs w:val="24"/>
                <w:highlight w:val="none"/>
                <w:lang w:bidi="ar"/>
              </w:rPr>
              <w:t>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113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c>
          <w:tcPr>
            <w:tcW w:w="115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8" w:space="0"/>
            <w:left w:val="single" w:color="auto" w:sz="8" w:space="0"/>
            <w:bottom w:val="single" w:color="auto" w:sz="8"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88" w:type="dxa"/>
            <w:vMerge w:val="continue"/>
            <w:tcBorders>
              <w:tl2br w:val="nil"/>
              <w:tr2bl w:val="nil"/>
            </w:tcBorders>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816"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381" w:type="dxa"/>
            <w:tcBorders>
              <w:tl2br w:val="nil"/>
              <w:tr2bl w:val="nil"/>
            </w:tcBorders>
            <w:shd w:val="clear" w:color="auto" w:fill="auto"/>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在浙江省内拥有的独立医学实验室数量，3家及以上者得</w:t>
            </w: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分，2家得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分，1家得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分，响应文件中提供有效期内的《营业执照》和《医疗机构执业许可证》复印件加盖公章。</w:t>
            </w:r>
          </w:p>
        </w:tc>
        <w:tc>
          <w:tcPr>
            <w:tcW w:w="113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1159"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bl>
    <w:p>
      <w:pPr>
        <w:widowControl/>
        <w:spacing w:line="360" w:lineRule="auto"/>
        <w:rPr>
          <w:rFonts w:hint="eastAsia" w:ascii="仿宋" w:hAnsi="仿宋" w:eastAsia="仿宋" w:cs="仿宋"/>
          <w:color w:val="auto"/>
          <w:sz w:val="24"/>
          <w:szCs w:val="24"/>
          <w:highlight w:val="none"/>
          <w:lang w:val="en-US" w:eastAsia="zh-CN"/>
        </w:rPr>
      </w:pP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分）</w:t>
      </w:r>
    </w:p>
    <w:tbl>
      <w:tblPr>
        <w:tblStyle w:val="60"/>
        <w:tblW w:w="95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7"/>
        <w:gridCol w:w="814"/>
        <w:gridCol w:w="5376"/>
        <w:gridCol w:w="1117"/>
        <w:gridCol w:w="11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90" w:type="dxa"/>
            <w:gridSpan w:val="2"/>
            <w:tcBorders>
              <w:tl2br w:val="nil"/>
              <w:tr2bl w:val="nil"/>
            </w:tcBorders>
            <w:shd w:val="clear" w:color="auto" w:fill="auto"/>
            <w:vAlign w:val="center"/>
          </w:tcPr>
          <w:p>
            <w:pPr>
              <w:widowControl/>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评分内容和标准具体描述</w:t>
            </w:r>
          </w:p>
        </w:tc>
        <w:tc>
          <w:tcPr>
            <w:tcW w:w="1117"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88" w:type="dxa"/>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jc w:val="center"/>
        </w:trPr>
        <w:tc>
          <w:tcPr>
            <w:tcW w:w="1007" w:type="dxa"/>
            <w:vMerge w:val="restart"/>
            <w:tcBorders>
              <w:tl2br w:val="nil"/>
              <w:tr2bl w:val="nil"/>
            </w:tcBorders>
            <w:shd w:val="clear" w:color="auto" w:fill="auto"/>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分）</w:t>
            </w: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浙江省内实验室通过ISO 15189认可开展项目数＞130项得10分；130≥认可开展项目数＞100项得7分；100≥认可开展项目数＞70项得4分；70（含）或以下得3分，提供的是浙江以外的实验室项目认可资料的得1分，未通过或近3年违反CNAS相关规定，有暂停认证情况者，本项目不得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0-10分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浙江省内实验室PCR实验室通过认证项目包括感染性疾病相关基因、药物代谢基因</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肿瘤相关基因检测（组织、血液）</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母血游离胎儿DNA无创产前筛查，缺少一项扣2分。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实验室获得国家卫生主管部门颁发的《高通量基因测序技术临床应用试点单位》者，提供有效证明文件者得</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分，未提供者不得分。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提供为本项目提供检测服务的实验室获得CAP</w:t>
            </w:r>
            <w:r>
              <w:rPr>
                <w:rFonts w:hint="eastAsia" w:ascii="仿宋" w:hAnsi="仿宋" w:eastAsia="仿宋" w:cs="仿宋"/>
                <w:color w:val="auto"/>
                <w:sz w:val="24"/>
                <w:szCs w:val="24"/>
                <w:highlight w:val="none"/>
                <w:lang w:val="en-US" w:eastAsia="zh-CN"/>
              </w:rPr>
              <w:t>或CMA</w:t>
            </w:r>
            <w:r>
              <w:rPr>
                <w:rFonts w:hint="eastAsia" w:ascii="仿宋" w:hAnsi="仿宋" w:eastAsia="仿宋" w:cs="仿宋"/>
                <w:color w:val="auto"/>
                <w:sz w:val="24"/>
                <w:szCs w:val="24"/>
                <w:highlight w:val="none"/>
              </w:rPr>
              <w:t>认证证书的得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分，未获得不得分，提供相关认证证书复印件。主办检测实验室与投标人必须一致（以营业执照为准），投标人中标后未经采购人同意不得更换主办检测实验室。</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9"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人提供为本项目提供检测服务的实验室的2020年国家卫健委、浙江省临检中心室间质评证书，累计获得证书数量95份以上者得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分，不足95份者每少1份扣1分，扣完为止。需提供有效证明文件，未提供者不得分。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提供的针对本项目综合服务方案的完整性、合理性等综合评定。</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7"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5376" w:type="dxa"/>
            <w:tcBorders>
              <w:tl2br w:val="nil"/>
              <w:tr2bl w:val="nil"/>
            </w:tcBorders>
            <w:shd w:val="clear" w:color="auto" w:fill="auto"/>
            <w:vAlign w:val="center"/>
          </w:tcPr>
          <w:p>
            <w:pPr>
              <w:widowControl/>
              <w:spacing w:line="24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或其关联公司（须为同一母公司全资控股公司，提供《国家企业信用信息公示系统》查询截图作为证明材料）具有浙江省内医疗冷链物流营业执照及《道路运输经营许可证》者得3分，</w:t>
            </w:r>
            <w:r>
              <w:rPr>
                <w:rFonts w:hint="eastAsia" w:ascii="仿宋" w:hAnsi="仿宋" w:eastAsia="仿宋" w:cs="仿宋"/>
                <w:color w:val="auto"/>
                <w:kern w:val="0"/>
                <w:sz w:val="24"/>
                <w:szCs w:val="24"/>
                <w:highlight w:val="none"/>
                <w:lang w:val="en-US" w:eastAsia="zh-CN" w:bidi="ar"/>
              </w:rPr>
              <w:t>委托第三方冷链配送且配送范围覆盖本项目的得1分，</w:t>
            </w:r>
            <w:r>
              <w:rPr>
                <w:rFonts w:hint="eastAsia" w:ascii="仿宋" w:hAnsi="仿宋" w:eastAsia="仿宋" w:cs="仿宋"/>
                <w:color w:val="auto"/>
                <w:kern w:val="0"/>
                <w:sz w:val="24"/>
                <w:szCs w:val="24"/>
                <w:highlight w:val="none"/>
                <w:lang w:bidi="ar"/>
              </w:rPr>
              <w:t>不具备不得分（0-3分）</w:t>
            </w:r>
          </w:p>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提供专业的全程的标本冷链物流配送方案，冷链车证明材料，应急保障措施。根据可行性和质量可靠性酌情评分，最优得3分（0-3分）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具有2020自主申报举办检验学科继续教育项目能力：国家级得5分、省级得2分，不具备不得分（提供2020年有效期内的项目编号，提供网上申报及信息反馈系统截图）。</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376" w:type="dxa"/>
            <w:tcBorders>
              <w:tl2br w:val="nil"/>
              <w:tr2bl w:val="nil"/>
            </w:tcBorders>
            <w:shd w:val="clear" w:color="auto" w:fill="auto"/>
            <w:vAlign w:val="center"/>
          </w:tcPr>
          <w:p>
            <w:pPr>
              <w:pStyle w:val="2"/>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提供投标人实验室质量控制方案，根据方案完整性、合理性等方面因素，酌情打分。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投标人提供信息服务团队和院方LIS公司的合作方案：考查配合度、技术能力、响应速度等，要求确保检测结果上传至萧山区中医院，能实现无纸化传输检测结果（不包括图文报告）根据数据上传方案的完善性及可行性综合评定。</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bidi="ar"/>
              </w:rPr>
              <w:t>应急响应时间</w:t>
            </w:r>
            <w:r>
              <w:rPr>
                <w:rFonts w:hint="eastAsia" w:ascii="仿宋" w:hAnsi="仿宋" w:eastAsia="仿宋" w:cs="仿宋"/>
                <w:color w:val="auto"/>
                <w:kern w:val="0"/>
                <w:sz w:val="24"/>
                <w:szCs w:val="24"/>
                <w:highlight w:val="none"/>
                <w:lang w:val="en-US" w:eastAsia="zh-CN" w:bidi="ar"/>
              </w:rPr>
              <w:t>4小时以内得3分，4小时以上不得分。</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007" w:type="dxa"/>
            <w:vMerge w:val="continue"/>
            <w:tcBorders>
              <w:tl2br w:val="nil"/>
              <w:tr2bl w:val="nil"/>
            </w:tcBorders>
            <w:vAlign w:val="center"/>
          </w:tcPr>
          <w:p>
            <w:pPr>
              <w:widowControl/>
              <w:spacing w:line="360" w:lineRule="auto"/>
              <w:ind w:firstLine="480" w:firstLineChars="200"/>
              <w:jc w:val="left"/>
              <w:rPr>
                <w:rFonts w:hint="eastAsia" w:ascii="仿宋" w:hAnsi="仿宋" w:eastAsia="仿宋" w:cs="仿宋"/>
                <w:color w:val="auto"/>
                <w:sz w:val="24"/>
                <w:szCs w:val="24"/>
                <w:highlight w:val="none"/>
              </w:rPr>
            </w:pPr>
          </w:p>
        </w:tc>
        <w:tc>
          <w:tcPr>
            <w:tcW w:w="814"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376" w:type="dxa"/>
            <w:tcBorders>
              <w:tl2br w:val="nil"/>
              <w:tr2bl w:val="nil"/>
            </w:tcBorders>
            <w:shd w:val="clear" w:color="auto" w:fill="auto"/>
            <w:vAlign w:val="center"/>
          </w:tcPr>
          <w:p>
            <w:pPr>
              <w:widowControl/>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标本收集、储存、运送、接送流程符合规定。</w:t>
            </w:r>
          </w:p>
          <w:p>
            <w:pPr>
              <w:widowControl/>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标本有专人收集得3分；否则不得分。</w:t>
            </w:r>
          </w:p>
          <w:p>
            <w:pPr>
              <w:widowControl/>
              <w:spacing w:line="240" w:lineRule="auto"/>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投标人</w:t>
            </w:r>
            <w:r>
              <w:rPr>
                <w:rFonts w:hint="eastAsia" w:ascii="仿宋" w:hAnsi="仿宋" w:eastAsia="仿宋" w:cs="仿宋"/>
                <w:color w:val="auto"/>
                <w:kern w:val="0"/>
                <w:sz w:val="24"/>
                <w:szCs w:val="24"/>
                <w:highlight w:val="none"/>
                <w:lang w:bidi="ar"/>
              </w:rPr>
              <w:t>承诺每天取样一次（含周六、日）的得2分，少一天扣1分，扣完为止。</w:t>
            </w:r>
          </w:p>
        </w:tc>
        <w:tc>
          <w:tcPr>
            <w:tcW w:w="1117" w:type="dxa"/>
            <w:tcBorders>
              <w:tl2br w:val="nil"/>
              <w:tr2bl w:val="nil"/>
            </w:tcBorders>
            <w:shd w:val="clear" w:color="auto" w:fill="auto"/>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88" w:type="dxa"/>
            <w:tcBorders>
              <w:tl2br w:val="nil"/>
              <w:tr2bl w:val="nil"/>
            </w:tcBorders>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bl>
    <w:p>
      <w:pPr>
        <w:widowControl/>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1.评分条款中涉及的业绩、荣誉、人员、社保等分公司均有效。</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adjustRightInd/>
        <w:jc w:val="left"/>
        <w:rPr>
          <w:rFonts w:hint="eastAsia" w:ascii="仿宋" w:hAnsi="仿宋" w:eastAsia="仿宋" w:cs="仿宋"/>
          <w:color w:val="auto"/>
          <w:sz w:val="24"/>
          <w:szCs w:val="24"/>
          <w:highlight w:val="none"/>
        </w:rPr>
      </w:pP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3、价格分（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0.20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widowControl/>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widowControl/>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tc>
      </w:tr>
    </w:tbl>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（例如：投标报价为：50%和60%时，则50%为评标基准价。）</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w:t>
      </w:r>
    </w:p>
    <w:p>
      <w:pPr>
        <w:widowControl/>
        <w:adjustRightInd/>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仿宋"/>
          <w:color w:val="auto"/>
          <w:kern w:val="0"/>
          <w:sz w:val="24"/>
          <w:highlight w:val="none"/>
        </w:rPr>
        <w:t>不</w:t>
      </w:r>
      <w:r>
        <w:rPr>
          <w:rFonts w:hint="eastAsia" w:ascii="仿宋" w:hAnsi="仿宋" w:eastAsia="仿宋" w:cs="仿宋"/>
          <w:color w:val="auto"/>
          <w:kern w:val="0"/>
          <w:sz w:val="24"/>
          <w:highlight w:val="none"/>
        </w:rPr>
        <w:t>满足招标文件的实质性要求</w:t>
      </w:r>
      <w:r>
        <w:rPr>
          <w:rFonts w:hint="eastAsia" w:ascii="仿宋" w:hAnsi="仿宋" w:eastAsia="仿宋" w:cs="仿宋"/>
          <w:color w:val="auto"/>
          <w:kern w:val="0"/>
          <w:sz w:val="24"/>
          <w:highlight w:val="none"/>
        </w:rPr>
        <w:t>的，投标无效。</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217"/>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3.4.1投标文件报价出现前后不一致的，按照下列规定修正：</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w:t>
      </w:r>
      <w:r>
        <w:rPr>
          <w:rFonts w:hint="eastAsia" w:ascii="仿宋" w:hAnsi="仿宋" w:eastAsia="仿宋" w:cs="仿宋"/>
          <w:color w:val="auto"/>
          <w:kern w:val="0"/>
          <w:szCs w:val="24"/>
          <w:highlight w:val="none"/>
        </w:rPr>
        <w:t>3.4.1</w:t>
      </w:r>
      <w:r>
        <w:rPr>
          <w:rFonts w:hint="eastAsia" w:ascii="仿宋" w:hAnsi="仿宋" w:eastAsia="仿宋" w:cs="仿宋"/>
          <w:color w:val="auto"/>
          <w:kern w:val="0"/>
          <w:szCs w:val="24"/>
          <w:highlight w:val="none"/>
        </w:rPr>
        <w:t>规定的顺序修正。修正后的报价按照财政部第87号令 《政府采购货物和服务招标投标管理办法》第五十一条第二款的规定经投标人确认后产生约束力。</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w:t>
      </w:r>
      <w:r>
        <w:rPr>
          <w:rFonts w:hint="eastAsia" w:ascii="仿宋" w:hAnsi="仿宋" w:eastAsia="仿宋" w:cs="仿宋"/>
          <w:b/>
          <w:color w:val="auto"/>
          <w:kern w:val="0"/>
          <w:sz w:val="24"/>
          <w:highlight w:val="none"/>
        </w:rPr>
        <w:t>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w:t>
      </w:r>
      <w:r>
        <w:rPr>
          <w:rFonts w:hint="eastAsia" w:ascii="仿宋" w:hAnsi="仿宋" w:eastAsia="仿宋" w:cs="仿宋"/>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21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1"/>
          <w:highlight w:val="none"/>
        </w:rPr>
        <w:t>4.1</w:t>
      </w:r>
      <w:r>
        <w:rPr>
          <w:rFonts w:hint="eastAsia" w:ascii="仿宋" w:hAnsi="仿宋" w:eastAsia="仿宋" w:cs="仿宋"/>
          <w:b/>
          <w:color w:val="auto"/>
          <w:kern w:val="0"/>
          <w:szCs w:val="24"/>
          <w:highlight w:val="none"/>
        </w:rPr>
        <w:t>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5"/>
        <w:ind w:left="433" w:leftChars="202" w:hanging="9" w:hangingChars="4"/>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w:t>
      </w:r>
      <w:r>
        <w:rPr>
          <w:rFonts w:hint="eastAsia" w:ascii="仿宋" w:hAnsi="仿宋" w:eastAsia="仿宋" w:cs="仿宋"/>
          <w:b w:val="0"/>
          <w:bCs w:val="0"/>
          <w:color w:val="auto"/>
          <w:kern w:val="0"/>
          <w:sz w:val="24"/>
          <w:szCs w:val="24"/>
          <w:highlight w:val="none"/>
          <w:lang w:val="en-US"/>
        </w:rPr>
        <w:t>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rPr>
        <w:t>14法律、法规、规章（适用本市的）及省级以上规范性文件（适用本市的）规定的其他无效情形。</w:t>
      </w:r>
    </w:p>
    <w:p>
      <w:pPr>
        <w:pStyle w:val="3"/>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3"/>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widowControl/>
        <w:spacing w:line="360" w:lineRule="auto"/>
        <w:ind w:firstLine="480" w:firstLineChars="200"/>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第五部分</w:t>
      </w:r>
      <w:bookmarkEnd w:id="60"/>
      <w:r>
        <w:rPr>
          <w:rFonts w:hint="eastAsia" w:ascii="仿宋" w:hAnsi="仿宋" w:eastAsia="仿宋" w:cs="仿宋"/>
          <w:color w:val="auto"/>
          <w:highlight w:val="none"/>
        </w:rPr>
        <w:t xml:space="preserve"> 拟签订的合同文本</w:t>
      </w:r>
    </w:p>
    <w:p>
      <w:pPr>
        <w:pStyle w:val="3"/>
        <w:snapToGrid w:val="0"/>
        <w:spacing w:line="360" w:lineRule="auto"/>
        <w:jc w:val="center"/>
        <w:rPr>
          <w:rFonts w:hint="eastAsia" w:ascii="仿宋" w:hAnsi="仿宋" w:eastAsia="仿宋" w:cs="仿宋"/>
          <w:color w:val="auto"/>
          <w:sz w:val="24"/>
          <w:szCs w:val="24"/>
          <w:highlight w:val="none"/>
        </w:rPr>
      </w:pPr>
      <w:bookmarkStart w:id="430" w:name="第五部分"/>
      <w:bookmarkStart w:id="431" w:name="_Toc86217003"/>
      <w:r>
        <w:rPr>
          <w:rFonts w:hint="eastAsia" w:ascii="仿宋" w:hAnsi="仿宋" w:eastAsia="仿宋" w:cs="仿宋"/>
          <w:color w:val="auto"/>
          <w:sz w:val="24"/>
          <w:szCs w:val="24"/>
          <w:highlight w:val="none"/>
        </w:rPr>
        <w:t>（服务类参考样本）</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                                 签订时间：20* 年  月  日</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甲方（需方）：                                     </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乙方（供方）：                                     </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供、需双方根据杭州市萧山区                             项目（招标编号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）招标结果和招标文件的要求，并经双方协调一致，订立本采购合同。</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1、合同条款。</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5、中标单位投标文件。</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 本合同金额为(大写)_________________元（￥　　　　元）人民币附：</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hint="eastAsia" w:ascii="仿宋" w:hAnsi="仿宋" w:eastAsia="仿宋" w:cs="仿宋"/>
                <w:color w:val="auto"/>
                <w:sz w:val="24"/>
                <w:szCs w:val="24"/>
                <w:highlight w:val="none"/>
              </w:rPr>
            </w:pPr>
          </w:p>
        </w:tc>
      </w:tr>
    </w:tbl>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三、技术资料</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四、知识产权</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五、履约保证金</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本合同履约保证金    元。（乙方应当以支票、汇票、本票或者金融机构、担保机构出具的保函等非现金形式提交。）</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六、转包或分包</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七、服务质量保证期</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服务质量保证期      年。（自验收合格之日起计）</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八、合同履行时间、履行方式及履行地点</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履行时间：</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履行方式：</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履行地点：</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九、款项支付</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1.付款方式：</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2.合同履行完毕，需方根据合同进行验收，验收合格后供应商按财政结算要求办理货款结算手续。</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十、税费</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十一、质量保证及后续服务</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乙方应按招标文件规定向甲方提供服务。</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乙方提供的服务成果在服务质量保证期内发生故障，乙方应负责免费提供后续服务。对达不到要求者，根据实际情况，经双方协商，可按以下办法处理：</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如在使用过程中发生问题，乙方在接到甲方通知后在   小时内到达甲方现场。</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十二、违约责任</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1.甲方无正当理由拒绝接收服务的，甲方向乙方偿付合同款项百分之 五 作为违约金。</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 五向乙方支付违约金。</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4.供方在服务项目验收合格之日起保修期内违反本合同有关承诺保证的，损失由乙方承担赔偿。</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5.如发现乙方违反招投标文件和合同的有关规定，甲方有权根据约定和《杭州市政府采购供应商合同履行和售后服务考核暂行办法》，对乙方进行处罚，并有权提前终止合同。</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十三、争议的解决</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      种方式解决。</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（2）向有管辖权的人民法院提起诉讼。</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十四、合同生效</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1.中标方持中标通知书作为与需方签订合同的凭证。</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2.本合同经需、供双方法定代表人（符合浙财采监【2013】24号第六条规定的为负责人）或其授权委托人签字并加盖单位公章后生效。</w:t>
      </w:r>
    </w:p>
    <w:p>
      <w:pPr>
        <w:pStyle w:val="3"/>
        <w:snapToGrid w:val="0"/>
        <w:spacing w:line="360" w:lineRule="auto"/>
        <w:rPr>
          <w:rFonts w:hint="eastAsia" w:ascii="仿宋" w:hAnsi="仿宋" w:eastAsia="仿宋" w:cs="仿宋"/>
          <w:color w:val="auto"/>
          <w:sz w:val="24"/>
          <w:szCs w:val="24"/>
          <w:highlight w:val="none"/>
        </w:rPr>
      </w:pP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需方（盖章）：                      供方（盖章）：</w:t>
      </w:r>
    </w:p>
    <w:p>
      <w:pPr>
        <w:pStyle w:val="3"/>
        <w:snapToGrid w:val="0"/>
        <w:spacing w:line="360" w:lineRule="auto"/>
        <w:rPr>
          <w:rFonts w:hint="eastAsia" w:ascii="仿宋" w:hAnsi="仿宋" w:eastAsia="仿宋" w:cs="仿宋"/>
          <w:color w:val="auto"/>
          <w:sz w:val="24"/>
          <w:szCs w:val="24"/>
          <w:highlight w:val="none"/>
        </w:rPr>
      </w:pP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法定代表人（或委托代理人）签名：   法定代表人（或委托代理人）签名：</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联系电话：</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    </w:t>
      </w:r>
    </w:p>
    <w:p>
      <w:pPr>
        <w:pStyle w:val="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第六部分</w:t>
      </w:r>
      <w:bookmarkEnd w:id="430"/>
      <w:r>
        <w:rPr>
          <w:rFonts w:hint="eastAsia" w:ascii="仿宋" w:hAnsi="仿宋" w:eastAsia="仿宋" w:cs="仿宋"/>
          <w:color w:val="auto"/>
          <w:highlight w:val="none"/>
        </w:rPr>
        <w:t xml:space="preserve"> </w:t>
      </w:r>
      <w:bookmarkEnd w:id="431"/>
      <w:r>
        <w:rPr>
          <w:rFonts w:hint="eastAsia" w:ascii="仿宋" w:hAnsi="仿宋" w:eastAsia="仿宋" w:cs="仿宋"/>
          <w:color w:val="auto"/>
          <w:highlight w:val="none"/>
        </w:rPr>
        <w:t>应提交的有关格式范例</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投标人按照以下格式编制投标文件，并将资格文件、报价文件、商务技术文件分别装订成册。</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hint="eastAsia" w:ascii="仿宋" w:hAnsi="仿宋" w:eastAsia="仿宋" w:cs="仿宋"/>
          <w:color w:val="auto"/>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我方参与XXX采购项目【招标编号：</w:t>
      </w:r>
      <w:r>
        <w:rPr>
          <w:rFonts w:hint="eastAsia" w:ascii="仿宋" w:hAnsi="仿宋" w:eastAsia="仿宋" w:cs="仿宋"/>
          <w:color w:val="auto"/>
          <w:sz w:val="24"/>
          <w:highlight w:val="none"/>
        </w:rPr>
        <w:t>XXX</w:t>
      </w:r>
      <w:r>
        <w:rPr>
          <w:rFonts w:hint="eastAsia" w:ascii="仿宋" w:hAnsi="仿宋" w:eastAsia="仿宋" w:cs="仿宋"/>
          <w:color w:val="auto"/>
          <w:sz w:val="24"/>
          <w:highlight w:val="none"/>
        </w:rPr>
        <w:t>】政府采购活动，郑重承诺：</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pPr>
        <w:spacing w:line="360" w:lineRule="auto"/>
        <w:jc w:val="center"/>
        <w:rPr>
          <w:rFonts w:hint="eastAsia" w:ascii="仿宋" w:hAnsi="仿宋" w:eastAsia="仿宋" w:cs="仿宋"/>
          <w:b/>
          <w:color w:val="auto"/>
          <w:sz w:val="30"/>
          <w:szCs w:val="30"/>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w:t>
      </w:r>
      <w:r>
        <w:rPr>
          <w:rFonts w:hint="eastAsia" w:ascii="仿宋" w:hAnsi="仿宋" w:eastAsia="仿宋" w:cs="仿宋"/>
          <w:color w:val="auto"/>
          <w:sz w:val="24"/>
          <w:highlight w:val="none"/>
        </w:rPr>
        <w:t>落实政府采购政策需满足的资格要求选择提供相应的材料；未要求的，无需提供，本项目采用货物、服务、工程的分类按前附表要求</w:t>
      </w:r>
      <w:r>
        <w:rPr>
          <w:rFonts w:hint="eastAsia" w:ascii="仿宋" w:hAnsi="仿宋" w:eastAsia="仿宋" w:cs="仿宋"/>
          <w:color w:val="auto"/>
          <w:sz w:val="24"/>
          <w:highlight w:val="none"/>
        </w:rPr>
        <w:t>）</w:t>
      </w:r>
    </w:p>
    <w:p>
      <w:pPr>
        <w:pStyle w:val="503"/>
        <w:numPr>
          <w:ilvl w:val="0"/>
          <w:numId w:val="9"/>
        </w:numPr>
        <w:snapToGrid w:val="0"/>
        <w:spacing w:before="50" w:after="50"/>
        <w:ind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专门面向中小企业，货物全部由符合政策要求的中小企业（</w:t>
      </w:r>
      <w:r>
        <w:rPr>
          <w:rFonts w:hint="eastAsia" w:ascii="仿宋" w:hAnsi="仿宋" w:eastAsia="仿宋" w:cs="仿宋"/>
          <w:b/>
          <w:color w:val="auto"/>
          <w:highlight w:val="none"/>
        </w:rPr>
        <w:t>或小微企业</w:t>
      </w:r>
      <w:r>
        <w:rPr>
          <w:rFonts w:hint="eastAsia" w:ascii="仿宋" w:hAnsi="仿宋" w:eastAsia="仿宋" w:cs="仿宋"/>
          <w:b/>
          <w:color w:val="auto"/>
          <w:highlight w:val="none"/>
        </w:rPr>
        <w:t>）制造或者服务全部由符合政策要求的中小企业（</w:t>
      </w:r>
      <w:r>
        <w:rPr>
          <w:rFonts w:hint="eastAsia" w:ascii="仿宋" w:hAnsi="仿宋" w:eastAsia="仿宋" w:cs="仿宋"/>
          <w:b/>
          <w:color w:val="auto"/>
          <w:highlight w:val="none"/>
        </w:rPr>
        <w:t>或小微企业</w:t>
      </w:r>
      <w:r>
        <w:rPr>
          <w:rFonts w:hint="eastAsia" w:ascii="仿宋" w:hAnsi="仿宋" w:eastAsia="仿宋" w:cs="仿宋"/>
          <w:b/>
          <w:color w:val="auto"/>
          <w:highlight w:val="none"/>
        </w:rPr>
        <w:t xml:space="preserve">）承接的，提供相应的中小企业声明函。 </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2020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rPr>
        <w:t>（工程、服务）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rPr>
        <w:t>）：</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仿宋" w:hAnsi="仿宋" w:eastAsia="仿宋" w:cs="仿宋"/>
          <w:color w:val="auto"/>
          <w:highlight w:val="none"/>
        </w:rPr>
      </w:pPr>
    </w:p>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杭州市XXX采购项目【招标编号：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2020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rPr>
        <w:t>（工程、服务）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rPr>
        <w:t>）：</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rPr>
          <w:rFonts w:hint="eastAsia" w:ascii="仿宋" w:hAnsi="仿宋" w:eastAsia="仿宋" w:cs="仿宋"/>
          <w:color w:val="auto"/>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杭州市XXX采购项目【招标编号：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投标人名称(电子签章)：</w:t>
      </w:r>
    </w:p>
    <w:p>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2020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rPr>
        <w:t>（工程、服务）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rPr>
        <w:t>）：</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Cs/>
          <w:color w:val="auto"/>
          <w:highlight w:val="none"/>
        </w:rPr>
      </w:pPr>
    </w:p>
    <w:p>
      <w:pPr>
        <w:rPr>
          <w:rFonts w:hint="eastAsia" w:ascii="仿宋" w:hAnsi="仿宋" w:eastAsia="仿宋" w:cs="仿宋"/>
          <w:color w:val="auto"/>
          <w:highlight w:val="none"/>
        </w:rPr>
      </w:pPr>
    </w:p>
    <w:p>
      <w:pPr>
        <w:rPr>
          <w:rFonts w:hint="eastAsia" w:ascii="仿宋" w:hAnsi="仿宋" w:eastAsia="仿宋" w:cs="仿宋"/>
          <w:bCs/>
          <w:color w:val="auto"/>
          <w:highlight w:val="none"/>
        </w:rPr>
      </w:pPr>
    </w:p>
    <w:p>
      <w:pPr>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w:t>
      </w:r>
      <w:r>
        <w:rPr>
          <w:rFonts w:hint="eastAsia" w:ascii="仿宋" w:hAnsi="仿宋" w:eastAsia="仿宋" w:cs="仿宋"/>
          <w:color w:val="auto"/>
          <w:sz w:val="24"/>
          <w:highlight w:val="none"/>
        </w:rPr>
        <w:t>提供相应的材料；未要求的，无需提供</w:t>
      </w:r>
      <w:r>
        <w:rPr>
          <w:rFonts w:hint="eastAsia" w:ascii="仿宋" w:hAnsi="仿宋" w:eastAsia="仿宋" w:cs="仿宋"/>
          <w:color w:val="auto"/>
          <w:sz w:val="24"/>
          <w:highlight w:val="none"/>
        </w:rPr>
        <w:t>）</w:t>
      </w:r>
    </w:p>
    <w:p>
      <w:pPr>
        <w:pStyle w:val="503"/>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pPr>
        <w:spacing w:line="360" w:lineRule="auto"/>
        <w:jc w:val="center"/>
        <w:rPr>
          <w:rFonts w:hint="eastAsia" w:ascii="仿宋" w:hAnsi="仿宋" w:eastAsia="仿宋" w:cs="仿宋"/>
          <w:b/>
          <w:color w:val="auto"/>
          <w:sz w:val="28"/>
          <w:szCs w:val="32"/>
          <w:highlight w:val="none"/>
        </w:rPr>
      </w:pPr>
    </w:p>
    <w:p>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pacing w:line="360" w:lineRule="auto"/>
        <w:ind w:left="2" w:firstLine="480" w:firstLineChars="200"/>
        <w:rPr>
          <w:rFonts w:hint="eastAsia" w:ascii="仿宋" w:hAnsi="仿宋" w:eastAsia="仿宋" w:cs="仿宋"/>
          <w:color w:val="auto"/>
          <w:sz w:val="24"/>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597"/>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cols w:space="720" w:num="1"/>
          <w:titlePg/>
          <w:docGrid w:linePitch="312" w:charSpace="0"/>
        </w:sectPr>
      </w:pPr>
    </w:p>
    <w:p>
      <w:pPr>
        <w:pStyle w:val="597"/>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eastAsia="zh-CN"/>
        </w:rPr>
        <w:t>一</w:t>
      </w:r>
      <w:r>
        <w:rPr>
          <w:rFonts w:hint="eastAsia" w:ascii="仿宋" w:hAnsi="仿宋" w:eastAsia="仿宋" w:cs="仿宋"/>
          <w:color w:val="auto"/>
          <w:kern w:val="2"/>
          <w:sz w:val="32"/>
          <w:szCs w:val="32"/>
          <w:highlight w:val="none"/>
        </w:rPr>
        <w:t>、投标(开标)一览表</w:t>
      </w:r>
    </w:p>
    <w:p>
      <w:pPr>
        <w:snapToGrid w:val="0"/>
        <w:spacing w:line="360" w:lineRule="auto"/>
        <w:rPr>
          <w:rFonts w:hint="eastAsia" w:ascii="仿宋" w:hAnsi="仿宋" w:eastAsia="仿宋" w:cs="仿宋"/>
          <w:color w:val="auto"/>
          <w:kern w:val="0"/>
          <w:sz w:val="24"/>
          <w:highlight w:val="none"/>
        </w:rPr>
      </w:pPr>
      <w:bookmarkStart w:id="432" w:name="_Toc86217005"/>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color w:val="auto"/>
          <w:sz w:val="24"/>
          <w:highlight w:val="none"/>
        </w:rPr>
        <w:t>XXXXXX项目</w:t>
      </w:r>
      <w:r>
        <w:rPr>
          <w:rFonts w:hint="eastAsia" w:ascii="仿宋" w:hAnsi="仿宋" w:eastAsia="仿宋" w:cs="仿宋"/>
          <w:color w:val="auto"/>
          <w:kern w:val="0"/>
          <w:sz w:val="24"/>
          <w:highlight w:val="none"/>
          <w:lang w:val="zh-CN"/>
        </w:rPr>
        <w:t>【招标文件编号：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bookmarkEnd w:id="432"/>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3"/>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1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573" w:type="dxa"/>
            <w:noWrap w:val="0"/>
            <w:vAlign w:val="center"/>
          </w:tcPr>
          <w:p>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713" w:type="dxa"/>
            <w:noWrap w:val="0"/>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浙江省医疗服务价格收费标准的折扣：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3573" w:type="dxa"/>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（小写,小数点后最多保留两位,如: 60.00）</w:t>
            </w:r>
          </w:p>
        </w:tc>
      </w:tr>
    </w:tbl>
    <w:p>
      <w:pPr>
        <w:snapToGrid w:val="0"/>
        <w:spacing w:line="360" w:lineRule="auto"/>
        <w:ind w:left="480"/>
        <w:rPr>
          <w:rFonts w:hint="eastAsia" w:ascii="仿宋" w:hAnsi="仿宋" w:eastAsia="仿宋" w:cs="仿宋"/>
          <w:b/>
          <w:color w:val="auto"/>
          <w:kern w:val="0"/>
          <w:sz w:val="24"/>
          <w:highlight w:val="none"/>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w:t>
      </w:r>
      <w:r>
        <w:rPr>
          <w:rFonts w:hint="eastAsia" w:ascii="仿宋" w:hAnsi="仿宋" w:eastAsia="仿宋" w:cs="仿宋"/>
          <w:color w:val="auto"/>
          <w:kern w:val="0"/>
          <w:sz w:val="24"/>
          <w:highlight w:val="none"/>
          <w:lang w:val="zh-CN" w:eastAsia="zh-CN"/>
        </w:rPr>
        <w:t>投标人</w:t>
      </w:r>
      <w:r>
        <w:rPr>
          <w:rFonts w:hint="eastAsia" w:ascii="仿宋" w:hAnsi="仿宋" w:eastAsia="仿宋" w:cs="仿宋"/>
          <w:color w:val="auto"/>
          <w:kern w:val="0"/>
          <w:sz w:val="24"/>
          <w:highlight w:val="none"/>
          <w:lang w:val="zh-CN"/>
        </w:rPr>
        <w:t>投标报价为50.00%，即中标后按检测项目浙江省医疗服务价格收费标准×50.00%的价格执行体为：标本外送检测服务费=外送检验项目医院收入×响应价。</w:t>
      </w:r>
    </w:p>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napToGrid w:val="0"/>
        <w:spacing w:line="360" w:lineRule="auto"/>
        <w:ind w:left="0" w:leftChars="0" w:firstLine="477" w:firstLineChars="19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b/>
          <w:bCs/>
          <w:color w:val="auto"/>
          <w:kern w:val="0"/>
          <w:sz w:val="24"/>
          <w:highlight w:val="none"/>
          <w:lang w:val="zh-CN"/>
        </w:rPr>
        <w:t>▲最高折扣不能高于75%。</w:t>
      </w:r>
    </w:p>
    <w:p>
      <w:pPr>
        <w:snapToGrid w:val="0"/>
        <w:spacing w:line="360" w:lineRule="auto"/>
        <w:ind w:left="0" w:leftChars="0" w:firstLine="477" w:firstLineChars="19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w:t>
      </w:r>
      <w:r>
        <w:rPr>
          <w:rFonts w:hint="eastAsia" w:ascii="仿宋" w:hAnsi="仿宋" w:eastAsia="仿宋" w:cs="仿宋"/>
          <w:color w:val="auto"/>
          <w:kern w:val="0"/>
          <w:sz w:val="24"/>
          <w:highlight w:val="none"/>
          <w:lang w:val="zh-CN"/>
        </w:rPr>
        <w:t>提供</w:t>
      </w:r>
      <w:r>
        <w:rPr>
          <w:rFonts w:hint="eastAsia" w:ascii="仿宋" w:hAnsi="仿宋" w:eastAsia="仿宋" w:cs="仿宋"/>
          <w:color w:val="auto"/>
          <w:kern w:val="0"/>
          <w:sz w:val="24"/>
          <w:highlight w:val="none"/>
          <w:lang w:val="zh-CN"/>
        </w:rPr>
        <w:t>的中小企业</w:t>
      </w:r>
      <w:r>
        <w:rPr>
          <w:rFonts w:hint="eastAsia" w:ascii="仿宋" w:hAnsi="仿宋" w:eastAsia="仿宋" w:cs="仿宋"/>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snapToGrid w:val="0"/>
        <w:spacing w:line="360" w:lineRule="auto"/>
        <w:ind w:firstLine="482" w:firstLineChars="200"/>
        <w:jc w:val="right"/>
        <w:rPr>
          <w:rFonts w:hint="eastAsia" w:ascii="仿宋" w:hAnsi="仿宋" w:eastAsia="仿宋" w:cs="仿宋"/>
          <w:b/>
          <w:color w:val="auto"/>
          <w:kern w:val="0"/>
          <w:sz w:val="24"/>
          <w:highlight w:val="none"/>
        </w:rPr>
      </w:pPr>
    </w:p>
    <w:p>
      <w:pPr>
        <w:spacing w:line="360" w:lineRule="auto"/>
        <w:ind w:right="9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投标人名称（电子签章）：</w:t>
      </w:r>
    </w:p>
    <w:p>
      <w:pPr>
        <w:spacing w:line="360" w:lineRule="auto"/>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pPr>
        <w:widowControl/>
        <w:adjustRightInd/>
        <w:spacing w:line="360" w:lineRule="auto"/>
        <w:jc w:val="left"/>
        <w:rPr>
          <w:rFonts w:hint="eastAsia" w:ascii="仿宋" w:hAnsi="仿宋" w:eastAsia="仿宋" w:cs="仿宋"/>
          <w:color w:val="auto"/>
          <w:kern w:val="0"/>
          <w:sz w:val="36"/>
          <w:szCs w:val="36"/>
          <w:highlight w:val="none"/>
          <w:lang w:val="zh-CN"/>
        </w:rPr>
        <w:sectPr>
          <w:pgSz w:w="11906" w:h="16838"/>
          <w:pgMar w:top="1276" w:right="1418" w:bottom="1247" w:left="1418" w:header="851" w:footer="992" w:gutter="0"/>
          <w:cols w:space="720" w:num="1"/>
        </w:sectPr>
      </w:pPr>
    </w:p>
    <w:p>
      <w:pPr>
        <w:pStyle w:val="597"/>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eastAsia="zh-CN"/>
        </w:rPr>
        <w:t>二</w:t>
      </w:r>
      <w:r>
        <w:rPr>
          <w:rFonts w:hint="eastAsia" w:ascii="仿宋" w:hAnsi="仿宋" w:eastAsia="仿宋" w:cs="仿宋"/>
          <w:color w:val="auto"/>
          <w:kern w:val="2"/>
          <w:sz w:val="32"/>
          <w:szCs w:val="32"/>
          <w:highlight w:val="none"/>
        </w:rPr>
        <w:t>、中小企业声明函（如</w:t>
      </w:r>
      <w:r>
        <w:rPr>
          <w:rFonts w:hint="eastAsia" w:ascii="仿宋" w:hAnsi="仿宋" w:eastAsia="仿宋" w:cs="仿宋"/>
          <w:color w:val="auto"/>
          <w:kern w:val="2"/>
          <w:sz w:val="32"/>
          <w:szCs w:val="32"/>
          <w:highlight w:val="none"/>
        </w:rPr>
        <w:t>有</w:t>
      </w:r>
      <w:r>
        <w:rPr>
          <w:rFonts w:hint="eastAsia" w:ascii="仿宋" w:hAnsi="仿宋" w:eastAsia="仿宋" w:cs="仿宋"/>
          <w:color w:val="auto"/>
          <w:kern w:val="2"/>
          <w:sz w:val="32"/>
          <w:szCs w:val="32"/>
          <w:highlight w:val="none"/>
        </w:rPr>
        <w:t>）</w:t>
      </w:r>
    </w:p>
    <w:p>
      <w:pPr>
        <w:spacing w:line="360" w:lineRule="auto"/>
        <w:ind w:firstLine="480" w:firstLineChars="200"/>
        <w:jc w:val="left"/>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2020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firstLine="480" w:firstLineChars="200"/>
        <w:jc w:val="left"/>
        <w:rPr>
          <w:rFonts w:hint="eastAsia" w:ascii="仿宋" w:hAnsi="仿宋" w:eastAsia="仿宋" w:cs="仿宋"/>
          <w:color w:val="auto"/>
          <w:sz w:val="24"/>
          <w:highlight w:val="none"/>
        </w:rPr>
      </w:pPr>
    </w:p>
    <w:p>
      <w:pPr>
        <w:spacing w:line="360" w:lineRule="auto"/>
        <w:ind w:right="10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rPr>
        <w:t>）：</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120" w:firstLine="4680" w:firstLineChars="1950"/>
        <w:rPr>
          <w:rFonts w:hint="eastAsia" w:ascii="仿宋" w:hAnsi="仿宋" w:eastAsia="仿宋" w:cs="仿宋"/>
          <w:color w:val="auto"/>
          <w:sz w:val="24"/>
          <w:highlight w:val="none"/>
        </w:rPr>
      </w:pPr>
    </w:p>
    <w:p>
      <w:pPr>
        <w:pStyle w:val="597"/>
        <w:keepNext w:val="0"/>
        <w:pageBreakBefore w:val="0"/>
        <w:tabs>
          <w:tab w:val="clear" w:pos="720"/>
        </w:tabs>
        <w:snapToGrid w:val="0"/>
        <w:ind w:firstLine="6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snapToGrid w:val="0"/>
          <w:color w:val="auto"/>
          <w:kern w:val="2"/>
          <w:sz w:val="32"/>
          <w:szCs w:val="32"/>
          <w:highlight w:val="none"/>
        </w:rPr>
        <w:t>中小企业声明函（工程、 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（标的名称）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万元，属于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0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rPr>
        <w:t>）：</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p>
    <w:p>
      <w:pPr>
        <w:spacing w:line="360" w:lineRule="auto"/>
        <w:ind w:firstLine="310" w:firstLineChars="147"/>
        <w:jc w:val="left"/>
        <w:rPr>
          <w:rFonts w:hint="eastAsia" w:ascii="仿宋" w:hAnsi="仿宋" w:eastAsia="仿宋" w:cs="仿宋"/>
          <w:b/>
          <w:color w:val="auto"/>
          <w:szCs w:val="21"/>
          <w:highlight w:val="none"/>
        </w:rPr>
      </w:pP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color w:val="auto"/>
          <w:sz w:val="24"/>
          <w:highlight w:val="none"/>
        </w:rPr>
        <w:t>投标人提供的中小企业声明函与实际情况不符的，投标价格不可享受价格扣除。</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hint="eastAsia" w:ascii="仿宋" w:hAnsi="仿宋" w:eastAsia="仿宋" w:cs="仿宋"/>
          <w:color w:val="auto"/>
          <w:kern w:val="0"/>
          <w:sz w:val="36"/>
          <w:szCs w:val="36"/>
          <w:highlight w:val="none"/>
        </w:rPr>
        <w:sectPr>
          <w:pgSz w:w="11906" w:h="16838"/>
          <w:pgMar w:top="1247" w:right="1418" w:bottom="1276" w:left="1418" w:header="851" w:footer="992" w:gutter="0"/>
          <w:cols w:space="720" w:num="1"/>
        </w:sect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pacing w:line="360" w:lineRule="auto"/>
        <w:rPr>
          <w:rFonts w:hint="eastAsia" w:ascii="仿宋" w:hAnsi="仿宋" w:eastAsia="仿宋" w:cs="仿宋"/>
          <w:b/>
          <w:bCs/>
          <w:color w:val="auto"/>
          <w:sz w:val="24"/>
          <w:highlight w:val="none"/>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618"/>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杭州市XXX采购项目【招标编号：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（适用于联合体其中一方提供的货物全部由小微企业制造，</w:t>
      </w:r>
      <w:r>
        <w:rPr>
          <w:rFonts w:hint="eastAsia" w:ascii="仿宋" w:hAnsi="仿宋" w:eastAsia="仿宋" w:cs="仿宋"/>
          <w:b/>
          <w:color w:val="auto"/>
          <w:kern w:val="0"/>
          <w:sz w:val="24"/>
          <w:highlight w:val="none"/>
          <w:lang w:val="zh-CN"/>
        </w:rPr>
        <w:t>且其合同份额占到合同总金额 30%以上</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联合体成员名称(电子签章/公章)：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中标后以分包方式履行合同的，提供分包意向协议；采购人不同意分包或者投标人中标后不以分包方式履行合同的，则不需要提供。本条写“无”或删除</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杭州市XXX采购项目【招标编号：</w:t>
      </w:r>
      <w:r>
        <w:rPr>
          <w:rFonts w:hint="eastAsia" w:ascii="仿宋" w:hAnsi="仿宋" w:eastAsia="仿宋" w:cs="仿宋"/>
          <w:color w:val="auto"/>
          <w:sz w:val="24"/>
          <w:highlight w:val="none"/>
        </w:rPr>
        <w:t>XXXXXX</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zh-CN"/>
        </w:rPr>
        <w:t>适用于分包供应商提供的货物全部由小微企业制造，且其合同份额占到合同总金额 30%以上</w:t>
      </w:r>
      <w:r>
        <w:rPr>
          <w:rFonts w:hint="eastAsia" w:ascii="仿宋" w:hAnsi="仿宋" w:eastAsia="仿宋" w:cs="仿宋"/>
          <w:b/>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五、符合性审查资料索引表及具体内容</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4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170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w:t>
            </w:r>
            <w:r>
              <w:rPr>
                <w:rFonts w:hint="eastAsia" w:ascii="仿宋" w:hAnsi="仿宋" w:eastAsia="仿宋" w:cs="仿宋"/>
                <w:color w:val="auto"/>
                <w:sz w:val="24"/>
                <w:highlight w:val="none"/>
              </w:rPr>
              <w:t>投标文件未按照招标文件要求签署、盖章。</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投标文件的组成部分中需要使用电子签章或者签字盖章处 </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sz w:val="24"/>
                <w:highlight w:val="none"/>
              </w:rPr>
              <w:t>（招标文件未要求的，无需提供）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5"/>
              <w:numPr>
                <w:ilvl w:val="0"/>
                <w:numId w:val="0"/>
              </w:numPr>
              <w:rPr>
                <w:rFonts w:hint="eastAsia" w:ascii="仿宋" w:hAnsi="仿宋" w:eastAsia="仿宋" w:cs="仿宋"/>
                <w:color w:val="auto"/>
                <w:highlight w:val="none"/>
                <w:lang w:val="en-US"/>
              </w:rPr>
            </w:pPr>
            <w:r>
              <w:rPr>
                <w:rFonts w:hint="eastAsia" w:ascii="仿宋" w:hAnsi="仿宋" w:eastAsia="仿宋" w:cs="仿宋"/>
                <w:b w:val="0"/>
                <w:bCs w:val="0"/>
                <w:color w:val="auto"/>
                <w:kern w:val="2"/>
                <w:sz w:val="24"/>
                <w:szCs w:val="24"/>
                <w:highlight w:val="none"/>
                <w:lang w:val="en-US" w:eastAsia="zh-CN" w:bidi="ar-SA"/>
              </w:rPr>
              <w:t>第</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不存在如下情形：投标文件中承诺的投标有效期少于招标文件中载明的投标有效期。</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84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不存在如下情形：投标文件不满足招标文件的其它实质性要求。</w:t>
            </w:r>
          </w:p>
        </w:tc>
        <w:tc>
          <w:tcPr>
            <w:tcW w:w="170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招标文件其它实质性要求相应的材料（招标文件未要求的，无需提供）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1、投标文件的组成部分中需要使用电子签章或者签字盖章处（详</w:t>
      </w:r>
      <w:r>
        <w:rPr>
          <w:rFonts w:hint="eastAsia" w:ascii="仿宋" w:hAnsi="仿宋" w:eastAsia="仿宋" w:cs="仿宋"/>
          <w:color w:val="auto"/>
          <w:sz w:val="24"/>
          <w:highlight w:val="none"/>
        </w:rPr>
        <w:t>见投标文件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r>
        <w:rPr>
          <w:rFonts w:hint="eastAsia" w:ascii="仿宋" w:hAnsi="仿宋" w:eastAsia="仿宋" w:cs="仿宋"/>
          <w:color w:val="auto"/>
          <w:sz w:val="24"/>
          <w:highlight w:val="none"/>
        </w:rPr>
        <w:t xml:space="preserve">） </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（招标文件未要求的，无需提供）</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w:t>
      </w:r>
      <w:r>
        <w:rPr>
          <w:rFonts w:hint="eastAsia" w:ascii="仿宋" w:hAnsi="仿宋" w:eastAsia="仿宋" w:cs="仿宋"/>
          <w:color w:val="auto"/>
          <w:sz w:val="24"/>
          <w:highlight w:val="none"/>
        </w:rPr>
        <w:t>见投标文件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r>
        <w:rPr>
          <w:rFonts w:hint="eastAsia" w:ascii="仿宋" w:hAnsi="仿宋" w:eastAsia="仿宋" w:cs="仿宋"/>
          <w:color w:val="auto"/>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4、招标文件其它实质性要求相应的材料（招标文件未要求的，无需提供）</w:t>
      </w: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3683" w:type="dxa"/>
          </w:tcPr>
          <w:p>
            <w:pPr>
              <w:jc w:val="center"/>
              <w:rPr>
                <w:rFonts w:hint="eastAsia" w:ascii="仿宋" w:hAnsi="仿宋" w:eastAsia="仿宋" w:cs="仿宋"/>
                <w:b/>
                <w:color w:val="auto"/>
                <w:kern w:val="0"/>
                <w:sz w:val="24"/>
                <w:szCs w:val="24"/>
                <w:highlight w:val="none"/>
              </w:rPr>
            </w:pPr>
          </w:p>
        </w:tc>
        <w:tc>
          <w:tcPr>
            <w:tcW w:w="3546" w:type="dxa"/>
          </w:tcPr>
          <w:p>
            <w:pPr>
              <w:jc w:val="center"/>
              <w:rPr>
                <w:rFonts w:hint="eastAsia" w:ascii="仿宋" w:hAnsi="仿宋" w:eastAsia="仿宋" w:cs="仿宋"/>
                <w:b/>
                <w:color w:val="auto"/>
                <w:kern w:val="0"/>
                <w:sz w:val="24"/>
                <w:szCs w:val="24"/>
                <w:highlight w:val="none"/>
              </w:rPr>
            </w:pPr>
          </w:p>
        </w:tc>
        <w:tc>
          <w:tcPr>
            <w:tcW w:w="1276" w:type="dxa"/>
          </w:tcPr>
          <w:p>
            <w:pPr>
              <w:jc w:val="center"/>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3683" w:type="dxa"/>
          </w:tcPr>
          <w:p>
            <w:pPr>
              <w:jc w:val="center"/>
              <w:rPr>
                <w:rFonts w:hint="eastAsia" w:ascii="仿宋" w:hAnsi="仿宋" w:eastAsia="仿宋" w:cs="仿宋"/>
                <w:b/>
                <w:color w:val="auto"/>
                <w:kern w:val="0"/>
                <w:sz w:val="24"/>
                <w:szCs w:val="24"/>
                <w:highlight w:val="none"/>
              </w:rPr>
            </w:pPr>
          </w:p>
        </w:tc>
        <w:tc>
          <w:tcPr>
            <w:tcW w:w="3546" w:type="dxa"/>
          </w:tcPr>
          <w:p>
            <w:pPr>
              <w:jc w:val="center"/>
              <w:rPr>
                <w:rFonts w:hint="eastAsia" w:ascii="仿宋" w:hAnsi="仿宋" w:eastAsia="仿宋" w:cs="仿宋"/>
                <w:b/>
                <w:color w:val="auto"/>
                <w:kern w:val="0"/>
                <w:sz w:val="24"/>
                <w:szCs w:val="24"/>
                <w:highlight w:val="none"/>
              </w:rPr>
            </w:pPr>
          </w:p>
        </w:tc>
        <w:tc>
          <w:tcPr>
            <w:tcW w:w="1276" w:type="dxa"/>
          </w:tcPr>
          <w:p>
            <w:pPr>
              <w:jc w:val="center"/>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p>
        </w:tc>
        <w:tc>
          <w:tcPr>
            <w:tcW w:w="3683" w:type="dxa"/>
          </w:tcPr>
          <w:p>
            <w:pPr>
              <w:jc w:val="center"/>
              <w:rPr>
                <w:rFonts w:hint="eastAsia" w:ascii="仿宋" w:hAnsi="仿宋" w:eastAsia="仿宋" w:cs="仿宋"/>
                <w:b/>
                <w:color w:val="auto"/>
                <w:kern w:val="0"/>
                <w:sz w:val="24"/>
                <w:szCs w:val="24"/>
                <w:highlight w:val="none"/>
              </w:rPr>
            </w:pPr>
          </w:p>
        </w:tc>
        <w:tc>
          <w:tcPr>
            <w:tcW w:w="3546" w:type="dxa"/>
          </w:tcPr>
          <w:p>
            <w:pPr>
              <w:jc w:val="center"/>
              <w:rPr>
                <w:rFonts w:hint="eastAsia" w:ascii="仿宋" w:hAnsi="仿宋" w:eastAsia="仿宋" w:cs="仿宋"/>
                <w:b/>
                <w:color w:val="auto"/>
                <w:kern w:val="0"/>
                <w:sz w:val="24"/>
                <w:szCs w:val="24"/>
                <w:highlight w:val="none"/>
              </w:rPr>
            </w:pPr>
          </w:p>
        </w:tc>
        <w:tc>
          <w:tcPr>
            <w:tcW w:w="1276" w:type="dxa"/>
          </w:tcPr>
          <w:p>
            <w:pPr>
              <w:jc w:val="center"/>
              <w:rPr>
                <w:rFonts w:hint="eastAsia" w:ascii="仿宋" w:hAnsi="仿宋" w:eastAsia="仿宋" w:cs="仿宋"/>
                <w:b/>
                <w:color w:val="auto"/>
                <w:kern w:val="0"/>
                <w:sz w:val="24"/>
                <w:szCs w:val="24"/>
                <w:highlight w:val="none"/>
              </w:rPr>
            </w:pPr>
          </w:p>
        </w:tc>
      </w:tr>
    </w:tbl>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numPr>
          <w:ilvl w:val="0"/>
          <w:numId w:val="10"/>
        </w:numPr>
        <w:spacing w:line="360" w:lineRule="auto"/>
        <w:jc w:val="center"/>
        <w:rPr>
          <w:rFonts w:hint="eastAsia" w:ascii="仿宋" w:hAnsi="仿宋" w:eastAsia="仿宋" w:cs="仿宋"/>
          <w:b/>
          <w:bCs/>
          <w:color w:val="auto"/>
          <w:kern w:val="0"/>
          <w:sz w:val="24"/>
          <w:highlight w:val="none"/>
        </w:rPr>
        <w:sectPr>
          <w:pgSz w:w="11906" w:h="16838"/>
          <w:pgMar w:top="1247" w:right="1418" w:bottom="1276" w:left="1418" w:header="851" w:footer="992" w:gutter="0"/>
          <w:cols w:space="720" w:num="1"/>
        </w:sectPr>
      </w:pPr>
    </w:p>
    <w:p>
      <w:pPr>
        <w:spacing w:line="360" w:lineRule="auto"/>
        <w:ind w:right="420"/>
        <w:rPr>
          <w:rFonts w:hint="eastAsia" w:ascii="仿宋" w:hAnsi="仿宋" w:eastAsia="仿宋" w:cs="仿宋"/>
          <w:b/>
          <w:color w:val="auto"/>
          <w:sz w:val="24"/>
          <w:highlight w:val="none"/>
        </w:rPr>
      </w:pPr>
    </w:p>
    <w:p>
      <w:pPr>
        <w:pStyle w:val="4"/>
        <w:rPr>
          <w:rFonts w:hint="eastAsia" w:ascii="仿宋" w:hAnsi="仿宋" w:eastAsia="仿宋" w:cs="仿宋"/>
          <w:color w:val="auto"/>
          <w:highlight w:val="none"/>
        </w:rPr>
      </w:pPr>
      <w:bookmarkStart w:id="433" w:name="_Toc465665161"/>
      <w:r>
        <w:rPr>
          <w:rFonts w:hint="eastAsia" w:ascii="仿宋" w:hAnsi="仿宋" w:eastAsia="仿宋" w:cs="仿宋"/>
          <w:color w:val="auto"/>
          <w:highlight w:val="none"/>
        </w:rPr>
        <w:t>附件</w:t>
      </w:r>
      <w:bookmarkEnd w:id="433"/>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34" w:name="OLE_LINK13"/>
      <w:bookmarkStart w:id="435" w:name="OLE_LINK14"/>
      <w:r>
        <w:rPr>
          <w:rFonts w:hint="eastAsia" w:ascii="仿宋" w:hAnsi="仿宋" w:eastAsia="仿宋" w:cs="仿宋"/>
          <w:b/>
          <w:color w:val="auto"/>
          <w:spacing w:val="6"/>
          <w:sz w:val="32"/>
          <w:szCs w:val="32"/>
          <w:highlight w:val="none"/>
        </w:rPr>
        <w:t>残疾人福利性单位声明函</w:t>
      </w:r>
    </w:p>
    <w:bookmarkEnd w:id="434"/>
    <w:bookmarkEnd w:id="435"/>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r>
        <w:rPr>
          <w:rFonts w:hint="eastAsia" w:ascii="仿宋" w:hAnsi="仿宋" w:eastAsia="仿宋" w:cs="仿宋"/>
          <w:b/>
          <w:color w:val="auto"/>
          <w:spacing w:val="6"/>
          <w:sz w:val="32"/>
          <w:szCs w:val="32"/>
          <w:highlight w:val="none"/>
        </w:rPr>
        <w:t>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邮箱：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标项号：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jc w:val="left"/>
        <w:rPr>
          <w:rFonts w:hint="eastAsia" w:ascii="仿宋" w:hAnsi="仿宋" w:eastAsia="仿宋" w:cs="仿宋"/>
          <w:color w:val="auto"/>
          <w:sz w:val="40"/>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rPr>
        <w:t>4 质疑答复范本</w:t>
      </w: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关于**项目质疑的答复</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质疑项目名称：</w:t>
      </w:r>
      <w:r>
        <w:rPr>
          <w:rFonts w:hint="eastAsia" w:ascii="仿宋" w:hAnsi="仿宋" w:eastAsia="仿宋" w:cs="仿宋"/>
          <w:color w:val="auto"/>
          <w:sz w:val="24"/>
          <w:highlight w:val="none"/>
          <w:u w:val="dotted"/>
        </w:rPr>
        <w:t xml:space="preserve"> ***政府采购项目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质疑项目编号：</w:t>
      </w:r>
      <w:r>
        <w:rPr>
          <w:rFonts w:hint="eastAsia" w:ascii="仿宋" w:hAnsi="仿宋" w:eastAsia="仿宋" w:cs="仿宋"/>
          <w:color w:val="auto"/>
          <w:sz w:val="24"/>
          <w:highlight w:val="none"/>
          <w:u w:val="dotted"/>
        </w:rPr>
        <w:t xml:space="preserve"> ***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本单位于</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日收到质疑函，</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日收到补充材料，答复内容如下。</w:t>
      </w:r>
    </w:p>
    <w:p>
      <w:pPr>
        <w:numPr>
          <w:ilvl w:val="0"/>
          <w:numId w:val="11"/>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质疑人</w:t>
      </w:r>
    </w:p>
    <w:p>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二、项目采购人和代理机构</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邮箱</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邮箱</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numPr>
          <w:ilvl w:val="0"/>
          <w:numId w:val="12"/>
        </w:num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审查及答复</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bCs/>
          <w:color w:val="auto"/>
          <w:sz w:val="24"/>
          <w:highlight w:val="none"/>
        </w:rPr>
        <w:t>事项1：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事项</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pPr>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欢迎并感谢你单位对政府采购活动的参与和支持。</w:t>
      </w:r>
    </w:p>
    <w:p>
      <w:pPr>
        <w:snapToGrid w:val="0"/>
        <w:spacing w:line="360" w:lineRule="auto"/>
        <w:rPr>
          <w:rFonts w:hint="eastAsia" w:ascii="仿宋" w:hAnsi="仿宋" w:eastAsia="仿宋" w:cs="仿宋"/>
          <w:bCs/>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w:t>
      </w:r>
    </w:p>
    <w:p>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日 </w:t>
      </w:r>
    </w:p>
    <w:p>
      <w:pPr>
        <w:spacing w:line="360" w:lineRule="auto"/>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rPr>
        <w:t>5</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 xml:space="preserve">】（标项号： </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w:t>
      </w:r>
      <w:r>
        <w:rPr>
          <w:rFonts w:hint="eastAsia" w:ascii="仿宋" w:hAnsi="仿宋" w:eastAsia="仿宋" w:cs="仿宋"/>
          <w:color w:val="auto"/>
          <w:kern w:val="0"/>
          <w:sz w:val="24"/>
          <w:highlight w:val="none"/>
          <w:lang w:val="zh-CN"/>
        </w:rPr>
        <w:t>样品或参加演示</w:t>
      </w:r>
      <w:r>
        <w:rPr>
          <w:rFonts w:hint="eastAsia" w:ascii="仿宋" w:hAnsi="仿宋" w:eastAsia="仿宋" w:cs="仿宋"/>
          <w:color w:val="auto"/>
          <w:kern w:val="0"/>
          <w:sz w:val="24"/>
          <w:highlight w:val="none"/>
          <w:lang w:val="zh-CN"/>
        </w:rPr>
        <w:t>，并全权负责标后取回样品等其他处理事宜。</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同时有样品和演示的</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可委托不同人员</w:t>
      </w:r>
      <w:r>
        <w:rPr>
          <w:rFonts w:hint="eastAsia" w:ascii="仿宋" w:hAnsi="仿宋" w:eastAsia="仿宋" w:cs="仿宋"/>
          <w:b/>
          <w:color w:val="auto"/>
          <w:sz w:val="24"/>
          <w:highlight w:val="none"/>
        </w:rPr>
        <w:t>。</w:t>
      </w:r>
    </w:p>
    <w:sectPr>
      <w:headerReference r:id="rId23" w:type="first"/>
      <w:footerReference r:id="rId26" w:type="first"/>
      <w:headerReference r:id="rId22" w:type="default"/>
      <w:footerReference r:id="rId24" w:type="default"/>
      <w:footerReference r:id="rId25"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6" w:name="_Toc131845147"/>
    <w:bookmarkStart w:id="437" w:name="_Toc164085800"/>
    <w:bookmarkStart w:id="438" w:name="_Toc36110187"/>
    <w:bookmarkStart w:id="439" w:name="_Toc91899912"/>
    <w:r>
      <w:rPr>
        <w:rFonts w:hint="eastAsia" w:ascii="仿宋_GB2312" w:eastAsia="仿宋_GB2312"/>
        <w:kern w:val="0"/>
        <w:szCs w:val="21"/>
      </w:rPr>
      <w:t xml:space="preserve"> 页</w:t>
    </w:r>
    <w:bookmarkEnd w:id="436"/>
    <w:bookmarkEnd w:id="437"/>
    <w:bookmarkEnd w:id="438"/>
    <w:bookmarkEnd w:id="4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pPr>
    <w:r>
      <w:rPr>
        <w:rFonts w:hint="eastAsia"/>
      </w:rPr>
      <w:t>萧山区政府采购公开招标文件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萧山区政府采购公开招标文件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Pr>
    <w:r>
      <w:rPr>
        <w:rFonts w:hint="eastAsia"/>
      </w:rPr>
      <w:t>萧山区政府采购公开招标文件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ind w:right="720"/>
    </w:pP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b/>
        <w:i/>
        <w:u w:val="single"/>
      </w:rPr>
    </w:pPr>
    <w:r>
      <w:t></w:t>
    </w:r>
    <w:r>
      <w:rPr>
        <w:rFonts w:hint="eastAsia"/>
      </w:rPr>
      <w:t>萧山区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萧山区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rFonts w:hint="eastAsia"/>
      </w:rPr>
      <w:t>萧山区政府采购公开招标文件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Pr>
    <w:r>
      <w:rPr>
        <w:rFonts w:hint="eastAsia"/>
      </w:rPr>
      <w:t>萧山区政府采购公开招标文件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b/>
        <w:i/>
        <w:u w:val="single"/>
      </w:rPr>
    </w:pPr>
    <w:r>
      <w:t></w:t>
    </w:r>
    <w:r>
      <w:rPr>
        <w:rFonts w:hint="eastAsia"/>
      </w:rPr>
      <w:t>萧山区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pPr>
      <w:pStyle w:val="39"/>
    </w:pPr>
    <w:r>
      <w:rPr>
        <w:rFonts w:hint="eastAsia"/>
      </w:rPr>
      <w:t>萧山区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28C7068"/>
    <w:multiLevelType w:val="multilevel"/>
    <w:tmpl w:val="628C706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1"/>
  </w:num>
  <w:num w:numId="7">
    <w:abstractNumId w:val="10"/>
  </w:num>
  <w:num w:numId="8">
    <w:abstractNumId w:val="7"/>
  </w:num>
  <w:num w:numId="9">
    <w:abstractNumId w:val="9"/>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2122095"/>
    <w:rsid w:val="03DD35E4"/>
    <w:rsid w:val="065A6178"/>
    <w:rsid w:val="068E19BA"/>
    <w:rsid w:val="081E231A"/>
    <w:rsid w:val="0A5B7E63"/>
    <w:rsid w:val="0C87121B"/>
    <w:rsid w:val="0DF702FE"/>
    <w:rsid w:val="0E9E6E62"/>
    <w:rsid w:val="0F816ACD"/>
    <w:rsid w:val="10F36BFD"/>
    <w:rsid w:val="10FC16EA"/>
    <w:rsid w:val="1140116D"/>
    <w:rsid w:val="118963A1"/>
    <w:rsid w:val="123E374A"/>
    <w:rsid w:val="127723A9"/>
    <w:rsid w:val="13072A44"/>
    <w:rsid w:val="1AA44A36"/>
    <w:rsid w:val="1B2A271F"/>
    <w:rsid w:val="1BF0428C"/>
    <w:rsid w:val="1D266CE1"/>
    <w:rsid w:val="1D3963AF"/>
    <w:rsid w:val="1D832687"/>
    <w:rsid w:val="1E3465FF"/>
    <w:rsid w:val="1E714A66"/>
    <w:rsid w:val="1FE868A9"/>
    <w:rsid w:val="24D340B6"/>
    <w:rsid w:val="2702368A"/>
    <w:rsid w:val="2DD15014"/>
    <w:rsid w:val="2FD25781"/>
    <w:rsid w:val="319C6071"/>
    <w:rsid w:val="33A37E2B"/>
    <w:rsid w:val="342E63AB"/>
    <w:rsid w:val="365302AE"/>
    <w:rsid w:val="399C304B"/>
    <w:rsid w:val="3C5F759A"/>
    <w:rsid w:val="3DFC4E7F"/>
    <w:rsid w:val="3E860F7B"/>
    <w:rsid w:val="3F283C65"/>
    <w:rsid w:val="40DA0A3B"/>
    <w:rsid w:val="42E1381E"/>
    <w:rsid w:val="43613359"/>
    <w:rsid w:val="491C4268"/>
    <w:rsid w:val="51A0432A"/>
    <w:rsid w:val="52A96B6F"/>
    <w:rsid w:val="539C0175"/>
    <w:rsid w:val="54543A12"/>
    <w:rsid w:val="550764A4"/>
    <w:rsid w:val="58AE4F0C"/>
    <w:rsid w:val="5A2A7C7B"/>
    <w:rsid w:val="5ACE32A8"/>
    <w:rsid w:val="5BBB2421"/>
    <w:rsid w:val="5BEB604D"/>
    <w:rsid w:val="5C80234E"/>
    <w:rsid w:val="5E261785"/>
    <w:rsid w:val="5FCC5339"/>
    <w:rsid w:val="5FF63C52"/>
    <w:rsid w:val="61054A27"/>
    <w:rsid w:val="611D2366"/>
    <w:rsid w:val="62885958"/>
    <w:rsid w:val="647A6070"/>
    <w:rsid w:val="64CE2EAA"/>
    <w:rsid w:val="65C26EB0"/>
    <w:rsid w:val="662E75B1"/>
    <w:rsid w:val="66342C2E"/>
    <w:rsid w:val="663E784C"/>
    <w:rsid w:val="69776EA0"/>
    <w:rsid w:val="6C81092E"/>
    <w:rsid w:val="6E8E12EF"/>
    <w:rsid w:val="71D43752"/>
    <w:rsid w:val="749C4185"/>
    <w:rsid w:val="75DA2C18"/>
    <w:rsid w:val="76047F17"/>
    <w:rsid w:val="76DF2E77"/>
    <w:rsid w:val="7A67303B"/>
    <w:rsid w:val="7AAB1D04"/>
    <w:rsid w:val="7ABA4368"/>
    <w:rsid w:val="7B257FFD"/>
    <w:rsid w:val="7B88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4"/>
    <w:qFormat/>
    <w:uiPriority w:val="0"/>
    <w:pPr>
      <w:adjustRightInd/>
      <w:spacing w:after="120" w:line="240" w:lineRule="auto"/>
      <w:ind w:left="420" w:leftChars="200" w:firstLine="210"/>
    </w:pPr>
    <w:rPr>
      <w:sz w:val="21"/>
    </w:rPr>
  </w:style>
  <w:style w:type="paragraph" w:styleId="3">
    <w:name w:val="Body Text Indent"/>
    <w:basedOn w:val="1"/>
    <w:link w:val="101"/>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46"/>
    <w:qFormat/>
    <w:uiPriority w:val="99"/>
    <w:pPr>
      <w:jc w:val="left"/>
    </w:pPr>
  </w:style>
  <w:style w:type="paragraph" w:styleId="22">
    <w:name w:val="Salutation"/>
    <w:basedOn w:val="1"/>
    <w:next w:val="1"/>
    <w:link w:val="211"/>
    <w:qFormat/>
    <w:uiPriority w:val="0"/>
    <w:rPr>
      <w:rFonts w:ascii="仿宋_GB2312" w:eastAsia="仿宋_GB2312"/>
      <w:sz w:val="28"/>
      <w:szCs w:val="20"/>
    </w:rPr>
  </w:style>
  <w:style w:type="paragraph" w:styleId="23">
    <w:name w:val="Body Text 3"/>
    <w:basedOn w:val="1"/>
    <w:link w:val="184"/>
    <w:qFormat/>
    <w:uiPriority w:val="0"/>
    <w:pPr>
      <w:jc w:val="center"/>
    </w:pPr>
    <w:rPr>
      <w:szCs w:val="20"/>
    </w:rPr>
  </w:style>
  <w:style w:type="paragraph" w:styleId="24">
    <w:name w:val="Body Text"/>
    <w:basedOn w:val="1"/>
    <w:link w:val="120"/>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2"/>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9"/>
    <w:qFormat/>
    <w:uiPriority w:val="0"/>
    <w:pPr>
      <w:ind w:left="100" w:leftChars="2500"/>
    </w:pPr>
    <w:rPr>
      <w:rFonts w:ascii="宋体"/>
      <w:sz w:val="24"/>
      <w:szCs w:val="21"/>
      <w:lang w:val="zh-CN"/>
    </w:rPr>
  </w:style>
  <w:style w:type="paragraph" w:styleId="36">
    <w:name w:val="Body Text Indent 2"/>
    <w:basedOn w:val="1"/>
    <w:link w:val="81"/>
    <w:qFormat/>
    <w:uiPriority w:val="0"/>
    <w:pPr>
      <w:spacing w:line="360" w:lineRule="auto"/>
      <w:ind w:firstLine="601"/>
      <w:textAlignment w:val="baseline"/>
    </w:pPr>
    <w:rPr>
      <w:rFonts w:ascii="宋体"/>
      <w:kern w:val="0"/>
      <w:sz w:val="28"/>
      <w:szCs w:val="20"/>
    </w:rPr>
  </w:style>
  <w:style w:type="paragraph" w:styleId="37">
    <w:name w:val="Balloon Text"/>
    <w:basedOn w:val="1"/>
    <w:link w:val="247"/>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23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3"/>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133"/>
    <w:qFormat/>
    <w:uiPriority w:val="0"/>
    <w:pPr>
      <w:ind w:firstLine="420"/>
    </w:pPr>
    <w:rPr>
      <w:szCs w:val="20"/>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6"/>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2"/>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5"/>
    <w:qFormat/>
    <w:uiPriority w:val="0"/>
    <w:rPr>
      <w:rFonts w:ascii="Arial" w:hAnsi="Arial" w:eastAsia="隶书"/>
      <w:b/>
      <w:bCs/>
      <w:kern w:val="28"/>
      <w:sz w:val="44"/>
      <w:szCs w:val="32"/>
      <w:lang w:val="en-US" w:eastAsia="zh-CN" w:bidi="ar-SA"/>
    </w:rPr>
  </w:style>
  <w:style w:type="character" w:customStyle="1" w:styleId="101">
    <w:name w:val="正文文本缩进 Char1"/>
    <w:link w:val="3"/>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5"/>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11"/>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4"/>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2"/>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59"/>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4"/>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7"/>
    <w:link w:val="14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2"/>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7"/>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9"/>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8"/>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2"/>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3"/>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1"/>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2"/>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10"/>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5"/>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2"/>
    <w:qFormat/>
    <w:uiPriority w:val="0"/>
    <w:rPr>
      <w:rFonts w:ascii="仿宋_GB2312" w:eastAsia="仿宋_GB2312"/>
      <w:kern w:val="2"/>
      <w:sz w:val="28"/>
    </w:rPr>
  </w:style>
  <w:style w:type="character" w:customStyle="1" w:styleId="212">
    <w:name w:val="标题 4 Char"/>
    <w:link w:val="7"/>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8"/>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9"/>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7"/>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2"/>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21"/>
    <w:qFormat/>
    <w:uiPriority w:val="0"/>
    <w:rPr>
      <w:kern w:val="2"/>
      <w:sz w:val="21"/>
      <w:szCs w:val="24"/>
    </w:rPr>
  </w:style>
  <w:style w:type="character" w:customStyle="1" w:styleId="247">
    <w:name w:val="批注框文本 Char"/>
    <w:link w:val="37"/>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0"/>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2"/>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6"/>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6"/>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7"/>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5"/>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8"/>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8"/>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9"/>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20"/>
    <w:qFormat/>
    <w:uiPriority w:val="0"/>
    <w:pPr>
      <w:snapToGrid w:val="0"/>
      <w:spacing w:line="360" w:lineRule="auto"/>
    </w:pPr>
  </w:style>
  <w:style w:type="paragraph" w:customStyle="1" w:styleId="4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6"/>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156"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5"/>
    <w:next w:val="1"/>
    <w:qFormat/>
    <w:uiPriority w:val="0"/>
    <w:pPr>
      <w:numPr>
        <w:ilvl w:val="1"/>
        <w:numId w:val="5"/>
      </w:numPr>
    </w:pPr>
    <w:rPr>
      <w:rFonts w:ascii="Times New Roman" w:eastAsia="宋体"/>
      <w:i/>
      <w:sz w:val="36"/>
      <w:szCs w:val="36"/>
      <w:lang w:val="en-US"/>
    </w:rPr>
  </w:style>
  <w:style w:type="paragraph" w:customStyle="1" w:styleId="45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0" w:beforeLines="0" w:after="0" w:afterLines="0"/>
      <w:ind w:left="1680"/>
      <w:outlineLvl w:val="2"/>
    </w:pPr>
  </w:style>
  <w:style w:type="paragraph" w:customStyle="1" w:styleId="466">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5"/>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4"/>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Heading"/>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4"/>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69"/>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5"/>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7"/>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Revision"/>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1"/>
    <w:next w:val="421"/>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8"/>
    <w:qFormat/>
    <w:locked/>
    <w:uiPriority w:val="99"/>
    <w:rPr>
      <w:kern w:val="2"/>
      <w:sz w:val="18"/>
      <w:szCs w:val="18"/>
    </w:rPr>
  </w:style>
  <w:style w:type="character" w:customStyle="1" w:styleId="631">
    <w:name w:val="页眉 Char2"/>
    <w:link w:val="39"/>
    <w:qFormat/>
    <w:uiPriority w:val="99"/>
    <w:rPr>
      <w:kern w:val="2"/>
      <w:sz w:val="18"/>
      <w:szCs w:val="18"/>
    </w:rPr>
  </w:style>
  <w:style w:type="paragraph" w:customStyle="1" w:styleId="63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68C66-B602-42B9-9EDA-A0936F1CECA9}">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23965</Words>
  <Characters>23966</Characters>
  <Lines>1331</Lines>
  <Paragraphs>1597</Paragraphs>
  <TotalTime>8</TotalTime>
  <ScaleCrop>false</ScaleCrop>
  <LinksUpToDate>false</LinksUpToDate>
  <CharactersWithSpaces>46334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阿璃</cp:lastModifiedBy>
  <cp:lastPrinted>2021-04-01T06:48:00Z</cp:lastPrinted>
  <dcterms:modified xsi:type="dcterms:W3CDTF">2021-12-22T01:52:00Z</dcterms:modified>
  <dc:title>杭州市市民卡扩大发卡工程</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E24D6784EEE04EC7B2E705BFE5B7BA1E</vt:lpwstr>
  </property>
</Properties>
</file>