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00" w:lineRule="exact"/>
        <w:rPr>
          <w:rFonts w:ascii="宋体" w:cs="宋体"/>
          <w:b/>
          <w:bCs/>
          <w:sz w:val="48"/>
          <w:szCs w:val="48"/>
          <w:highlight w:val="none"/>
        </w:rPr>
      </w:pPr>
      <w:bookmarkStart w:id="138" w:name="_GoBack"/>
    </w:p>
    <w:p>
      <w:pPr>
        <w:overflowPunct w:val="0"/>
        <w:spacing w:line="500" w:lineRule="exact"/>
        <w:rPr>
          <w:rFonts w:ascii="宋体" w:cs="宋体"/>
          <w:b/>
          <w:bCs/>
          <w:sz w:val="48"/>
          <w:szCs w:val="48"/>
          <w:highlight w:val="none"/>
        </w:rPr>
      </w:pPr>
    </w:p>
    <w:p>
      <w:pPr>
        <w:overflowPunct w:val="0"/>
        <w:spacing w:line="700" w:lineRule="exact"/>
        <w:jc w:val="center"/>
        <w:rPr>
          <w:rFonts w:hint="eastAsia" w:ascii="宋体" w:eastAsia="宋体" w:cs="宋体"/>
          <w:b/>
          <w:bCs/>
          <w:sz w:val="42"/>
          <w:szCs w:val="42"/>
          <w:highlight w:val="none"/>
          <w:lang w:eastAsia="zh-CN"/>
        </w:rPr>
      </w:pPr>
      <w:r>
        <w:rPr>
          <w:rFonts w:hint="eastAsia" w:ascii="宋体" w:hAnsi="宋体" w:cs="宋体"/>
          <w:b/>
          <w:bCs/>
          <w:sz w:val="42"/>
          <w:szCs w:val="42"/>
          <w:highlight w:val="none"/>
          <w:lang w:eastAsia="zh-CN"/>
        </w:rPr>
        <w:t>2024年度长合区两岗人员培训及专项培训项目</w:t>
      </w:r>
    </w:p>
    <w:p>
      <w:pPr>
        <w:tabs>
          <w:tab w:val="left" w:pos="1276"/>
        </w:tabs>
        <w:overflowPunct w:val="0"/>
        <w:spacing w:line="500" w:lineRule="exact"/>
        <w:jc w:val="center"/>
        <w:rPr>
          <w:rFonts w:ascii="宋体" w:cs="宋体"/>
          <w:b/>
          <w:sz w:val="72"/>
          <w:szCs w:val="72"/>
          <w:highlight w:val="none"/>
        </w:rPr>
      </w:pPr>
    </w:p>
    <w:p>
      <w:pPr>
        <w:overflowPunct w:val="0"/>
        <w:spacing w:line="500" w:lineRule="exact"/>
        <w:rPr>
          <w:rFonts w:ascii="宋体" w:cs="宋体"/>
          <w:sz w:val="24"/>
          <w:highlight w:val="none"/>
        </w:rPr>
      </w:pPr>
    </w:p>
    <w:p>
      <w:pP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竞</w:t>
      </w:r>
    </w:p>
    <w:p>
      <w:pP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争</w:t>
      </w:r>
    </w:p>
    <w:p>
      <w:pP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性</w:t>
      </w:r>
    </w:p>
    <w:p>
      <w:pP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磋</w:t>
      </w:r>
    </w:p>
    <w:p>
      <w:pP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商</w:t>
      </w:r>
    </w:p>
    <w:p>
      <w:pP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文</w:t>
      </w:r>
    </w:p>
    <w:p>
      <w:pPr>
        <w:tabs>
          <w:tab w:val="left" w:pos="1276"/>
        </w:tabs>
        <w:overflowPunct w:val="0"/>
        <w:spacing w:line="1000" w:lineRule="exact"/>
        <w:jc w:val="center"/>
        <w:rPr>
          <w:rFonts w:ascii="宋体" w:cs="宋体"/>
          <w:b/>
          <w:sz w:val="72"/>
          <w:szCs w:val="72"/>
          <w:highlight w:val="none"/>
        </w:rPr>
      </w:pPr>
      <w:r>
        <w:rPr>
          <w:rFonts w:hint="eastAsia" w:ascii="宋体" w:hAnsi="宋体" w:cs="宋体"/>
          <w:b/>
          <w:sz w:val="72"/>
          <w:szCs w:val="72"/>
          <w:highlight w:val="none"/>
        </w:rPr>
        <w:t>件</w:t>
      </w:r>
    </w:p>
    <w:p>
      <w:pPr>
        <w:tabs>
          <w:tab w:val="left" w:pos="1276"/>
        </w:tabs>
        <w:overflowPunct w:val="0"/>
        <w:spacing w:line="500" w:lineRule="exact"/>
        <w:jc w:val="center"/>
        <w:rPr>
          <w:rFonts w:ascii="宋体" w:cs="宋体"/>
          <w:b/>
          <w:sz w:val="72"/>
          <w:szCs w:val="72"/>
          <w:highlight w:val="none"/>
        </w:rPr>
      </w:pPr>
    </w:p>
    <w:p>
      <w:pPr>
        <w:overflowPunct w:val="0"/>
        <w:spacing w:line="500" w:lineRule="exact"/>
        <w:rPr>
          <w:rFonts w:ascii="宋体" w:cs="宋体"/>
          <w:sz w:val="24"/>
          <w:highlight w:val="none"/>
        </w:rPr>
      </w:pPr>
    </w:p>
    <w:p>
      <w:pPr>
        <w:overflowPunct w:val="0"/>
        <w:spacing w:line="520" w:lineRule="exact"/>
        <w:rPr>
          <w:rFonts w:hint="eastAsia" w:asci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HXCG-ZF-2024-007</w:t>
      </w:r>
    </w:p>
    <w:p>
      <w:pPr>
        <w:overflowPunct w:val="0"/>
        <w:spacing w:line="520" w:lineRule="exact"/>
        <w:rPr>
          <w:rFonts w:hint="eastAsia" w:ascii="宋体" w:eastAsia="宋体" w:cs="宋体"/>
          <w:sz w:val="24"/>
          <w:highlight w:val="none"/>
          <w:lang w:eastAsia="zh-CN"/>
        </w:rPr>
      </w:pPr>
      <w:r>
        <w:rPr>
          <w:rFonts w:hint="eastAsia" w:ascii="宋体" w:hAnsi="宋体" w:cs="宋体"/>
          <w:bCs/>
          <w:sz w:val="24"/>
          <w:highlight w:val="none"/>
        </w:rPr>
        <w:t>采购</w:t>
      </w:r>
      <w:r>
        <w:rPr>
          <w:rFonts w:hint="eastAsia" w:ascii="宋体" w:hAnsi="宋体" w:cs="宋体"/>
          <w:sz w:val="24"/>
          <w:highlight w:val="none"/>
        </w:rPr>
        <w:t>单位：</w:t>
      </w:r>
      <w:r>
        <w:rPr>
          <w:rFonts w:hint="eastAsia" w:ascii="宋体" w:hAnsi="宋体" w:cs="宋体"/>
          <w:sz w:val="24"/>
          <w:highlight w:val="none"/>
          <w:lang w:eastAsia="zh-CN"/>
        </w:rPr>
        <w:t>长三角（湖州）产业合作区管理委员会</w:t>
      </w:r>
    </w:p>
    <w:p>
      <w:pPr>
        <w:overflowPunct w:val="0"/>
        <w:spacing w:line="520" w:lineRule="exact"/>
        <w:rPr>
          <w:rFonts w:ascii="宋体" w:cs="宋体"/>
          <w:sz w:val="24"/>
          <w:highlight w:val="none"/>
        </w:rPr>
      </w:pPr>
      <w:r>
        <w:rPr>
          <w:rFonts w:hint="eastAsia" w:ascii="宋体" w:hAnsi="宋体" w:cs="宋体"/>
          <w:sz w:val="24"/>
          <w:highlight w:val="none"/>
        </w:rPr>
        <w:t>采购代理机构：浙江华夏工程管理有限公司</w:t>
      </w:r>
    </w:p>
    <w:p>
      <w:pPr>
        <w:overflowPunct w:val="0"/>
        <w:spacing w:line="520" w:lineRule="exact"/>
        <w:rPr>
          <w:rFonts w:ascii="宋体" w:cs="宋体"/>
          <w:sz w:val="24"/>
          <w:highlight w:val="none"/>
        </w:rPr>
      </w:pPr>
      <w:r>
        <w:rPr>
          <w:rFonts w:hint="eastAsia" w:ascii="宋体" w:hAnsi="宋体" w:cs="宋体"/>
          <w:sz w:val="24"/>
          <w:highlight w:val="none"/>
        </w:rPr>
        <w:t>日期：</w:t>
      </w:r>
      <w:r>
        <w:rPr>
          <w:rFonts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p>
    <w:p>
      <w:pPr>
        <w:overflowPunct w:val="0"/>
        <w:spacing w:line="360" w:lineRule="auto"/>
        <w:jc w:val="center"/>
        <w:rPr>
          <w:rFonts w:ascii="宋体" w:cs="宋体"/>
          <w:b/>
          <w:sz w:val="44"/>
          <w:szCs w:val="44"/>
          <w:highlight w:val="none"/>
        </w:rPr>
      </w:pPr>
    </w:p>
    <w:p>
      <w:pPr>
        <w:overflowPunct w:val="0"/>
        <w:spacing w:line="360" w:lineRule="auto"/>
        <w:jc w:val="center"/>
        <w:rPr>
          <w:rFonts w:hint="eastAsia" w:ascii="宋体" w:hAnsi="宋体" w:cs="宋体"/>
          <w:b/>
          <w:sz w:val="44"/>
          <w:szCs w:val="44"/>
          <w:highlight w:val="none"/>
        </w:rPr>
        <w:sectPr>
          <w:headerReference r:id="rId4" w:type="first"/>
          <w:headerReference r:id="rId3" w:type="default"/>
          <w:footerReference r:id="rId5" w:type="default"/>
          <w:pgSz w:w="11906" w:h="16838"/>
          <w:pgMar w:top="1361" w:right="1587" w:bottom="1361" w:left="1587" w:header="850" w:footer="850" w:gutter="0"/>
          <w:pgNumType w:start="1"/>
          <w:cols w:space="720" w:num="1"/>
          <w:titlePg/>
          <w:docGrid w:type="lines" w:linePitch="312" w:charSpace="0"/>
        </w:sectPr>
      </w:pPr>
    </w:p>
    <w:p>
      <w:pPr>
        <w:overflowPunct w:val="0"/>
        <w:spacing w:line="360" w:lineRule="auto"/>
        <w:jc w:val="center"/>
        <w:rPr>
          <w:rFonts w:ascii="宋体" w:cs="宋体"/>
          <w:b/>
          <w:sz w:val="44"/>
          <w:szCs w:val="44"/>
          <w:highlight w:val="none"/>
        </w:rPr>
      </w:pPr>
      <w:r>
        <w:rPr>
          <w:rFonts w:hint="eastAsia" w:ascii="宋体" w:hAnsi="宋体" w:cs="宋体"/>
          <w:b/>
          <w:sz w:val="44"/>
          <w:szCs w:val="44"/>
          <w:highlight w:val="none"/>
        </w:rPr>
        <w:t>目</w:t>
      </w:r>
      <w:r>
        <w:rPr>
          <w:rFonts w:ascii="宋体" w:hAnsi="宋体" w:cs="宋体"/>
          <w:b/>
          <w:sz w:val="44"/>
          <w:szCs w:val="44"/>
          <w:highlight w:val="none"/>
        </w:rPr>
        <w:t xml:space="preserve">   </w:t>
      </w:r>
      <w:r>
        <w:rPr>
          <w:rFonts w:hint="eastAsia" w:ascii="宋体" w:hAnsi="宋体" w:cs="宋体"/>
          <w:b/>
          <w:sz w:val="44"/>
          <w:szCs w:val="44"/>
          <w:highlight w:val="none"/>
        </w:rPr>
        <w:t>录</w:t>
      </w:r>
    </w:p>
    <w:p>
      <w:pPr>
        <w:pStyle w:val="20"/>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_Toc8407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第一章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_Toc8407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_Toc5861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_Toc5861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_Toc9565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磋商项目服务内容及要求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_Toc9565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_Toc13632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rPr>
        <w:t>采购内容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_Toc13632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_Toc27686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二、培训单位要求及服务内容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_Toc27686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_Toc2681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三、</w:t>
      </w:r>
      <w:r>
        <w:rPr>
          <w:rFonts w:hint="eastAsia" w:ascii="宋体" w:hAnsi="宋体" w:eastAsia="宋体" w:cs="宋体"/>
          <w:bCs/>
          <w:kern w:val="2"/>
          <w:sz w:val="24"/>
          <w:szCs w:val="24"/>
          <w:highlight w:val="none"/>
          <w:lang w:eastAsia="zh-CN"/>
        </w:rPr>
        <w:t>培训安排</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_Toc2681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_Toc16988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四、</w:t>
      </w:r>
      <w:r>
        <w:rPr>
          <w:rFonts w:hint="eastAsia" w:ascii="宋体" w:hAnsi="宋体" w:eastAsia="宋体" w:cs="宋体"/>
          <w:bCs/>
          <w:kern w:val="2"/>
          <w:sz w:val="24"/>
          <w:szCs w:val="24"/>
          <w:highlight w:val="none"/>
          <w:lang w:eastAsia="zh-CN"/>
        </w:rPr>
        <w:t>▲</w:t>
      </w:r>
      <w:r>
        <w:rPr>
          <w:rFonts w:hint="eastAsia" w:ascii="宋体" w:hAnsi="宋体" w:eastAsia="宋体" w:cs="宋体"/>
          <w:sz w:val="24"/>
          <w:szCs w:val="24"/>
          <w:highlight w:val="none"/>
          <w:lang w:eastAsia="zh-CN"/>
        </w:rPr>
        <w:t>其他要求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_Toc16988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_Toc3661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商务要求表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磋商原则和程序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开启响应文件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_Toc29812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二、磋商小组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_Toc29812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_Toc6153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三、竞争性磋商原则与方法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_Toc6153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_Toc31769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_Toc31769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_Toc14386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五、磋商文件的澄清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_Toc14386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_Toc3328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六、确定供应商办法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_Toc3328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_Toc28027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七、综合评分法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_Toc28027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八、资格审查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_Toc29783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九、成交通知、授予合同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_Toc29783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_Toc28223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第五章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合同主要条款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_Toc28223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_Toc11246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_Toc11246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0"/>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_Toc13596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eastAsia="zh-CN"/>
        </w:rPr>
        <w:t>第七章</w:t>
      </w:r>
      <w:r>
        <w:rPr>
          <w:rFonts w:hint="eastAsia" w:ascii="宋体" w:hAnsi="宋体" w:eastAsia="宋体" w:cs="宋体"/>
          <w:sz w:val="24"/>
          <w:szCs w:val="24"/>
          <w:highlight w:val="none"/>
          <w:lang w:val="en-US" w:eastAsia="zh-CN"/>
        </w:rPr>
        <w:t xml:space="preserve">  专家评分索引表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_Toc13596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keepNext w:val="0"/>
        <w:keepLines w:val="0"/>
        <w:pageBreakBefore w:val="0"/>
        <w:widowControl w:val="0"/>
        <w:kinsoku/>
        <w:wordWrap/>
        <w:overflowPunct w:val="0"/>
        <w:topLinePunct w:val="0"/>
        <w:autoSpaceDE/>
        <w:autoSpaceDN/>
        <w:bidi w:val="0"/>
        <w:adjustRightInd/>
        <w:snapToGrid/>
        <w:spacing w:line="400" w:lineRule="exact"/>
        <w:ind w:firstLine="105"/>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end"/>
      </w:r>
    </w:p>
    <w:p>
      <w:pPr>
        <w:pStyle w:val="4"/>
        <w:keepNext w:val="0"/>
        <w:keepLines w:val="0"/>
        <w:pageBreakBefore w:val="0"/>
        <w:widowControl w:val="0"/>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hint="eastAsia" w:ascii="宋体" w:hAnsi="宋体" w:eastAsia="宋体" w:cs="宋体"/>
          <w:sz w:val="24"/>
          <w:szCs w:val="24"/>
          <w:highlight w:val="none"/>
        </w:rPr>
        <w:br w:type="page"/>
      </w:r>
      <w:bookmarkStart w:id="0" w:name="_Toc8407"/>
      <w:bookmarkStart w:id="1" w:name="_Toc22792"/>
      <w:r>
        <w:rPr>
          <w:rFonts w:hint="eastAsia" w:ascii="宋体" w:hAnsi="宋体" w:cs="宋体"/>
          <w:sz w:val="32"/>
          <w:szCs w:val="32"/>
          <w:highlight w:val="none"/>
        </w:rPr>
        <w:t>第一章</w:t>
      </w:r>
      <w:r>
        <w:rPr>
          <w:rFonts w:ascii="宋体" w:hAnsi="宋体" w:cs="宋体"/>
          <w:sz w:val="32"/>
          <w:szCs w:val="32"/>
          <w:highlight w:val="none"/>
        </w:rPr>
        <w:t xml:space="preserve"> </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竞争性磋商公告</w:t>
      </w:r>
      <w:bookmarkEnd w:id="0"/>
      <w:bookmarkEnd w:id="1"/>
    </w:p>
    <w:tbl>
      <w:tblPr>
        <w:tblStyle w:val="2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8684" w:type="dxa"/>
          </w:tcPr>
          <w:p>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ascii="宋体" w:cs="宋体"/>
                <w:sz w:val="21"/>
                <w:szCs w:val="21"/>
                <w:highlight w:val="none"/>
              </w:rPr>
            </w:pPr>
            <w:r>
              <w:rPr>
                <w:rFonts w:hint="eastAsia" w:ascii="宋体" w:hAnsi="宋体" w:cs="宋体"/>
                <w:b/>
                <w:bCs/>
                <w:kern w:val="0"/>
                <w:sz w:val="21"/>
                <w:szCs w:val="21"/>
                <w:highlight w:val="none"/>
              </w:rPr>
              <w:t>项目概况</w:t>
            </w:r>
            <w:r>
              <w:rPr>
                <w:rFonts w:ascii="宋体" w:hAnsi="宋体" w:cs="宋体"/>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 w:val="21"/>
                <w:szCs w:val="21"/>
                <w:highlight w:val="none"/>
                <w:lang w:eastAsia="zh-CN"/>
              </w:rPr>
              <w:t>2024年度长合区两岗人员培训及专项培训项目</w:t>
            </w:r>
            <w:r>
              <w:rPr>
                <w:rFonts w:hint="eastAsia" w:ascii="宋体" w:hAnsi="宋体" w:cs="宋体"/>
                <w:kern w:val="0"/>
                <w:sz w:val="21"/>
                <w:szCs w:val="21"/>
                <w:highlight w:val="none"/>
              </w:rPr>
              <w:t>的潜在供应商应在“政府采购云平台（www.zcygov.cn）”在线响应及评审获取（下载）采购文件，并于</w:t>
            </w:r>
            <w:r>
              <w:rPr>
                <w:rFonts w:ascii="宋体" w:hAnsi="宋体" w:cs="宋体"/>
                <w:kern w:val="0"/>
                <w:sz w:val="21"/>
                <w:szCs w:val="21"/>
                <w:highlight w:val="none"/>
              </w:rPr>
              <w:t xml:space="preserve"> 202</w:t>
            </w:r>
            <w:r>
              <w:rPr>
                <w:rFonts w:hint="eastAsia" w:ascii="宋体" w:hAnsi="宋体" w:cs="宋体"/>
                <w:kern w:val="0"/>
                <w:sz w:val="21"/>
                <w:szCs w:val="21"/>
                <w:highlight w:val="none"/>
                <w:lang w:val="en-US" w:eastAsia="zh-CN"/>
              </w:rPr>
              <w:t>4</w:t>
            </w:r>
            <w:r>
              <w:rPr>
                <w:rFonts w:hint="eastAsia" w:ascii="宋体" w:hAnsi="宋体" w:cs="宋体"/>
                <w:kern w:val="0"/>
                <w:sz w:val="21"/>
                <w:szCs w:val="21"/>
                <w:highlight w:val="none"/>
              </w:rPr>
              <w:t>年</w:t>
            </w:r>
            <w:r>
              <w:rPr>
                <w:rFonts w:hint="eastAsia" w:ascii="宋体" w:hAnsi="宋体" w:cs="宋体"/>
                <w:kern w:val="0"/>
                <w:sz w:val="21"/>
                <w:szCs w:val="21"/>
                <w:highlight w:val="none"/>
                <w:lang w:val="en-US" w:eastAsia="zh-CN"/>
              </w:rPr>
              <w:t>5</w:t>
            </w:r>
            <w:r>
              <w:rPr>
                <w:rFonts w:hint="eastAsia" w:ascii="宋体" w:hAnsi="宋体" w:cs="宋体"/>
                <w:sz w:val="21"/>
                <w:szCs w:val="21"/>
                <w:highlight w:val="none"/>
              </w:rPr>
              <w:t>月</w:t>
            </w:r>
            <w:r>
              <w:rPr>
                <w:rFonts w:hint="eastAsia" w:ascii="宋体" w:hAnsi="宋体" w:cs="宋体"/>
                <w:kern w:val="0"/>
                <w:sz w:val="21"/>
                <w:szCs w:val="21"/>
                <w:highlight w:val="none"/>
                <w:lang w:val="en-US" w:eastAsia="zh-CN"/>
              </w:rPr>
              <w:t>22</w:t>
            </w:r>
            <w:r>
              <w:rPr>
                <w:rFonts w:hint="eastAsia" w:ascii="宋体" w:hAnsi="宋体" w:cs="宋体"/>
                <w:kern w:val="0"/>
                <w:sz w:val="21"/>
                <w:szCs w:val="21"/>
                <w:highlight w:val="none"/>
              </w:rPr>
              <w:t>日</w:t>
            </w:r>
            <w:r>
              <w:rPr>
                <w:rFonts w:hint="eastAsia" w:ascii="宋体" w:hAnsi="宋体" w:cs="宋体"/>
                <w:kern w:val="0"/>
                <w:sz w:val="21"/>
                <w:szCs w:val="21"/>
                <w:highlight w:val="none"/>
                <w:lang w:val="en-US" w:eastAsia="zh-CN"/>
              </w:rPr>
              <w:t>09</w:t>
            </w:r>
            <w:r>
              <w:rPr>
                <w:rFonts w:ascii="宋体" w:hAnsi="宋体" w:cs="宋体"/>
                <w:sz w:val="21"/>
                <w:szCs w:val="21"/>
                <w:highlight w:val="none"/>
              </w:rPr>
              <w:t>:00</w:t>
            </w:r>
            <w:r>
              <w:rPr>
                <w:rFonts w:hint="eastAsia" w:ascii="宋体" w:hAnsi="宋体" w:cs="宋体"/>
                <w:kern w:val="0"/>
                <w:sz w:val="21"/>
                <w:szCs w:val="21"/>
                <w:highlight w:val="none"/>
              </w:rPr>
              <w:t>（北京时间）前递交（上传）</w:t>
            </w:r>
            <w:r>
              <w:rPr>
                <w:rFonts w:hint="eastAsia" w:ascii="宋体" w:hAnsi="宋体" w:cs="宋体"/>
                <w:kern w:val="0"/>
                <w:sz w:val="21"/>
                <w:szCs w:val="21"/>
                <w:highlight w:val="none"/>
                <w:lang w:eastAsia="zh-CN"/>
              </w:rPr>
              <w:t>响应</w:t>
            </w:r>
            <w:r>
              <w:rPr>
                <w:rFonts w:hint="eastAsia" w:ascii="宋体" w:hAnsi="宋体" w:cs="宋体"/>
                <w:kern w:val="0"/>
                <w:sz w:val="21"/>
                <w:szCs w:val="21"/>
                <w:highlight w:val="none"/>
              </w:rPr>
              <w:t>文件。</w:t>
            </w:r>
            <w:r>
              <w:rPr>
                <w:rFonts w:ascii="宋体" w:hAnsi="宋体" w:cs="宋体"/>
                <w:kern w:val="0"/>
                <w:sz w:val="21"/>
                <w:szCs w:val="21"/>
                <w:highlight w:val="none"/>
              </w:rPr>
              <w:t xml:space="preserve"> </w:t>
            </w:r>
          </w:p>
        </w:tc>
      </w:tr>
    </w:tbl>
    <w:p>
      <w:pPr>
        <w:keepNext w:val="0"/>
        <w:keepLines w:val="0"/>
        <w:pageBreakBefore w:val="0"/>
        <w:kinsoku/>
        <w:wordWrap/>
        <w:overflowPunct/>
        <w:topLinePunct w:val="0"/>
        <w:autoSpaceDE/>
        <w:autoSpaceDN/>
        <w:bidi w:val="0"/>
        <w:adjustRightInd/>
        <w:snapToGrid/>
        <w:spacing w:line="380" w:lineRule="exact"/>
        <w:jc w:val="left"/>
        <w:textAlignment w:val="auto"/>
        <w:rPr>
          <w:rFonts w:ascii="宋体" w:cs="宋体"/>
          <w:sz w:val="24"/>
          <w:szCs w:val="24"/>
          <w:highlight w:val="none"/>
        </w:rPr>
      </w:pPr>
      <w:r>
        <w:rPr>
          <w:rFonts w:hint="eastAsia" w:ascii="宋体" w:hAnsi="宋体" w:cs="宋体"/>
          <w:b/>
          <w:bCs/>
          <w:kern w:val="0"/>
          <w:sz w:val="24"/>
          <w:szCs w:val="24"/>
          <w:highlight w:val="none"/>
        </w:rPr>
        <w:t>一、项目基本情况</w:t>
      </w:r>
      <w:r>
        <w:rPr>
          <w:rFonts w:ascii="宋体" w:hAnsi="宋体" w:cs="宋体"/>
          <w:b/>
          <w:bCs/>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eastAsia="宋体" w:cs="宋体"/>
          <w:szCs w:val="21"/>
          <w:highlight w:val="none"/>
          <w:lang w:eastAsia="zh-CN"/>
        </w:rPr>
      </w:pPr>
      <w:r>
        <w:rPr>
          <w:rFonts w:hint="eastAsia" w:ascii="宋体" w:hAnsi="宋体" w:cs="宋体"/>
          <w:kern w:val="0"/>
          <w:szCs w:val="21"/>
          <w:highlight w:val="none"/>
        </w:rPr>
        <w:t>项目编号：</w:t>
      </w:r>
      <w:r>
        <w:rPr>
          <w:rFonts w:hint="eastAsia" w:ascii="宋体" w:hAnsi="宋体" w:cs="宋体"/>
          <w:kern w:val="0"/>
          <w:szCs w:val="21"/>
          <w:highlight w:val="none"/>
          <w:lang w:eastAsia="zh-CN"/>
        </w:rPr>
        <w:t>HXCG-ZF-2024-007</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s="宋体"/>
          <w:kern w:val="0"/>
          <w:szCs w:val="21"/>
          <w:highlight w:val="none"/>
        </w:rPr>
      </w:pPr>
      <w:r>
        <w:rPr>
          <w:rFonts w:hint="eastAsia" w:ascii="宋体" w:hAnsi="宋体" w:cs="宋体"/>
          <w:kern w:val="0"/>
          <w:szCs w:val="21"/>
          <w:highlight w:val="none"/>
        </w:rPr>
        <w:t>项目名称：</w:t>
      </w:r>
      <w:r>
        <w:rPr>
          <w:rFonts w:hint="eastAsia" w:ascii="宋体" w:hAnsi="宋体" w:cs="宋体"/>
          <w:kern w:val="0"/>
          <w:szCs w:val="21"/>
          <w:highlight w:val="none"/>
          <w:lang w:eastAsia="zh-CN"/>
        </w:rPr>
        <w:t>2024年度长合区两岗人员培训及专项培训项目</w:t>
      </w:r>
      <w:r>
        <w:rPr>
          <w:rFonts w:ascii="宋体" w:cs="宋体"/>
          <w:kern w:val="0"/>
          <w:szCs w:val="21"/>
          <w:highlight w:val="none"/>
        </w:rPr>
        <w:t>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default" w:ascii="宋体" w:hAnsi="宋体" w:eastAsia="微软雅黑" w:cs="宋体"/>
          <w:szCs w:val="21"/>
          <w:highlight w:val="none"/>
          <w:lang w:val="en-US"/>
        </w:rPr>
      </w:pPr>
      <w:r>
        <w:rPr>
          <w:rFonts w:hint="eastAsia" w:ascii="宋体" w:hAnsi="宋体" w:cs="宋体"/>
          <w:kern w:val="0"/>
          <w:szCs w:val="21"/>
          <w:highlight w:val="none"/>
        </w:rPr>
        <w:t>预算金额（元）：</w:t>
      </w:r>
      <w:r>
        <w:rPr>
          <w:rFonts w:hint="eastAsia" w:ascii="宋体" w:hAnsi="宋体" w:cs="宋体"/>
          <w:szCs w:val="21"/>
          <w:highlight w:val="none"/>
          <w:lang w:val="en-US" w:eastAsia="zh-CN"/>
        </w:rPr>
        <w:t>425000</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最高限价（元）：</w:t>
      </w:r>
      <w:r>
        <w:rPr>
          <w:rFonts w:hint="eastAsia" w:ascii="宋体" w:hAnsi="宋体" w:cs="宋体"/>
          <w:szCs w:val="21"/>
          <w:highlight w:val="none"/>
          <w:lang w:val="en-US" w:eastAsia="zh-CN"/>
        </w:rPr>
        <w:t>425000</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采购需求：</w:t>
      </w:r>
      <w:r>
        <w:rPr>
          <w:rFonts w:hint="eastAsia" w:ascii="宋体" w:hAnsi="宋体" w:cs="宋体"/>
          <w:kern w:val="0"/>
          <w:szCs w:val="21"/>
          <w:highlight w:val="none"/>
          <w:lang w:eastAsia="zh-CN"/>
        </w:rPr>
        <w:t>2024年度长合区两岗人员培训及专项培训</w:t>
      </w:r>
      <w:r>
        <w:rPr>
          <w:rFonts w:hint="eastAsia" w:ascii="宋体" w:hAnsi="宋体" w:cs="宋体"/>
          <w:kern w:val="0"/>
          <w:szCs w:val="21"/>
          <w:highlight w:val="none"/>
        </w:rPr>
        <w:t>，具体详见竞争性磋商文件</w:t>
      </w:r>
      <w:r>
        <w:rPr>
          <w:rFonts w:hint="eastAsia" w:ascii="宋体" w:hAnsi="宋体" w:cs="宋体"/>
          <w:szCs w:val="21"/>
          <w:highlight w:val="none"/>
        </w:rPr>
        <w:t>。</w:t>
      </w:r>
    </w:p>
    <w:p>
      <w:pPr>
        <w:pStyle w:val="6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0"/>
          <w:szCs w:val="21"/>
          <w:highlight w:val="none"/>
          <w:lang w:eastAsia="zh-CN"/>
        </w:rPr>
      </w:pPr>
    </w:p>
    <w:p>
      <w:pPr>
        <w:pStyle w:val="6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标项一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标项名称</w:t>
      </w:r>
      <w:r>
        <w:rPr>
          <w:rFonts w:ascii="宋体" w:hAnsi="宋体" w:cs="宋体"/>
          <w:kern w:val="0"/>
          <w:szCs w:val="21"/>
          <w:highlight w:val="none"/>
        </w:rPr>
        <w:t xml:space="preserve">: </w:t>
      </w:r>
      <w:r>
        <w:rPr>
          <w:rFonts w:hint="eastAsia" w:ascii="宋体" w:hAnsi="宋体" w:cs="宋体"/>
          <w:kern w:val="0"/>
          <w:szCs w:val="21"/>
          <w:highlight w:val="none"/>
          <w:lang w:eastAsia="zh-CN"/>
        </w:rPr>
        <w:t>2024年度长合区两岗人员培训及专项培训项目</w:t>
      </w:r>
      <w:r>
        <w:rPr>
          <w:rFonts w:ascii="宋体" w:cs="宋体"/>
          <w:kern w:val="0"/>
          <w:szCs w:val="21"/>
          <w:highlight w:val="none"/>
        </w:rPr>
        <w:t>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数量</w:t>
      </w:r>
      <w:r>
        <w:rPr>
          <w:rFonts w:ascii="宋体" w:hAnsi="宋体" w:cs="宋体"/>
          <w:kern w:val="0"/>
          <w:szCs w:val="21"/>
          <w:highlight w:val="none"/>
        </w:rPr>
        <w:t xml:space="preserve">: </w:t>
      </w:r>
      <w:r>
        <w:rPr>
          <w:rFonts w:hint="eastAsia" w:ascii="宋体" w:hAnsi="宋体" w:cs="宋体"/>
          <w:kern w:val="0"/>
          <w:szCs w:val="21"/>
          <w:highlight w:val="none"/>
        </w:rPr>
        <w:t>不限</w:t>
      </w:r>
      <w:r>
        <w:rPr>
          <w:rFonts w:ascii="宋体" w:hAnsi="宋体" w:cs="宋体"/>
          <w:kern w:val="0"/>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预算金额（元）：</w:t>
      </w:r>
      <w:r>
        <w:rPr>
          <w:rFonts w:hint="eastAsia" w:ascii="宋体" w:hAnsi="宋体" w:cs="宋体"/>
          <w:szCs w:val="21"/>
          <w:highlight w:val="none"/>
          <w:lang w:val="en-US" w:eastAsia="zh-CN"/>
        </w:rPr>
        <w:t>425000</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简要规格描述或项目基本概况介绍、用途：无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备注：投标报价不得超</w:t>
      </w:r>
      <w:r>
        <w:rPr>
          <w:rFonts w:hint="eastAsia" w:ascii="宋体" w:hAnsi="宋体" w:cs="宋体"/>
          <w:kern w:val="0"/>
          <w:szCs w:val="21"/>
          <w:highlight w:val="none"/>
          <w:lang w:eastAsia="zh-CN"/>
        </w:rPr>
        <w:t>预算</w:t>
      </w:r>
      <w:r>
        <w:rPr>
          <w:rFonts w:hint="eastAsia" w:ascii="宋体" w:hAnsi="宋体" w:cs="宋体"/>
          <w:kern w:val="0"/>
          <w:szCs w:val="21"/>
          <w:highlight w:val="none"/>
        </w:rPr>
        <w:t>，否则投标无效。</w:t>
      </w:r>
    </w:p>
    <w:p>
      <w:pPr>
        <w:pStyle w:val="68"/>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0"/>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合同履约期限：培训时间暂定合同签订起至2024年12月31日，具体以采购人要求为准。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项目（否）接受联合体投标。</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宋体" w:cs="宋体"/>
          <w:sz w:val="24"/>
          <w:szCs w:val="24"/>
          <w:highlight w:val="none"/>
        </w:rPr>
      </w:pPr>
      <w:r>
        <w:rPr>
          <w:rFonts w:hint="eastAsia" w:ascii="宋体" w:hAnsi="宋体" w:cs="宋体"/>
          <w:b/>
          <w:bCs/>
          <w:kern w:val="0"/>
          <w:sz w:val="24"/>
          <w:szCs w:val="24"/>
          <w:highlight w:val="none"/>
        </w:rPr>
        <w:t>二、申请人的资格要求</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ascii="宋体" w:hAnsi="宋体" w:cs="宋体"/>
          <w:kern w:val="0"/>
          <w:szCs w:val="21"/>
          <w:highlight w:val="none"/>
        </w:rPr>
        <w:t>1.</w:t>
      </w:r>
      <w:r>
        <w:rPr>
          <w:rFonts w:hint="eastAsia" w:ascii="宋体" w:hAnsi="宋体" w:cs="宋体"/>
          <w:kern w:val="0"/>
          <w:szCs w:val="21"/>
          <w:highlight w:val="none"/>
        </w:rPr>
        <w:t>满足《中华人民共和国政府采购法》第二十二条规定；未被“信用中国”（</w:t>
      </w:r>
      <w:r>
        <w:rPr>
          <w:rFonts w:ascii="宋体" w:hAnsi="宋体" w:cs="宋体"/>
          <w:kern w:val="0"/>
          <w:szCs w:val="21"/>
          <w:highlight w:val="none"/>
        </w:rPr>
        <w:t>www.creditchina.gov.cn)</w:t>
      </w:r>
      <w:r>
        <w:rPr>
          <w:rFonts w:hint="eastAsia" w:ascii="宋体" w:hAnsi="宋体" w:cs="宋体"/>
          <w:kern w:val="0"/>
          <w:szCs w:val="21"/>
          <w:highlight w:val="none"/>
        </w:rPr>
        <w:t>、中国政府采购网（</w:t>
      </w:r>
      <w:r>
        <w:rPr>
          <w:rFonts w:ascii="宋体" w:hAnsi="宋体" w:cs="宋体"/>
          <w:kern w:val="0"/>
          <w:szCs w:val="21"/>
          <w:highlight w:val="none"/>
        </w:rPr>
        <w:t>www.ccgp.gov.cn</w:t>
      </w:r>
      <w:r>
        <w:rPr>
          <w:rFonts w:hint="eastAsia" w:ascii="宋体" w:hAnsi="宋体" w:cs="宋体"/>
          <w:kern w:val="0"/>
          <w:szCs w:val="21"/>
          <w:highlight w:val="none"/>
        </w:rPr>
        <w:t>）列入失信被执行人、重大税收违法案件当事人名单、政府采购严重违法失信行为记录名单。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ascii="宋体" w:hAnsi="宋体" w:cs="宋体"/>
          <w:kern w:val="0"/>
          <w:szCs w:val="21"/>
          <w:highlight w:val="none"/>
        </w:rPr>
        <w:t>2.</w:t>
      </w:r>
      <w:r>
        <w:rPr>
          <w:rFonts w:hint="eastAsia" w:ascii="宋体" w:hAnsi="宋体" w:cs="宋体"/>
          <w:kern w:val="0"/>
          <w:szCs w:val="21"/>
          <w:highlight w:val="none"/>
        </w:rPr>
        <w:t>落实政府采购政策需满足的资格要求：标项1：供应商为中小企业/小微企业；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3.本项目的特定资格要求：</w:t>
      </w:r>
      <w:r>
        <w:rPr>
          <w:rFonts w:hint="eastAsia" w:cs="宋体"/>
          <w:i w:val="0"/>
          <w:iCs w:val="0"/>
          <w:caps w:val="0"/>
          <w:color w:val="auto"/>
          <w:spacing w:val="0"/>
          <w:sz w:val="21"/>
          <w:szCs w:val="21"/>
          <w:highlight w:val="none"/>
          <w:lang w:eastAsia="zh-CN"/>
        </w:rPr>
        <w:t>无</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宋体" w:cs="宋体"/>
          <w:sz w:val="24"/>
          <w:szCs w:val="24"/>
          <w:highlight w:val="none"/>
        </w:rPr>
      </w:pPr>
      <w:r>
        <w:rPr>
          <w:rFonts w:hint="eastAsia" w:ascii="宋体" w:hAnsi="宋体" w:cs="宋体"/>
          <w:b/>
          <w:bCs/>
          <w:kern w:val="0"/>
          <w:sz w:val="24"/>
          <w:szCs w:val="24"/>
          <w:highlight w:val="none"/>
        </w:rPr>
        <w:t>三、获取（下载）采购文件</w:t>
      </w:r>
      <w:r>
        <w:rPr>
          <w:rFonts w:ascii="宋体" w:hAnsi="宋体" w:cs="宋体"/>
          <w:b/>
          <w:bCs/>
          <w:kern w:val="0"/>
          <w:sz w:val="24"/>
          <w:szCs w:val="24"/>
          <w:highlight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时间：</w:t>
      </w:r>
      <w:r>
        <w:rPr>
          <w:rFonts w:ascii="宋体" w:hAnsi="宋体" w:cs="宋体"/>
          <w:kern w:val="0"/>
          <w:szCs w:val="21"/>
          <w:highlight w:val="none"/>
        </w:rPr>
        <w:t>/</w:t>
      </w:r>
      <w:r>
        <w:rPr>
          <w:rFonts w:hint="eastAsia" w:ascii="宋体" w:hAnsi="宋体" w:cs="宋体"/>
          <w:kern w:val="0"/>
          <w:szCs w:val="21"/>
          <w:highlight w:val="none"/>
        </w:rPr>
        <w:t>至</w:t>
      </w:r>
      <w:r>
        <w:rPr>
          <w:rFonts w:ascii="宋体" w:hAnsi="宋体" w:cs="宋体"/>
          <w:kern w:val="0"/>
          <w:szCs w:val="21"/>
          <w:highlight w:val="none"/>
        </w:rPr>
        <w:t>202</w:t>
      </w:r>
      <w:r>
        <w:rPr>
          <w:rFonts w:hint="eastAsia" w:ascii="宋体" w:hAnsi="宋体" w:cs="宋体"/>
          <w:kern w:val="0"/>
          <w:szCs w:val="21"/>
          <w:highlight w:val="none"/>
          <w:lang w:val="en-US" w:eastAsia="zh-CN"/>
        </w:rPr>
        <w:t>4</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5</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22</w:t>
      </w:r>
      <w:r>
        <w:rPr>
          <w:rFonts w:hint="eastAsia" w:ascii="宋体" w:hAnsi="宋体" w:cs="宋体"/>
          <w:kern w:val="0"/>
          <w:szCs w:val="21"/>
          <w:highlight w:val="none"/>
        </w:rPr>
        <w:t>日，每天上午</w:t>
      </w:r>
      <w:r>
        <w:rPr>
          <w:rFonts w:ascii="宋体" w:hAnsi="宋体" w:cs="宋体"/>
          <w:kern w:val="0"/>
          <w:szCs w:val="21"/>
          <w:highlight w:val="none"/>
        </w:rPr>
        <w:t>00:00</w:t>
      </w:r>
      <w:r>
        <w:rPr>
          <w:rFonts w:hint="eastAsia" w:ascii="宋体" w:hAnsi="宋体" w:cs="宋体"/>
          <w:kern w:val="0"/>
          <w:szCs w:val="21"/>
          <w:highlight w:val="none"/>
        </w:rPr>
        <w:t>至</w:t>
      </w:r>
      <w:r>
        <w:rPr>
          <w:rFonts w:ascii="宋体" w:hAnsi="宋体" w:cs="宋体"/>
          <w:kern w:val="0"/>
          <w:szCs w:val="21"/>
          <w:highlight w:val="none"/>
        </w:rPr>
        <w:t>12:00</w:t>
      </w:r>
      <w:r>
        <w:rPr>
          <w:rFonts w:hint="eastAsia" w:ascii="宋体" w:hAnsi="宋体" w:cs="宋体"/>
          <w:kern w:val="0"/>
          <w:szCs w:val="21"/>
          <w:highlight w:val="none"/>
        </w:rPr>
        <w:t>，下午</w:t>
      </w:r>
      <w:r>
        <w:rPr>
          <w:rFonts w:ascii="宋体" w:hAnsi="宋体" w:cs="宋体"/>
          <w:kern w:val="0"/>
          <w:szCs w:val="21"/>
          <w:highlight w:val="none"/>
        </w:rPr>
        <w:t>12:00</w:t>
      </w:r>
      <w:r>
        <w:rPr>
          <w:rFonts w:hint="eastAsia" w:ascii="宋体" w:hAnsi="宋体" w:cs="宋体"/>
          <w:kern w:val="0"/>
          <w:szCs w:val="21"/>
          <w:highlight w:val="none"/>
        </w:rPr>
        <w:t>至</w:t>
      </w:r>
      <w:r>
        <w:rPr>
          <w:rFonts w:ascii="宋体" w:hAnsi="宋体" w:cs="宋体"/>
          <w:kern w:val="0"/>
          <w:szCs w:val="21"/>
          <w:highlight w:val="none"/>
        </w:rPr>
        <w:t>23:59</w:t>
      </w:r>
      <w:r>
        <w:rPr>
          <w:rFonts w:hint="eastAsia" w:ascii="宋体" w:hAnsi="宋体" w:cs="宋体"/>
          <w:kern w:val="0"/>
          <w:szCs w:val="21"/>
          <w:highlight w:val="none"/>
        </w:rPr>
        <w:t>（北京时间，线上获取法定节假日均可，线下获取文件法定节假日除外）</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地点（网址）：政府采购云平台</w:t>
      </w:r>
      <w:r>
        <w:rPr>
          <w:rFonts w:ascii="宋体" w:hAnsi="宋体" w:cs="宋体"/>
          <w:kern w:val="0"/>
          <w:szCs w:val="21"/>
          <w:highlight w:val="none"/>
        </w:rPr>
        <w:t>http://www.zcygov.cn</w:t>
      </w:r>
      <w:r>
        <w:rPr>
          <w:rFonts w:hint="eastAsia" w:ascii="宋体" w:hAnsi="宋体" w:cs="宋体"/>
          <w:kern w:val="0"/>
          <w:szCs w:val="21"/>
          <w:highlight w:val="none"/>
        </w:rPr>
        <w:t>（以下简称“政采云平台”）；</w:t>
      </w:r>
      <w:r>
        <w:rPr>
          <w:rFonts w:ascii="宋体" w:hAnsi="宋体" w:cs="宋体"/>
          <w:kern w:val="0"/>
          <w:szCs w:val="21"/>
          <w:highlight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方式：供应商登录政采云平台https://www.zcygov.cn/在线申请获取采购文件（进入“项目采购”应用，在获取采购文件菜单中选择项目，申请获取采购文件）；</w:t>
      </w:r>
      <w:r>
        <w:rPr>
          <w:rFonts w:ascii="宋体" w:hAnsi="宋体" w:cs="宋体"/>
          <w:kern w:val="0"/>
          <w:szCs w:val="21"/>
          <w:highlight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售价（元）：</w:t>
      </w:r>
      <w:r>
        <w:rPr>
          <w:rFonts w:ascii="宋体" w:hAnsi="宋体" w:cs="宋体"/>
          <w:kern w:val="0"/>
          <w:szCs w:val="21"/>
          <w:highlight w:val="none"/>
        </w:rPr>
        <w:t xml:space="preserve">0 </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宋体" w:cs="宋体"/>
          <w:sz w:val="24"/>
          <w:szCs w:val="24"/>
          <w:highlight w:val="none"/>
        </w:rPr>
      </w:pPr>
      <w:r>
        <w:rPr>
          <w:rFonts w:hint="eastAsia" w:ascii="宋体" w:hAnsi="宋体" w:cs="宋体"/>
          <w:b/>
          <w:bCs/>
          <w:kern w:val="0"/>
          <w:sz w:val="24"/>
          <w:szCs w:val="24"/>
          <w:highlight w:val="none"/>
        </w:rPr>
        <w:t>四、响应文件提交（上传）</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截止时间：</w:t>
      </w:r>
      <w:r>
        <w:rPr>
          <w:rFonts w:ascii="宋体" w:hAnsi="宋体" w:cs="宋体"/>
          <w:kern w:val="0"/>
          <w:szCs w:val="21"/>
          <w:highlight w:val="none"/>
        </w:rPr>
        <w:t>202</w:t>
      </w:r>
      <w:r>
        <w:rPr>
          <w:rFonts w:hint="eastAsia" w:ascii="宋体" w:hAnsi="宋体" w:cs="宋体"/>
          <w:kern w:val="0"/>
          <w:szCs w:val="21"/>
          <w:highlight w:val="none"/>
          <w:lang w:val="en-US" w:eastAsia="zh-CN"/>
        </w:rPr>
        <w:t>4</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5</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22</w:t>
      </w: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09</w:t>
      </w:r>
      <w:r>
        <w:rPr>
          <w:rFonts w:ascii="宋体" w:hAnsi="宋体" w:cs="宋体"/>
          <w:kern w:val="0"/>
          <w:szCs w:val="21"/>
          <w:highlight w:val="none"/>
        </w:rPr>
        <w:t>:00</w:t>
      </w:r>
      <w:r>
        <w:rPr>
          <w:rFonts w:hint="eastAsia" w:ascii="宋体" w:hAnsi="宋体" w:cs="宋体"/>
          <w:kern w:val="0"/>
          <w:szCs w:val="21"/>
          <w:highlight w:val="none"/>
        </w:rPr>
        <w:t>（北京时间）</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地点（网址）：通过“政府采购云平台（</w:t>
      </w:r>
      <w:r>
        <w:rPr>
          <w:rFonts w:ascii="宋体" w:hAnsi="宋体" w:cs="宋体"/>
          <w:kern w:val="0"/>
          <w:szCs w:val="21"/>
          <w:highlight w:val="none"/>
        </w:rPr>
        <w:t>www.zcygov.cn</w:t>
      </w:r>
      <w:r>
        <w:rPr>
          <w:rFonts w:hint="eastAsia" w:ascii="宋体" w:hAnsi="宋体" w:cs="宋体"/>
          <w:kern w:val="0"/>
          <w:szCs w:val="21"/>
          <w:highlight w:val="none"/>
        </w:rPr>
        <w:t>）”在线响应及评审</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cs="宋体"/>
          <w:b/>
          <w:bCs/>
          <w:kern w:val="0"/>
          <w:sz w:val="24"/>
          <w:szCs w:val="24"/>
          <w:highlight w:val="none"/>
        </w:rPr>
      </w:pPr>
      <w:r>
        <w:rPr>
          <w:rFonts w:hint="eastAsia" w:ascii="宋体" w:hAnsi="宋体" w:cs="宋体"/>
          <w:b/>
          <w:bCs/>
          <w:kern w:val="0"/>
          <w:sz w:val="24"/>
          <w:szCs w:val="24"/>
          <w:highlight w:val="none"/>
        </w:rPr>
        <w:t>五、响应文件开启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开启时间：202</w:t>
      </w:r>
      <w:r>
        <w:rPr>
          <w:rFonts w:hint="eastAsia" w:ascii="宋体" w:hAnsi="宋体" w:cs="宋体"/>
          <w:kern w:val="0"/>
          <w:szCs w:val="21"/>
          <w:highlight w:val="none"/>
          <w:lang w:val="en-US" w:eastAsia="zh-CN"/>
        </w:rPr>
        <w:t>4</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5</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22</w:t>
      </w:r>
      <w:r>
        <w:rPr>
          <w:rFonts w:hint="eastAsia" w:ascii="宋体" w:hAnsi="宋体" w:cs="宋体"/>
          <w:kern w:val="0"/>
          <w:szCs w:val="21"/>
          <w:highlight w:val="none"/>
        </w:rPr>
        <w:t xml:space="preserve">日 </w:t>
      </w:r>
      <w:r>
        <w:rPr>
          <w:rFonts w:hint="eastAsia" w:ascii="宋体" w:hAnsi="宋体" w:cs="宋体"/>
          <w:kern w:val="0"/>
          <w:szCs w:val="21"/>
          <w:highlight w:val="none"/>
          <w:lang w:val="en-US" w:eastAsia="zh-CN"/>
        </w:rPr>
        <w:t>09</w:t>
      </w:r>
      <w:r>
        <w:rPr>
          <w:rFonts w:hint="eastAsia" w:ascii="宋体" w:hAnsi="宋体" w:cs="宋体"/>
          <w:kern w:val="0"/>
          <w:szCs w:val="21"/>
          <w:highlight w:val="none"/>
        </w:rPr>
        <w:t>:00（北京时间）</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地点（网址）：湖州市湖州市金盖山路66号市民中心2号楼2楼开标区开标室261-1 </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宋体" w:cs="宋体"/>
          <w:sz w:val="24"/>
          <w:szCs w:val="24"/>
          <w:highlight w:val="none"/>
        </w:rPr>
      </w:pPr>
      <w:r>
        <w:rPr>
          <w:rFonts w:hint="eastAsia" w:ascii="宋体" w:hAnsi="宋体" w:cs="宋体"/>
          <w:b/>
          <w:bCs/>
          <w:kern w:val="0"/>
          <w:sz w:val="24"/>
          <w:szCs w:val="24"/>
          <w:highlight w:val="none"/>
          <w:lang w:eastAsia="zh-CN"/>
        </w:rPr>
        <w:t>六</w:t>
      </w:r>
      <w:r>
        <w:rPr>
          <w:rFonts w:hint="eastAsia" w:ascii="宋体" w:hAnsi="宋体" w:cs="宋体"/>
          <w:b/>
          <w:bCs/>
          <w:kern w:val="0"/>
          <w:sz w:val="24"/>
          <w:szCs w:val="24"/>
          <w:highlight w:val="none"/>
        </w:rPr>
        <w:t>、公告期限</w:t>
      </w:r>
      <w:r>
        <w:rPr>
          <w:rFonts w:ascii="宋体" w:hAnsi="宋体" w:cs="宋体"/>
          <w:b/>
          <w:bCs/>
          <w:kern w:val="0"/>
          <w:sz w:val="24"/>
          <w:szCs w:val="24"/>
          <w:highlight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自本公告发布之日起</w:t>
      </w:r>
      <w:r>
        <w:rPr>
          <w:rFonts w:ascii="宋体" w:hAnsi="宋体" w:cs="宋体"/>
          <w:kern w:val="0"/>
          <w:szCs w:val="21"/>
          <w:highlight w:val="none"/>
        </w:rPr>
        <w:t>3</w:t>
      </w:r>
      <w:r>
        <w:rPr>
          <w:rFonts w:hint="eastAsia" w:ascii="宋体" w:hAnsi="宋体" w:cs="宋体"/>
          <w:kern w:val="0"/>
          <w:szCs w:val="21"/>
          <w:highlight w:val="none"/>
        </w:rPr>
        <w:t>个工作日。</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宋体" w:cs="宋体"/>
          <w:sz w:val="24"/>
          <w:szCs w:val="24"/>
          <w:highlight w:val="none"/>
        </w:rPr>
      </w:pPr>
      <w:r>
        <w:rPr>
          <w:rFonts w:hint="eastAsia" w:ascii="宋体" w:hAnsi="宋体" w:cs="宋体"/>
          <w:b/>
          <w:bCs/>
          <w:kern w:val="0"/>
          <w:sz w:val="24"/>
          <w:szCs w:val="24"/>
          <w:highlight w:val="none"/>
          <w:lang w:eastAsia="zh-CN"/>
        </w:rPr>
        <w:t>七</w:t>
      </w:r>
      <w:r>
        <w:rPr>
          <w:rFonts w:hint="eastAsia" w:ascii="宋体" w:hAnsi="宋体" w:cs="宋体"/>
          <w:b/>
          <w:bCs/>
          <w:kern w:val="0"/>
          <w:sz w:val="24"/>
          <w:szCs w:val="24"/>
          <w:highlight w:val="none"/>
        </w:rPr>
        <w:t>、其他补充事宜</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w:t>
      </w:r>
      <w:r>
        <w:rPr>
          <w:rFonts w:hint="eastAsia" w:ascii="宋体" w:hAnsi="宋体" w:cs="宋体"/>
          <w:kern w:val="0"/>
          <w:szCs w:val="21"/>
          <w:highlight w:val="none"/>
        </w:rPr>
        <w:t>其他事项：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1、本项目为电子招投标项目，实行网上招投标，应按照本竞争性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技术支持热线咨询，联系方式：95763。</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2、潜在供应商已依法获取（依法获取指：供应商按本项目竞争性磋商公告要求在政采云系统上获取并报名成功）其可质疑的竞争性磋商文件的，可以对该文件提出质疑。未按照规定方式依法获取竞争性磋商文件的，不得对竞争性磋商文件提起质疑投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3、潜在供应商对磋商文件提出质疑的，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4、答疑内容是竞争性磋商文件的组成部分，并将在网上发布补充（答疑、澄清）文件，潜在供应商应自行关注网站公告，采购人不再一一通知，供应商因自身贻误行为导致投标失效的，责任自负。</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5、参与政府采购项目的注册供应商，须登录浙江政府采购云平台（http://www.zcygov.cn）进行网上报名；尚未注册的供应商应当先在浙江政府采购云平台上申请注册，注册终审通过后再进行网上报名。</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为有效破解当前中小微企业面临的“融资难、融资贵”困局，充分发挥好政府采购扶持小微企业发展的政策功能，本项目成交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eastAsia="宋体" w:cs="宋体"/>
          <w:szCs w:val="21"/>
          <w:highlight w:val="none"/>
          <w:lang w:eastAsia="zh-CN"/>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、本项目是否专门面向中小企业采购：是</w:t>
      </w:r>
      <w:r>
        <w:rPr>
          <w:rFonts w:hint="eastAsia" w:ascii="宋体" w:hAnsi="宋体" w:cs="宋体"/>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cs="宋体"/>
          <w:sz w:val="24"/>
          <w:szCs w:val="24"/>
          <w:highlight w:val="none"/>
        </w:rPr>
      </w:pPr>
      <w:r>
        <w:rPr>
          <w:rFonts w:hint="eastAsia" w:ascii="宋体" w:hAnsi="宋体" w:cs="宋体"/>
          <w:b/>
          <w:bCs/>
          <w:kern w:val="0"/>
          <w:sz w:val="24"/>
          <w:szCs w:val="24"/>
          <w:highlight w:val="none"/>
          <w:lang w:eastAsia="zh-CN"/>
        </w:rPr>
        <w:t>八</w:t>
      </w:r>
      <w:r>
        <w:rPr>
          <w:rFonts w:hint="eastAsia" w:ascii="宋体" w:hAnsi="宋体" w:cs="宋体"/>
          <w:b/>
          <w:bCs/>
          <w:kern w:val="0"/>
          <w:sz w:val="24"/>
          <w:szCs w:val="24"/>
          <w:highlight w:val="none"/>
        </w:rPr>
        <w:t>、对本次采购提出询问、质疑、投诉，请按以下方式联系</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ascii="宋体" w:hAnsi="宋体" w:cs="宋体"/>
          <w:kern w:val="0"/>
          <w:szCs w:val="21"/>
          <w:highlight w:val="none"/>
        </w:rPr>
        <w:t>1.</w:t>
      </w:r>
      <w:r>
        <w:rPr>
          <w:rFonts w:hint="eastAsia" w:ascii="宋体" w:hAnsi="宋体" w:cs="宋体"/>
          <w:kern w:val="0"/>
          <w:szCs w:val="21"/>
          <w:highlight w:val="none"/>
        </w:rPr>
        <w:t>采购人信息</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eastAsia="宋体" w:cs="宋体"/>
          <w:szCs w:val="21"/>
          <w:highlight w:val="none"/>
          <w:lang w:eastAsia="zh-CN"/>
        </w:rPr>
      </w:pPr>
      <w:r>
        <w:rPr>
          <w:rFonts w:hint="eastAsia" w:ascii="宋体" w:hAnsi="宋体" w:cs="宋体"/>
          <w:kern w:val="0"/>
          <w:szCs w:val="21"/>
          <w:highlight w:val="none"/>
        </w:rPr>
        <w:t>名</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称：</w:t>
      </w:r>
      <w:r>
        <w:rPr>
          <w:rFonts w:hint="eastAsia" w:ascii="宋体" w:hAnsi="宋体" w:cs="宋体"/>
          <w:kern w:val="0"/>
          <w:szCs w:val="21"/>
          <w:highlight w:val="none"/>
          <w:lang w:eastAsia="zh-CN"/>
        </w:rPr>
        <w:t>长三角（湖州）产业合作区管理委员会</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地</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址：</w:t>
      </w:r>
      <w:r>
        <w:rPr>
          <w:rFonts w:hint="eastAsia" w:ascii="宋体" w:hAnsi="宋体" w:cs="宋体"/>
          <w:highlight w:val="none"/>
          <w:lang w:eastAsia="zh-CN"/>
        </w:rPr>
        <w:t>安吉县天子湖镇东阳路科创大厦A幢</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项目联系人（询问）：</w:t>
      </w:r>
      <w:r>
        <w:rPr>
          <w:rFonts w:hint="eastAsia" w:ascii="宋体" w:hAnsi="宋体" w:cs="宋体"/>
          <w:kern w:val="0"/>
          <w:szCs w:val="21"/>
          <w:highlight w:val="none"/>
          <w:lang w:eastAsia="zh-CN"/>
        </w:rPr>
        <w:t>郭先生</w:t>
      </w:r>
      <w:r>
        <w:rPr>
          <w:rFonts w:hint="eastAsia" w:ascii="宋体" w:hAnsi="宋体" w:cs="宋体"/>
          <w:color w:val="auto"/>
          <w:kern w:val="0"/>
          <w:sz w:val="21"/>
          <w:szCs w:val="21"/>
          <w:highlight w:val="none"/>
          <w:lang w:val="en-US" w:eastAsia="zh-CN" w:bidi="ar"/>
        </w:rPr>
        <w:t xml:space="preserve"> </w:t>
      </w:r>
      <w:r>
        <w:rPr>
          <w:rFonts w:ascii="宋体" w:hAnsi="宋体" w:cs="宋体"/>
          <w:kern w:val="0"/>
          <w:szCs w:val="21"/>
          <w:highlight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b w:val="0"/>
          <w:bCs w:val="0"/>
          <w:color w:val="auto"/>
          <w:szCs w:val="21"/>
          <w:highlight w:val="none"/>
        </w:rPr>
      </w:pPr>
      <w:r>
        <w:rPr>
          <w:rFonts w:hint="eastAsia" w:ascii="宋体" w:hAnsi="宋体" w:cs="宋体"/>
          <w:b w:val="0"/>
          <w:bCs w:val="0"/>
          <w:color w:val="auto"/>
          <w:kern w:val="0"/>
          <w:szCs w:val="21"/>
          <w:highlight w:val="none"/>
        </w:rPr>
        <w:t>项目联系方式（询问</w:t>
      </w:r>
      <w:r>
        <w:rPr>
          <w:rFonts w:hint="eastAsia" w:ascii="宋体" w:hAnsi="宋体" w:cs="宋体"/>
          <w:kern w:val="0"/>
          <w:szCs w:val="21"/>
          <w:highlight w:val="none"/>
          <w:lang w:eastAsia="zh-CN"/>
        </w:rPr>
        <w:t>）：0572-2393819</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质疑联系人</w:t>
      </w:r>
      <w:r>
        <w:rPr>
          <w:rFonts w:hint="eastAsia" w:ascii="宋体" w:hAnsi="宋体" w:cs="宋体"/>
          <w:kern w:val="0"/>
          <w:szCs w:val="21"/>
          <w:highlight w:val="none"/>
          <w:lang w:eastAsia="zh-CN"/>
        </w:rPr>
        <w:t>：郭浩</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质疑联系方式：</w:t>
      </w:r>
      <w:r>
        <w:rPr>
          <w:rFonts w:hint="eastAsia" w:ascii="宋体" w:hAnsi="宋体" w:cs="宋体"/>
          <w:kern w:val="0"/>
          <w:szCs w:val="21"/>
          <w:highlight w:val="none"/>
          <w:lang w:eastAsia="zh-CN"/>
        </w:rPr>
        <w:t>0572-2393819</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kern w:val="0"/>
          <w:szCs w:val="21"/>
          <w:highlight w:val="none"/>
        </w:rPr>
      </w:pP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ascii="宋体" w:hAnsi="宋体" w:cs="宋体"/>
          <w:kern w:val="0"/>
          <w:szCs w:val="21"/>
          <w:highlight w:val="none"/>
        </w:rPr>
        <w:t>2.</w:t>
      </w:r>
      <w:r>
        <w:rPr>
          <w:rFonts w:hint="eastAsia" w:ascii="宋体" w:hAnsi="宋体" w:cs="宋体"/>
          <w:kern w:val="0"/>
          <w:szCs w:val="21"/>
          <w:highlight w:val="none"/>
        </w:rPr>
        <w:t>采购代理机构信息</w:t>
      </w:r>
      <w:r>
        <w:rPr>
          <w:rFonts w:ascii="宋体" w:hAnsi="宋体" w:cs="宋体"/>
          <w:kern w:val="0"/>
          <w:szCs w:val="21"/>
          <w:highlight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名</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称：浙江华夏工程管理有限公司</w:t>
      </w:r>
      <w:r>
        <w:rPr>
          <w:rFonts w:ascii="宋体" w:hAnsi="宋体" w:cs="宋体"/>
          <w:kern w:val="0"/>
          <w:szCs w:val="21"/>
          <w:highlight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rPr>
        <w:t>地</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址：安吉县昌硕街道天目中路</w:t>
      </w:r>
      <w:r>
        <w:rPr>
          <w:rFonts w:ascii="宋体" w:hAnsi="宋体" w:cs="宋体"/>
          <w:kern w:val="0"/>
          <w:szCs w:val="21"/>
          <w:highlight w:val="none"/>
        </w:rPr>
        <w:t>771</w:t>
      </w:r>
      <w:r>
        <w:rPr>
          <w:rFonts w:hint="eastAsia" w:ascii="宋体" w:hAnsi="宋体" w:cs="宋体"/>
          <w:kern w:val="0"/>
          <w:szCs w:val="21"/>
          <w:highlight w:val="none"/>
        </w:rPr>
        <w:t>号三楼</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传</w:t>
      </w:r>
      <w:r>
        <w:rPr>
          <w:rFonts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真：</w:t>
      </w:r>
      <w:r>
        <w:rPr>
          <w:rFonts w:ascii="宋体" w:hAnsi="宋体" w:cs="宋体"/>
          <w:kern w:val="0"/>
          <w:szCs w:val="21"/>
          <w:highlight w:val="none"/>
        </w:rPr>
        <w:t>0572-5601397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项目联系人（询问）：陈晨</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项目联系方式（询问）：</w:t>
      </w:r>
      <w:r>
        <w:rPr>
          <w:rFonts w:ascii="宋体" w:hAnsi="宋体" w:cs="宋体"/>
          <w:kern w:val="0"/>
          <w:szCs w:val="21"/>
          <w:highlight w:val="none"/>
        </w:rPr>
        <w:t>0572-5601977</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szCs w:val="21"/>
          <w:highlight w:val="none"/>
        </w:rPr>
      </w:pPr>
      <w:r>
        <w:rPr>
          <w:rFonts w:hint="eastAsia" w:ascii="宋体" w:hAnsi="宋体" w:cs="宋体"/>
          <w:kern w:val="0"/>
          <w:szCs w:val="21"/>
          <w:highlight w:val="none"/>
        </w:rPr>
        <w:t>质疑联系人：胡文迪</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质疑联系方式：</w:t>
      </w:r>
      <w:r>
        <w:rPr>
          <w:rFonts w:ascii="宋体" w:hAnsi="宋体" w:cs="宋体"/>
          <w:kern w:val="0"/>
          <w:szCs w:val="21"/>
          <w:highlight w:val="none"/>
        </w:rPr>
        <w:t>0572-5609013</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ascii="宋体" w:cs="宋体"/>
          <w:kern w:val="0"/>
          <w:szCs w:val="21"/>
          <w:highlight w:val="none"/>
        </w:rPr>
      </w:pP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3.同级政府采购监督管理部门</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名    </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称：湖州市财政局政府采购监管处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地   </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 址：</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联</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系</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人：</w:t>
      </w:r>
      <w:r>
        <w:rPr>
          <w:rFonts w:hint="eastAsia" w:ascii="宋体" w:hAnsi="宋体" w:eastAsia="宋体" w:cs="宋体"/>
          <w:kern w:val="0"/>
          <w:szCs w:val="21"/>
          <w:highlight w:val="none"/>
          <w:lang w:eastAsia="zh-CN"/>
        </w:rPr>
        <w:t>程先生</w:t>
      </w:r>
      <w:r>
        <w:rPr>
          <w:rFonts w:hint="eastAsia" w:ascii="宋体" w:hAnsi="宋体" w:eastAsia="宋体" w:cs="宋体"/>
          <w:kern w:val="0"/>
          <w:szCs w:val="21"/>
          <w:highlight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监督投诉电话：0572-2150216  </w:t>
      </w:r>
    </w:p>
    <w:p>
      <w:pPr>
        <w:pStyle w:val="4"/>
        <w:keepNext w:val="0"/>
        <w:keepLines w:val="0"/>
        <w:pageBreakBefore w:val="0"/>
        <w:widowControl w:val="0"/>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ascii="宋体" w:hAnsi="宋体" w:cs="宋体"/>
          <w:kern w:val="0"/>
          <w:szCs w:val="21"/>
          <w:highlight w:val="none"/>
        </w:rPr>
        <w:br w:type="page"/>
      </w:r>
      <w:bookmarkStart w:id="2" w:name="_Toc5861"/>
      <w:r>
        <w:rPr>
          <w:rFonts w:hint="eastAsia" w:ascii="宋体" w:hAnsi="宋体" w:cs="宋体"/>
          <w:sz w:val="32"/>
          <w:szCs w:val="32"/>
          <w:highlight w:val="none"/>
        </w:rPr>
        <w:t>第二章</w:t>
      </w:r>
      <w:r>
        <w:rPr>
          <w:rFonts w:ascii="宋体" w:hAnsi="宋体" w:cs="宋体"/>
          <w:sz w:val="32"/>
          <w:szCs w:val="32"/>
          <w:highlight w:val="none"/>
        </w:rPr>
        <w:t xml:space="preserve">  </w:t>
      </w:r>
      <w:r>
        <w:rPr>
          <w:rFonts w:hint="eastAsia" w:ascii="宋体" w:hAnsi="宋体" w:cs="宋体"/>
          <w:sz w:val="32"/>
          <w:szCs w:val="32"/>
          <w:highlight w:val="none"/>
        </w:rPr>
        <w:t>供应商须知</w:t>
      </w:r>
      <w:bookmarkEnd w:id="2"/>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ascii="宋体" w:cs="宋体"/>
          <w:sz w:val="30"/>
          <w:szCs w:val="30"/>
          <w:highlight w:val="none"/>
        </w:rPr>
      </w:pPr>
      <w:bookmarkStart w:id="3" w:name="_Toc30213"/>
      <w:bookmarkStart w:id="4" w:name="_Toc32234"/>
      <w:r>
        <w:rPr>
          <w:rFonts w:hint="eastAsia" w:ascii="宋体" w:hAnsi="宋体" w:cs="宋体"/>
          <w:sz w:val="28"/>
          <w:szCs w:val="28"/>
          <w:highlight w:val="none"/>
        </w:rPr>
        <w:t>前附表</w:t>
      </w:r>
      <w:bookmarkEnd w:id="3"/>
      <w:bookmarkEnd w:id="4"/>
    </w:p>
    <w:tbl>
      <w:tblPr>
        <w:tblStyle w:val="26"/>
        <w:tblW w:w="88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1762"/>
        <w:gridCol w:w="64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lang w:eastAsia="zh-CN"/>
              </w:rPr>
            </w:pPr>
            <w:r>
              <w:rPr>
                <w:rFonts w:hint="eastAsia" w:ascii="宋体" w:hAnsi="宋体" w:cs="宋体"/>
                <w:kern w:val="0"/>
                <w:sz w:val="21"/>
                <w:szCs w:val="21"/>
                <w:highlight w:val="none"/>
                <w:lang w:eastAsia="zh-CN"/>
              </w:rPr>
              <w:t>2024年度长合区两岗人员培训及专项培训项目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项目</w:t>
            </w:r>
            <w:r>
              <w:rPr>
                <w:rFonts w:hint="eastAsia" w:ascii="宋体" w:hAnsi="宋体" w:eastAsia="宋体" w:cs="宋体"/>
                <w:bCs/>
                <w:sz w:val="21"/>
                <w:szCs w:val="21"/>
                <w:highlight w:val="none"/>
              </w:rPr>
              <w:t>编号</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HXCG-ZF-2024-007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磋商代理费</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磋商代理费</w:t>
            </w:r>
            <w:r>
              <w:rPr>
                <w:rFonts w:hint="eastAsia" w:ascii="宋体" w:hAnsi="宋体" w:eastAsia="宋体" w:cs="宋体"/>
                <w:sz w:val="21"/>
                <w:szCs w:val="21"/>
                <w:highlight w:val="none"/>
              </w:rPr>
              <w:t>由成交单位支付</w:t>
            </w:r>
            <w:r>
              <w:rPr>
                <w:rFonts w:hint="eastAsia" w:ascii="宋体" w:hAnsi="宋体" w:cs="宋体"/>
                <w:sz w:val="21"/>
                <w:szCs w:val="21"/>
                <w:highlight w:val="none"/>
                <w:lang w:eastAsia="zh-CN"/>
              </w:rPr>
              <w:t>按照</w:t>
            </w:r>
            <w:r>
              <w:rPr>
                <w:rFonts w:hint="eastAsia" w:ascii="宋体" w:hAnsi="宋体" w:eastAsia="宋体" w:cs="宋体"/>
                <w:sz w:val="21"/>
                <w:szCs w:val="21"/>
                <w:highlight w:val="none"/>
              </w:rPr>
              <w:t>以下收费标准的71%支付，100万元以内按1.5%，不足4500元，按4500元计取。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项目实施地点</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完成期限</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采购规定的时间前完成。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质疑及投诉</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认为采购文件、采购过程、成交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质疑起算日期如下：</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（1）对可以质疑的采购文件提出质疑的，为收到采购文件之日或者采购文件公告期限届满之日（公告期限届满后获取采购文件的，以公告期限届满之日为准）；</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（2）对采购过程提出质疑的，为各采购程序环节结束之日；</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（3）对成交结果提出质疑的，为成交结果公告期限届满之日。</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2.质疑和投诉按照《政府采购质疑和投诉办法》（财政部令第94号）规定，范本在《浙江政府采购网》中“下载专区”内下载。质疑时要求供应商在法定质疑期内一次性提出针对同一采购程序环节的质疑。</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4.质疑受理：</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质疑受理人：胡文迪，邮箱：</w:t>
            </w:r>
            <w:r>
              <w:rPr>
                <w:rFonts w:hint="eastAsia" w:ascii="宋体" w:hAnsi="宋体" w:eastAsia="宋体" w:cs="宋体"/>
                <w:bCs/>
                <w:kern w:val="0"/>
                <w:sz w:val="21"/>
                <w:szCs w:val="21"/>
                <w:highlight w:val="none"/>
              </w:rPr>
              <w:t>491643138@</w:t>
            </w:r>
            <w:r>
              <w:rPr>
                <w:rFonts w:hint="eastAsia" w:ascii="宋体" w:hAnsi="宋体" w:eastAsia="宋体" w:cs="宋体"/>
                <w:kern w:val="0"/>
                <w:sz w:val="21"/>
                <w:szCs w:val="21"/>
                <w:highlight w:val="none"/>
              </w:rPr>
              <w:t>qq.com，供应商须将书面质疑函邮寄至安吉县昌硕街道天目中路771号三楼310室浙江华夏工程管理有限公司，并将质疑函扫描件发送至受理人邮箱。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磋商响应文件份数</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磋商响应文件组成：</w:t>
            </w:r>
          </w:p>
          <w:p>
            <w:pPr>
              <w:keepNext w:val="0"/>
              <w:keepLines w:val="0"/>
              <w:pageBreakBefore w:val="0"/>
              <w:widowControl w:val="0"/>
              <w:kinsoku/>
              <w:wordWrap/>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磋商响应文件分资格证明文件、商务文件、技术文件</w:t>
            </w:r>
            <w:r>
              <w:rPr>
                <w:rFonts w:hint="eastAsia" w:ascii="宋体" w:hAnsi="宋体" w:eastAsia="宋体" w:cs="宋体"/>
                <w:sz w:val="21"/>
                <w:szCs w:val="21"/>
                <w:highlight w:val="none"/>
                <w:lang w:eastAsia="zh-CN"/>
              </w:rPr>
              <w:t>、报价文件四</w:t>
            </w:r>
            <w:r>
              <w:rPr>
                <w:rFonts w:hint="eastAsia" w:ascii="宋体" w:hAnsi="宋体" w:eastAsia="宋体" w:cs="宋体"/>
                <w:sz w:val="21"/>
                <w:szCs w:val="21"/>
                <w:highlight w:val="none"/>
              </w:rPr>
              <w:t>部分。</w:t>
            </w:r>
            <w:r>
              <w:rPr>
                <w:rFonts w:hint="eastAsia" w:ascii="宋体" w:hAnsi="宋体" w:eastAsia="宋体" w:cs="宋体"/>
                <w:kern w:val="0"/>
                <w:sz w:val="21"/>
                <w:szCs w:val="21"/>
                <w:highlight w:val="none"/>
              </w:rPr>
              <w:t>资格证明文件装订成一册，商务文件、技术文件可以合并装订成一册</w:t>
            </w:r>
            <w:r>
              <w:rPr>
                <w:rFonts w:hint="eastAsia" w:ascii="宋体" w:hAnsi="宋体" w:eastAsia="宋体" w:cs="宋体"/>
                <w:kern w:val="0"/>
                <w:sz w:val="21"/>
                <w:szCs w:val="21"/>
                <w:highlight w:val="none"/>
                <w:lang w:eastAsia="zh-CN"/>
              </w:rPr>
              <w:t>，报价</w:t>
            </w:r>
            <w:r>
              <w:rPr>
                <w:rFonts w:hint="eastAsia" w:ascii="宋体" w:hAnsi="宋体" w:eastAsia="宋体" w:cs="宋体"/>
                <w:kern w:val="0"/>
                <w:sz w:val="21"/>
                <w:szCs w:val="21"/>
                <w:highlight w:val="none"/>
              </w:rPr>
              <w:t>文件装订成一册。</w:t>
            </w:r>
          </w:p>
          <w:p>
            <w:pPr>
              <w:pStyle w:val="3"/>
              <w:keepNext w:val="0"/>
              <w:keepLines w:val="0"/>
              <w:pageBreakBefore w:val="0"/>
              <w:widowControl w:val="0"/>
              <w:numPr>
                <w:ilvl w:val="0"/>
                <w:numId w:val="2"/>
              </w:numPr>
              <w:kinsoku/>
              <w:wordWrap/>
              <w:overflowPunct w:val="0"/>
              <w:topLinePunct w:val="0"/>
              <w:autoSpaceDE/>
              <w:autoSpaceDN/>
              <w:bidi w:val="0"/>
              <w:adjustRightInd/>
              <w:spacing w:before="0" w:beforeAutospacing="0" w:after="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“电子加密响应文件”：在线上传递交、一份。</w:t>
            </w:r>
          </w:p>
          <w:p>
            <w:pPr>
              <w:pStyle w:val="3"/>
              <w:keepNext w:val="0"/>
              <w:keepLines w:val="0"/>
              <w:pageBreakBefore w:val="0"/>
              <w:widowControl w:val="0"/>
              <w:numPr>
                <w:ilvl w:val="0"/>
                <w:numId w:val="2"/>
              </w:numPr>
              <w:kinsoku/>
              <w:wordWrap/>
              <w:overflowPunct w:val="0"/>
              <w:topLinePunct w:val="0"/>
              <w:autoSpaceDE/>
              <w:autoSpaceDN/>
              <w:bidi w:val="0"/>
              <w:adjustRightInd/>
              <w:spacing w:before="0" w:beforeAutospacing="0" w:after="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“备份响应文件”：密封包装后投标截止时间前递交、一份</w:t>
            </w:r>
          </w:p>
          <w:p>
            <w:pPr>
              <w:pStyle w:val="3"/>
              <w:keepNext w:val="0"/>
              <w:keepLines w:val="0"/>
              <w:pageBreakBefore w:val="0"/>
              <w:widowControl w:val="0"/>
              <w:numPr>
                <w:ilvl w:val="0"/>
                <w:numId w:val="2"/>
              </w:numPr>
              <w:kinsoku/>
              <w:wordWrap/>
              <w:overflowPunct w:val="0"/>
              <w:topLinePunct w:val="0"/>
              <w:autoSpaceDE/>
              <w:autoSpaceDN/>
              <w:bidi w:val="0"/>
              <w:adjustRightInd/>
              <w:spacing w:before="0" w:beforeAutospacing="0" w:after="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“纸质响应文件”：密封包装后投标截止时间前递交、一份。</w:t>
            </w:r>
          </w:p>
          <w:p>
            <w:pPr>
              <w:pStyle w:val="3"/>
              <w:keepNext w:val="0"/>
              <w:keepLines w:val="0"/>
              <w:pageBreakBefore w:val="0"/>
              <w:widowControl w:val="0"/>
              <w:kinsoku/>
              <w:wordWrap/>
              <w:overflowPunct w:val="0"/>
              <w:topLinePunct w:val="0"/>
              <w:autoSpaceDE/>
              <w:autoSpaceDN/>
              <w:bidi w:val="0"/>
              <w:adjustRightInd/>
              <w:spacing w:before="0" w:beforeAutospacing="0" w:after="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注：“备份响应文件”、“纸质响应文件”不强制提交。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磋商响应文件编制</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供应商应先安装“政采云电子交易客户端”，并按照本磋商文件和“政府采购云平台”的要求，通过“政采云电子交易客户端”编制并加密响应文件。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磋商响应文件签章</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磋商响应文件的形式</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☑电子响应文件（包括“电子加密响应文件”和“备份响应文件”，在响应文件编制完成后同时生成）及纸质响应文件；</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（1）“电子加密响应文件”是指通过“政采云电子交易客户端”完成响应文件编制后生成并加密的数据电文形式的响应文件。</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（2）“备份响应文件”是指与“电子加密响应文件”同时生成的数据电文形式的电子文件（备份标书），其他方式编制的备份响应文件视为无效备份响应文件。</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（3）“纸质响应文件”。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磋商响应文件的上传和递交</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（1）“电子加密响应文件”的上传、递交：</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a.供应商应在投标截止时间前将“电子加密响应文件”成功上传递交至“政府采购云平台”，否则投标无效。</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b.“电子加密响应文件”成功上传递交后，供应商可自行打印响应文件接收回执。</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（2）“备份响应文件”的密封包装、递交：</w:t>
            </w:r>
            <w:r>
              <w:rPr>
                <w:rFonts w:hint="eastAsia" w:ascii="宋体" w:hAnsi="宋体" w:eastAsia="宋体" w:cs="宋体"/>
                <w:b/>
                <w:bCs/>
                <w:sz w:val="21"/>
                <w:szCs w:val="21"/>
                <w:highlight w:val="none"/>
              </w:rPr>
              <w:t>（不强制提交）</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a.供应商在“政府采购云平台”完成“电子加密响应文件”的上传递交后，在投标截止时间前递交以介质（U盘）存储的 “备份响应文件”（一份）；</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b.“备份响应文件”应当密封包装，并在包装上标注项目名称、供应商名称并加盖公章。没有密封包装或者逾期送达至投标地点的“备份响应文件”将不予接收；</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（3）“纸质响应文件”的密封包装、递交：</w:t>
            </w:r>
            <w:r>
              <w:rPr>
                <w:rFonts w:hint="eastAsia" w:ascii="宋体" w:hAnsi="宋体" w:eastAsia="宋体" w:cs="宋体"/>
                <w:b/>
                <w:bCs/>
                <w:sz w:val="21"/>
                <w:szCs w:val="21"/>
                <w:highlight w:val="none"/>
              </w:rPr>
              <w:t>（不强制提交）</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a.供应商在“政府采购云平台”完成“电子加密响应文件”的上传递交后，在投标截止时间前递交“纸质响应文件”（一份）；</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b.“纸质响应文件”应当密封包装，并在包装上标注项目名称、供应商名称并加盖公章。没有密封包装或者逾期送达至投标地点的“纸质响应文件”将不予接收；</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通过“政府采购云平台”成功上传递交的“电子加密响应文件”已按时解密的，“纸质响应文件”自动失效。投标截止时间前，投标供应商仅递交了“纸质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电子加密响应文件的解密和异常情况处理</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（1）开标后，采购组织机构将向各供应商发出“电子加密响应文件”的解密通知，各供应商代表应当在接到解密通知后30分钟内自行完成“电子加密响应文件”的在线解密。</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Style w:val="3"/>
              <w:keepNext w:val="0"/>
              <w:keepLines w:val="0"/>
              <w:pageBreakBefore w:val="0"/>
              <w:widowControl w:val="0"/>
              <w:kinsoku/>
              <w:wordWrap/>
              <w:topLinePunct w:val="0"/>
              <w:autoSpaceDE/>
              <w:autoSpaceDN/>
              <w:bidi w:val="0"/>
              <w:adjustRightInd/>
              <w:spacing w:before="0" w:beforeAutospacing="0" w:after="0" w:afterAutospacing="0" w:line="40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若由于电子交易平台发生故障而无法登录访问等解密异常情况无法在线解密全部供应商的“电子加密响应文件”及“备份响应文件”时，经采购人、采购代理机构、监管人员认定后以纸质响应文件为准进行线下投标。</w:t>
            </w:r>
          </w:p>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（4）投标截止时间前，供应商仅递交了“备份响应文件”、“纸质响应文件”而未将电子加密响应文件上传至“政府采购云平台”的，投标无效。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磋商响应文件提交截止时间</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202</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22</w:t>
            </w:r>
            <w:r>
              <w:rPr>
                <w:rFonts w:hint="eastAsia" w:ascii="宋体" w:hAnsi="宋体" w:eastAsia="宋体" w:cs="宋体"/>
                <w:kern w:val="0"/>
                <w:sz w:val="21"/>
                <w:szCs w:val="21"/>
                <w:highlight w:val="none"/>
              </w:rPr>
              <w:t xml:space="preserve">日 </w:t>
            </w:r>
            <w:r>
              <w:rPr>
                <w:rFonts w:hint="eastAsia" w:ascii="宋体" w:hAnsi="宋体" w:cs="宋体"/>
                <w:kern w:val="0"/>
                <w:sz w:val="21"/>
                <w:szCs w:val="21"/>
                <w:highlight w:val="none"/>
                <w:lang w:val="en-US" w:eastAsia="zh-CN"/>
              </w:rPr>
              <w:t>09</w:t>
            </w:r>
            <w:r>
              <w:rPr>
                <w:rFonts w:hint="eastAsia" w:ascii="宋体" w:hAnsi="宋体" w:eastAsia="宋体" w:cs="宋体"/>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w:t>
            </w:r>
            <w:r>
              <w:rPr>
                <w:rFonts w:hint="eastAsia" w:ascii="宋体" w:hAnsi="宋体" w:eastAsia="宋体" w:cs="宋体"/>
                <w:sz w:val="21"/>
                <w:szCs w:val="21"/>
                <w:highlight w:val="none"/>
              </w:rPr>
              <w:t>响应</w:t>
            </w:r>
            <w:r>
              <w:rPr>
                <w:rFonts w:hint="eastAsia" w:ascii="宋体" w:hAnsi="宋体" w:eastAsia="宋体" w:cs="宋体"/>
                <w:kern w:val="0"/>
                <w:sz w:val="21"/>
                <w:szCs w:val="21"/>
                <w:highlight w:val="none"/>
              </w:rPr>
              <w:t>文件提交地点</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left"/>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“政府采购云平台（www.zcygov.cn）”在线响应及评审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磋商时间（磋商截止时间）</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202</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22</w:t>
            </w:r>
            <w:r>
              <w:rPr>
                <w:rFonts w:hint="eastAsia" w:ascii="宋体" w:hAnsi="宋体" w:eastAsia="宋体" w:cs="宋体"/>
                <w:kern w:val="0"/>
                <w:sz w:val="21"/>
                <w:szCs w:val="21"/>
                <w:highlight w:val="none"/>
              </w:rPr>
              <w:t xml:space="preserve">日 </w:t>
            </w:r>
            <w:r>
              <w:rPr>
                <w:rFonts w:hint="eastAsia" w:ascii="宋体" w:hAnsi="宋体" w:cs="宋体"/>
                <w:kern w:val="0"/>
                <w:sz w:val="21"/>
                <w:szCs w:val="21"/>
                <w:highlight w:val="none"/>
                <w:lang w:val="en-US" w:eastAsia="zh-CN"/>
              </w:rPr>
              <w:t>09</w:t>
            </w:r>
            <w:r>
              <w:rPr>
                <w:rFonts w:hint="eastAsia" w:ascii="宋体" w:hAnsi="宋体" w:eastAsia="宋体" w:cs="宋体"/>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磋商地点</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“政府采购云平台（www.zcygov.cn）”在线响应及评审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磋商响应文件有效期</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90天（日历天）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签订合同</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成交通知书发出后30天内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履约保证金</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磋商办法及标准</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详见磋商文件第五章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采购单位</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招标采购单位</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采购单位与采购代理机构的统称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23</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解释</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本磋商文件的解释权属于招标采购单位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24</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其他</w:t>
            </w:r>
          </w:p>
        </w:tc>
        <w:tc>
          <w:tcPr>
            <w:tcW w:w="645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val="0"/>
              <w:topLinePunct w:val="0"/>
              <w:autoSpaceDE/>
              <w:autoSpaceDN/>
              <w:bidi w:val="0"/>
              <w:adjustRightInd/>
              <w:spacing w:line="400" w:lineRule="exac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若供应商不能</w:t>
            </w:r>
            <w:r>
              <w:rPr>
                <w:rFonts w:hint="eastAsia" w:ascii="宋体" w:hAnsi="宋体" w:eastAsia="宋体" w:cs="宋体"/>
                <w:bCs/>
                <w:kern w:val="0"/>
                <w:sz w:val="21"/>
                <w:szCs w:val="21"/>
                <w:highlight w:val="none"/>
              </w:rPr>
              <w:t>参加现场开评标活动</w:t>
            </w:r>
            <w:r>
              <w:rPr>
                <w:rFonts w:hint="eastAsia" w:ascii="宋体" w:hAnsi="宋体" w:eastAsia="宋体" w:cs="宋体"/>
                <w:sz w:val="21"/>
                <w:szCs w:val="21"/>
                <w:highlight w:val="none"/>
              </w:rPr>
              <w:t>，可以将“备份响应文件”、“纸质响应文件”密封包装后（邮寄形式）磋商截止时间前递交、各一份（邮寄地址：安吉县昌硕街道天目中路771号310室，联系人：陈晨，联系电话：0572-5601977），逾期寄达或未按要求密封将被拒收。</w:t>
            </w:r>
          </w:p>
        </w:tc>
      </w:tr>
    </w:tbl>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bookmarkStart w:id="5" w:name="_Toc15998"/>
      <w:bookmarkStart w:id="6" w:name="_Toc23399"/>
      <w:bookmarkStart w:id="7" w:name="_Toc282640696"/>
      <w:r>
        <w:rPr>
          <w:rFonts w:hint="eastAsia" w:ascii="宋体" w:hAnsi="宋体" w:cs="宋体"/>
          <w:b/>
          <w:sz w:val="24"/>
          <w:szCs w:val="24"/>
          <w:highlight w:val="none"/>
        </w:rPr>
        <w:t>一、适用范围</w:t>
      </w:r>
      <w:bookmarkEnd w:id="5"/>
      <w:bookmarkEnd w:id="6"/>
      <w:bookmarkEnd w:id="7"/>
    </w:p>
    <w:p>
      <w:pPr>
        <w:keepNext w:val="0"/>
        <w:keepLines w:val="0"/>
        <w:pageBreakBefore w:val="0"/>
        <w:widowControl w:val="0"/>
        <w:kinsoku/>
        <w:wordWrap/>
        <w:overflowPunct w:val="0"/>
        <w:topLinePunct w:val="0"/>
        <w:bidi w:val="0"/>
        <w:spacing w:line="400" w:lineRule="exact"/>
        <w:ind w:firstLine="420" w:firstLineChars="200"/>
        <w:jc w:val="left"/>
        <w:rPr>
          <w:rFonts w:ascii="宋体" w:cs="宋体"/>
          <w:bCs/>
          <w:szCs w:val="21"/>
          <w:highlight w:val="none"/>
        </w:rPr>
      </w:pPr>
      <w:r>
        <w:rPr>
          <w:rFonts w:hint="eastAsia" w:ascii="宋体" w:hAnsi="宋体" w:cs="宋体"/>
          <w:bCs/>
          <w:szCs w:val="21"/>
          <w:highlight w:val="none"/>
        </w:rPr>
        <w:t>仅适用于本次竞争性磋商采购所叙述的工程、货物和服务。</w:t>
      </w:r>
      <w:bookmarkStart w:id="8" w:name="_Toc282640697"/>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r>
        <w:rPr>
          <w:rFonts w:hint="eastAsia" w:ascii="宋体" w:hAnsi="宋体" w:cs="宋体"/>
          <w:bCs/>
          <w:sz w:val="24"/>
          <w:szCs w:val="24"/>
          <w:highlight w:val="none"/>
        </w:rPr>
        <w:t>二、</w:t>
      </w:r>
      <w:r>
        <w:rPr>
          <w:rFonts w:hint="eastAsia" w:ascii="宋体" w:hAnsi="宋体" w:cs="宋体"/>
          <w:b/>
          <w:sz w:val="24"/>
          <w:szCs w:val="24"/>
          <w:highlight w:val="none"/>
        </w:rPr>
        <w:t>定义</w:t>
      </w:r>
      <w:bookmarkEnd w:id="8"/>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left"/>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、“采购人”系指</w:t>
      </w:r>
      <w:r>
        <w:rPr>
          <w:rFonts w:hint="eastAsia" w:ascii="宋体" w:hAnsi="宋体" w:cs="宋体"/>
          <w:bCs/>
          <w:szCs w:val="21"/>
          <w:highlight w:val="none"/>
          <w:lang w:eastAsia="zh-CN"/>
        </w:rPr>
        <w:t>长三角（湖州）产业合作区管理委员会</w:t>
      </w:r>
      <w:r>
        <w:rPr>
          <w:rFonts w:hint="eastAsia" w:ascii="宋体" w:hAnsi="宋体" w:cs="宋体"/>
          <w:bCs/>
          <w:szCs w:val="21"/>
          <w:highlight w:val="none"/>
        </w:rPr>
        <w:t>。</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left"/>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、“采购代理机构”系指浙江华夏工程管理有限公司。</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left"/>
        <w:textAlignment w:val="auto"/>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、“供应商”系指向采购代理机构提交磋商响应文件的供应商。</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left"/>
        <w:textAlignment w:val="auto"/>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、“服务”系指按竞争性磋商文件要求提供的本项目的所有服务工作内容。</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left"/>
        <w:textAlignment w:val="auto"/>
        <w:rPr>
          <w:rFonts w:hint="eastAsia" w:ascii="宋体" w:eastAsia="宋体" w:cs="宋体"/>
          <w:bCs/>
          <w:szCs w:val="21"/>
          <w:highlight w:val="none"/>
          <w:lang w:val="en-US" w:eastAsia="zh-CN"/>
        </w:rPr>
      </w:pPr>
      <w:r>
        <w:rPr>
          <w:rFonts w:ascii="宋体" w:hAnsi="宋体" w:cs="宋体"/>
          <w:bCs/>
          <w:szCs w:val="21"/>
          <w:highlight w:val="none"/>
        </w:rPr>
        <w:t>5</w:t>
      </w:r>
      <w:r>
        <w:rPr>
          <w:rFonts w:hint="eastAsia" w:ascii="宋体" w:hAnsi="宋体" w:cs="宋体"/>
          <w:bCs/>
          <w:szCs w:val="21"/>
          <w:highlight w:val="none"/>
        </w:rPr>
        <w:t>、“招标采购单位”系指组织本次磋商的“采购代理机构”和“采购人”</w:t>
      </w:r>
      <w:r>
        <w:rPr>
          <w:rFonts w:hint="eastAsia" w:ascii="宋体" w:hAnsi="宋体" w:cs="宋体"/>
          <w:bCs/>
          <w:szCs w:val="21"/>
          <w:highlight w:val="none"/>
          <w:lang w:val="en-US" w:eastAsia="zh-CN"/>
        </w:rPr>
        <w:t>。</w:t>
      </w:r>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bookmarkStart w:id="9" w:name="_Toc282640698"/>
      <w:bookmarkStart w:id="10" w:name="_Toc2086"/>
      <w:bookmarkStart w:id="11" w:name="_Toc31441"/>
      <w:r>
        <w:rPr>
          <w:rFonts w:hint="eastAsia" w:ascii="宋体" w:hAnsi="宋体" w:cs="宋体"/>
          <w:b/>
          <w:sz w:val="24"/>
          <w:szCs w:val="24"/>
          <w:highlight w:val="none"/>
        </w:rPr>
        <w:t>三、供应商的资格要求</w:t>
      </w:r>
      <w:bookmarkEnd w:id="9"/>
      <w:bookmarkEnd w:id="10"/>
      <w:bookmarkEnd w:id="11"/>
    </w:p>
    <w:p>
      <w:pPr>
        <w:keepNext w:val="0"/>
        <w:keepLines w:val="0"/>
        <w:pageBreakBefore w:val="0"/>
        <w:widowControl w:val="0"/>
        <w:kinsoku/>
        <w:wordWrap/>
        <w:overflowPunct w:val="0"/>
        <w:topLinePunct w:val="0"/>
        <w:bidi w:val="0"/>
        <w:spacing w:line="400" w:lineRule="exact"/>
        <w:ind w:firstLine="420" w:firstLineChars="200"/>
        <w:rPr>
          <w:rFonts w:ascii="宋体" w:cs="宋体"/>
          <w:bCs/>
          <w:szCs w:val="21"/>
          <w:highlight w:val="none"/>
        </w:rPr>
      </w:pPr>
      <w:bookmarkStart w:id="12" w:name="_Toc282640699"/>
      <w:r>
        <w:rPr>
          <w:rFonts w:hint="eastAsia" w:ascii="宋体" w:hAnsi="宋体" w:cs="宋体"/>
          <w:bCs/>
          <w:szCs w:val="21"/>
          <w:highlight w:val="none"/>
        </w:rPr>
        <w:t>符合竞争性磋商公告第二条供应商资格要求。</w:t>
      </w:r>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bookmarkStart w:id="13" w:name="_Toc19212"/>
      <w:bookmarkStart w:id="14" w:name="_Toc12662"/>
      <w:r>
        <w:rPr>
          <w:rFonts w:hint="eastAsia" w:ascii="宋体" w:hAnsi="宋体" w:cs="宋体"/>
          <w:b/>
          <w:sz w:val="24"/>
          <w:szCs w:val="24"/>
          <w:highlight w:val="none"/>
        </w:rPr>
        <w:t>四、磋商费用</w:t>
      </w:r>
      <w:bookmarkEnd w:id="12"/>
      <w:bookmarkEnd w:id="13"/>
      <w:bookmarkEnd w:id="14"/>
    </w:p>
    <w:p>
      <w:pPr>
        <w:keepNext w:val="0"/>
        <w:keepLines w:val="0"/>
        <w:pageBreakBefore w:val="0"/>
        <w:widowControl w:val="0"/>
        <w:kinsoku/>
        <w:wordWrap/>
        <w:overflowPunct w:val="0"/>
        <w:topLinePunct w:val="0"/>
        <w:bidi w:val="0"/>
        <w:spacing w:line="400" w:lineRule="exact"/>
        <w:ind w:firstLine="420" w:firstLineChars="200"/>
        <w:jc w:val="left"/>
        <w:rPr>
          <w:rFonts w:ascii="宋体" w:cs="宋体"/>
          <w:bCs/>
          <w:szCs w:val="21"/>
          <w:highlight w:val="none"/>
        </w:rPr>
      </w:pPr>
      <w:r>
        <w:rPr>
          <w:rFonts w:hint="eastAsia" w:ascii="宋体" w:hAnsi="宋体" w:cs="宋体"/>
          <w:bCs/>
          <w:szCs w:val="21"/>
          <w:highlight w:val="none"/>
        </w:rPr>
        <w:t>无论竞争性磋商过程和结果如何，供应商自行承担与磋商响应有关的全部费用。</w:t>
      </w:r>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bookmarkStart w:id="15" w:name="_Toc282640700"/>
      <w:bookmarkStart w:id="16" w:name="_Toc14194"/>
      <w:bookmarkStart w:id="17" w:name="_Toc26958"/>
      <w:bookmarkStart w:id="18" w:name="_Toc282640701"/>
      <w:r>
        <w:rPr>
          <w:rFonts w:hint="eastAsia" w:ascii="宋体" w:hAnsi="宋体" w:cs="宋体"/>
          <w:b/>
          <w:sz w:val="24"/>
          <w:szCs w:val="24"/>
          <w:highlight w:val="none"/>
        </w:rPr>
        <w:t>五、竞争性磋商报价</w:t>
      </w:r>
      <w:bookmarkEnd w:id="15"/>
      <w:bookmarkEnd w:id="16"/>
      <w:bookmarkEnd w:id="17"/>
    </w:p>
    <w:bookmarkEnd w:id="18"/>
    <w:p>
      <w:pPr>
        <w:keepNext w:val="0"/>
        <w:keepLines w:val="0"/>
        <w:pageBreakBefore w:val="0"/>
        <w:widowControl w:val="0"/>
        <w:kinsoku/>
        <w:wordWrap/>
        <w:overflowPunct w:val="0"/>
        <w:topLinePunct w:val="0"/>
        <w:bidi w:val="0"/>
        <w:spacing w:line="400" w:lineRule="exact"/>
        <w:ind w:firstLine="420" w:firstLineChars="200"/>
        <w:rPr>
          <w:rFonts w:ascii="宋体" w:cs="宋体"/>
          <w:bCs/>
          <w:szCs w:val="21"/>
          <w:highlight w:val="none"/>
        </w:rPr>
      </w:pPr>
      <w:bookmarkStart w:id="19" w:name="_Toc9887"/>
      <w:bookmarkStart w:id="20" w:name="_Toc15229"/>
      <w:r>
        <w:rPr>
          <w:rFonts w:ascii="宋体" w:hAnsi="宋体" w:cs="宋体"/>
          <w:bCs/>
          <w:szCs w:val="21"/>
          <w:highlight w:val="none"/>
        </w:rPr>
        <w:t>1</w:t>
      </w:r>
      <w:r>
        <w:rPr>
          <w:rFonts w:hint="eastAsia" w:ascii="宋体" w:hAnsi="宋体" w:cs="宋体"/>
          <w:bCs/>
          <w:szCs w:val="21"/>
          <w:highlight w:val="none"/>
        </w:rPr>
        <w:t>、竞争性磋商报价以人民币为结算货币。</w:t>
      </w:r>
    </w:p>
    <w:p>
      <w:pPr>
        <w:keepNext w:val="0"/>
        <w:keepLines w:val="0"/>
        <w:pageBreakBefore w:val="0"/>
        <w:widowControl w:val="0"/>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磋商响应文件只允许有一个报价，任何有选择性的报价将不予接受。</w:t>
      </w:r>
    </w:p>
    <w:p>
      <w:pPr>
        <w:keepNext w:val="0"/>
        <w:keepLines w:val="0"/>
        <w:pageBreakBefore w:val="0"/>
        <w:widowControl w:val="0"/>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、▲磋商报价应包括</w:t>
      </w:r>
      <w:r>
        <w:rPr>
          <w:rFonts w:hint="eastAsia" w:ascii="宋体" w:hAnsi="宋体" w:cs="宋体"/>
          <w:bCs/>
          <w:szCs w:val="21"/>
          <w:highlight w:val="none"/>
          <w:lang w:eastAsia="zh-CN"/>
        </w:rPr>
        <w:t>人</w:t>
      </w:r>
      <w:r>
        <w:rPr>
          <w:rFonts w:hint="eastAsia" w:ascii="宋体" w:hAnsi="宋体" w:cs="宋体"/>
          <w:szCs w:val="21"/>
          <w:highlight w:val="none"/>
        </w:rPr>
        <w:t>员工资、奖金、各种加班费、夜餐费、各种社会保险、及各种福利、餐饮与交通、管理费用、税费、利润、</w:t>
      </w:r>
      <w:r>
        <w:rPr>
          <w:rFonts w:hint="eastAsia" w:ascii="宋体" w:hAnsi="宋体" w:cs="宋体"/>
          <w:szCs w:val="21"/>
          <w:highlight w:val="none"/>
          <w:lang w:eastAsia="zh-CN"/>
        </w:rPr>
        <w:t>磋商代理费</w:t>
      </w:r>
      <w:r>
        <w:rPr>
          <w:rFonts w:hint="eastAsia" w:ascii="宋体" w:hAnsi="宋体" w:cs="宋体"/>
          <w:szCs w:val="21"/>
          <w:highlight w:val="none"/>
        </w:rPr>
        <w:t>等全部费用，是履行合同的最终价格，其市场风险由供应商承担</w:t>
      </w:r>
      <w:r>
        <w:rPr>
          <w:rFonts w:hint="eastAsia" w:ascii="宋体" w:hAnsi="宋体" w:cs="宋体"/>
          <w:bCs/>
          <w:szCs w:val="21"/>
          <w:highlight w:val="none"/>
        </w:rPr>
        <w:t>。</w:t>
      </w:r>
    </w:p>
    <w:p>
      <w:pPr>
        <w:keepNext w:val="0"/>
        <w:keepLines w:val="0"/>
        <w:pageBreakBefore w:val="0"/>
        <w:widowControl w:val="0"/>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、供应商应充分考虑因各种原因可能发生的费用。对没有填报的费用，采购人认为所有费用已包含在总价中，除合同条款另有规定外，不得进行调整。</w:t>
      </w:r>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r>
        <w:rPr>
          <w:rFonts w:hint="eastAsia" w:ascii="宋体" w:hAnsi="宋体" w:cs="宋体"/>
          <w:b/>
          <w:sz w:val="24"/>
          <w:szCs w:val="24"/>
          <w:highlight w:val="none"/>
        </w:rPr>
        <w:t>六、履约保证金</w:t>
      </w:r>
      <w:bookmarkEnd w:id="19"/>
      <w:bookmarkEnd w:id="20"/>
    </w:p>
    <w:p>
      <w:pPr>
        <w:keepNext w:val="0"/>
        <w:keepLines w:val="0"/>
        <w:pageBreakBefore w:val="0"/>
        <w:widowControl w:val="0"/>
        <w:kinsoku/>
        <w:wordWrap/>
        <w:overflowPunct w:val="0"/>
        <w:topLinePunct w:val="0"/>
        <w:bidi w:val="0"/>
        <w:spacing w:line="400" w:lineRule="exact"/>
        <w:ind w:firstLine="420" w:firstLineChars="200"/>
        <w:jc w:val="left"/>
        <w:rPr>
          <w:rFonts w:ascii="宋体" w:cs="宋体"/>
          <w:szCs w:val="21"/>
          <w:highlight w:val="none"/>
        </w:rPr>
      </w:pPr>
      <w:bookmarkStart w:id="21" w:name="_Toc27409"/>
      <w:bookmarkStart w:id="22" w:name="_Toc31890"/>
      <w:r>
        <w:rPr>
          <w:rFonts w:hint="eastAsia" w:ascii="宋体" w:hAnsi="宋体" w:cs="宋体"/>
          <w:color w:val="auto"/>
          <w:sz w:val="21"/>
          <w:szCs w:val="21"/>
          <w:highlight w:val="none"/>
          <w:lang w:val="zh-TW" w:eastAsia="zh-CN"/>
        </w:rPr>
        <w:t>无</w:t>
      </w:r>
      <w:r>
        <w:rPr>
          <w:rFonts w:hint="eastAsia" w:ascii="宋体" w:hAnsi="宋体" w:cs="宋体"/>
          <w:szCs w:val="21"/>
          <w:highlight w:val="none"/>
        </w:rPr>
        <w:t>。</w:t>
      </w:r>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r>
        <w:rPr>
          <w:rFonts w:hint="eastAsia" w:ascii="宋体" w:hAnsi="宋体" w:cs="宋体"/>
          <w:b/>
          <w:sz w:val="24"/>
          <w:szCs w:val="24"/>
          <w:highlight w:val="none"/>
        </w:rPr>
        <w:t>七、磋商文件有效期</w:t>
      </w:r>
      <w:bookmarkEnd w:id="21"/>
      <w:bookmarkEnd w:id="22"/>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、响应文件从磋商之日起，有效期为</w:t>
      </w:r>
      <w:r>
        <w:rPr>
          <w:rFonts w:ascii="宋体" w:hAnsi="宋体" w:cs="宋体"/>
          <w:bCs/>
          <w:szCs w:val="21"/>
          <w:highlight w:val="none"/>
        </w:rPr>
        <w:t>90</w:t>
      </w:r>
      <w:r>
        <w:rPr>
          <w:rFonts w:hint="eastAsia" w:ascii="宋体" w:hAnsi="宋体" w:cs="宋体"/>
          <w:bCs/>
          <w:szCs w:val="21"/>
          <w:highlight w:val="none"/>
        </w:rPr>
        <w:t>天。</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、特殊情况下，采购人可与供应商协商延缓响应文件的有效期，这种要求和答复均以书面形式进行。</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、供应商可拒绝接受延期要求。同意延长有效期的供应商不能修改磋商响应文件。</w:t>
      </w:r>
      <w:bookmarkStart w:id="23" w:name="_Toc282640702"/>
    </w:p>
    <w:p>
      <w:pPr>
        <w:keepNext w:val="0"/>
        <w:keepLines w:val="0"/>
        <w:pageBreakBefore w:val="0"/>
        <w:widowControl w:val="0"/>
        <w:kinsoku/>
        <w:wordWrap/>
        <w:overflowPunct w:val="0"/>
        <w:topLinePunct w:val="0"/>
        <w:bidi w:val="0"/>
        <w:spacing w:line="400" w:lineRule="exact"/>
        <w:rPr>
          <w:rFonts w:ascii="宋体" w:cs="宋体"/>
          <w:b/>
          <w:sz w:val="24"/>
          <w:szCs w:val="24"/>
          <w:highlight w:val="none"/>
        </w:rPr>
      </w:pPr>
      <w:r>
        <w:rPr>
          <w:rFonts w:hint="eastAsia" w:ascii="宋体" w:hAnsi="宋体" w:cs="宋体"/>
          <w:b/>
          <w:sz w:val="24"/>
          <w:szCs w:val="24"/>
          <w:highlight w:val="none"/>
        </w:rPr>
        <w:t>八、响应文件的组成</w:t>
      </w:r>
      <w:bookmarkEnd w:id="23"/>
    </w:p>
    <w:p>
      <w:pPr>
        <w:keepNext w:val="0"/>
        <w:keepLines w:val="0"/>
        <w:pageBreakBefore w:val="0"/>
        <w:widowControl w:val="0"/>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pPr>
        <w:keepNext w:val="0"/>
        <w:keepLines w:val="0"/>
        <w:pageBreakBefore w:val="0"/>
        <w:widowControl w:val="0"/>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pPr>
        <w:keepNext w:val="0"/>
        <w:keepLines w:val="0"/>
        <w:pageBreakBefore w:val="0"/>
        <w:widowControl w:val="0"/>
        <w:kinsoku/>
        <w:wordWrap/>
        <w:overflowPunct w:val="0"/>
        <w:topLinePunct w:val="0"/>
        <w:bidi w:val="0"/>
        <w:spacing w:line="400" w:lineRule="exact"/>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、响应文件的组成</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2" w:firstLineChars="200"/>
        <w:textAlignment w:val="bottom"/>
        <w:rPr>
          <w:rFonts w:ascii="宋体" w:cs="宋体"/>
          <w:b/>
          <w:szCs w:val="21"/>
          <w:highlight w:val="none"/>
        </w:rPr>
      </w:pPr>
      <w:r>
        <w:rPr>
          <w:rFonts w:ascii="宋体" w:hAnsi="宋体" w:cs="宋体"/>
          <w:b/>
          <w:szCs w:val="21"/>
          <w:highlight w:val="none"/>
        </w:rPr>
        <w:t xml:space="preserve">3.1 </w:t>
      </w:r>
      <w:r>
        <w:rPr>
          <w:rFonts w:hint="eastAsia" w:ascii="宋体" w:hAnsi="宋体" w:cs="宋体"/>
          <w:b/>
          <w:szCs w:val="21"/>
          <w:highlight w:val="none"/>
        </w:rPr>
        <w:t>资格证明文件</w:t>
      </w:r>
    </w:p>
    <w:p>
      <w:pPr>
        <w:keepNext w:val="0"/>
        <w:keepLines w:val="0"/>
        <w:pageBreakBefore w:val="0"/>
        <w:widowControl w:val="0"/>
        <w:numPr>
          <w:ilvl w:val="0"/>
          <w:numId w:val="3"/>
        </w:numPr>
        <w:kinsoku/>
        <w:wordWrap/>
        <w:overflowPunct w:val="0"/>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szCs w:val="21"/>
          <w:highlight w:val="none"/>
        </w:rPr>
        <w:t>符合参加政府采购活动应当具备的一般条件的承诺函</w:t>
      </w:r>
      <w:r>
        <w:rPr>
          <w:rFonts w:hint="eastAsia" w:ascii="宋体" w:hAnsi="宋体" w:cs="宋体"/>
          <w:bCs/>
          <w:szCs w:val="21"/>
          <w:highlight w:val="none"/>
        </w:rPr>
        <w:t>（格式见附件）；</w:t>
      </w:r>
    </w:p>
    <w:p>
      <w:pPr>
        <w:keepNext w:val="0"/>
        <w:keepLines w:val="0"/>
        <w:pageBreakBefore w:val="0"/>
        <w:widowControl w:val="0"/>
        <w:numPr>
          <w:ilvl w:val="0"/>
          <w:numId w:val="3"/>
        </w:numPr>
        <w:kinsoku/>
        <w:wordWrap/>
        <w:overflowPunct w:val="0"/>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营业执照复印件；</w:t>
      </w:r>
    </w:p>
    <w:p>
      <w:pPr>
        <w:keepNext w:val="0"/>
        <w:keepLines w:val="0"/>
        <w:pageBreakBefore w:val="0"/>
        <w:widowControl w:val="0"/>
        <w:numPr>
          <w:ilvl w:val="0"/>
          <w:numId w:val="3"/>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中小企业声明函（格式见附件）；</w:t>
      </w:r>
    </w:p>
    <w:p>
      <w:pPr>
        <w:keepNext w:val="0"/>
        <w:keepLines w:val="0"/>
        <w:pageBreakBefore w:val="0"/>
        <w:widowControl w:val="0"/>
        <w:numPr>
          <w:ilvl w:val="0"/>
          <w:numId w:val="3"/>
        </w:numPr>
        <w:kinsoku/>
        <w:wordWrap/>
        <w:overflowPunct w:val="0"/>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法定代表人身份证明书（格式见附件）；</w:t>
      </w:r>
    </w:p>
    <w:p>
      <w:pPr>
        <w:keepNext w:val="0"/>
        <w:keepLines w:val="0"/>
        <w:pageBreakBefore w:val="0"/>
        <w:widowControl w:val="0"/>
        <w:numPr>
          <w:ilvl w:val="0"/>
          <w:numId w:val="3"/>
        </w:numPr>
        <w:kinsoku/>
        <w:wordWrap/>
        <w:overflowPunct w:val="0"/>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法定代表人授权委托书及授权代理人有效身份证明（格式见附件）；</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2" w:firstLineChars="200"/>
        <w:textAlignment w:val="bottom"/>
        <w:rPr>
          <w:rFonts w:ascii="宋体" w:cs="宋体"/>
          <w:b/>
          <w:szCs w:val="21"/>
          <w:highlight w:val="none"/>
        </w:rPr>
      </w:pPr>
      <w:r>
        <w:rPr>
          <w:rFonts w:ascii="宋体" w:hAnsi="宋体" w:cs="宋体"/>
          <w:b/>
          <w:szCs w:val="21"/>
          <w:highlight w:val="none"/>
        </w:rPr>
        <w:t xml:space="preserve">3.2 </w:t>
      </w:r>
      <w:r>
        <w:rPr>
          <w:rFonts w:hint="eastAsia" w:ascii="宋体" w:hAnsi="宋体" w:cs="宋体"/>
          <w:b/>
          <w:szCs w:val="21"/>
          <w:highlight w:val="none"/>
        </w:rPr>
        <w:t>商务</w:t>
      </w:r>
      <w:r>
        <w:rPr>
          <w:rFonts w:hint="eastAsia" w:ascii="宋体" w:hAnsi="宋体" w:cs="宋体"/>
          <w:b/>
          <w:szCs w:val="21"/>
          <w:highlight w:val="none"/>
          <w:lang w:eastAsia="zh-CN"/>
        </w:rPr>
        <w:t>技术</w:t>
      </w:r>
      <w:r>
        <w:rPr>
          <w:rFonts w:hint="eastAsia" w:ascii="宋体" w:hAnsi="宋体" w:cs="宋体"/>
          <w:b/>
          <w:szCs w:val="21"/>
          <w:highlight w:val="none"/>
        </w:rPr>
        <w:t>文件</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磋商声明书（格式见附件）；</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营业执照复印件；</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供应商情况一览表（格式见附件）；</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成功案例及业绩（同类项目实施情况一览表）（格式见附件）；</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商务响应表（格式见附件）；</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eastAsia="宋体" w:cs="宋体"/>
          <w:sz w:val="21"/>
          <w:szCs w:val="21"/>
          <w:highlight w:val="none"/>
          <w:lang w:val="en-US" w:eastAsia="zh-CN"/>
        </w:rPr>
        <w:t>权威认证</w:t>
      </w:r>
      <w:r>
        <w:rPr>
          <w:rFonts w:hint="eastAsia" w:ascii="宋体" w:hAnsi="宋体" w:cs="宋体"/>
          <w:sz w:val="21"/>
          <w:szCs w:val="21"/>
          <w:highlight w:val="none"/>
          <w:lang w:val="en-US" w:eastAsia="zh-CN"/>
        </w:rPr>
        <w:t>；</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color w:val="auto"/>
          <w:sz w:val="21"/>
          <w:szCs w:val="21"/>
          <w:highlight w:val="none"/>
          <w:lang w:eastAsia="zh-CN"/>
        </w:rPr>
        <w:t>项目理解</w:t>
      </w:r>
      <w:r>
        <w:rPr>
          <w:rFonts w:hint="eastAsia" w:ascii="宋体" w:hAnsi="宋体" w:eastAsia="宋体" w:cs="宋体"/>
          <w:snapToGrid w:val="0"/>
          <w:kern w:val="0"/>
          <w:sz w:val="21"/>
          <w:szCs w:val="21"/>
          <w:highlight w:val="none"/>
          <w:lang w:eastAsia="zh-CN"/>
        </w:rPr>
        <w:t>；</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color w:val="auto"/>
          <w:kern w:val="2"/>
          <w:sz w:val="21"/>
          <w:szCs w:val="21"/>
          <w:highlight w:val="none"/>
          <w:lang w:val="en-US" w:eastAsia="zh-CN" w:bidi="ar-SA"/>
        </w:rPr>
        <w:t>服务方案</w:t>
      </w:r>
      <w:r>
        <w:rPr>
          <w:rFonts w:hint="eastAsia" w:ascii="宋体" w:hAnsi="宋体" w:cs="宋体"/>
          <w:bCs/>
          <w:szCs w:val="21"/>
          <w:highlight w:val="none"/>
        </w:rPr>
        <w:t>；</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rPr>
        <w:t>管理制度</w:t>
      </w:r>
      <w:r>
        <w:rPr>
          <w:rFonts w:hint="eastAsia" w:ascii="宋体" w:hAnsi="宋体" w:cs="宋体"/>
          <w:bCs/>
          <w:szCs w:val="21"/>
          <w:highlight w:val="none"/>
        </w:rPr>
        <w:t>；</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sz w:val="21"/>
          <w:szCs w:val="21"/>
          <w:highlight w:val="none"/>
          <w:lang w:val="en-US" w:eastAsia="zh-CN"/>
        </w:rPr>
        <w:t>质量控制体系</w:t>
      </w:r>
      <w:r>
        <w:rPr>
          <w:rFonts w:hint="eastAsia" w:ascii="宋体" w:hAnsi="宋体" w:cs="宋体"/>
          <w:bCs/>
          <w:szCs w:val="21"/>
          <w:highlight w:val="none"/>
        </w:rPr>
        <w:t>；</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lang w:val="en-US" w:eastAsia="zh-CN"/>
        </w:rPr>
        <w:t>培训设备</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b w:val="0"/>
          <w:bCs w:val="0"/>
          <w:color w:val="auto"/>
          <w:sz w:val="21"/>
          <w:szCs w:val="21"/>
          <w:highlight w:val="none"/>
          <w:lang w:eastAsia="zh-CN"/>
        </w:rPr>
        <w:t>培训</w:t>
      </w:r>
      <w:r>
        <w:rPr>
          <w:rFonts w:hint="eastAsia" w:ascii="宋体" w:hAnsi="宋体" w:eastAsia="宋体" w:cs="宋体"/>
          <w:b w:val="0"/>
          <w:bCs w:val="0"/>
          <w:color w:val="auto"/>
          <w:sz w:val="21"/>
          <w:szCs w:val="21"/>
          <w:highlight w:val="none"/>
        </w:rPr>
        <w:t>场地</w:t>
      </w:r>
      <w:r>
        <w:rPr>
          <w:rFonts w:hint="eastAsia" w:ascii="宋体" w:hAnsi="宋体" w:eastAsia="宋体" w:cs="宋体"/>
          <w:sz w:val="21"/>
          <w:szCs w:val="21"/>
          <w:highlight w:val="none"/>
          <w:lang w:val="en-US" w:eastAsia="zh-CN"/>
        </w:rPr>
        <w:t>；</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lang w:val="en-US" w:eastAsia="zh-CN"/>
        </w:rPr>
        <w:t>后勤保障及应急预案</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lang w:val="en-US" w:eastAsia="zh-CN"/>
        </w:rPr>
        <w:t>服务承诺</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lang w:val="en-US" w:eastAsia="zh-CN"/>
        </w:rPr>
        <w:t>人员配备</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bCs/>
          <w:szCs w:val="21"/>
          <w:highlight w:val="none"/>
        </w:rPr>
        <w:t>供应商对本项目的合理化建议和改进措施；</w:t>
      </w:r>
    </w:p>
    <w:p>
      <w:pPr>
        <w:keepNext w:val="0"/>
        <w:keepLines w:val="0"/>
        <w:pageBreakBefore w:val="0"/>
        <w:widowControl w:val="0"/>
        <w:numPr>
          <w:ilvl w:val="0"/>
          <w:numId w:val="4"/>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bCs/>
          <w:szCs w:val="21"/>
          <w:highlight w:val="none"/>
        </w:rPr>
        <w:t>采购文件要求的及供应商认为可能需要的其他文件资料。</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2" w:firstLineChars="200"/>
        <w:textAlignment w:val="bottom"/>
        <w:rPr>
          <w:rFonts w:ascii="宋体" w:hAnsi="宋体" w:cs="宋体"/>
          <w:b/>
          <w:szCs w:val="21"/>
          <w:highlight w:val="none"/>
        </w:rPr>
      </w:pPr>
      <w:r>
        <w:rPr>
          <w:rFonts w:ascii="宋体" w:hAnsi="宋体" w:cs="宋体"/>
          <w:b/>
          <w:szCs w:val="21"/>
          <w:highlight w:val="none"/>
        </w:rPr>
        <w:t xml:space="preserve">3.3 </w:t>
      </w:r>
      <w:r>
        <w:rPr>
          <w:rFonts w:hint="eastAsia" w:ascii="宋体" w:hAnsi="宋体" w:cs="宋体"/>
          <w:b/>
          <w:szCs w:val="21"/>
          <w:highlight w:val="none"/>
          <w:lang w:eastAsia="zh-CN"/>
        </w:rPr>
        <w:t>报价</w:t>
      </w:r>
      <w:r>
        <w:rPr>
          <w:rFonts w:hint="eastAsia" w:ascii="宋体" w:hAnsi="宋体" w:cs="宋体"/>
          <w:b/>
          <w:szCs w:val="21"/>
          <w:highlight w:val="none"/>
        </w:rPr>
        <w:t>文件</w:t>
      </w:r>
      <w:r>
        <w:rPr>
          <w:rFonts w:ascii="宋体" w:hAnsi="宋体" w:cs="宋体"/>
          <w:b/>
          <w:szCs w:val="21"/>
          <w:highlight w:val="none"/>
        </w:rPr>
        <w:t xml:space="preserve"> </w:t>
      </w:r>
    </w:p>
    <w:p>
      <w:pPr>
        <w:keepNext w:val="0"/>
        <w:keepLines w:val="0"/>
        <w:pageBreakBefore w:val="0"/>
        <w:widowControl w:val="0"/>
        <w:numPr>
          <w:ilvl w:val="0"/>
          <w:numId w:val="5"/>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初次报价表（格式见附件）；</w:t>
      </w:r>
    </w:p>
    <w:p>
      <w:pPr>
        <w:keepNext w:val="0"/>
        <w:keepLines w:val="0"/>
        <w:pageBreakBefore w:val="0"/>
        <w:widowControl w:val="0"/>
        <w:kinsoku/>
        <w:wordWrap/>
        <w:overflowPunct w:val="0"/>
        <w:topLinePunct w:val="0"/>
        <w:bidi w:val="0"/>
        <w:spacing w:line="400" w:lineRule="exact"/>
        <w:ind w:left="424"/>
        <w:rPr>
          <w:rFonts w:ascii="宋体" w:cs="宋体"/>
          <w:b/>
          <w:szCs w:val="21"/>
          <w:highlight w:val="none"/>
        </w:rPr>
      </w:pPr>
      <w:r>
        <w:rPr>
          <w:rFonts w:hint="eastAsia" w:ascii="宋体" w:hAnsi="宋体" w:cs="宋体"/>
          <w:b/>
          <w:szCs w:val="21"/>
          <w:highlight w:val="none"/>
        </w:rPr>
        <w:t>以上磋商响应文件组成内容中的复印件或扫描件均须加盖供应商电子公章。</w:t>
      </w:r>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bookmarkStart w:id="24" w:name="_Toc21469"/>
      <w:bookmarkStart w:id="25" w:name="_Toc32090"/>
      <w:bookmarkStart w:id="26" w:name="_Toc282640705"/>
      <w:r>
        <w:rPr>
          <w:rFonts w:hint="eastAsia" w:ascii="宋体" w:hAnsi="宋体" w:cs="宋体"/>
          <w:b/>
          <w:sz w:val="24"/>
          <w:szCs w:val="24"/>
          <w:highlight w:val="none"/>
        </w:rPr>
        <w:t>九、响应文件</w:t>
      </w:r>
      <w:bookmarkEnd w:id="24"/>
      <w:bookmarkEnd w:id="25"/>
      <w:bookmarkEnd w:id="26"/>
      <w:r>
        <w:rPr>
          <w:rFonts w:hint="eastAsia" w:ascii="宋体" w:hAnsi="宋体" w:cs="宋体"/>
          <w:b/>
          <w:sz w:val="24"/>
          <w:szCs w:val="24"/>
          <w:highlight w:val="none"/>
        </w:rPr>
        <w:t>编制</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szCs w:val="21"/>
          <w:highlight w:val="none"/>
        </w:rPr>
      </w:pPr>
      <w:bookmarkStart w:id="27" w:name="_Toc414960351"/>
      <w:bookmarkStart w:id="28" w:name="_Toc282640706"/>
      <w:r>
        <w:rPr>
          <w:rFonts w:ascii="宋体" w:hAnsi="宋体" w:cs="宋体"/>
          <w:bCs/>
          <w:szCs w:val="21"/>
          <w:highlight w:val="none"/>
        </w:rPr>
        <w:t>1</w:t>
      </w:r>
      <w:r>
        <w:rPr>
          <w:rFonts w:hint="eastAsia" w:ascii="宋体" w:hAnsi="宋体" w:cs="宋体"/>
          <w:bCs/>
          <w:szCs w:val="21"/>
          <w:highlight w:val="none"/>
        </w:rPr>
        <w:t>、本项目通过“政府采购云平台（</w:t>
      </w:r>
      <w:r>
        <w:rPr>
          <w:rFonts w:ascii="宋体" w:hAnsi="宋体" w:cs="宋体"/>
          <w:bCs/>
          <w:szCs w:val="21"/>
          <w:highlight w:val="none"/>
        </w:rPr>
        <w:t>www.zcygov.cn</w:t>
      </w:r>
      <w:r>
        <w:rPr>
          <w:rFonts w:hint="eastAsia" w:ascii="宋体" w:hAnsi="宋体" w:cs="宋体"/>
          <w:bCs/>
          <w:szCs w:val="21"/>
          <w:highlight w:val="none"/>
        </w:rPr>
        <w:t>）”实行在线投标响应（电子投标）。供应商应通过“政采云电子交易客户端”，并按照本磋商文件和“政府采购云平台”的要求编制并加密响应文件。</w:t>
      </w:r>
      <w:bookmarkEnd w:id="27"/>
      <w:bookmarkEnd w:id="28"/>
      <w:bookmarkStart w:id="29" w:name="_Toc282640707"/>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szCs w:val="21"/>
          <w:highlight w:val="none"/>
        </w:rPr>
      </w:pPr>
      <w:bookmarkStart w:id="30" w:name="_Toc414960352"/>
      <w:r>
        <w:rPr>
          <w:rFonts w:ascii="宋体" w:hAnsi="宋体" w:cs="宋体"/>
          <w:bCs/>
          <w:szCs w:val="21"/>
          <w:highlight w:val="none"/>
        </w:rPr>
        <w:t>2</w:t>
      </w:r>
      <w:r>
        <w:rPr>
          <w:rFonts w:hint="eastAsia" w:ascii="宋体" w:hAnsi="宋体" w:cs="宋体"/>
          <w:bCs/>
          <w:szCs w:val="21"/>
          <w:highlight w:val="none"/>
        </w:rPr>
        <w:t>、供应商应当按照本章节</w:t>
      </w:r>
      <w:r>
        <w:rPr>
          <w:rFonts w:ascii="宋体" w:hAnsi="宋体" w:cs="宋体"/>
          <w:bCs/>
          <w:szCs w:val="21"/>
          <w:highlight w:val="none"/>
        </w:rPr>
        <w:t xml:space="preserve"> </w:t>
      </w:r>
      <w:r>
        <w:rPr>
          <w:rFonts w:hint="eastAsia" w:ascii="宋体" w:hAnsi="宋体" w:cs="宋体"/>
          <w:bCs/>
          <w:szCs w:val="21"/>
          <w:highlight w:val="none"/>
        </w:rPr>
        <w:t>“响应文件组成”规定的内容及顺序在“政采云电子交易客户端”编制响应文件。</w:t>
      </w:r>
      <w:bookmarkEnd w:id="29"/>
      <w:bookmarkEnd w:id="30"/>
      <w:bookmarkStart w:id="31" w:name="_Toc282640708"/>
    </w:p>
    <w:p>
      <w:pPr>
        <w:keepNext w:val="0"/>
        <w:keepLines w:val="0"/>
        <w:pageBreakBefore w:val="0"/>
        <w:widowControl w:val="0"/>
        <w:kinsoku/>
        <w:wordWrap/>
        <w:overflowPunct w:val="0"/>
        <w:topLinePunct w:val="0"/>
        <w:autoSpaceDE w:val="0"/>
        <w:autoSpaceDN w:val="0"/>
        <w:bidi w:val="0"/>
        <w:adjustRightInd w:val="0"/>
        <w:spacing w:line="400" w:lineRule="exact"/>
        <w:ind w:firstLine="420" w:firstLineChars="200"/>
        <w:textAlignment w:val="bottom"/>
        <w:rPr>
          <w:rFonts w:ascii="宋体" w:cs="宋体"/>
          <w:bCs/>
          <w:szCs w:val="21"/>
          <w:highlight w:val="none"/>
        </w:rPr>
      </w:pPr>
      <w:bookmarkStart w:id="32" w:name="_Toc414960353"/>
      <w:r>
        <w:rPr>
          <w:rFonts w:ascii="宋体" w:hAnsi="宋体" w:cs="宋体"/>
          <w:bCs/>
          <w:szCs w:val="21"/>
          <w:highlight w:val="none"/>
        </w:rPr>
        <w:t>3</w:t>
      </w:r>
      <w:r>
        <w:rPr>
          <w:rFonts w:hint="eastAsia" w:ascii="宋体" w:hAnsi="宋体" w:cs="宋体"/>
          <w:bCs/>
          <w:szCs w:val="21"/>
          <w:highlight w:val="none"/>
        </w:rPr>
        <w:t>、本文件《响应文件的组成》中有提供格式的，供应商须参照格式进行编制（格式中要求提供相关证明材料的还需后附相关证明材料），并按格式要求在指定位置根据要求进行签章，否则视为未提供；本文件《响应文件的组成》未提供格式的，请各供应商自行拟定格式，并加盖单位电子公章并由法定代表人或其授权代表签署（签字或盖章），否则视为未提供。</w:t>
      </w:r>
      <w:bookmarkEnd w:id="31"/>
      <w:bookmarkEnd w:id="32"/>
    </w:p>
    <w:p>
      <w:pPr>
        <w:pStyle w:val="3"/>
        <w:keepNext w:val="0"/>
        <w:keepLines w:val="0"/>
        <w:pageBreakBefore w:val="0"/>
        <w:widowControl w:val="0"/>
        <w:kinsoku/>
        <w:wordWrap/>
        <w:overflowPunct w:val="0"/>
        <w:topLinePunct w:val="0"/>
        <w:bidi w:val="0"/>
        <w:spacing w:before="0" w:beforeAutospacing="0" w:after="0" w:afterAutospacing="0" w:line="400" w:lineRule="exact"/>
        <w:ind w:firstLine="420" w:firstLineChars="200"/>
        <w:rPr>
          <w:bCs/>
          <w:kern w:val="2"/>
          <w:sz w:val="21"/>
          <w:szCs w:val="21"/>
          <w:highlight w:val="none"/>
        </w:rPr>
      </w:pPr>
      <w:r>
        <w:rPr>
          <w:bCs/>
          <w:kern w:val="2"/>
          <w:sz w:val="21"/>
          <w:szCs w:val="21"/>
          <w:highlight w:val="none"/>
        </w:rPr>
        <w:t>4</w:t>
      </w:r>
      <w:r>
        <w:rPr>
          <w:rFonts w:hint="eastAsia"/>
          <w:bCs/>
          <w:kern w:val="2"/>
          <w:sz w:val="21"/>
          <w:szCs w:val="21"/>
          <w:highlight w:val="none"/>
        </w:rPr>
        <w:t>、响应文件内容不完整、编排混乱导致响应文件被误读、漏读或者查找不到相关内容的，是投标供应商的责任。</w:t>
      </w:r>
    </w:p>
    <w:p>
      <w:pPr>
        <w:pStyle w:val="3"/>
        <w:keepNext w:val="0"/>
        <w:keepLines w:val="0"/>
        <w:pageBreakBefore w:val="0"/>
        <w:widowControl w:val="0"/>
        <w:kinsoku/>
        <w:wordWrap/>
        <w:overflowPunct w:val="0"/>
        <w:topLinePunct w:val="0"/>
        <w:bidi w:val="0"/>
        <w:spacing w:before="0" w:beforeAutospacing="0" w:after="0" w:afterAutospacing="0" w:line="400" w:lineRule="exact"/>
        <w:ind w:firstLine="420" w:firstLineChars="200"/>
        <w:rPr>
          <w:bCs/>
          <w:kern w:val="2"/>
          <w:sz w:val="21"/>
          <w:szCs w:val="21"/>
          <w:highlight w:val="none"/>
        </w:rPr>
      </w:pPr>
      <w:r>
        <w:rPr>
          <w:bCs/>
          <w:kern w:val="2"/>
          <w:sz w:val="21"/>
          <w:szCs w:val="21"/>
          <w:highlight w:val="none"/>
        </w:rPr>
        <w:t>5</w:t>
      </w:r>
      <w:r>
        <w:rPr>
          <w:rFonts w:hint="eastAsia"/>
          <w:bCs/>
          <w:kern w:val="2"/>
          <w:sz w:val="21"/>
          <w:szCs w:val="21"/>
          <w:highlight w:val="none"/>
        </w:rPr>
        <w:t>、响应文件因字迹潦草或表达不清所引起的后果由投标供应商负责。</w:t>
      </w:r>
    </w:p>
    <w:p>
      <w:pPr>
        <w:pStyle w:val="3"/>
        <w:keepNext w:val="0"/>
        <w:keepLines w:val="0"/>
        <w:pageBreakBefore w:val="0"/>
        <w:widowControl w:val="0"/>
        <w:kinsoku/>
        <w:wordWrap/>
        <w:overflowPunct w:val="0"/>
        <w:topLinePunct w:val="0"/>
        <w:bidi w:val="0"/>
        <w:spacing w:before="0" w:beforeAutospacing="0" w:after="0" w:afterAutospacing="0" w:line="400" w:lineRule="exact"/>
        <w:ind w:firstLine="420" w:firstLineChars="200"/>
        <w:rPr>
          <w:bCs/>
          <w:kern w:val="2"/>
          <w:sz w:val="21"/>
          <w:szCs w:val="21"/>
          <w:highlight w:val="none"/>
        </w:rPr>
      </w:pPr>
      <w:r>
        <w:rPr>
          <w:bCs/>
          <w:kern w:val="2"/>
          <w:sz w:val="21"/>
          <w:szCs w:val="21"/>
          <w:highlight w:val="none"/>
        </w:rPr>
        <w:t>6</w:t>
      </w:r>
      <w:r>
        <w:rPr>
          <w:rFonts w:hint="eastAsia"/>
          <w:bCs/>
          <w:kern w:val="2"/>
          <w:sz w:val="21"/>
          <w:szCs w:val="21"/>
          <w:highlight w:val="none"/>
        </w:rPr>
        <w:t>、供应商没有按照本章节“响应文件的组成”要求提供全部资料，或者没有仔细阅读磋商文件，或者没有对磋商文件在各方面的要求作出实质性响应是供应商的风险，由此造成的一切后果由供应商自行承担。</w:t>
      </w:r>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bookmarkStart w:id="33" w:name="_Toc2064"/>
      <w:bookmarkStart w:id="34" w:name="_Toc282640709"/>
      <w:bookmarkStart w:id="35" w:name="_Toc25232"/>
      <w:r>
        <w:rPr>
          <w:rFonts w:hint="eastAsia" w:ascii="宋体" w:hAnsi="宋体" w:cs="宋体"/>
          <w:b/>
          <w:sz w:val="24"/>
          <w:szCs w:val="24"/>
          <w:highlight w:val="none"/>
        </w:rPr>
        <w:t>十、响应文件的上传和递交</w:t>
      </w:r>
      <w:bookmarkEnd w:id="33"/>
      <w:bookmarkEnd w:id="34"/>
      <w:bookmarkEnd w:id="35"/>
    </w:p>
    <w:p>
      <w:pPr>
        <w:keepNext w:val="0"/>
        <w:keepLines w:val="0"/>
        <w:pageBreakBefore w:val="0"/>
        <w:widowControl w:val="0"/>
        <w:kinsoku/>
        <w:wordWrap/>
        <w:overflowPunct w:val="0"/>
        <w:topLinePunct w:val="0"/>
        <w:bidi w:val="0"/>
        <w:spacing w:line="400" w:lineRule="exact"/>
        <w:ind w:firstLine="420" w:firstLineChars="200"/>
        <w:jc w:val="left"/>
        <w:rPr>
          <w:rFonts w:ascii="宋体" w:cs="宋体"/>
          <w:bCs/>
          <w:szCs w:val="21"/>
          <w:highlight w:val="none"/>
        </w:rPr>
      </w:pPr>
      <w:bookmarkStart w:id="36" w:name="_Toc3104"/>
      <w:bookmarkStart w:id="37" w:name="_Toc16881"/>
      <w:r>
        <w:rPr>
          <w:rFonts w:ascii="宋体" w:hAnsi="宋体" w:cs="宋体"/>
          <w:bCs/>
          <w:szCs w:val="21"/>
          <w:highlight w:val="none"/>
        </w:rPr>
        <w:t>1</w:t>
      </w:r>
      <w:r>
        <w:rPr>
          <w:rFonts w:hint="eastAsia" w:ascii="宋体" w:hAnsi="宋体" w:cs="宋体"/>
          <w:bCs/>
          <w:szCs w:val="21"/>
          <w:highlight w:val="none"/>
        </w:rPr>
        <w:t>、响应文件的上传、递交：</w:t>
      </w:r>
      <w:bookmarkEnd w:id="36"/>
      <w:bookmarkEnd w:id="37"/>
      <w:r>
        <w:rPr>
          <w:rFonts w:hint="eastAsia" w:ascii="宋体" w:hAnsi="宋体" w:cs="宋体"/>
          <w:bCs/>
          <w:szCs w:val="21"/>
          <w:highlight w:val="none"/>
        </w:rPr>
        <w:t>见《前附表》。</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、响应文件的补充和修改：</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szCs w:val="21"/>
          <w:highlight w:val="none"/>
        </w:rPr>
      </w:pPr>
      <w:r>
        <w:rPr>
          <w:rFonts w:hint="eastAsia" w:ascii="宋体" w:hAnsi="宋体" w:cs="宋体"/>
          <w:bCs/>
          <w:szCs w:val="21"/>
          <w:highlight w:val="none"/>
        </w:rPr>
        <w:t>供应商应当在投标截止时间前完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投标截止时间后，供应商不得撤回、修改《响应文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响应文件填写字迹必须清楚、工整，对在响应文件中的不同文字文本的解释发生异议的，以中文文本为准。</w:t>
      </w:r>
    </w:p>
    <w:p>
      <w:pPr>
        <w:pStyle w:val="3"/>
        <w:keepNext w:val="0"/>
        <w:keepLines w:val="0"/>
        <w:pageBreakBefore w:val="0"/>
        <w:widowControl w:val="0"/>
        <w:numPr>
          <w:ilvl w:val="0"/>
          <w:numId w:val="0"/>
        </w:numPr>
        <w:kinsoku/>
        <w:wordWrap/>
        <w:overflowPunct w:val="0"/>
        <w:topLinePunct w:val="0"/>
        <w:bidi w:val="0"/>
        <w:spacing w:before="0" w:beforeAutospacing="0" w:after="0" w:afterAutospacing="0" w:line="400" w:lineRule="exact"/>
        <w:ind w:firstLine="420" w:firstLineChars="200"/>
        <w:rPr>
          <w:bCs/>
          <w:kern w:val="2"/>
          <w:sz w:val="21"/>
          <w:szCs w:val="21"/>
          <w:highlight w:val="none"/>
        </w:rPr>
      </w:pPr>
      <w:r>
        <w:rPr>
          <w:rFonts w:hint="eastAsia"/>
          <w:bCs/>
          <w:kern w:val="2"/>
          <w:sz w:val="21"/>
          <w:szCs w:val="21"/>
          <w:highlight w:val="none"/>
          <w:lang w:val="en-US" w:eastAsia="zh-CN"/>
        </w:rPr>
        <w:t>4、</w:t>
      </w:r>
      <w:r>
        <w:rPr>
          <w:rFonts w:hint="eastAsia"/>
          <w:bCs/>
          <w:kern w:val="2"/>
          <w:sz w:val="21"/>
          <w:szCs w:val="21"/>
          <w:highlight w:val="none"/>
        </w:rPr>
        <w:t>供应商不得递交任何的投标备选（替代）方案，否则其响应文件将作无效标处理。与“电子加密响应文件”同时生成的“备份响应文件”及“纸质备选响应文件”不是投标备选（替代）方案。</w:t>
      </w:r>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bookmarkStart w:id="38" w:name="_Toc282640710"/>
      <w:bookmarkStart w:id="39" w:name="_Toc15269"/>
      <w:bookmarkStart w:id="40" w:name="_Toc17074"/>
      <w:r>
        <w:rPr>
          <w:rFonts w:hint="eastAsia" w:ascii="宋体" w:hAnsi="宋体" w:cs="宋体"/>
          <w:b/>
          <w:sz w:val="24"/>
          <w:szCs w:val="24"/>
          <w:highlight w:val="none"/>
        </w:rPr>
        <w:t>十一、无效响应文件</w:t>
      </w:r>
      <w:bookmarkEnd w:id="38"/>
      <w:bookmarkEnd w:id="39"/>
      <w:bookmarkEnd w:id="40"/>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bookmarkStart w:id="41" w:name="_Toc282640720"/>
      <w:r>
        <w:rPr>
          <w:rFonts w:hint="eastAsia" w:ascii="宋体" w:hAnsi="宋体" w:cs="宋体"/>
          <w:bCs/>
          <w:szCs w:val="21"/>
          <w:highlight w:val="none"/>
          <w:lang w:val="en-US" w:eastAsia="zh-CN"/>
        </w:rPr>
        <w:t>1、</w:t>
      </w:r>
      <w:r>
        <w:rPr>
          <w:rFonts w:hint="eastAsia" w:ascii="宋体" w:hAnsi="宋体" w:cs="宋体"/>
          <w:bCs/>
          <w:szCs w:val="21"/>
          <w:highlight w:val="none"/>
        </w:rPr>
        <w:t>响应文件逾期送达或未按规定的地点送达的；</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firstLine="420" w:firstLineChars="200"/>
        <w:textAlignment w:val="auto"/>
        <w:rPr>
          <w:rFonts w:ascii="宋体" w:cs="宋体"/>
          <w:bCs/>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电子响应文件解密失败的，且未在规定时间内提交备份响应文件的；</w:t>
      </w:r>
    </w:p>
    <w:p>
      <w:pPr>
        <w:pStyle w:val="3"/>
        <w:keepNext w:val="0"/>
        <w:keepLines w:val="0"/>
        <w:pageBreakBefore w:val="0"/>
        <w:widowControl w:val="0"/>
        <w:numPr>
          <w:ilvl w:val="0"/>
          <w:numId w:val="0"/>
        </w:numPr>
        <w:kinsoku/>
        <w:wordWrap/>
        <w:topLinePunct w:val="0"/>
        <w:autoSpaceDE/>
        <w:autoSpaceDN/>
        <w:bidi w:val="0"/>
        <w:adjustRightInd/>
        <w:snapToGrid/>
        <w:spacing w:before="0" w:beforeAutospacing="0" w:after="0" w:afterAutospacing="0" w:line="400" w:lineRule="exact"/>
        <w:ind w:firstLine="420" w:firstLineChars="200"/>
        <w:textAlignment w:val="auto"/>
        <w:rPr>
          <w:bCs/>
          <w:kern w:val="2"/>
          <w:sz w:val="21"/>
          <w:szCs w:val="21"/>
          <w:highlight w:val="none"/>
        </w:rPr>
      </w:pPr>
      <w:r>
        <w:rPr>
          <w:rFonts w:hint="eastAsia"/>
          <w:bCs/>
          <w:kern w:val="2"/>
          <w:sz w:val="21"/>
          <w:szCs w:val="21"/>
          <w:highlight w:val="none"/>
          <w:lang w:val="en-US" w:eastAsia="zh-CN"/>
        </w:rPr>
        <w:t>3、</w:t>
      </w:r>
      <w:r>
        <w:rPr>
          <w:rFonts w:hint="eastAsia"/>
          <w:bCs/>
          <w:kern w:val="2"/>
          <w:sz w:val="21"/>
          <w:szCs w:val="21"/>
          <w:highlight w:val="none"/>
        </w:rPr>
        <w:t>供应商仅递交了“备份响应文件”、“纸质响应文件”而未将电子加密响应文件上传至“政府采购云平台”的；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、不具备磋商文件中规定的资格条件要求的；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5</w:t>
      </w:r>
      <w:r>
        <w:rPr>
          <w:rFonts w:hint="eastAsia" w:ascii="宋体" w:hAnsi="宋体" w:cs="宋体"/>
          <w:bCs/>
          <w:szCs w:val="21"/>
          <w:highlight w:val="none"/>
        </w:rPr>
        <w:t>、供应商提交两份或两份以上内容不同的磋商响应文件，或在一份磋商响应文件中对同一采购项目有两个或两个以上报价的；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6</w:t>
      </w:r>
      <w:r>
        <w:rPr>
          <w:rFonts w:hint="eastAsia" w:ascii="宋体" w:hAnsi="宋体" w:cs="宋体"/>
          <w:bCs/>
          <w:szCs w:val="21"/>
          <w:highlight w:val="none"/>
        </w:rPr>
        <w:t>、磋商货物的技术规范、技术标准明显不符合国家强制性要求的；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7</w:t>
      </w:r>
      <w:r>
        <w:rPr>
          <w:rFonts w:hint="eastAsia" w:ascii="宋体" w:hAnsi="宋体" w:cs="宋体"/>
          <w:bCs/>
          <w:szCs w:val="21"/>
          <w:highlight w:val="none"/>
        </w:rPr>
        <w:t>、提供不真实资料的；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8</w:t>
      </w:r>
      <w:r>
        <w:rPr>
          <w:rFonts w:hint="eastAsia" w:ascii="宋体" w:hAnsi="宋体" w:cs="宋体"/>
          <w:bCs/>
          <w:szCs w:val="21"/>
          <w:highlight w:val="none"/>
        </w:rPr>
        <w:t>、不符合法律、法规和磋商文件规定的其他实质性要求（磋商小组一致认定）的；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9</w:t>
      </w:r>
      <w:r>
        <w:rPr>
          <w:rFonts w:hint="eastAsia" w:ascii="宋体" w:hAnsi="宋体" w:cs="宋体"/>
          <w:bCs/>
          <w:szCs w:val="21"/>
          <w:highlight w:val="none"/>
        </w:rPr>
        <w:t>、磋商服务的服务指标、参数等存在实质性偏离（磋商小组一致认定）的；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、法律、法规、规章及省级以上规范性文件等规定的其他情形。</w:t>
      </w:r>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bookmarkStart w:id="42" w:name="_Toc24811"/>
      <w:bookmarkStart w:id="43" w:name="_Toc16373"/>
      <w:r>
        <w:rPr>
          <w:rFonts w:hint="eastAsia" w:ascii="宋体" w:hAnsi="宋体" w:cs="宋体"/>
          <w:b/>
          <w:sz w:val="24"/>
          <w:szCs w:val="24"/>
          <w:highlight w:val="none"/>
        </w:rPr>
        <w:t>十二、废标</w:t>
      </w:r>
      <w:bookmarkEnd w:id="42"/>
      <w:bookmarkEnd w:id="43"/>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在磋商中，出现下列情形之一的，应予废标：</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、符合专业条件的供应商或者对磋商文件作实质响应的供应商不足三家的（特殊情况经审批同意的除外）；</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）出现影响采购公正的违法、违规行为的；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）因重大变故，采购任务取消的；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）供应商的报价均超</w:t>
      </w:r>
      <w:r>
        <w:rPr>
          <w:rFonts w:hint="eastAsia" w:ascii="宋体" w:hAnsi="宋体" w:cs="宋体"/>
          <w:bCs/>
          <w:szCs w:val="21"/>
          <w:highlight w:val="none"/>
          <w:lang w:eastAsia="zh-CN"/>
        </w:rPr>
        <w:t>预算</w:t>
      </w:r>
      <w:r>
        <w:rPr>
          <w:rFonts w:hint="eastAsia" w:ascii="宋体" w:hAnsi="宋体" w:cs="宋体"/>
          <w:bCs/>
          <w:szCs w:val="21"/>
          <w:highlight w:val="none"/>
        </w:rPr>
        <w:t>的，采购人不能支付的；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）法律、法规、规章等规定的其他情形除外；</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lang w:val="en-US" w:eastAsia="zh-CN"/>
        </w:rPr>
        <w:t>5）</w:t>
      </w:r>
      <w:r>
        <w:rPr>
          <w:rFonts w:hint="eastAsia" w:ascii="宋体" w:hAnsi="宋体" w:cs="宋体"/>
          <w:bCs/>
          <w:szCs w:val="21"/>
          <w:highlight w:val="none"/>
        </w:rPr>
        <w:t>废标后，招标采购单位将废标理由通知所有供应商。</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本磋商规则及程序只适用于“浙江华夏工程管理有限公司磋商文件”。</w:t>
      </w:r>
    </w:p>
    <w:bookmarkEnd w:id="41"/>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bookmarkStart w:id="44" w:name="串通投标的情形"/>
      <w:bookmarkStart w:id="45" w:name="_Toc27719"/>
      <w:bookmarkStart w:id="46" w:name="_Toc27014"/>
      <w:r>
        <w:rPr>
          <w:rFonts w:hint="eastAsia" w:ascii="宋体" w:hAnsi="宋体" w:cs="宋体"/>
          <w:b/>
          <w:sz w:val="24"/>
          <w:szCs w:val="24"/>
          <w:highlight w:val="none"/>
        </w:rPr>
        <w:t>十三、串通磋商的情形</w:t>
      </w:r>
    </w:p>
    <w:bookmarkEnd w:id="44"/>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topLinePunct w:val="0"/>
        <w:bidi w:val="0"/>
        <w:spacing w:line="400" w:lineRule="exact"/>
        <w:rPr>
          <w:rFonts w:ascii="宋体" w:cs="宋体"/>
          <w:bCs/>
          <w:vanish/>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、不同供应商的响应文件由同一单位或者个人编制；</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、不同供应商委托同一单位或者个人办理磋商事宜；</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、不同供应商的响应文件载明的项目管理成员或者联系人员为同一人；</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、不同供应商的响应文件异常一致或者磋商报价呈规律性差异；</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5</w:t>
      </w:r>
      <w:r>
        <w:rPr>
          <w:rFonts w:hint="eastAsia" w:ascii="宋体" w:hAnsi="宋体" w:cs="宋体"/>
          <w:bCs/>
          <w:szCs w:val="21"/>
          <w:highlight w:val="none"/>
        </w:rPr>
        <w:t>、不同供应商的响应文件相互混装；</w:t>
      </w:r>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r>
        <w:rPr>
          <w:rFonts w:hint="eastAsia" w:ascii="宋体" w:hAnsi="宋体" w:cs="宋体"/>
          <w:b/>
          <w:sz w:val="24"/>
          <w:szCs w:val="24"/>
          <w:highlight w:val="none"/>
        </w:rPr>
        <w:t>十四、出现以下情形，导致电子交易平台无法正常运行，或者无法保证电子交易的公平、公正和安全时，中止电子交易活动：</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、电子交易平台发生故障而无法登录访问的；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、电子交易平台应用或数据库出现错误，不能进行正常操作的；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、电子交易平台发现严重安全漏洞，有潜在泄密危险的；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、病毒发作导致不能进行正常操作的；</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5</w:t>
      </w:r>
      <w:r>
        <w:rPr>
          <w:rFonts w:hint="eastAsia" w:ascii="宋体" w:hAnsi="宋体" w:cs="宋体"/>
          <w:bCs/>
          <w:szCs w:val="21"/>
          <w:highlight w:val="none"/>
        </w:rPr>
        <w:t>、其他无法保证电子交易的公平、公正和安全的情况。</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出现前款规定情形，不影响采购公平、公正性的，采购代理机构可以待上述情形消除后继续组织电子交易活动，也可以决定某些环节以纸质形式进行；影响或可能影响采购公平、公正性的，重新采购。</w:t>
      </w:r>
      <w:bookmarkEnd w:id="45"/>
      <w:bookmarkEnd w:id="46"/>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bookmarkStart w:id="47" w:name="_Toc26868"/>
      <w:bookmarkStart w:id="48" w:name="_Toc21657"/>
      <w:bookmarkStart w:id="49" w:name="_Toc282640721"/>
      <w:r>
        <w:rPr>
          <w:rFonts w:hint="eastAsia" w:ascii="宋体" w:hAnsi="宋体" w:cs="宋体"/>
          <w:b/>
          <w:sz w:val="24"/>
          <w:szCs w:val="24"/>
          <w:highlight w:val="none"/>
        </w:rPr>
        <w:t>十五、确定成交供应商方法</w:t>
      </w:r>
      <w:bookmarkEnd w:id="47"/>
      <w:bookmarkEnd w:id="48"/>
      <w:bookmarkEnd w:id="49"/>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jc w:val="left"/>
        <w:textAlignment w:val="auto"/>
        <w:rPr>
          <w:rFonts w:ascii="宋体" w:cs="宋体"/>
          <w:bCs/>
          <w:szCs w:val="21"/>
          <w:highlight w:val="none"/>
        </w:rPr>
      </w:pPr>
      <w:bookmarkStart w:id="50" w:name="_Toc18596"/>
      <w:bookmarkStart w:id="51" w:name="_Toc282640722"/>
      <w:bookmarkStart w:id="52" w:name="_Toc5559"/>
      <w:r>
        <w:rPr>
          <w:rFonts w:hint="eastAsia" w:ascii="宋体" w:hAnsi="宋体" w:cs="宋体"/>
          <w:bCs/>
          <w:szCs w:val="21"/>
          <w:highlight w:val="none"/>
        </w:rPr>
        <w:t>在质量与服务均能满足采购项目要求的前提下，以综合得分由高到低的原则确定成交供应商，详细的磋商程序见竞争性磋商文件第四章内容。</w:t>
      </w:r>
      <w:bookmarkEnd w:id="50"/>
      <w:bookmarkEnd w:id="51"/>
      <w:bookmarkEnd w:id="52"/>
    </w:p>
    <w:p>
      <w:pPr>
        <w:keepNext w:val="0"/>
        <w:keepLines w:val="0"/>
        <w:pageBreakBefore w:val="0"/>
        <w:widowControl w:val="0"/>
        <w:kinsoku/>
        <w:wordWrap/>
        <w:overflowPunct w:val="0"/>
        <w:topLinePunct w:val="0"/>
        <w:bidi w:val="0"/>
        <w:spacing w:line="400" w:lineRule="exact"/>
        <w:jc w:val="left"/>
        <w:rPr>
          <w:rFonts w:ascii="宋体" w:cs="宋体"/>
          <w:b/>
          <w:sz w:val="24"/>
          <w:szCs w:val="24"/>
          <w:highlight w:val="none"/>
        </w:rPr>
      </w:pPr>
      <w:bookmarkStart w:id="53" w:name="_Toc16626"/>
      <w:bookmarkStart w:id="54" w:name="_Toc28666"/>
      <w:r>
        <w:rPr>
          <w:rFonts w:hint="eastAsia" w:ascii="宋体" w:hAnsi="宋体" w:cs="宋体"/>
          <w:b/>
          <w:sz w:val="24"/>
          <w:szCs w:val="24"/>
          <w:highlight w:val="none"/>
        </w:rPr>
        <w:t>十六、授予合同</w:t>
      </w:r>
      <w:bookmarkEnd w:id="53"/>
      <w:bookmarkEnd w:id="54"/>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、授予合同的依据</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招标采购单位签发的成交通知书；</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磋商文件、磋商文件的修改及补充通知（函）；</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hint="eastAsia" w:ascii="宋体" w:hAnsi="宋体" w:cs="宋体"/>
          <w:bCs/>
          <w:szCs w:val="21"/>
          <w:highlight w:val="none"/>
        </w:rPr>
        <w:t>响应文件和磋商时供应商作出的书面澄清、说明、纠正、承诺等；</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、合同签订</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2.1 </w:t>
      </w:r>
      <w:r>
        <w:rPr>
          <w:rFonts w:hint="eastAsia" w:ascii="宋体" w:hAnsi="宋体" w:cs="宋体"/>
          <w:bCs/>
          <w:szCs w:val="21"/>
          <w:highlight w:val="none"/>
        </w:rPr>
        <w:t>成交供应商与采购人应按成交通知书中规定的时间、地点签订合同，否则应承担相应的法律责任。</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2.2 </w:t>
      </w:r>
      <w:r>
        <w:rPr>
          <w:rFonts w:hint="eastAsia" w:ascii="宋体" w:hAnsi="宋体" w:cs="宋体"/>
          <w:bCs/>
          <w:szCs w:val="21"/>
          <w:highlight w:val="none"/>
        </w:rPr>
        <w:t>磋商文件、成交供应商的响应文件及磋商过程中有关澄清文件和承诺均为合同附件。</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2.3 </w:t>
      </w:r>
      <w:r>
        <w:rPr>
          <w:rFonts w:hint="eastAsia" w:ascii="宋体" w:hAnsi="宋体" w:cs="宋体"/>
          <w:bCs/>
          <w:szCs w:val="21"/>
          <w:highlight w:val="none"/>
        </w:rPr>
        <w:t>采购人与成交供应商将根据《中华人民共和国民法典》的规定，依据磋商文件和成交供应商的响应文件签订书面合同。</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2.4 </w:t>
      </w:r>
      <w:r>
        <w:rPr>
          <w:rFonts w:hint="eastAsia" w:ascii="宋体" w:hAnsi="宋体" w:cs="宋体"/>
          <w:bCs/>
          <w:szCs w:val="21"/>
          <w:highlight w:val="none"/>
        </w:rPr>
        <w:t>采购人如不与成交供应商订立合同，或者采购人、成交供应商订立背离合同实质性内容的协议，由政府有关部门责令改正，同时依法承担相应法律责任。</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2.5 </w:t>
      </w:r>
      <w:r>
        <w:rPr>
          <w:rFonts w:hint="eastAsia" w:ascii="宋体" w:hAnsi="宋体" w:cs="宋体"/>
          <w:bCs/>
          <w:szCs w:val="21"/>
          <w:highlight w:val="none"/>
        </w:rPr>
        <w:t>成交供应商如不按规定与采购人订立合同，则招标采购单位将废除授标，给招标采购单位造成的损失超过磋商担保数额的，还应当对超过部分予以赔偿，同时依法承担相应法律责任。</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bCs/>
          <w:szCs w:val="21"/>
          <w:highlight w:val="none"/>
        </w:rPr>
      </w:pPr>
      <w:r>
        <w:rPr>
          <w:rFonts w:ascii="宋体" w:hAnsi="宋体" w:cs="宋体"/>
          <w:bCs/>
          <w:szCs w:val="21"/>
          <w:highlight w:val="none"/>
        </w:rPr>
        <w:t xml:space="preserve">2.6 </w:t>
      </w:r>
      <w:r>
        <w:rPr>
          <w:rFonts w:hint="eastAsia" w:ascii="宋体" w:hAnsi="宋体" w:cs="宋体"/>
          <w:bCs/>
          <w:szCs w:val="21"/>
          <w:highlight w:val="none"/>
        </w:rPr>
        <w:t>成交供应商应当按照合同约定履行义务，完成成交项目各项工作，不得将成交项目违法转让（转包）给他人。</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cs="宋体"/>
          <w:bCs/>
          <w:szCs w:val="21"/>
          <w:highlight w:val="none"/>
        </w:rPr>
      </w:pPr>
      <w:r>
        <w:rPr>
          <w:rFonts w:ascii="宋体" w:hAnsi="宋体" w:cs="宋体"/>
          <w:bCs/>
          <w:szCs w:val="21"/>
          <w:highlight w:val="none"/>
        </w:rPr>
        <w:t xml:space="preserve">2.7 </w:t>
      </w:r>
      <w:r>
        <w:rPr>
          <w:rFonts w:hint="eastAsia" w:ascii="宋体" w:hAnsi="宋体" w:cs="宋体"/>
          <w:bCs/>
          <w:szCs w:val="21"/>
          <w:highlight w:val="none"/>
        </w:rPr>
        <w:t>如果成交供应商未能遵守上述</w:t>
      </w:r>
      <w:r>
        <w:rPr>
          <w:rFonts w:ascii="宋体" w:hAnsi="宋体" w:cs="宋体"/>
          <w:bCs/>
          <w:szCs w:val="21"/>
          <w:highlight w:val="none"/>
        </w:rPr>
        <w:t>2.5</w:t>
      </w:r>
      <w:r>
        <w:rPr>
          <w:rFonts w:hint="eastAsia" w:ascii="宋体" w:hAnsi="宋体" w:cs="宋体"/>
          <w:bCs/>
          <w:szCs w:val="21"/>
          <w:highlight w:val="none"/>
        </w:rPr>
        <w:t>条的规定，则可取消其成交资格。在此情况下，可将合同授予排序在成交供应商之后的第一位成交候选供应商。</w:t>
      </w:r>
    </w:p>
    <w:p>
      <w:pPr>
        <w:pStyle w:val="4"/>
        <w:keepNext w:val="0"/>
        <w:keepLines w:val="0"/>
        <w:pageBreakBefore w:val="0"/>
        <w:widowControl w:val="0"/>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hint="eastAsia" w:ascii="宋体" w:hAnsi="宋体" w:cs="宋体"/>
          <w:bCs/>
          <w:szCs w:val="21"/>
          <w:highlight w:val="none"/>
        </w:rPr>
        <w:br w:type="page"/>
      </w:r>
      <w:bookmarkStart w:id="55" w:name="_Toc9565"/>
      <w:r>
        <w:rPr>
          <w:rFonts w:hint="eastAsia" w:ascii="宋体" w:hAnsi="宋体" w:cs="宋体"/>
          <w:sz w:val="32"/>
          <w:szCs w:val="32"/>
          <w:highlight w:val="none"/>
        </w:rPr>
        <w:t>第三章</w:t>
      </w:r>
      <w:r>
        <w:rPr>
          <w:rFonts w:ascii="宋体" w:hAnsi="宋体" w:cs="宋体"/>
          <w:sz w:val="32"/>
          <w:szCs w:val="32"/>
          <w:highlight w:val="none"/>
        </w:rPr>
        <w:t xml:space="preserve">  </w:t>
      </w:r>
      <w:r>
        <w:rPr>
          <w:rFonts w:hint="eastAsia" w:ascii="宋体" w:hAnsi="宋体" w:cs="宋体"/>
          <w:sz w:val="32"/>
          <w:szCs w:val="32"/>
          <w:highlight w:val="none"/>
        </w:rPr>
        <w:t>磋商项目服务内容及要求</w:t>
      </w:r>
      <w:bookmarkEnd w:id="55"/>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本技术要求适用于</w:t>
      </w:r>
      <w:r>
        <w:rPr>
          <w:rFonts w:hint="eastAsia" w:ascii="宋体" w:hAnsi="宋体" w:cs="宋体"/>
          <w:bCs/>
          <w:sz w:val="21"/>
          <w:szCs w:val="21"/>
          <w:highlight w:val="none"/>
          <w:lang w:eastAsia="zh-CN"/>
        </w:rPr>
        <w:t>2024年度长合区两岗人员培训及专项培训项目</w:t>
      </w:r>
      <w:r>
        <w:rPr>
          <w:rFonts w:hint="eastAsia" w:ascii="宋体" w:hAnsi="宋体" w:eastAsia="宋体" w:cs="宋体"/>
          <w:bCs/>
          <w:sz w:val="21"/>
          <w:szCs w:val="21"/>
          <w:highlight w:val="none"/>
        </w:rPr>
        <w:t>，是采购人为该项目的供应商提出的技术规范要求，为供应商完成响应文件的依据。本章所提出的内容为本项目的最低要求，供应商必须认真阅读以下内容，以免造成磋商损失。</w:t>
      </w:r>
    </w:p>
    <w:p>
      <w:pPr>
        <w:keepNext w:val="0"/>
        <w:keepLines w:val="0"/>
        <w:pageBreakBefore w:val="0"/>
        <w:widowControl w:val="0"/>
        <w:numPr>
          <w:ilvl w:val="0"/>
          <w:numId w:val="6"/>
        </w:numPr>
        <w:kinsoku/>
        <w:wordWrap/>
        <w:overflowPunct w:val="0"/>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rPr>
      </w:pPr>
      <w:bookmarkStart w:id="56" w:name="_Toc13632"/>
      <w:bookmarkStart w:id="57" w:name="_Toc26930"/>
      <w:bookmarkStart w:id="58" w:name="_Toc424544809"/>
      <w:bookmarkStart w:id="59" w:name="_Toc424544530"/>
      <w:r>
        <w:rPr>
          <w:rFonts w:hint="eastAsia" w:ascii="宋体" w:hAnsi="宋体" w:eastAsia="宋体" w:cs="宋体"/>
          <w:b/>
          <w:sz w:val="24"/>
          <w:szCs w:val="24"/>
          <w:highlight w:val="none"/>
        </w:rPr>
        <w:t>采购内容</w:t>
      </w:r>
      <w:bookmarkEnd w:id="56"/>
      <w:bookmarkEnd w:id="57"/>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4475"/>
        <w:gridCol w:w="1400"/>
        <w:gridCol w:w="1187"/>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序号</w:t>
            </w:r>
          </w:p>
        </w:tc>
        <w:tc>
          <w:tcPr>
            <w:tcW w:w="447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项目内容</w:t>
            </w:r>
          </w:p>
        </w:tc>
        <w:tc>
          <w:tcPr>
            <w:tcW w:w="14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培训人数</w:t>
            </w:r>
          </w:p>
        </w:tc>
        <w:tc>
          <w:tcPr>
            <w:tcW w:w="1187"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最高限价</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（元</w:t>
            </w:r>
            <w:r>
              <w:rPr>
                <w:rFonts w:hint="eastAsia" w:ascii="宋体" w:hAnsi="宋体" w:eastAsia="宋体" w:cs="宋体"/>
                <w:sz w:val="21"/>
                <w:szCs w:val="21"/>
                <w:highlight w:val="none"/>
                <w:vertAlign w:val="baseline"/>
                <w:lang w:val="en-US" w:eastAsia="zh-CN"/>
              </w:rPr>
              <w:t>/人</w:t>
            </w:r>
            <w:r>
              <w:rPr>
                <w:rFonts w:hint="eastAsia" w:ascii="宋体" w:hAnsi="宋体" w:eastAsia="宋体" w:cs="宋体"/>
                <w:sz w:val="21"/>
                <w:szCs w:val="21"/>
                <w:highlight w:val="none"/>
                <w:vertAlign w:val="baseline"/>
                <w:lang w:eastAsia="zh-CN"/>
              </w:rPr>
              <w:t>）</w:t>
            </w:r>
          </w:p>
        </w:tc>
        <w:tc>
          <w:tcPr>
            <w:tcW w:w="1051"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预算</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color w:val="auto"/>
                <w:kern w:val="0"/>
                <w:sz w:val="21"/>
                <w:szCs w:val="21"/>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447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初训安全取证培训</w:t>
            </w:r>
          </w:p>
        </w:tc>
        <w:tc>
          <w:tcPr>
            <w:tcW w:w="14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eastAsia="zh-CN"/>
              </w:rPr>
              <w:t>约</w:t>
            </w:r>
            <w:r>
              <w:rPr>
                <w:rFonts w:hint="eastAsia" w:ascii="宋体" w:hAnsi="宋体" w:eastAsia="宋体" w:cs="宋体"/>
                <w:sz w:val="21"/>
                <w:szCs w:val="21"/>
                <w:highlight w:val="none"/>
                <w:vertAlign w:val="baseline"/>
                <w:lang w:val="en-US" w:eastAsia="zh-CN"/>
              </w:rPr>
              <w:t>375人</w:t>
            </w:r>
          </w:p>
        </w:tc>
        <w:tc>
          <w:tcPr>
            <w:tcW w:w="1187"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360</w:t>
            </w:r>
          </w:p>
        </w:tc>
        <w:tc>
          <w:tcPr>
            <w:tcW w:w="1051"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447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复训安全培训</w:t>
            </w:r>
          </w:p>
        </w:tc>
        <w:tc>
          <w:tcPr>
            <w:tcW w:w="14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eastAsia="zh-CN"/>
              </w:rPr>
              <w:t>约</w:t>
            </w:r>
            <w:r>
              <w:rPr>
                <w:rFonts w:hint="eastAsia" w:ascii="宋体" w:hAnsi="宋体" w:eastAsia="宋体" w:cs="宋体"/>
                <w:sz w:val="21"/>
                <w:szCs w:val="21"/>
                <w:highlight w:val="none"/>
                <w:vertAlign w:val="baseline"/>
                <w:lang w:val="en-US" w:eastAsia="zh-CN"/>
              </w:rPr>
              <w:t>700人</w:t>
            </w:r>
          </w:p>
        </w:tc>
        <w:tc>
          <w:tcPr>
            <w:tcW w:w="1187"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200</w:t>
            </w:r>
          </w:p>
        </w:tc>
        <w:tc>
          <w:tcPr>
            <w:tcW w:w="1051"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4475"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其他类人员培训</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（有限空间、危化品使用、金属熔融等）</w:t>
            </w:r>
          </w:p>
        </w:tc>
        <w:tc>
          <w:tcPr>
            <w:tcW w:w="14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eastAsia="zh-CN"/>
              </w:rPr>
              <w:t>约</w:t>
            </w:r>
            <w:r>
              <w:rPr>
                <w:rFonts w:hint="eastAsia" w:ascii="宋体" w:hAnsi="宋体" w:eastAsia="宋体" w:cs="宋体"/>
                <w:sz w:val="21"/>
                <w:szCs w:val="21"/>
                <w:highlight w:val="none"/>
                <w:vertAlign w:val="baseline"/>
                <w:lang w:val="en-US" w:eastAsia="zh-CN"/>
              </w:rPr>
              <w:t>500人</w:t>
            </w:r>
          </w:p>
        </w:tc>
        <w:tc>
          <w:tcPr>
            <w:tcW w:w="1187"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300</w:t>
            </w:r>
          </w:p>
        </w:tc>
        <w:tc>
          <w:tcPr>
            <w:tcW w:w="1051"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8"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rPr>
              <w:t>注：</w:t>
            </w:r>
            <w:r>
              <w:rPr>
                <w:rFonts w:hint="eastAsia" w:ascii="宋体" w:hAnsi="宋体" w:cs="宋体"/>
                <w:b w:val="0"/>
                <w:bCs w:val="0"/>
                <w:color w:val="auto"/>
                <w:spacing w:val="0"/>
                <w:kern w:val="0"/>
                <w:sz w:val="21"/>
                <w:szCs w:val="21"/>
                <w:highlight w:val="none"/>
                <w:lang w:val="en-US" w:eastAsia="zh-CN"/>
              </w:rPr>
              <w:t>1、本项目投标报价以单价形式投标（含场地费20元/人），单项报价不得超过单项最高限价，本次项目报价以单价合计为准，合计报价不得超过860元，具体培训人数以实际为准，最终费用按成交单价×实际培训人数结算，总的结算款不得超总预算42.5万元。</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highlight w:val="none"/>
                <w:vertAlign w:val="baseline"/>
              </w:rPr>
            </w:pPr>
            <w:r>
              <w:rPr>
                <w:rFonts w:hint="eastAsia" w:ascii="宋体" w:hAnsi="宋体" w:cs="宋体"/>
                <w:b w:val="0"/>
                <w:bCs w:val="0"/>
                <w:color w:val="auto"/>
                <w:spacing w:val="0"/>
                <w:kern w:val="0"/>
                <w:sz w:val="21"/>
                <w:szCs w:val="21"/>
                <w:highlight w:val="none"/>
                <w:lang w:val="en-US" w:eastAsia="zh-CN"/>
              </w:rPr>
              <w:t xml:space="preserve">2、本项目培训人数暂估，根据企业上报情况最终确定，投标人应充分预估人数风险，以实际培训人数为准。  </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lang w:eastAsia="zh-CN"/>
        </w:rPr>
      </w:pPr>
      <w:bookmarkStart w:id="60" w:name="_Toc27686"/>
      <w:r>
        <w:rPr>
          <w:rFonts w:hint="eastAsia" w:ascii="宋体" w:hAnsi="宋体" w:eastAsia="宋体" w:cs="宋体"/>
          <w:b/>
          <w:sz w:val="24"/>
          <w:szCs w:val="24"/>
          <w:highlight w:val="none"/>
          <w:lang w:eastAsia="zh-CN"/>
        </w:rPr>
        <w:t>二、</w:t>
      </w:r>
      <w:r>
        <w:rPr>
          <w:rFonts w:hint="eastAsia" w:ascii="宋体" w:hAnsi="宋体" w:cs="宋体"/>
          <w:b/>
          <w:sz w:val="24"/>
          <w:szCs w:val="24"/>
          <w:highlight w:val="none"/>
          <w:lang w:eastAsia="zh-CN"/>
        </w:rPr>
        <w:t>培训单位要求及服务内容</w:t>
      </w:r>
      <w:bookmarkEnd w:id="60"/>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培训场所</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根据生产经营单位参训学员的实际情况合理安排培训场地；</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安全生产培训教师</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具备5名及以上从事安全生产培训教育专（兼）职教师，并在本专业领域具有一定实践经验，满足培训大纲授课要求；专职教师需取得省安全生产师资培训合格证书（可后续参加），专职教师中应当有注册安全工程师，需有社保证明；</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按照长三角（湖州）产业合作区管理委员会制定的培训计划和要求，结合实际，确定培训排班情况，并提前一周报送甲方审核；</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提供安全生产培训教材、场地及相关教学设施设备；</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根据课程安排组织学员完成培训内容；</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做好培训期间的后勤保障工作；</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负责学员培训资料的收集工作；</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负责培训档案管理工作，建立健全培训档案，教学档案为一期一档、装订成册、分类编号，内容齐全。保证一人一档、一档一清。（目录、办班通知、培训班总结、学员名册、课程表、考勤表（统一签到卡）、听课记录、教学提纲、教学评估表、培训教材使用情况、考试成绩表、每位学员培训申请表、身份证复印件、学历证明复印件、营业执照复印件、补考记录、学员培训意见反馈表、培训班照片、培训课件等）培训完成后提供自查报告，全部培训台账拷入U盘及纸质档案资料复印件一份交长三角（湖州）产业合作区管理委员会留存，对于培训的证书由培训机构一期一发放；</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每月1日前向采购人上报当月培训开班计划表；</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其他培训要求按照采购人具体规定执行。</w:t>
      </w:r>
    </w:p>
    <w:bookmarkEnd w:id="58"/>
    <w:bookmarkEnd w:id="59"/>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rPr>
      </w:pPr>
      <w:bookmarkStart w:id="61" w:name="_Toc2681"/>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lang w:eastAsia="zh-CN"/>
        </w:rPr>
        <w:t>、</w:t>
      </w:r>
      <w:r>
        <w:rPr>
          <w:rFonts w:hint="eastAsia" w:ascii="宋体" w:hAnsi="宋体" w:cs="宋体"/>
          <w:b/>
          <w:bCs/>
          <w:kern w:val="2"/>
          <w:sz w:val="24"/>
          <w:szCs w:val="24"/>
          <w:highlight w:val="none"/>
          <w:lang w:eastAsia="zh-CN"/>
        </w:rPr>
        <w:t>培训安排</w:t>
      </w:r>
      <w:bookmarkEnd w:id="61"/>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1、</w:t>
      </w:r>
      <w:r>
        <w:rPr>
          <w:rFonts w:hint="eastAsia" w:ascii="宋体" w:hAnsi="宋体" w:eastAsia="宋体" w:cs="宋体"/>
          <w:b w:val="0"/>
          <w:bCs/>
          <w:color w:val="000000"/>
          <w:highlight w:val="none"/>
          <w:lang w:eastAsia="zh-CN"/>
        </w:rPr>
        <w:t>培训内容</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1.1 </w:t>
      </w:r>
      <w:r>
        <w:rPr>
          <w:rFonts w:hint="eastAsia" w:ascii="宋体" w:hAnsi="宋体" w:eastAsia="宋体" w:cs="宋体"/>
          <w:b w:val="0"/>
          <w:bCs/>
          <w:color w:val="000000"/>
          <w:highlight w:val="none"/>
          <w:lang w:eastAsia="zh-CN"/>
        </w:rPr>
        <w:t>当前安全生产相关法律法规讲解；</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1.2 </w:t>
      </w:r>
      <w:r>
        <w:rPr>
          <w:rFonts w:hint="eastAsia" w:ascii="宋体" w:hAnsi="宋体" w:eastAsia="宋体" w:cs="宋体"/>
          <w:b w:val="0"/>
          <w:bCs/>
          <w:color w:val="000000"/>
          <w:highlight w:val="none"/>
          <w:lang w:eastAsia="zh-CN"/>
        </w:rPr>
        <w:t>国家、省、市、区安全生产方针、政策的宣讲；</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1.3 </w:t>
      </w:r>
      <w:r>
        <w:rPr>
          <w:rFonts w:hint="eastAsia" w:ascii="宋体" w:hAnsi="宋体" w:eastAsia="宋体" w:cs="宋体"/>
          <w:b w:val="0"/>
          <w:bCs/>
          <w:color w:val="000000"/>
          <w:highlight w:val="none"/>
          <w:lang w:eastAsia="zh-CN"/>
        </w:rPr>
        <w:t>安全生产管理基础知识、安全生产技术措施、安全生产专业知识(标准化工作)等；</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1.4 </w:t>
      </w:r>
      <w:r>
        <w:rPr>
          <w:rFonts w:hint="eastAsia" w:ascii="宋体" w:hAnsi="宋体" w:eastAsia="宋体" w:cs="宋体"/>
          <w:b w:val="0"/>
          <w:bCs/>
          <w:color w:val="000000"/>
          <w:highlight w:val="none"/>
          <w:lang w:eastAsia="zh-CN"/>
        </w:rPr>
        <w:t>企业主体责任落实、安全生产规章制度及操作规程、安全生产有关台账；</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1.5 </w:t>
      </w:r>
      <w:r>
        <w:rPr>
          <w:rFonts w:hint="eastAsia" w:ascii="宋体" w:hAnsi="宋体" w:eastAsia="宋体" w:cs="宋体"/>
          <w:b w:val="0"/>
          <w:bCs/>
          <w:color w:val="000000"/>
          <w:highlight w:val="none"/>
          <w:lang w:eastAsia="zh-CN"/>
        </w:rPr>
        <w:t>重大事故防范、应急救援编制、应急管理及应急处置的内容和要求；</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1.6 </w:t>
      </w:r>
      <w:r>
        <w:rPr>
          <w:rFonts w:hint="eastAsia" w:ascii="宋体" w:hAnsi="宋体" w:eastAsia="宋体" w:cs="宋体"/>
          <w:b w:val="0"/>
          <w:bCs/>
          <w:color w:val="000000"/>
          <w:highlight w:val="none"/>
          <w:lang w:eastAsia="zh-CN"/>
        </w:rPr>
        <w:t>典型事故、本地区多发事故和应急救援案例等分析；</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1.7 </w:t>
      </w:r>
      <w:r>
        <w:rPr>
          <w:rFonts w:hint="eastAsia" w:ascii="宋体" w:hAnsi="宋体" w:eastAsia="宋体" w:cs="宋体"/>
          <w:b w:val="0"/>
          <w:bCs/>
          <w:color w:val="000000"/>
          <w:highlight w:val="none"/>
          <w:lang w:eastAsia="zh-CN"/>
        </w:rPr>
        <w:t>其他需要培训的内容。</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2、</w:t>
      </w:r>
      <w:r>
        <w:rPr>
          <w:rFonts w:hint="eastAsia" w:ascii="宋体" w:hAnsi="宋体" w:eastAsia="宋体" w:cs="宋体"/>
          <w:b w:val="0"/>
          <w:bCs/>
          <w:color w:val="000000"/>
          <w:highlight w:val="none"/>
          <w:lang w:eastAsia="zh-CN"/>
        </w:rPr>
        <w:t>培训管理</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1.1 </w:t>
      </w:r>
      <w:r>
        <w:rPr>
          <w:rFonts w:hint="eastAsia" w:ascii="宋体" w:hAnsi="宋体" w:eastAsia="宋体" w:cs="宋体"/>
          <w:b w:val="0"/>
          <w:bCs/>
          <w:color w:val="000000"/>
          <w:highlight w:val="none"/>
          <w:lang w:eastAsia="zh-CN"/>
        </w:rPr>
        <w:t>建立健全的教学管理、教师管理、学员管理、考核管理、教学质量控制、培训评估、档案管理、设备管理、财务管理、后勤保障等安全培训管理制度；</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1.2 </w:t>
      </w:r>
      <w:r>
        <w:rPr>
          <w:rFonts w:hint="eastAsia" w:ascii="宋体" w:hAnsi="宋体" w:eastAsia="宋体" w:cs="宋体"/>
          <w:b w:val="0"/>
          <w:bCs/>
          <w:color w:val="000000"/>
          <w:highlight w:val="none"/>
          <w:lang w:eastAsia="zh-CN"/>
        </w:rPr>
        <w:t>建立课堂管理、教师授课、实训指导、教学反馈、考试通过率等教学评估考核机制；</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1.3 </w:t>
      </w:r>
      <w:r>
        <w:rPr>
          <w:rFonts w:hint="eastAsia" w:ascii="宋体" w:hAnsi="宋体" w:eastAsia="宋体" w:cs="宋体"/>
          <w:b w:val="0"/>
          <w:bCs/>
          <w:color w:val="000000"/>
          <w:highlight w:val="none"/>
          <w:lang w:eastAsia="zh-CN"/>
        </w:rPr>
        <w:t>建立按照培训大纲规定的培训学时、内容完成理论、实操培训承诺制度，对培训成效负责；</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1.4 </w:t>
      </w:r>
      <w:r>
        <w:rPr>
          <w:rFonts w:hint="eastAsia" w:ascii="宋体" w:hAnsi="宋体" w:eastAsia="宋体" w:cs="宋体"/>
          <w:b w:val="0"/>
          <w:bCs/>
          <w:color w:val="000000"/>
          <w:highlight w:val="none"/>
          <w:lang w:eastAsia="zh-CN"/>
        </w:rPr>
        <w:t>学员考试合格，统一核发培训合格证书；</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 xml:space="preserve">1.5 </w:t>
      </w:r>
      <w:r>
        <w:rPr>
          <w:rFonts w:hint="eastAsia" w:ascii="宋体" w:hAnsi="宋体" w:eastAsia="宋体" w:cs="宋体"/>
          <w:b w:val="0"/>
          <w:bCs/>
          <w:color w:val="000000"/>
          <w:highlight w:val="none"/>
          <w:lang w:eastAsia="zh-CN"/>
        </w:rPr>
        <w:t>年度培训人数统计，建立“一期一档”培训档案，保证培训档案的真实性。内容包括办班通知、学员基本信息汇总表、学员考勤表、教学计划执行表、学员对培训管理和教师满意度测评表、学员考核情况表、学员培训质量反馈表、电子教室、培训过程电子监控录像、培训班总结等。</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3、</w:t>
      </w:r>
      <w:r>
        <w:rPr>
          <w:rFonts w:hint="eastAsia" w:ascii="宋体" w:hAnsi="宋体" w:eastAsia="宋体" w:cs="宋体"/>
          <w:b w:val="0"/>
          <w:bCs/>
          <w:color w:val="000000"/>
          <w:highlight w:val="none"/>
          <w:lang w:eastAsia="zh-CN"/>
        </w:rPr>
        <w:t>学时要求</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eastAsia="宋体" w:cs="宋体"/>
          <w:b w:val="0"/>
          <w:bCs/>
          <w:color w:val="000000"/>
          <w:highlight w:val="none"/>
          <w:lang w:eastAsia="zh-CN"/>
        </w:rPr>
        <w:t>初次培训时间不得少于32学时、复训（换证）培训时间不得少于12学时。</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cs="宋体"/>
          <w:b w:val="0"/>
          <w:bCs/>
          <w:color w:val="000000"/>
          <w:highlight w:val="none"/>
          <w:lang w:val="en-US" w:eastAsia="zh-CN"/>
        </w:rPr>
        <w:t>4、</w:t>
      </w:r>
      <w:r>
        <w:rPr>
          <w:rFonts w:hint="eastAsia" w:ascii="宋体" w:hAnsi="宋体" w:eastAsia="宋体" w:cs="宋体"/>
          <w:b w:val="0"/>
          <w:bCs/>
          <w:color w:val="000000"/>
          <w:highlight w:val="none"/>
          <w:lang w:eastAsia="zh-CN"/>
        </w:rPr>
        <w:t>其他安排</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lang w:eastAsia="zh-CN"/>
        </w:rPr>
      </w:pPr>
      <w:r>
        <w:rPr>
          <w:rFonts w:hint="eastAsia" w:ascii="宋体" w:hAnsi="宋体" w:eastAsia="宋体" w:cs="宋体"/>
          <w:b w:val="0"/>
          <w:bCs/>
          <w:color w:val="000000"/>
          <w:highlight w:val="none"/>
          <w:lang w:eastAsia="zh-CN"/>
        </w:rPr>
        <w:t>根据《长三角（湖州）产业合作区管理委员会培训工作要点》，按照“统一规划，分步推进”的原则，将全年的任务数合理的分配至每个月，并排定月度计划表，培训机构根据月度计划表具体开展培训。</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rPr>
      </w:pPr>
      <w:bookmarkStart w:id="62" w:name="_Toc16988"/>
      <w:r>
        <w:rPr>
          <w:rFonts w:hint="eastAsia" w:ascii="宋体" w:hAnsi="宋体" w:cs="宋体"/>
          <w:b/>
          <w:sz w:val="24"/>
          <w:szCs w:val="24"/>
          <w:highlight w:val="none"/>
          <w:lang w:eastAsia="zh-CN"/>
        </w:rPr>
        <w:t>四</w:t>
      </w:r>
      <w:r>
        <w:rPr>
          <w:rFonts w:hint="eastAsia" w:ascii="宋体" w:hAnsi="宋体" w:eastAsia="宋体" w:cs="宋体"/>
          <w:b/>
          <w:sz w:val="24"/>
          <w:szCs w:val="24"/>
          <w:highlight w:val="none"/>
          <w:lang w:eastAsia="zh-CN"/>
        </w:rPr>
        <w:t>、</w:t>
      </w:r>
      <w:r>
        <w:rPr>
          <w:rFonts w:hint="eastAsia" w:ascii="宋体" w:hAnsi="宋体" w:eastAsia="宋体" w:cs="宋体"/>
          <w:b/>
          <w:bCs/>
          <w:kern w:val="2"/>
          <w:sz w:val="24"/>
          <w:szCs w:val="24"/>
          <w:highlight w:val="none"/>
          <w:lang w:eastAsia="zh-CN"/>
        </w:rPr>
        <w:t>▲</w:t>
      </w:r>
      <w:r>
        <w:rPr>
          <w:rFonts w:hint="eastAsia" w:ascii="宋体" w:hAnsi="宋体" w:eastAsia="宋体" w:cs="宋体"/>
          <w:b/>
          <w:sz w:val="24"/>
          <w:szCs w:val="24"/>
          <w:highlight w:val="none"/>
          <w:lang w:eastAsia="zh-CN"/>
        </w:rPr>
        <w:t>其他要求</w:t>
      </w:r>
      <w:bookmarkEnd w:id="62"/>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rPr>
      </w:pPr>
      <w:r>
        <w:rPr>
          <w:rFonts w:hint="eastAsia" w:ascii="宋体" w:hAnsi="宋体" w:eastAsia="宋体" w:cs="宋体"/>
          <w:b w:val="0"/>
          <w:bCs/>
          <w:color w:val="000000"/>
          <w:highlight w:val="none"/>
        </w:rPr>
        <w:t>1、成交供应商在履行合同义务期间，应遵守国家有关法律、法规、维护委托单位的合法权益。</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rPr>
      </w:pPr>
      <w:r>
        <w:rPr>
          <w:rFonts w:hint="eastAsia" w:ascii="宋体" w:hAnsi="宋体" w:eastAsia="宋体" w:cs="宋体"/>
          <w:b w:val="0"/>
          <w:bCs/>
          <w:color w:val="000000"/>
          <w:highlight w:val="none"/>
        </w:rPr>
        <w:t>2、成交供应商应组建能够满足本项目服务需要的项目小组，按照工作范围和内容完成培训工作，并按约定向委托单位汇报工作进展。</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rPr>
      </w:pPr>
      <w:r>
        <w:rPr>
          <w:rFonts w:hint="eastAsia" w:ascii="宋体" w:hAnsi="宋体" w:eastAsia="宋体" w:cs="宋体"/>
          <w:b w:val="0"/>
          <w:bCs/>
          <w:color w:val="000000"/>
          <w:highlight w:val="none"/>
        </w:rPr>
        <w:t>3、投标供应商应在响应文件中明确投入本项目服务的人员基本配备。</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rPr>
      </w:pPr>
      <w:r>
        <w:rPr>
          <w:rFonts w:hint="eastAsia" w:ascii="宋体" w:hAnsi="宋体" w:eastAsia="宋体" w:cs="宋体"/>
          <w:b w:val="0"/>
          <w:bCs/>
          <w:color w:val="000000"/>
          <w:highlight w:val="none"/>
        </w:rPr>
        <w:t>4、投标供应商应在响应文件中明确投入本项目使用的工具器具仪器设备等详细数量及现况。</w:t>
      </w:r>
    </w:p>
    <w:p>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000000"/>
          <w:highlight w:val="none"/>
        </w:rPr>
      </w:pPr>
      <w:r>
        <w:rPr>
          <w:rFonts w:hint="eastAsia" w:ascii="宋体" w:hAnsi="宋体" w:eastAsia="宋体" w:cs="宋体"/>
          <w:b w:val="0"/>
          <w:bCs/>
          <w:color w:val="000000"/>
          <w:highlight w:val="none"/>
        </w:rPr>
        <w:t>5、成交供应商应自行承担项目实施过程中安全生产责任，采购人及使用单位任何情况下均不承担因此产生的任何法律责任和经济责任。</w:t>
      </w:r>
    </w:p>
    <w:p>
      <w:pPr>
        <w:keepNext w:val="0"/>
        <w:keepLines w:val="0"/>
        <w:pageBreakBefore w:val="0"/>
        <w:widowControl w:val="0"/>
        <w:numPr>
          <w:ilvl w:val="0"/>
          <w:numId w:val="0"/>
        </w:numPr>
        <w:kinsoku/>
        <w:wordWrap/>
        <w:topLinePunct w:val="0"/>
        <w:autoSpaceDE/>
        <w:autoSpaceDN/>
        <w:bidi w:val="0"/>
        <w:adjustRightInd/>
        <w:snapToGrid/>
        <w:spacing w:line="400" w:lineRule="exact"/>
        <w:textAlignment w:val="auto"/>
        <w:outlineLvl w:val="1"/>
        <w:rPr>
          <w:rFonts w:hint="eastAsia" w:ascii="宋体" w:hAnsi="宋体" w:eastAsia="宋体" w:cs="宋体"/>
          <w:b/>
          <w:sz w:val="24"/>
          <w:szCs w:val="24"/>
          <w:highlight w:val="none"/>
        </w:rPr>
      </w:pPr>
      <w:bookmarkStart w:id="63" w:name="_Toc3661"/>
      <w:r>
        <w:rPr>
          <w:rFonts w:hint="eastAsia" w:ascii="宋体" w:hAnsi="宋体" w:cs="宋体"/>
          <w:b/>
          <w:sz w:val="24"/>
          <w:szCs w:val="24"/>
          <w:highlight w:val="none"/>
          <w:lang w:eastAsia="zh-CN"/>
        </w:rPr>
        <w:t>五</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商务要求表</w:t>
      </w:r>
      <w:bookmarkEnd w:id="63"/>
    </w:p>
    <w:tbl>
      <w:tblPr>
        <w:tblStyle w:val="26"/>
        <w:tblW w:w="875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90" w:type="dxa"/>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1"/>
                <w:szCs w:val="21"/>
                <w:highlight w:val="none"/>
                <w:lang w:eastAsia="zh-CN"/>
              </w:rPr>
            </w:pPr>
            <w:bookmarkStart w:id="64" w:name="_Toc1410"/>
            <w:r>
              <w:rPr>
                <w:rFonts w:hint="eastAsia" w:ascii="宋体" w:hAnsi="宋体" w:eastAsia="宋体" w:cs="宋体"/>
                <w:kern w:val="0"/>
                <w:sz w:val="21"/>
                <w:szCs w:val="21"/>
                <w:highlight w:val="none"/>
                <w:lang w:val="en-US" w:eastAsia="zh-CN" w:bidi="ar-SA"/>
              </w:rPr>
              <w:t>▲服务时间和地点</w:t>
            </w:r>
          </w:p>
        </w:tc>
        <w:tc>
          <w:tcPr>
            <w:tcW w:w="7469" w:type="dxa"/>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1、培训时间暂定合同签订起至2024年12月31日，具体以采购人要求为准。</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kern w:val="0"/>
                <w:sz w:val="21"/>
                <w:szCs w:val="21"/>
                <w:highlight w:val="none"/>
                <w:lang w:val="en-US" w:eastAsia="zh-CN" w:bidi="ar-SA"/>
              </w:rPr>
              <w:t>2、地点：培训地址由成交供应商提交采购人审核后确认。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kern w:val="0"/>
                <w:sz w:val="21"/>
                <w:szCs w:val="21"/>
                <w:highlight w:val="none"/>
                <w:lang w:val="en-US" w:eastAsia="zh-CN" w:bidi="ar-SA"/>
              </w:rPr>
              <w:t>▲付款条件</w:t>
            </w:r>
          </w:p>
        </w:tc>
        <w:tc>
          <w:tcPr>
            <w:tcW w:w="7469" w:type="dxa"/>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合同签订并生效后支付合同金额（按暂定人数和中标单价进行估算）</w:t>
            </w:r>
            <w:r>
              <w:rPr>
                <w:rFonts w:hint="eastAsia" w:ascii="宋体" w:hAnsi="宋体" w:eastAsia="宋体" w:cs="宋体"/>
                <w:kern w:val="0"/>
                <w:sz w:val="21"/>
                <w:szCs w:val="21"/>
                <w:highlight w:val="none"/>
                <w:lang w:val="en-US" w:eastAsia="zh-CN" w:bidi="ar-SA"/>
              </w:rPr>
              <w:t>的</w:t>
            </w:r>
            <w:r>
              <w:rPr>
                <w:rFonts w:hint="eastAsia" w:ascii="宋体" w:hAnsi="宋体" w:cs="宋体"/>
                <w:kern w:val="0"/>
                <w:sz w:val="21"/>
                <w:szCs w:val="21"/>
                <w:highlight w:val="none"/>
                <w:lang w:val="en-US" w:eastAsia="zh-CN" w:bidi="ar-SA"/>
              </w:rPr>
              <w:t>4</w:t>
            </w:r>
            <w:r>
              <w:rPr>
                <w:rFonts w:hint="eastAsia" w:ascii="宋体" w:hAnsi="宋体" w:eastAsia="宋体" w:cs="宋体"/>
                <w:kern w:val="0"/>
                <w:sz w:val="21"/>
                <w:szCs w:val="21"/>
                <w:highlight w:val="none"/>
                <w:lang w:val="en-US" w:eastAsia="zh-CN" w:bidi="ar-SA"/>
              </w:rPr>
              <w:t>0%</w:t>
            </w:r>
            <w:r>
              <w:rPr>
                <w:rFonts w:hint="eastAsia" w:ascii="宋体" w:hAnsi="宋体" w:eastAsia="宋体" w:cs="宋体"/>
                <w:kern w:val="0"/>
                <w:sz w:val="21"/>
                <w:szCs w:val="21"/>
                <w:highlight w:val="none"/>
                <w:lang w:val="en-US" w:eastAsia="zh-CN" w:bidi="ar-SA"/>
              </w:rPr>
              <w:t>，剩余款项待培训结束后按实（培训合格人数）结算一次性付清。</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收到供应商开具的发票后</w:t>
            </w:r>
            <w:r>
              <w:rPr>
                <w:rFonts w:hint="eastAsia" w:ascii="宋体" w:hAnsi="宋体" w:cs="宋体"/>
                <w:kern w:val="0"/>
                <w:sz w:val="21"/>
                <w:szCs w:val="21"/>
                <w:highlight w:val="none"/>
                <w:lang w:val="en-US" w:eastAsia="zh-CN" w:bidi="ar-SA"/>
              </w:rPr>
              <w:t>7个工作日</w:t>
            </w:r>
            <w:r>
              <w:rPr>
                <w:rFonts w:hint="eastAsia" w:ascii="宋体" w:hAnsi="宋体" w:eastAsia="宋体" w:cs="宋体"/>
                <w:kern w:val="0"/>
                <w:sz w:val="21"/>
                <w:szCs w:val="21"/>
                <w:highlight w:val="none"/>
                <w:lang w:val="en-US" w:eastAsia="zh-CN" w:bidi="ar-SA"/>
              </w:rPr>
              <w:t>内</w:t>
            </w:r>
            <w:r>
              <w:rPr>
                <w:rFonts w:hint="eastAsia" w:ascii="宋体" w:hAnsi="宋体" w:eastAsia="宋体" w:cs="宋体"/>
                <w:kern w:val="0"/>
                <w:sz w:val="21"/>
                <w:szCs w:val="21"/>
                <w:highlight w:val="none"/>
                <w:lang w:val="en-US" w:eastAsia="zh-CN" w:bidi="ar-SA"/>
              </w:rPr>
              <w:t>将上述相关款项支付到合同约定的供应商账户。</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lang w:val="en-US" w:eastAsia="zh-CN" w:bidi="ar-SA"/>
              </w:rPr>
              <w:t>注：在签订合同时，供应商明确表示无需预付款或者主动要求降低预付款比例的，采购合同可不适用前述规定。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SA"/>
              </w:rPr>
              <w:t>▲报价以及结算价</w:t>
            </w:r>
          </w:p>
        </w:tc>
        <w:tc>
          <w:tcPr>
            <w:tcW w:w="7469" w:type="dxa"/>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1、报价应包括为完成本项目服务内容可能发生的各项费用，如交通、安全、通讯、设备（仪器）、劳力、资料、知识产权、保险、利润、税收等以及防疫防控经费等所有有关的管理成本。</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kern w:val="0"/>
                <w:sz w:val="21"/>
                <w:szCs w:val="21"/>
                <w:highlight w:val="none"/>
                <w:lang w:val="en-US" w:eastAsia="zh-CN" w:bidi="ar-SA"/>
              </w:rPr>
              <w:t>2、投标供应商应认真填报报价表中的所有内容，对没有填报的费用，采购人将不予支付，并认为此项费用已包含在报价总价中。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SA"/>
              </w:rPr>
              <w:t>安全生产要求</w:t>
            </w:r>
          </w:p>
        </w:tc>
        <w:tc>
          <w:tcPr>
            <w:tcW w:w="7469" w:type="dxa"/>
            <w:noWrap w:val="0"/>
            <w:vAlign w:val="center"/>
          </w:tcPr>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kern w:val="0"/>
                <w:sz w:val="21"/>
                <w:szCs w:val="21"/>
                <w:highlight w:val="none"/>
                <w:lang w:val="en-US" w:eastAsia="zh-CN" w:bidi="ar-SA"/>
              </w:rPr>
              <w:t>成交供应商应自行承担项目实施过程中安全生产责任，采购人任何情况下均不承担因此产生的任何法律责任和经济责任。</w:t>
            </w:r>
          </w:p>
        </w:tc>
      </w:tr>
      <w:bookmarkEnd w:id="64"/>
    </w:tbl>
    <w:p>
      <w:pPr>
        <w:keepNext w:val="0"/>
        <w:keepLines w:val="0"/>
        <w:pageBreakBefore w:val="0"/>
        <w:widowControl w:val="0"/>
        <w:kinsoku/>
        <w:wordWrap/>
        <w:overflowPunct w:val="0"/>
        <w:topLinePunct w:val="0"/>
        <w:bidi w:val="0"/>
        <w:spacing w:line="400" w:lineRule="exact"/>
        <w:ind w:firstLine="422" w:firstLineChars="200"/>
        <w:rPr>
          <w:rFonts w:hint="eastAsia" w:ascii="宋体" w:hAnsi="宋体" w:eastAsia="宋体" w:cs="宋体"/>
          <w:b/>
          <w:bCs/>
          <w:sz w:val="21"/>
          <w:szCs w:val="21"/>
          <w:highlight w:val="none"/>
        </w:rPr>
      </w:pPr>
    </w:p>
    <w:p>
      <w:pPr>
        <w:keepNext w:val="0"/>
        <w:keepLines w:val="0"/>
        <w:pageBreakBefore w:val="0"/>
        <w:widowControl w:val="0"/>
        <w:kinsoku/>
        <w:wordWrap/>
        <w:overflowPunct w:val="0"/>
        <w:topLinePunct w:val="0"/>
        <w:bidi w:val="0"/>
        <w:spacing w:line="400" w:lineRule="exact"/>
        <w:ind w:firstLine="422" w:firstLineChars="200"/>
        <w:rPr>
          <w:rFonts w:hint="eastAsia" w:ascii="宋体" w:hAnsi="宋体" w:eastAsia="宋体" w:cs="宋体"/>
          <w:b/>
          <w:bCs/>
          <w:sz w:val="21"/>
          <w:szCs w:val="21"/>
          <w:highlight w:val="none"/>
        </w:rPr>
      </w:pPr>
    </w:p>
    <w:p>
      <w:pPr>
        <w:keepNext w:val="0"/>
        <w:keepLines w:val="0"/>
        <w:pageBreakBefore w:val="0"/>
        <w:widowControl w:val="0"/>
        <w:kinsoku/>
        <w:wordWrap/>
        <w:overflowPunct w:val="0"/>
        <w:topLinePunct w:val="0"/>
        <w:bidi w:val="0"/>
        <w:spacing w:line="400" w:lineRule="exact"/>
        <w:ind w:firstLine="422" w:firstLineChars="200"/>
        <w:rPr>
          <w:rFonts w:hint="eastAsia" w:ascii="宋体" w:hAnsi="宋体" w:eastAsia="宋体" w:cs="宋体"/>
          <w:b/>
          <w:bCs/>
          <w:sz w:val="21"/>
          <w:szCs w:val="21"/>
          <w:highlight w:val="none"/>
        </w:rPr>
      </w:pPr>
    </w:p>
    <w:p>
      <w:pPr>
        <w:keepNext w:val="0"/>
        <w:keepLines w:val="0"/>
        <w:pageBreakBefore w:val="0"/>
        <w:widowControl w:val="0"/>
        <w:kinsoku/>
        <w:wordWrap/>
        <w:overflowPunct w:val="0"/>
        <w:topLinePunct w:val="0"/>
        <w:bidi w:val="0"/>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本磋商文件中带“▲”的条款为主要条款，供应商必须在响应文件中全部作出响应，否则将作无效标处理。</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2" w:firstLineChars="200"/>
        <w:textAlignment w:val="bottom"/>
        <w:rPr>
          <w:rFonts w:hint="eastAsia" w:ascii="宋体" w:hAnsi="宋体" w:eastAsia="宋体" w:cs="宋体"/>
          <w:b/>
          <w:bCs/>
          <w:iCs/>
          <w:sz w:val="21"/>
          <w:szCs w:val="21"/>
          <w:highlight w:val="none"/>
        </w:rPr>
      </w:pPr>
      <w:r>
        <w:rPr>
          <w:rFonts w:hint="eastAsia" w:ascii="宋体" w:hAnsi="宋体" w:eastAsia="宋体" w:cs="宋体"/>
          <w:b/>
          <w:bCs/>
          <w:iCs/>
          <w:sz w:val="21"/>
          <w:szCs w:val="21"/>
          <w:highlight w:val="non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pPr>
        <w:pStyle w:val="4"/>
        <w:keepNext w:val="0"/>
        <w:keepLines w:val="0"/>
        <w:pageBreakBefore w:val="0"/>
        <w:widowControl w:val="0"/>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hint="eastAsia" w:ascii="宋体" w:hAnsi="宋体" w:cs="宋体"/>
          <w:b/>
          <w:bCs/>
          <w:iCs/>
          <w:szCs w:val="21"/>
          <w:highlight w:val="none"/>
        </w:rPr>
        <w:br w:type="page"/>
      </w:r>
      <w:bookmarkStart w:id="65" w:name="_Toc2850"/>
      <w:bookmarkStart w:id="66" w:name="_Toc402872203"/>
      <w:r>
        <w:rPr>
          <w:rFonts w:hint="eastAsia" w:ascii="宋体" w:hAnsi="宋体" w:cs="宋体"/>
          <w:sz w:val="32"/>
          <w:szCs w:val="32"/>
          <w:highlight w:val="none"/>
        </w:rPr>
        <w:t>第四章</w:t>
      </w:r>
      <w:r>
        <w:rPr>
          <w:rFonts w:ascii="宋体" w:hAnsi="宋体" w:cs="宋体"/>
          <w:sz w:val="32"/>
          <w:szCs w:val="32"/>
          <w:highlight w:val="none"/>
        </w:rPr>
        <w:t xml:space="preserve">  </w:t>
      </w:r>
      <w:r>
        <w:rPr>
          <w:rFonts w:hint="eastAsia" w:ascii="宋体" w:hAnsi="宋体" w:cs="宋体"/>
          <w:sz w:val="32"/>
          <w:szCs w:val="32"/>
          <w:highlight w:val="none"/>
        </w:rPr>
        <w:t>磋商原则和程序</w:t>
      </w:r>
      <w:bookmarkEnd w:id="65"/>
      <w:bookmarkEnd w:id="66"/>
    </w:p>
    <w:p>
      <w:pPr>
        <w:keepNext w:val="0"/>
        <w:keepLines w:val="0"/>
        <w:pageBreakBefore w:val="0"/>
        <w:widowControl w:val="0"/>
        <w:kinsoku/>
        <w:wordWrap/>
        <w:overflowPunct w:val="0"/>
        <w:topLinePunct w:val="0"/>
        <w:bidi w:val="0"/>
        <w:snapToGrid w:val="0"/>
        <w:spacing w:line="400" w:lineRule="exact"/>
        <w:ind w:firstLine="420" w:firstLineChars="200"/>
        <w:rPr>
          <w:rFonts w:hint="eastAsia" w:ascii="宋体" w:hAnsi="宋体" w:eastAsia="宋体" w:cs="宋体"/>
          <w:bCs/>
          <w:szCs w:val="21"/>
          <w:highlight w:val="none"/>
        </w:rPr>
      </w:pPr>
      <w:bookmarkStart w:id="67" w:name="_Toc17438"/>
      <w:bookmarkStart w:id="68" w:name="_Toc6985"/>
      <w:r>
        <w:rPr>
          <w:rFonts w:hint="eastAsia" w:ascii="宋体" w:hAnsi="宋体" w:eastAsia="宋体" w:cs="宋体"/>
          <w:bCs/>
          <w:szCs w:val="21"/>
          <w:highlight w:val="none"/>
        </w:rPr>
        <w:t>根据《中华人民共和国政府采购法》、《政府采购竞争性磋商采购方式管理暂行办法》等要求，遵循公开、公平、公正、科学、择优原则和诚实、信誉、效率的服务原则，制定本评审办法。</w:t>
      </w:r>
      <w:bookmarkEnd w:id="67"/>
      <w:bookmarkEnd w:id="68"/>
    </w:p>
    <w:p>
      <w:pPr>
        <w:pStyle w:val="5"/>
        <w:keepNext w:val="0"/>
        <w:keepLines w:val="0"/>
        <w:pageBreakBefore w:val="0"/>
        <w:widowControl w:val="0"/>
        <w:kinsoku/>
        <w:wordWrap/>
        <w:overflowPunct w:val="0"/>
        <w:topLinePunct w:val="0"/>
        <w:bidi w:val="0"/>
        <w:spacing w:before="0" w:after="0" w:line="400" w:lineRule="exact"/>
        <w:rPr>
          <w:rFonts w:hint="eastAsia" w:ascii="宋体" w:hAnsi="宋体" w:eastAsia="宋体" w:cs="宋体"/>
          <w:sz w:val="24"/>
          <w:szCs w:val="24"/>
          <w:highlight w:val="none"/>
          <w:lang w:val="en-US" w:eastAsia="zh-CN"/>
        </w:rPr>
      </w:pPr>
      <w:bookmarkStart w:id="69" w:name="_Toc14739"/>
      <w:bookmarkStart w:id="70" w:name="_Toc282640741"/>
      <w:bookmarkStart w:id="71" w:name="_Toc5294"/>
      <w:bookmarkStart w:id="72" w:name="_Toc402872204"/>
      <w:bookmarkStart w:id="73" w:name="_Toc3163"/>
      <w:bookmarkStart w:id="74" w:name="_Toc91"/>
      <w:r>
        <w:rPr>
          <w:rFonts w:hint="eastAsia" w:ascii="宋体" w:hAnsi="宋体" w:eastAsia="宋体" w:cs="宋体"/>
          <w:sz w:val="24"/>
          <w:szCs w:val="24"/>
          <w:highlight w:val="none"/>
        </w:rPr>
        <w:t>一、</w:t>
      </w:r>
      <w:bookmarkEnd w:id="69"/>
      <w:bookmarkEnd w:id="70"/>
      <w:bookmarkEnd w:id="71"/>
      <w:bookmarkEnd w:id="72"/>
      <w:bookmarkEnd w:id="73"/>
      <w:r>
        <w:rPr>
          <w:rFonts w:hint="eastAsia" w:ascii="宋体" w:hAnsi="宋体" w:eastAsia="宋体" w:cs="宋体"/>
          <w:sz w:val="24"/>
          <w:szCs w:val="24"/>
          <w:highlight w:val="none"/>
          <w:lang w:eastAsia="zh-CN"/>
        </w:rPr>
        <w:t>开启响应文件</w:t>
      </w:r>
      <w:bookmarkEnd w:id="74"/>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bookmarkStart w:id="75" w:name="_Toc402872205"/>
      <w:bookmarkStart w:id="76" w:name="_Toc21671"/>
      <w:bookmarkStart w:id="77" w:name="_Toc282640744"/>
      <w:bookmarkStart w:id="78" w:name="_Toc10100"/>
      <w:bookmarkStart w:id="79" w:name="_Toc8657"/>
      <w:r>
        <w:rPr>
          <w:rFonts w:hint="eastAsia" w:ascii="宋体" w:hAnsi="宋体" w:eastAsia="宋体" w:cs="宋体"/>
          <w:bCs/>
          <w:szCs w:val="21"/>
          <w:highlight w:val="none"/>
        </w:rPr>
        <w:t>1、采购组织机构将按照采购文件规定的时间通过“政采云平台”组织磋商、开启响应文件，所有供应商均应当准时在线参加。</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2、供应商法定代表人或法定代表人授权代表必须在线出席磋商会议。供应商因未在线出席磋商会议而导致响应文件无法按时解密等一切后果由供应商自行承担。</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3、磋商时间到，采购代理机构将向各供应商发出“电子加密响应文件”的解密通知，各供应商代 表应当在接到解密通知后30分钟内自行完成“电子加密响应文件”的在线解密。</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pPr>
        <w:pStyle w:val="5"/>
        <w:keepNext w:val="0"/>
        <w:keepLines w:val="0"/>
        <w:pageBreakBefore w:val="0"/>
        <w:widowControl w:val="0"/>
        <w:kinsoku/>
        <w:wordWrap/>
        <w:overflowPunct w:val="0"/>
        <w:topLinePunct w:val="0"/>
        <w:bidi w:val="0"/>
        <w:spacing w:before="0" w:after="0" w:line="400" w:lineRule="exact"/>
        <w:rPr>
          <w:rFonts w:hint="eastAsia" w:ascii="宋体" w:hAnsi="宋体" w:eastAsia="宋体" w:cs="宋体"/>
          <w:sz w:val="24"/>
          <w:szCs w:val="24"/>
          <w:highlight w:val="none"/>
        </w:rPr>
      </w:pPr>
      <w:bookmarkStart w:id="80" w:name="_Toc29812"/>
      <w:r>
        <w:rPr>
          <w:rFonts w:hint="eastAsia" w:ascii="宋体" w:hAnsi="宋体" w:eastAsia="宋体" w:cs="宋体"/>
          <w:sz w:val="24"/>
          <w:szCs w:val="24"/>
          <w:highlight w:val="none"/>
        </w:rPr>
        <w:t>二、磋商小组</w:t>
      </w:r>
      <w:bookmarkEnd w:id="75"/>
      <w:bookmarkEnd w:id="76"/>
      <w:bookmarkEnd w:id="77"/>
      <w:bookmarkEnd w:id="78"/>
      <w:bookmarkEnd w:id="79"/>
      <w:bookmarkEnd w:id="80"/>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1、本项目磋商小组依法由3人（含）以上奇数的人员组成，磋商小组对响应文件进行审查、质疑、评估和比较。</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cs="宋体"/>
          <w:bCs/>
          <w:szCs w:val="21"/>
          <w:highlight w:val="none"/>
          <w:lang w:val="en-US" w:eastAsia="zh-CN"/>
        </w:rPr>
        <w:t>2</w:t>
      </w:r>
      <w:r>
        <w:rPr>
          <w:rFonts w:hint="eastAsia" w:ascii="宋体" w:hAnsi="宋体" w:eastAsia="宋体" w:cs="宋体"/>
          <w:bCs/>
          <w:szCs w:val="21"/>
          <w:highlight w:val="none"/>
        </w:rPr>
        <w:t>、磋商过程应严格保密，磋商小组及有关工作人员应严格遵守纪律，不得泄露任何磋商信息。</w:t>
      </w:r>
    </w:p>
    <w:p>
      <w:pPr>
        <w:pStyle w:val="5"/>
        <w:keepNext w:val="0"/>
        <w:keepLines w:val="0"/>
        <w:pageBreakBefore w:val="0"/>
        <w:widowControl w:val="0"/>
        <w:kinsoku/>
        <w:wordWrap/>
        <w:overflowPunct w:val="0"/>
        <w:topLinePunct w:val="0"/>
        <w:bidi w:val="0"/>
        <w:spacing w:before="0" w:after="0" w:line="400" w:lineRule="exact"/>
        <w:rPr>
          <w:rFonts w:hint="eastAsia" w:ascii="宋体" w:hAnsi="宋体" w:eastAsia="宋体" w:cs="宋体"/>
          <w:sz w:val="24"/>
          <w:szCs w:val="24"/>
          <w:highlight w:val="none"/>
        </w:rPr>
      </w:pPr>
      <w:bookmarkStart w:id="81" w:name="_Toc6153"/>
      <w:bookmarkStart w:id="82" w:name="_Toc20285"/>
      <w:bookmarkStart w:id="83" w:name="_Toc402872206"/>
      <w:bookmarkStart w:id="84" w:name="_Toc1737"/>
      <w:bookmarkStart w:id="85" w:name="_Toc1211"/>
      <w:r>
        <w:rPr>
          <w:rFonts w:hint="eastAsia" w:ascii="宋体" w:hAnsi="宋体" w:eastAsia="宋体" w:cs="宋体"/>
          <w:sz w:val="24"/>
          <w:szCs w:val="24"/>
          <w:highlight w:val="none"/>
        </w:rPr>
        <w:t>三、竞争性磋商原则与方法</w:t>
      </w:r>
      <w:bookmarkEnd w:id="81"/>
      <w:bookmarkEnd w:id="82"/>
      <w:bookmarkEnd w:id="83"/>
      <w:bookmarkEnd w:id="84"/>
      <w:bookmarkEnd w:id="85"/>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1、磋商小组将遵循公开、公平、公正的原则，对供应商提供服务的价格、服务水平、服务期、服务方案、人员配置、供应商基本情况、履约能力等进行综合分析考评。</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2、磋商小组应客观、公正的对待所有供应商，对所有响应文件评价，均采用相同的程序和标准。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3、在磋商期间，供应商不得向磋商小组成员询问磋商情况，不得进行旨在影响磋商结果的活动，否则将废除其磋商资格。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4、在磋商过程中，磋商小组成员不得与供应商私下交换意见，在竞争性磋商工作结束后，凡与磋商情况有接触的人不得将磋商情况扩散出磋商小组成员之外。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5、采购招标单位不向未成交供应商解释未成交原因，不退还响应文件。</w:t>
      </w:r>
    </w:p>
    <w:p>
      <w:pPr>
        <w:pStyle w:val="5"/>
        <w:keepNext w:val="0"/>
        <w:keepLines w:val="0"/>
        <w:pageBreakBefore w:val="0"/>
        <w:widowControl w:val="0"/>
        <w:kinsoku/>
        <w:wordWrap/>
        <w:overflowPunct w:val="0"/>
        <w:topLinePunct w:val="0"/>
        <w:bidi w:val="0"/>
        <w:spacing w:before="0" w:after="0" w:line="400" w:lineRule="exact"/>
        <w:rPr>
          <w:rFonts w:hint="eastAsia" w:ascii="宋体" w:hAnsi="宋体" w:eastAsia="宋体" w:cs="宋体"/>
          <w:sz w:val="24"/>
          <w:szCs w:val="24"/>
          <w:highlight w:val="none"/>
        </w:rPr>
      </w:pPr>
      <w:bookmarkStart w:id="86" w:name="_Toc15794"/>
      <w:bookmarkStart w:id="87" w:name="_Toc32595"/>
      <w:bookmarkStart w:id="88" w:name="_Toc282640747"/>
      <w:bookmarkStart w:id="89" w:name="_Toc19079"/>
      <w:bookmarkStart w:id="90" w:name="_Toc402872207"/>
      <w:bookmarkStart w:id="91" w:name="_Toc31769"/>
      <w:r>
        <w:rPr>
          <w:rFonts w:hint="eastAsia" w:ascii="宋体" w:hAnsi="宋体" w:eastAsia="宋体" w:cs="宋体"/>
          <w:sz w:val="24"/>
          <w:szCs w:val="24"/>
          <w:highlight w:val="none"/>
        </w:rPr>
        <w:t>四、磋商程序</w:t>
      </w:r>
      <w:bookmarkEnd w:id="86"/>
      <w:bookmarkEnd w:id="87"/>
      <w:bookmarkEnd w:id="88"/>
      <w:bookmarkEnd w:id="89"/>
      <w:bookmarkEnd w:id="90"/>
      <w:bookmarkEnd w:id="91"/>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1、响应文件解密后，磋商小组将对依法对供应商的资格进行审查，资格审查结束后进入符合性审查和资信技术的评审工作。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3、磋商小组所有成员应当集中与单一供应商分别进行磋商，并给予所有参加磋商的供应商平等的磋商机会。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 权代表签字或者加盖公章。由授权代表签字的，应当附法定代表人授权书。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5、磋商文件能够详细列明采购标的的技术、服务要求的，磋商结束后，磋商小组应当要求所有实质性响应的供应商在规定时间内提交最后报价，除规定的情形外，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初次报价不公开。</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6、已提交响应文件的供应商，在提交最后报价之前，可以根据磋商情况退出磋商。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7、根据《关于政府采购竞争性磋商采购方式管理暂行办法有关问题的补充通知》财库〔2015〕124号）以及《财政部关于印发&lt;政府采购竞争性磋商采购方式管理暂行办法&gt;的通知》（财库〔2014〕214号）规定</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 xml:space="preserve">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8、经磋商确定最终采购需求后，由磋商小组根据采购文件规定的评分办法对响应文件的技术资信部分进行评分。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9、磋商小组在磋商结束后，要求所有继续参加磋商的供应商在规定时间内提交最后报价。超过规定时间提交的报价无效。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10、供应商在规定的时间内提交最终报价，代理机构协助计算供应商的价格得分。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11、采购代理机构协助磋商小组汇总计算各供应商综合得分。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12、磋商小组应当根据综合评分情况，按照评审得分由高到低顺序推荐3名成交候选供应商（有效供应商不足3家的情形除外），并编写评审报告，采购人根据评审报告推荐的顺序确定第一名为成交供应商。符合相关规定情形的，可以推荐2家成交候选供应商。评审得分相同的，按照最后报价由低到高的顺序推荐。评审得分且最后报价相同的，按照技术指标优劣顺序推荐。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13、磋商小组通过电子交易平台向采购人及其委托的代理机构提交评审报告。同时打印纸质评审报告签署后由采购代理机构保存。</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2" w:firstLineChars="200"/>
        <w:textAlignment w:val="bottom"/>
        <w:rPr>
          <w:rFonts w:hint="eastAsia" w:ascii="宋体" w:hAnsi="宋体" w:eastAsia="宋体" w:cs="宋体"/>
          <w:bCs/>
          <w:szCs w:val="21"/>
          <w:highlight w:val="none"/>
        </w:rPr>
      </w:pPr>
      <w:r>
        <w:rPr>
          <w:rFonts w:hint="eastAsia" w:ascii="宋体" w:hAnsi="宋体" w:eastAsia="宋体" w:cs="宋体"/>
          <w:b/>
          <w:szCs w:val="21"/>
          <w:highlight w:val="none"/>
        </w:rPr>
        <w:t>特别说明：政采云平台如对电子化开标及评审程序有调整的，按调整后的程序操作。</w:t>
      </w:r>
    </w:p>
    <w:p>
      <w:pPr>
        <w:pStyle w:val="5"/>
        <w:keepNext w:val="0"/>
        <w:keepLines w:val="0"/>
        <w:pageBreakBefore w:val="0"/>
        <w:widowControl w:val="0"/>
        <w:kinsoku/>
        <w:wordWrap/>
        <w:overflowPunct w:val="0"/>
        <w:topLinePunct w:val="0"/>
        <w:bidi w:val="0"/>
        <w:spacing w:before="0" w:after="0" w:line="400" w:lineRule="exact"/>
        <w:rPr>
          <w:rFonts w:hint="eastAsia" w:ascii="宋体" w:hAnsi="宋体" w:eastAsia="宋体" w:cs="宋体"/>
          <w:sz w:val="24"/>
          <w:szCs w:val="24"/>
          <w:highlight w:val="none"/>
        </w:rPr>
      </w:pPr>
      <w:bookmarkStart w:id="92" w:name="_Toc16129"/>
      <w:bookmarkStart w:id="93" w:name="_Toc16204"/>
      <w:bookmarkStart w:id="94" w:name="_Toc402872208"/>
      <w:bookmarkStart w:id="95" w:name="_Toc282640735"/>
      <w:bookmarkStart w:id="96" w:name="_Toc30295"/>
      <w:bookmarkStart w:id="97" w:name="_Toc14386"/>
      <w:r>
        <w:rPr>
          <w:rFonts w:hint="eastAsia" w:ascii="宋体" w:hAnsi="宋体" w:eastAsia="宋体" w:cs="宋体"/>
          <w:sz w:val="24"/>
          <w:szCs w:val="24"/>
          <w:highlight w:val="none"/>
        </w:rPr>
        <w:t>五、磋商文件的澄清</w:t>
      </w:r>
      <w:bookmarkEnd w:id="92"/>
      <w:bookmarkEnd w:id="93"/>
      <w:bookmarkEnd w:id="94"/>
      <w:bookmarkEnd w:id="95"/>
      <w:bookmarkEnd w:id="96"/>
      <w:bookmarkEnd w:id="97"/>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bookmarkStart w:id="98" w:name="_Toc402872209"/>
      <w:bookmarkStart w:id="99" w:name="_Toc6445"/>
      <w:bookmarkStart w:id="100" w:name="_Toc16835"/>
      <w:bookmarkStart w:id="101" w:name="_Toc24587"/>
      <w:r>
        <w:rPr>
          <w:rFonts w:hint="eastAsia" w:ascii="宋体" w:hAnsi="宋体" w:eastAsia="宋体" w:cs="宋体"/>
          <w:bCs/>
          <w:szCs w:val="21"/>
          <w:highlight w:val="none"/>
        </w:rPr>
        <w:t xml:space="preserve">1、供应商对磋商文件如有疑义的，应在规定的答疑时间内以书面形式告知采购人，以便及时对磋商文件作出澄清。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2、在磋商期间，磋商小组有权要求供应商对其提交的文件资料进行澄清。供应商应派授权代表和有关专业人员接受询问，并对有关内容进行澄清。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3、对在澄清中涉及到的商业秘密，磋商小组成员及参加磋商的有关工作人员负有保密责任。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4、磋商小组以书面形式对磋商文件作出的修改或补充，与磋商文件具有同等法律效力。</w:t>
      </w:r>
    </w:p>
    <w:p>
      <w:pPr>
        <w:pStyle w:val="5"/>
        <w:keepNext w:val="0"/>
        <w:keepLines w:val="0"/>
        <w:pageBreakBefore w:val="0"/>
        <w:widowControl w:val="0"/>
        <w:kinsoku/>
        <w:wordWrap/>
        <w:overflowPunct w:val="0"/>
        <w:topLinePunct w:val="0"/>
        <w:bidi w:val="0"/>
        <w:spacing w:before="0" w:after="0" w:line="400" w:lineRule="exact"/>
        <w:rPr>
          <w:rFonts w:hint="eastAsia" w:ascii="宋体" w:hAnsi="宋体" w:eastAsia="宋体" w:cs="宋体"/>
          <w:sz w:val="24"/>
          <w:szCs w:val="24"/>
          <w:highlight w:val="none"/>
        </w:rPr>
      </w:pPr>
      <w:bookmarkStart w:id="102" w:name="_Toc3328"/>
      <w:r>
        <w:rPr>
          <w:rFonts w:hint="eastAsia" w:ascii="宋体" w:hAnsi="宋体" w:eastAsia="宋体" w:cs="宋体"/>
          <w:sz w:val="24"/>
          <w:szCs w:val="24"/>
          <w:highlight w:val="none"/>
        </w:rPr>
        <w:t>六、确定供应商办法</w:t>
      </w:r>
      <w:bookmarkEnd w:id="98"/>
      <w:bookmarkEnd w:id="99"/>
      <w:bookmarkEnd w:id="100"/>
      <w:bookmarkEnd w:id="101"/>
      <w:bookmarkEnd w:id="102"/>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bookmarkStart w:id="103" w:name="_Toc402872210"/>
      <w:bookmarkStart w:id="104" w:name="_Toc282640748"/>
      <w:bookmarkStart w:id="105" w:name="_Toc389216170"/>
      <w:r>
        <w:rPr>
          <w:rFonts w:hint="eastAsia" w:ascii="宋体" w:hAnsi="宋体" w:eastAsia="宋体" w:cs="宋体"/>
          <w:bCs/>
          <w:szCs w:val="21"/>
          <w:highlight w:val="none"/>
        </w:rPr>
        <w:t>1、本项目由采购人确定成交供应商。</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2、本次评审采用综合评分法，即在质量和服务均能满足竞争性磋商文件实质性要求且综合得分由高到低的原则确定成交供应商。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3、磋商结束后，磋商小组拟制评审报告。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4、采购代理机构在评审结束后2个工作日内将评审报告交采购人确认。 </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5、采购人在收到评审报告后5个工作日内对评审结果进行确认。</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6、采购人确定成交供应商后2个工作日内，采购代理机构在相关网站上发布成交公告，同时发出成交通知书。</w:t>
      </w:r>
    </w:p>
    <w:p>
      <w:pPr>
        <w:pStyle w:val="5"/>
        <w:keepNext w:val="0"/>
        <w:keepLines w:val="0"/>
        <w:pageBreakBefore w:val="0"/>
        <w:widowControl w:val="0"/>
        <w:kinsoku/>
        <w:wordWrap/>
        <w:overflowPunct w:val="0"/>
        <w:topLinePunct w:val="0"/>
        <w:bidi w:val="0"/>
        <w:spacing w:before="0" w:after="0" w:line="400" w:lineRule="exact"/>
        <w:rPr>
          <w:rFonts w:hint="eastAsia" w:ascii="宋体" w:hAnsi="宋体" w:eastAsia="宋体" w:cs="宋体"/>
          <w:sz w:val="24"/>
          <w:szCs w:val="24"/>
          <w:highlight w:val="none"/>
        </w:rPr>
      </w:pPr>
      <w:bookmarkStart w:id="106" w:name="_Toc28027"/>
      <w:bookmarkStart w:id="107" w:name="_Toc14956"/>
      <w:bookmarkStart w:id="108" w:name="_Toc17287"/>
      <w:bookmarkStart w:id="109" w:name="_Toc18677"/>
      <w:r>
        <w:rPr>
          <w:rFonts w:hint="eastAsia" w:ascii="宋体" w:hAnsi="宋体" w:eastAsia="宋体" w:cs="宋体"/>
          <w:sz w:val="24"/>
          <w:szCs w:val="24"/>
          <w:highlight w:val="none"/>
        </w:rPr>
        <w:t>七、综合评分法</w:t>
      </w:r>
      <w:bookmarkEnd w:id="103"/>
      <w:bookmarkEnd w:id="104"/>
      <w:bookmarkEnd w:id="105"/>
      <w:bookmarkEnd w:id="106"/>
      <w:bookmarkEnd w:id="107"/>
      <w:bookmarkEnd w:id="108"/>
      <w:bookmarkEnd w:id="109"/>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为公正、公平、科学地选择成交供应商，根据《中华人民共和国政府采购法》等有关法律法规的规定，并结合本项目的实际，制定本办法。</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rPr>
        <w:t>、总则</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本次评审采用综合评分法，总分为100分，其中价格分</w:t>
      </w:r>
      <w:r>
        <w:rPr>
          <w:rFonts w:hint="eastAsia" w:ascii="宋体" w:hAnsi="宋体" w:cs="宋体"/>
          <w:bCs/>
          <w:szCs w:val="21"/>
          <w:highlight w:val="none"/>
          <w:lang w:val="en-US" w:eastAsia="zh-CN"/>
        </w:rPr>
        <w:t>10</w:t>
      </w:r>
      <w:r>
        <w:rPr>
          <w:rFonts w:hint="eastAsia" w:ascii="宋体" w:hAnsi="宋体" w:eastAsia="宋体" w:cs="宋体"/>
          <w:bCs/>
          <w:szCs w:val="21"/>
          <w:highlight w:val="none"/>
        </w:rPr>
        <w:t>分、技术商务分</w:t>
      </w:r>
      <w:r>
        <w:rPr>
          <w:rFonts w:hint="eastAsia" w:ascii="宋体" w:hAnsi="宋体" w:cs="宋体"/>
          <w:bCs/>
          <w:szCs w:val="21"/>
          <w:highlight w:val="none"/>
          <w:lang w:val="en-US" w:eastAsia="zh-CN"/>
        </w:rPr>
        <w:t>90</w:t>
      </w:r>
      <w:r>
        <w:rPr>
          <w:rFonts w:hint="eastAsia" w:ascii="宋体" w:hAnsi="宋体" w:eastAsia="宋体" w:cs="宋体"/>
          <w:bCs/>
          <w:szCs w:val="21"/>
          <w:highlight w:val="none"/>
        </w:rPr>
        <w:t>分。合格供应商的评审得分为各项目汇总得分，成交候选资格按综合得分由高到低顺序排列，得分相同的，按报价由低到高顺序排列；得分且报价相同的并列。按照评审得分由高到低顺序推荐3名成交候选供应商（有效供应商不足3家的情形除外）。评分过程中采用四舍五入法，并保留小数2位。</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、计算方法：</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（一）价格部分：</w:t>
      </w:r>
      <w:r>
        <w:rPr>
          <w:rFonts w:hint="eastAsia" w:ascii="宋体" w:hAnsi="宋体" w:cs="宋体"/>
          <w:bCs/>
          <w:szCs w:val="21"/>
          <w:highlight w:val="none"/>
          <w:lang w:val="en-US" w:eastAsia="zh-CN"/>
        </w:rPr>
        <w:t>10</w:t>
      </w:r>
      <w:r>
        <w:rPr>
          <w:rFonts w:hint="eastAsia" w:ascii="宋体" w:hAnsi="宋体" w:eastAsia="宋体" w:cs="宋体"/>
          <w:bCs/>
          <w:szCs w:val="21"/>
          <w:highlight w:val="none"/>
        </w:rPr>
        <w:t>分</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以有效磋商报价最低的报价为评标基准价，其价格分为满分</w:t>
      </w:r>
      <w:r>
        <w:rPr>
          <w:rFonts w:hint="eastAsia" w:ascii="宋体" w:hAnsi="宋体" w:cs="宋体"/>
          <w:bCs/>
          <w:szCs w:val="21"/>
          <w:highlight w:val="none"/>
          <w:lang w:val="en-US" w:eastAsia="zh-CN"/>
        </w:rPr>
        <w:t>10</w:t>
      </w:r>
      <w:r>
        <w:rPr>
          <w:rFonts w:hint="eastAsia" w:ascii="宋体" w:hAnsi="宋体" w:eastAsia="宋体" w:cs="宋体"/>
          <w:bCs/>
          <w:szCs w:val="21"/>
          <w:highlight w:val="none"/>
        </w:rPr>
        <w:t>分。其他供应商的报价分按照下列公式计算：</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报价得分=（评标基准价/投标报价）×</w:t>
      </w:r>
      <w:r>
        <w:rPr>
          <w:rFonts w:hint="eastAsia" w:ascii="宋体" w:hAnsi="宋体" w:cs="宋体"/>
          <w:bCs/>
          <w:szCs w:val="21"/>
          <w:highlight w:val="none"/>
          <w:lang w:val="en-US" w:eastAsia="zh-CN"/>
        </w:rPr>
        <w:t>10</w:t>
      </w:r>
      <w:r>
        <w:rPr>
          <w:rFonts w:hint="eastAsia" w:ascii="宋体" w:hAnsi="宋体" w:eastAsia="宋体" w:cs="宋体"/>
          <w:bCs/>
          <w:szCs w:val="21"/>
          <w:highlight w:val="none"/>
        </w:rPr>
        <w:t>%×100</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磋商报价超出</w:t>
      </w:r>
      <w:r>
        <w:rPr>
          <w:rFonts w:hint="eastAsia" w:ascii="宋体" w:hAnsi="宋体" w:eastAsia="宋体" w:cs="宋体"/>
          <w:bCs/>
          <w:szCs w:val="21"/>
          <w:highlight w:val="none"/>
          <w:lang w:eastAsia="zh-CN"/>
        </w:rPr>
        <w:t>预算</w:t>
      </w:r>
      <w:r>
        <w:rPr>
          <w:rFonts w:hint="eastAsia" w:ascii="宋体" w:hAnsi="宋体" w:eastAsia="宋体" w:cs="宋体"/>
          <w:bCs/>
          <w:szCs w:val="21"/>
          <w:highlight w:val="none"/>
        </w:rPr>
        <w:t>的，其报价无效。</w:t>
      </w:r>
    </w:p>
    <w:p>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szCs w:val="21"/>
          <w:highlight w:val="none"/>
        </w:rPr>
      </w:pPr>
      <w:bookmarkStart w:id="110" w:name="_Toc29649"/>
      <w:bookmarkStart w:id="111" w:name="_Toc10368"/>
      <w:bookmarkStart w:id="112" w:name="_Toc32479"/>
      <w:bookmarkStart w:id="113" w:name="_Toc10142"/>
      <w:r>
        <w:rPr>
          <w:rFonts w:hint="eastAsia" w:ascii="宋体" w:hAnsi="宋体" w:eastAsia="宋体" w:cs="宋体"/>
          <w:bCs/>
          <w:szCs w:val="21"/>
          <w:highlight w:val="none"/>
        </w:rPr>
        <w:t>本项目为专门面向中小企业采购，供应商为非中小企业，资格审查不通过；符合上述条件的中小微型企业应按照竞争性磋商文件附件的格式要求在资格证明文件中提供《中小企业声明函》。</w:t>
      </w:r>
      <w:bookmarkEnd w:id="110"/>
      <w:bookmarkEnd w:id="111"/>
      <w:bookmarkEnd w:id="112"/>
      <w:bookmarkEnd w:id="113"/>
      <w:r>
        <w:rPr>
          <w:rFonts w:hint="eastAsia" w:ascii="宋体" w:hAnsi="宋体" w:eastAsia="宋体" w:cs="宋体"/>
          <w:bCs/>
          <w:szCs w:val="21"/>
          <w:highlight w:val="none"/>
        </w:rPr>
        <w:t xml:space="preserve"> </w:t>
      </w:r>
    </w:p>
    <w:p>
      <w:pPr>
        <w:keepNext w:val="0"/>
        <w:keepLines w:val="0"/>
        <w:pageBreakBefore w:val="0"/>
        <w:widowControl w:val="0"/>
        <w:kinsoku/>
        <w:wordWrap/>
        <w:overflowPunct w:val="0"/>
        <w:topLinePunct w:val="0"/>
        <w:bidi w:val="0"/>
        <w:spacing w:line="40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（二）</w:t>
      </w:r>
      <w:r>
        <w:rPr>
          <w:rFonts w:hint="eastAsia" w:ascii="宋体" w:hAnsi="宋体" w:eastAsia="宋体" w:cs="宋体"/>
          <w:b/>
          <w:bCs/>
          <w:szCs w:val="21"/>
          <w:highlight w:val="none"/>
        </w:rPr>
        <w:t>商务部分、技术部分：</w:t>
      </w:r>
      <w:r>
        <w:rPr>
          <w:rFonts w:hint="eastAsia" w:ascii="宋体" w:hAnsi="宋体" w:cs="宋体"/>
          <w:b/>
          <w:bCs/>
          <w:szCs w:val="21"/>
          <w:highlight w:val="none"/>
          <w:lang w:val="en-US" w:eastAsia="zh-CN"/>
        </w:rPr>
        <w:t>90</w:t>
      </w:r>
      <w:r>
        <w:rPr>
          <w:rFonts w:hint="eastAsia" w:ascii="宋体" w:hAnsi="宋体" w:eastAsia="宋体" w:cs="宋体"/>
          <w:b/>
          <w:bCs/>
          <w:szCs w:val="21"/>
          <w:highlight w:val="none"/>
        </w:rPr>
        <w:t>分</w:t>
      </w:r>
    </w:p>
    <w:tbl>
      <w:tblPr>
        <w:tblStyle w:val="26"/>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28"/>
        <w:gridCol w:w="682"/>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28"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682"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5755"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28"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项目理解</w:t>
            </w:r>
          </w:p>
        </w:tc>
        <w:tc>
          <w:tcPr>
            <w:tcW w:w="682"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755" w:type="dxa"/>
            <w:noWrap w:val="0"/>
            <w:vAlign w:val="center"/>
          </w:tcPr>
          <w:p>
            <w:pPr>
              <w:keepNext w:val="0"/>
              <w:keepLines w:val="0"/>
              <w:pageBreakBefore w:val="0"/>
              <w:widowControl/>
              <w:numPr>
                <w:ilvl w:val="0"/>
                <w:numId w:val="0"/>
              </w:numPr>
              <w:kinsoku/>
              <w:wordWrap w:val="0"/>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根据供应商提供对本项目背景、项目保障、培训目标、当地企业培训现状、项目采购实际需求等角度的理解方案进行综合评分，0-5分。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28" w:type="dxa"/>
            <w:noWrap w:val="0"/>
            <w:vAlign w:val="center"/>
          </w:tcPr>
          <w:p>
            <w:pPr>
              <w:pStyle w:val="87"/>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服务方案</w:t>
            </w:r>
          </w:p>
        </w:tc>
        <w:tc>
          <w:tcPr>
            <w:tcW w:w="682"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5755" w:type="dxa"/>
            <w:noWrap w:val="0"/>
            <w:vAlign w:val="center"/>
          </w:tcPr>
          <w:p>
            <w:pPr>
              <w:keepNext w:val="0"/>
              <w:keepLines w:val="0"/>
              <w:pageBreakBefore w:val="0"/>
              <w:widowControl/>
              <w:numPr>
                <w:ilvl w:val="0"/>
                <w:numId w:val="0"/>
              </w:numPr>
              <w:kinsoku/>
              <w:wordWrap w:val="0"/>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提供的服务方案进行评分：包括培训规划理念（0-2分）、培训计划（培训目标、课程说明、授课计划表等内容）（0-3分）、培训内容及培训课件（0-2分）、工作进度安排和计划（0-3分）、培训程序（0-2分）、培训过程管理（0-3分）、</w:t>
            </w:r>
            <w:r>
              <w:rPr>
                <w:rFonts w:hint="eastAsia" w:ascii="宋体" w:hAnsi="宋体" w:eastAsia="宋体" w:cs="宋体"/>
                <w:strike w:val="0"/>
                <w:dstrike w:val="0"/>
                <w:color w:val="auto"/>
                <w:sz w:val="21"/>
                <w:szCs w:val="21"/>
                <w:highlight w:val="none"/>
                <w:lang w:val="en-US" w:eastAsia="zh-CN"/>
              </w:rPr>
              <w:t>培训档案管理</w:t>
            </w:r>
            <w:r>
              <w:rPr>
                <w:rFonts w:hint="eastAsia" w:ascii="宋体" w:hAnsi="宋体" w:eastAsia="宋体" w:cs="宋体"/>
                <w:color w:val="auto"/>
                <w:sz w:val="21"/>
                <w:szCs w:val="21"/>
                <w:highlight w:val="none"/>
                <w:lang w:val="en-US" w:eastAsia="zh-CN"/>
              </w:rPr>
              <w:t>（0-2分）等进行综合打分，未提供的不得分。</w:t>
            </w:r>
          </w:p>
          <w:p>
            <w:pPr>
              <w:keepNext w:val="0"/>
              <w:keepLines w:val="0"/>
              <w:pageBreakBefore w:val="0"/>
              <w:widowControl/>
              <w:numPr>
                <w:ilvl w:val="0"/>
                <w:numId w:val="0"/>
              </w:numPr>
              <w:kinsoku/>
              <w:wordWrap w:val="0"/>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2、与采购人的配合方案。分析本项目如何与采购人进行良好配合情况并提供出现问题时的解决方案。每种问题和解决方案得1分，本项最高得3分。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管理制度</w:t>
            </w:r>
          </w:p>
        </w:tc>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5755" w:type="dxa"/>
            <w:noWrap w:val="0"/>
            <w:vAlign w:val="center"/>
          </w:tcPr>
          <w:p>
            <w:pPr>
              <w:keepNext w:val="0"/>
              <w:keepLines w:val="0"/>
              <w:pageBreakBefore w:val="0"/>
              <w:widowControl/>
              <w:numPr>
                <w:ilvl w:val="0"/>
                <w:numId w:val="0"/>
              </w:numPr>
              <w:kinsoku/>
              <w:wordWrap w:val="0"/>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根据供应商提供的项目管理制度方案进行评分。内容包含各类人员岗位责任制度（0-1分）、培训教学管理制度（0-1分）、后勤管理制度（0-1分）、学员管理制度（0-1分）、教师管理制度（0-1分）、培训档案管理制度（0-1分）、安全和应急管理制度（0-1）、设备设施管理制度（0-1分）及其他管理制度（0-1分）等</w:t>
            </w:r>
            <w:r>
              <w:rPr>
                <w:rFonts w:hint="eastAsia" w:ascii="宋体" w:hAnsi="宋体" w:eastAsia="宋体" w:cs="宋体"/>
                <w:color w:val="auto"/>
                <w:sz w:val="21"/>
                <w:szCs w:val="21"/>
                <w:highlight w:val="none"/>
                <w:lang w:val="en-US" w:eastAsia="zh-CN"/>
              </w:rPr>
              <w:t>进行综合打分，未提供的不得分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6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质量控制体系</w:t>
            </w:r>
          </w:p>
        </w:tc>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755" w:type="dxa"/>
            <w:noWrap w:val="0"/>
            <w:vAlign w:val="center"/>
          </w:tcPr>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根据供应商的</w:t>
            </w:r>
            <w:r>
              <w:rPr>
                <w:rFonts w:hint="eastAsia" w:ascii="宋体" w:hAnsi="宋体" w:eastAsia="宋体" w:cs="宋体"/>
                <w:strike w:val="0"/>
                <w:dstrike w:val="0"/>
                <w:color w:val="auto"/>
                <w:sz w:val="21"/>
                <w:szCs w:val="21"/>
                <w:highlight w:val="none"/>
                <w:lang w:val="en-US" w:eastAsia="zh-CN"/>
              </w:rPr>
              <w:t>质量控制体系</w:t>
            </w:r>
            <w:r>
              <w:rPr>
                <w:rFonts w:hint="eastAsia" w:ascii="宋体" w:hAnsi="宋体" w:eastAsia="宋体" w:cs="宋体"/>
                <w:color w:val="auto"/>
                <w:sz w:val="21"/>
                <w:szCs w:val="21"/>
                <w:highlight w:val="none"/>
                <w:lang w:val="en-US" w:eastAsia="zh-CN"/>
              </w:rPr>
              <w:t>是否科学合理，满足要求等进行综合打分，0-3分。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培训设备</w:t>
            </w:r>
          </w:p>
        </w:tc>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755" w:type="dxa"/>
            <w:noWrap w:val="0"/>
            <w:vAlign w:val="center"/>
          </w:tcPr>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1、配备具有学员身份信息录入和人脸识别功能的考勤设备，得2分。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2、配备具有联网和存储功能的监控设备，得2分。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3、配备投影、音响等多媒体教学设备，得2分。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4、配齐应急设备设施、储备应急物资，建立管理台账并定期检查、维护和保养，确保完好和可靠，</w:t>
            </w:r>
            <w:r>
              <w:rPr>
                <w:rFonts w:hint="eastAsia" w:ascii="宋体" w:hAnsi="宋体" w:eastAsia="宋体" w:cs="宋体"/>
                <w:color w:val="auto"/>
                <w:sz w:val="21"/>
                <w:szCs w:val="21"/>
                <w:highlight w:val="none"/>
                <w:vertAlign w:val="baseline"/>
                <w:lang w:val="en" w:eastAsia="zh-CN"/>
              </w:rPr>
              <w:t>每</w:t>
            </w:r>
            <w:r>
              <w:rPr>
                <w:rFonts w:hint="eastAsia" w:ascii="宋体" w:hAnsi="宋体" w:eastAsia="宋体" w:cs="宋体"/>
                <w:color w:val="auto"/>
                <w:sz w:val="21"/>
                <w:szCs w:val="21"/>
                <w:highlight w:val="none"/>
                <w:vertAlign w:val="baseline"/>
                <w:lang w:val="en-US" w:eastAsia="zh-CN"/>
              </w:rPr>
              <w:t>项0-1分，最多得2分。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提供设施，设备图片并加盖公章，否则不得分。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6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培训</w:t>
            </w:r>
            <w:r>
              <w:rPr>
                <w:rFonts w:hint="eastAsia" w:ascii="宋体" w:hAnsi="宋体" w:eastAsia="宋体" w:cs="宋体"/>
                <w:b w:val="0"/>
                <w:bCs w:val="0"/>
                <w:color w:val="auto"/>
                <w:sz w:val="21"/>
                <w:szCs w:val="21"/>
                <w:highlight w:val="none"/>
              </w:rPr>
              <w:t>场地</w:t>
            </w:r>
          </w:p>
        </w:tc>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755" w:type="dxa"/>
            <w:noWrap w:val="0"/>
            <w:vAlign w:val="center"/>
          </w:tcPr>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根据供应商具备的教学场所、场地位置、场地各区域分配合理性，是否符合本项目实际需求及培训学员的便捷程度等，由专家酌情打分。位置合理、场地合适，能够满足采购人需求，各区域分配合理的得3-5分；位置较合理、场地较小，区域划分杂乱的得1-3分，场地明显不能满足采购人需求，无区域划分的不得分。（须提供场地产权证明复印件或场地租赁合同复印件，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6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后勤保障及应急预案</w:t>
            </w:r>
          </w:p>
        </w:tc>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755" w:type="dxa"/>
            <w:noWrap w:val="0"/>
            <w:vAlign w:val="center"/>
          </w:tcPr>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根据供应商提供的后勤保障及应急预案情况酌情打分。保障及预案可行性强，</w:t>
            </w:r>
            <w:r>
              <w:rPr>
                <w:rFonts w:hint="eastAsia" w:ascii="宋体" w:hAnsi="宋体" w:eastAsia="宋体" w:cs="宋体"/>
                <w:strike w:val="0"/>
                <w:dstrike w:val="0"/>
                <w:color w:val="auto"/>
                <w:sz w:val="21"/>
                <w:szCs w:val="21"/>
                <w:highlight w:val="none"/>
                <w:lang w:val="en-US" w:eastAsia="zh-CN"/>
              </w:rPr>
              <w:t>应急</w:t>
            </w:r>
            <w:r>
              <w:rPr>
                <w:rFonts w:hint="eastAsia" w:ascii="宋体" w:hAnsi="宋体" w:eastAsia="宋体" w:cs="宋体"/>
                <w:color w:val="auto"/>
                <w:sz w:val="21"/>
                <w:szCs w:val="21"/>
                <w:highlight w:val="none"/>
                <w:lang w:val="en-US" w:eastAsia="zh-CN"/>
              </w:rPr>
              <w:t>预案全面的得2-3分；保障及预案满足采购人要求的得1-2分；保障及预案一般得0-1分。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6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tc>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5755" w:type="dxa"/>
            <w:noWrap w:val="0"/>
            <w:vAlign w:val="center"/>
          </w:tcPr>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1、根据供应商针对本项目提供的服务承诺（包含常驻服务能力配备、跟踪服务、特色服务承诺等）进行评分，每项得1分，最多得3分。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2、根据投标人针对项目提供的额外延伸服务、增值服务、优惠承诺服务进行进行评分，每项得1分，最多得3分。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3、根据供应商提供的服务响应时间承诺及保障措施承诺进行评分，每项得1分，最多得3分。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6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w:t>
            </w:r>
          </w:p>
        </w:tc>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5755" w:type="dxa"/>
            <w:noWrap w:val="0"/>
            <w:vAlign w:val="center"/>
          </w:tcPr>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1、供应商具有省级及以上安全培训师资证的专职教师，每提供一份得1分，最高得10分，没有及无法提供证书或证明的不得分。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提供相关师资证书、近三个月任意一个月的社保证明的复印件（或扫描件）并加盖公章，两者缺一不可，否则不得分。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2、项目组成员具有中级及以上注册安全工程师资格，每人得1分，最高得6分；具有一级注册消防工程师资格证书的专职人员，每证得2分，最高得4分。本项最高得10分。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①国家中级注册安全工程师、国家注册消防工程师人员须提供相关证明材料、近三个月任意一个月的社保证明、劳动合同的复印件（或扫描件）并加盖公章，三者缺一不可，否则不得分。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②国家中级注册安全工程师、国家注册消防工程师应注册在供应商本机构，并分别在中国应急管理部网站、社会消防技术服务信息系统可查询且提供相对应网站截图，否则不得分。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3、高级及以上工程师（与项目相关专业）职称证书的专职人员，每证得1分；最高得2分。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同时提供相关证书资质证明及近三个月任意一个月的社保证明的复印件（或扫描件）并加盖公章；退休返聘人员（70周岁以下）同时提供身份证、聘用合同及职称证书的复印件（或扫描件）并加盖公章。</w:t>
            </w:r>
          </w:p>
          <w:p>
            <w:pPr>
              <w:pStyle w:val="2"/>
              <w:keepNext w:val="0"/>
              <w:keepLines w:val="0"/>
              <w:pageBreakBefore w:val="0"/>
              <w:kinsoku/>
              <w:overflowPunct/>
              <w:topLinePunct w:val="0"/>
              <w:autoSpaceDE/>
              <w:autoSpaceDN/>
              <w:bidi w:val="0"/>
              <w:spacing w:before="0" w:beforeAutospacing="0" w:after="0" w:afterAutospacing="0"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4、根据供应商的投入本项目人员安排（应明确人员岗位，工作内容等）是否合理，专业配置是否齐全，满足要求等进行综合打分，0-2分。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6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权威认证</w:t>
            </w:r>
          </w:p>
        </w:tc>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755" w:type="dxa"/>
            <w:noWrap w:val="0"/>
            <w:vAlign w:val="center"/>
          </w:tcPr>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供应商具有有效的质量体系认证证书）、环境管理体系认证证书、职业健康安全管理体系认证证书的，每个得1分，最高得3分。</w:t>
            </w:r>
          </w:p>
          <w:p>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提供证书复印件（或扫描件）及全国认证认可信息公共服务平台认证查询截图，否则不得分。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6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同类项目业绩</w:t>
            </w:r>
          </w:p>
        </w:tc>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5755"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Autospacing="0" w:afterAutospacing="0" w:line="400" w:lineRule="exact"/>
              <w:ind w:left="0" w:leftChars="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snapToGrid w:val="0"/>
                <w:color w:val="auto"/>
                <w:kern w:val="0"/>
                <w:sz w:val="21"/>
                <w:szCs w:val="21"/>
                <w:highlight w:val="none"/>
                <w:lang w:val="en-US" w:eastAsia="zh-CN"/>
              </w:rPr>
              <w:t>供应商</w:t>
            </w:r>
            <w:r>
              <w:rPr>
                <w:rFonts w:hint="eastAsia" w:ascii="宋体" w:hAnsi="宋体" w:eastAsia="宋体" w:cs="宋体"/>
                <w:b w:val="0"/>
                <w:bCs/>
                <w:snapToGrid w:val="0"/>
                <w:color w:val="auto"/>
                <w:kern w:val="0"/>
                <w:sz w:val="21"/>
                <w:szCs w:val="21"/>
                <w:highlight w:val="none"/>
              </w:rPr>
              <w:t>提供的</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021</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月1日（以签订合同日期计算）至今</w:t>
            </w:r>
            <w:r>
              <w:rPr>
                <w:rFonts w:hint="eastAsia" w:ascii="宋体" w:hAnsi="宋体" w:eastAsia="宋体" w:cs="宋体"/>
                <w:b w:val="0"/>
                <w:bCs/>
                <w:snapToGrid w:val="0"/>
                <w:color w:val="auto"/>
                <w:kern w:val="0"/>
                <w:sz w:val="21"/>
                <w:szCs w:val="21"/>
                <w:highlight w:val="none"/>
              </w:rPr>
              <w:t>同类项目</w:t>
            </w:r>
            <w:r>
              <w:rPr>
                <w:rFonts w:hint="eastAsia" w:ascii="宋体" w:hAnsi="宋体" w:eastAsia="宋体" w:cs="宋体"/>
                <w:b w:val="0"/>
                <w:bCs/>
                <w:snapToGrid w:val="0"/>
                <w:color w:val="auto"/>
                <w:kern w:val="0"/>
                <w:sz w:val="21"/>
                <w:szCs w:val="21"/>
                <w:highlight w:val="none"/>
                <w:lang w:eastAsia="zh-CN"/>
              </w:rPr>
              <w:t>业绩的，</w:t>
            </w:r>
            <w:r>
              <w:rPr>
                <w:rFonts w:hint="eastAsia" w:ascii="宋体" w:hAnsi="宋体" w:eastAsia="宋体" w:cs="宋体"/>
                <w:b w:val="0"/>
                <w:bCs/>
                <w:snapToGrid w:val="0"/>
                <w:color w:val="auto"/>
                <w:kern w:val="0"/>
                <w:sz w:val="21"/>
                <w:szCs w:val="21"/>
                <w:highlight w:val="none"/>
              </w:rPr>
              <w:t>每提供一个得</w:t>
            </w:r>
            <w:r>
              <w:rPr>
                <w:rFonts w:hint="eastAsia" w:ascii="宋体" w:hAnsi="宋体" w:eastAsia="宋体" w:cs="宋体"/>
                <w:b w:val="0"/>
                <w:bCs/>
                <w:snapToGrid w:val="0"/>
                <w:color w:val="auto"/>
                <w:kern w:val="0"/>
                <w:sz w:val="21"/>
                <w:szCs w:val="21"/>
                <w:highlight w:val="none"/>
                <w:lang w:val="en-US" w:eastAsia="zh-CN"/>
              </w:rPr>
              <w:t>0.5</w:t>
            </w:r>
            <w:r>
              <w:rPr>
                <w:rFonts w:hint="eastAsia" w:ascii="宋体" w:hAnsi="宋体" w:eastAsia="宋体" w:cs="宋体"/>
                <w:b w:val="0"/>
                <w:bCs/>
                <w:snapToGrid w:val="0"/>
                <w:color w:val="auto"/>
                <w:kern w:val="0"/>
                <w:sz w:val="21"/>
                <w:szCs w:val="21"/>
                <w:highlight w:val="none"/>
              </w:rPr>
              <w:t>分，</w:t>
            </w:r>
            <w:r>
              <w:rPr>
                <w:rFonts w:hint="eastAsia" w:ascii="宋体" w:hAnsi="宋体" w:eastAsia="宋体" w:cs="宋体"/>
                <w:b w:val="0"/>
                <w:bCs/>
                <w:color w:val="auto"/>
                <w:sz w:val="21"/>
                <w:szCs w:val="21"/>
                <w:highlight w:val="none"/>
              </w:rPr>
              <w:t>本项最多得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spacing w:beforeAutospacing="0" w:afterAutospacing="0" w:line="400" w:lineRule="exact"/>
              <w:ind w:left="0" w:leftChars="0" w:firstLine="0" w:firstLineChars="0"/>
              <w:textAlignment w:val="auto"/>
              <w:rPr>
                <w:rFonts w:hint="eastAsia" w:ascii="宋体" w:hAnsi="宋体" w:eastAsia="宋体" w:cs="宋体"/>
                <w:b w:val="0"/>
                <w:bCs/>
                <w:snapToGrid w:val="0"/>
                <w:color w:val="auto"/>
                <w:kern w:val="0"/>
                <w:sz w:val="21"/>
                <w:szCs w:val="21"/>
                <w:highlight w:val="none"/>
                <w:lang w:val="en-US" w:eastAsia="zh-CN" w:bidi="ar-SA"/>
              </w:rPr>
            </w:pPr>
            <w:r>
              <w:rPr>
                <w:rFonts w:hint="eastAsia" w:ascii="宋体" w:hAnsi="宋体" w:eastAsia="宋体" w:cs="宋体"/>
                <w:b/>
                <w:bCs w:val="0"/>
                <w:color w:val="auto"/>
                <w:sz w:val="21"/>
                <w:szCs w:val="21"/>
                <w:highlight w:val="none"/>
              </w:rPr>
              <w:t>提供合同复印件</w:t>
            </w:r>
            <w:r>
              <w:rPr>
                <w:rFonts w:hint="eastAsia" w:ascii="宋体" w:hAnsi="宋体" w:eastAsia="宋体" w:cs="宋体"/>
                <w:b/>
                <w:bCs w:val="0"/>
                <w:color w:val="auto"/>
                <w:sz w:val="21"/>
                <w:szCs w:val="21"/>
                <w:highlight w:val="none"/>
                <w:lang w:eastAsia="zh-CN"/>
              </w:rPr>
              <w:t>或扫描件</w:t>
            </w:r>
          </w:p>
        </w:tc>
      </w:tr>
    </w:tbl>
    <w:p>
      <w:pPr>
        <w:keepNext w:val="0"/>
        <w:keepLines w:val="0"/>
        <w:pageBreakBefore w:val="0"/>
        <w:widowControl w:val="0"/>
        <w:kinsoku/>
        <w:wordWrap/>
        <w:overflowPunct w:val="0"/>
        <w:topLinePunct w:val="0"/>
        <w:bidi w:val="0"/>
        <w:adjustRightInd/>
        <w:spacing w:line="400" w:lineRule="exact"/>
        <w:rPr>
          <w:rFonts w:hint="eastAsia" w:ascii="宋体" w:hAnsi="宋体" w:eastAsia="宋体" w:cs="宋体"/>
          <w:b/>
          <w:bCs/>
          <w:szCs w:val="21"/>
          <w:highlight w:val="none"/>
        </w:rPr>
      </w:pPr>
      <w:r>
        <w:rPr>
          <w:rFonts w:hint="eastAsia" w:ascii="宋体" w:hAnsi="宋体" w:eastAsia="宋体" w:cs="宋体"/>
          <w:b/>
          <w:bCs/>
          <w:szCs w:val="21"/>
          <w:highlight w:val="none"/>
        </w:rPr>
        <w:t>注：以上证明文件复印件或扫描件均需加盖公章，附在响应文件中；提供材料不真实、不完整或伪造证明材料的，后果自负。</w:t>
      </w:r>
    </w:p>
    <w:p>
      <w:pPr>
        <w:keepNext w:val="0"/>
        <w:keepLines w:val="0"/>
        <w:pageBreakBefore w:val="0"/>
        <w:widowControl w:val="0"/>
        <w:kinsoku/>
        <w:wordWrap/>
        <w:overflowPunct w:val="0"/>
        <w:topLinePunct w:val="0"/>
        <w:bidi w:val="0"/>
        <w:adjustRightInd/>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3、技术、商务分的计算</w:t>
      </w:r>
    </w:p>
    <w:p>
      <w:pPr>
        <w:keepNext w:val="0"/>
        <w:keepLines w:val="0"/>
        <w:pageBreakBefore w:val="0"/>
        <w:widowControl w:val="0"/>
        <w:kinsoku/>
        <w:wordWrap/>
        <w:overflowPunct w:val="0"/>
        <w:topLinePunct w:val="0"/>
        <w:bidi w:val="0"/>
        <w:adjustRightInd/>
        <w:spacing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技术、商务分按照磋商小组成员的独立评分结果汇总数算术平均分计算，计算公式为：</w:t>
      </w:r>
    </w:p>
    <w:p>
      <w:pPr>
        <w:keepNext w:val="0"/>
        <w:keepLines w:val="0"/>
        <w:pageBreakBefore w:val="0"/>
        <w:widowControl w:val="0"/>
        <w:kinsoku/>
        <w:wordWrap/>
        <w:overflowPunct w:val="0"/>
        <w:topLinePunct w:val="0"/>
        <w:bidi w:val="0"/>
        <w:adjustRightInd/>
        <w:spacing w:line="400" w:lineRule="exact"/>
        <w:rPr>
          <w:rFonts w:hint="eastAsia" w:ascii="宋体" w:hAnsi="宋体" w:eastAsia="宋体" w:cs="宋体"/>
          <w:bCs/>
          <w:szCs w:val="21"/>
          <w:highlight w:val="none"/>
        </w:rPr>
      </w:pPr>
      <w:r>
        <w:rPr>
          <w:rFonts w:hint="eastAsia" w:ascii="宋体" w:hAnsi="宋体" w:eastAsia="宋体" w:cs="宋体"/>
          <w:bCs/>
          <w:szCs w:val="21"/>
          <w:highlight w:val="none"/>
        </w:rPr>
        <w:t>技术、商务分=（磋商小组成员评分合计数）/（磋商小组组成人员数）</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2" w:firstLineChars="200"/>
        <w:jc w:val="left"/>
        <w:textAlignment w:val="bottom"/>
        <w:rPr>
          <w:rFonts w:hint="eastAsia" w:ascii="宋体" w:hAnsi="宋体" w:eastAsia="宋体" w:cs="宋体"/>
          <w:b/>
          <w:szCs w:val="21"/>
          <w:highlight w:val="none"/>
        </w:rPr>
      </w:pPr>
      <w:r>
        <w:rPr>
          <w:rFonts w:hint="eastAsia" w:ascii="宋体" w:hAnsi="宋体" w:eastAsia="宋体" w:cs="宋体"/>
          <w:b/>
          <w:szCs w:val="21"/>
          <w:highlight w:val="none"/>
        </w:rPr>
        <w:t>4、评审方法</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磋商小组根据磋商情况及各供应商完工时间、服务条款响应情况、技术方案、提供服务的质量、付款方式、供应商综合实力、资信情况、承诺的售后服务等多方面进行评审。</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确定进入最终报价的供应商名单。</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2" w:firstLineChars="200"/>
        <w:jc w:val="left"/>
        <w:textAlignment w:val="bottom"/>
        <w:rPr>
          <w:rFonts w:hint="eastAsia" w:ascii="宋体" w:hAnsi="宋体" w:eastAsia="宋体" w:cs="宋体"/>
          <w:b/>
          <w:szCs w:val="21"/>
          <w:highlight w:val="none"/>
        </w:rPr>
      </w:pPr>
      <w:r>
        <w:rPr>
          <w:rFonts w:hint="eastAsia" w:ascii="宋体" w:hAnsi="宋体" w:eastAsia="宋体" w:cs="宋体"/>
          <w:b/>
          <w:szCs w:val="21"/>
          <w:highlight w:val="none"/>
        </w:rPr>
        <w:t>5、确定成交供应商</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磋商小组推荐综合得分第一名的为第一成交候选供应商，综合得分第二名的为第二成交候选供应商</w:t>
      </w:r>
      <w:r>
        <w:rPr>
          <w:rFonts w:hint="eastAsia" w:ascii="宋体" w:hAnsi="宋体" w:eastAsia="宋体" w:cs="宋体"/>
          <w:bCs/>
          <w:szCs w:val="21"/>
          <w:highlight w:val="none"/>
          <w:lang w:eastAsia="zh-CN"/>
        </w:rPr>
        <w:t>，</w:t>
      </w:r>
      <w:r>
        <w:rPr>
          <w:rFonts w:hint="eastAsia" w:ascii="宋体" w:hAnsi="宋体" w:cs="宋体"/>
          <w:bCs/>
          <w:szCs w:val="21"/>
          <w:highlight w:val="none"/>
          <w:lang w:eastAsia="zh-CN"/>
        </w:rPr>
        <w:t>以此类推</w:t>
      </w:r>
      <w:r>
        <w:rPr>
          <w:rFonts w:hint="eastAsia" w:ascii="宋体" w:hAnsi="宋体" w:eastAsia="宋体" w:cs="宋体"/>
          <w:bCs/>
          <w:szCs w:val="21"/>
          <w:highlight w:val="none"/>
        </w:rPr>
        <w:t>。评审总分相同的，按照最后报价由低到高的顺序推荐，评审总分且最后报价相同的，按照技术指标优劣顺序推荐。并编写评审报告。磋商小组应当根据综合评分情况，按照评审得分由高到低顺序推荐3名成交候选供应商（有效供应商不足3家的情形除外），并编写评审报告，采购人根据评审报告推荐的顺序确定第一名为成交供应商。</w:t>
      </w:r>
    </w:p>
    <w:p>
      <w:pPr>
        <w:pStyle w:val="5"/>
        <w:keepNext w:val="0"/>
        <w:keepLines w:val="0"/>
        <w:pageBreakBefore w:val="0"/>
        <w:widowControl w:val="0"/>
        <w:kinsoku/>
        <w:wordWrap/>
        <w:overflowPunct w:val="0"/>
        <w:topLinePunct w:val="0"/>
        <w:bidi w:val="0"/>
        <w:adjustRightInd/>
        <w:spacing w:before="0" w:after="0" w:line="400" w:lineRule="exact"/>
        <w:rPr>
          <w:rFonts w:hint="eastAsia" w:ascii="宋体" w:hAnsi="宋体" w:eastAsia="宋体" w:cs="宋体"/>
          <w:sz w:val="24"/>
          <w:szCs w:val="24"/>
          <w:highlight w:val="none"/>
        </w:rPr>
      </w:pPr>
      <w:bookmarkStart w:id="114" w:name="_Toc282640736"/>
      <w:bookmarkStart w:id="115" w:name="_Toc29138"/>
      <w:bookmarkStart w:id="116" w:name="_Toc199"/>
      <w:bookmarkStart w:id="117" w:name="_Toc402872211"/>
      <w:bookmarkStart w:id="118" w:name="_Toc13232"/>
      <w:bookmarkStart w:id="119" w:name="_Toc14678"/>
      <w:r>
        <w:rPr>
          <w:rFonts w:hint="eastAsia" w:ascii="宋体" w:hAnsi="宋体" w:eastAsia="宋体" w:cs="宋体"/>
          <w:sz w:val="24"/>
          <w:szCs w:val="24"/>
          <w:highlight w:val="none"/>
        </w:rPr>
        <w:t>八、资格</w:t>
      </w:r>
      <w:bookmarkEnd w:id="114"/>
      <w:r>
        <w:rPr>
          <w:rFonts w:hint="eastAsia" w:ascii="宋体" w:hAnsi="宋体" w:eastAsia="宋体" w:cs="宋体"/>
          <w:sz w:val="24"/>
          <w:szCs w:val="24"/>
          <w:highlight w:val="none"/>
        </w:rPr>
        <w:t>审查</w:t>
      </w:r>
      <w:bookmarkEnd w:id="115"/>
      <w:bookmarkEnd w:id="116"/>
      <w:bookmarkEnd w:id="117"/>
      <w:bookmarkEnd w:id="118"/>
      <w:bookmarkEnd w:id="119"/>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1、磋商小组将对所选择的成交人是否有资格或能力圆满地履行合同做出进一步确认。</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2、如果供应商被确定为不具备履行合同的能力，磋商小组有权拒绝签发成交通知书。在该情况下，磋商小组将考虑按同样的程序审查下一位成交候选人。</w:t>
      </w:r>
    </w:p>
    <w:p>
      <w:pPr>
        <w:pStyle w:val="5"/>
        <w:keepNext w:val="0"/>
        <w:keepLines w:val="0"/>
        <w:pageBreakBefore w:val="0"/>
        <w:widowControl w:val="0"/>
        <w:kinsoku/>
        <w:wordWrap/>
        <w:overflowPunct w:val="0"/>
        <w:topLinePunct w:val="0"/>
        <w:bidi w:val="0"/>
        <w:adjustRightInd/>
        <w:spacing w:before="0" w:after="0" w:line="400" w:lineRule="exact"/>
        <w:rPr>
          <w:rFonts w:hint="eastAsia" w:ascii="宋体" w:hAnsi="宋体" w:eastAsia="宋体" w:cs="宋体"/>
          <w:sz w:val="24"/>
          <w:szCs w:val="24"/>
          <w:highlight w:val="none"/>
        </w:rPr>
      </w:pPr>
      <w:bookmarkStart w:id="120" w:name="_Toc5918"/>
      <w:bookmarkStart w:id="121" w:name="_Toc20293"/>
      <w:bookmarkStart w:id="122" w:name="_Toc402872212"/>
      <w:bookmarkStart w:id="123" w:name="_Toc29783"/>
      <w:bookmarkStart w:id="124" w:name="_Toc1899"/>
      <w:r>
        <w:rPr>
          <w:rFonts w:hint="eastAsia" w:ascii="宋体" w:hAnsi="宋体" w:eastAsia="宋体" w:cs="宋体"/>
          <w:sz w:val="24"/>
          <w:szCs w:val="24"/>
          <w:highlight w:val="none"/>
        </w:rPr>
        <w:t>九、成交通知、授予合同</w:t>
      </w:r>
      <w:bookmarkEnd w:id="120"/>
      <w:bookmarkEnd w:id="121"/>
      <w:bookmarkEnd w:id="122"/>
      <w:bookmarkEnd w:id="123"/>
      <w:bookmarkEnd w:id="124"/>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1、本项目由采购人确定成交供应商。 </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2、本次评审采用综合评分法，即在质量和服务均能满足竞争性磋商文件实质性要求且综合得分由高到低的原则确定成交候选供应商。 </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3、磋商结束后，磋商小组拟制评审报告。 </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4、采购代理机构在评审结束后2个工作日内将评审报告交采购人确认。 </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5、采购人在收到评审报告后5个工作日内对评审结果进行确认。 </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 xml:space="preserve">6、采购人确定成交供应商后2个工作日内，采购代理机构在相关网站上发布成交公告，同时发出成交通知书。 </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7、成交供应商凭成交通知书在30天内签订合同，逾期取消成交资格。</w:t>
      </w:r>
    </w:p>
    <w:p>
      <w:pPr>
        <w:keepNext w:val="0"/>
        <w:keepLines w:val="0"/>
        <w:pageBreakBefore w:val="0"/>
        <w:widowControl w:val="0"/>
        <w:kinsoku/>
        <w:wordWrap/>
        <w:overflowPunct w:val="0"/>
        <w:topLinePunct w:val="0"/>
        <w:autoSpaceDE w:val="0"/>
        <w:autoSpaceDN w:val="0"/>
        <w:bidi w:val="0"/>
        <w:adjustRightInd/>
        <w:snapToGrid w:val="0"/>
        <w:spacing w:line="400" w:lineRule="exact"/>
        <w:ind w:firstLine="420" w:firstLineChars="200"/>
        <w:jc w:val="left"/>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8、成交供应商在规定的时间内不履行合同，按违约处理，并按有关规定承担违约责任。</w:t>
      </w:r>
    </w:p>
    <w:p>
      <w:pPr>
        <w:pStyle w:val="4"/>
        <w:keepNext w:val="0"/>
        <w:keepLines w:val="0"/>
        <w:pageBreakBefore w:val="0"/>
        <w:widowControl w:val="0"/>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hint="eastAsia" w:ascii="宋体" w:hAnsi="宋体" w:eastAsia="宋体" w:cs="宋体"/>
          <w:bCs/>
          <w:szCs w:val="21"/>
          <w:highlight w:val="none"/>
        </w:rPr>
        <w:br w:type="page"/>
      </w:r>
      <w:bookmarkStart w:id="125" w:name="_Toc28223"/>
      <w:r>
        <w:rPr>
          <w:rFonts w:hint="eastAsia" w:ascii="宋体" w:hAnsi="宋体" w:cs="宋体"/>
          <w:sz w:val="32"/>
          <w:szCs w:val="32"/>
          <w:highlight w:val="none"/>
        </w:rPr>
        <w:t>第五章</w:t>
      </w:r>
      <w:r>
        <w:rPr>
          <w:rFonts w:ascii="宋体" w:hAnsi="宋体" w:cs="宋体"/>
          <w:sz w:val="32"/>
          <w:szCs w:val="32"/>
          <w:highlight w:val="none"/>
        </w:rPr>
        <w:t xml:space="preserve"> </w:t>
      </w:r>
      <w:r>
        <w:rPr>
          <w:rFonts w:hint="eastAsia" w:ascii="宋体" w:hAnsi="宋体" w:cs="宋体"/>
          <w:sz w:val="32"/>
          <w:szCs w:val="32"/>
          <w:highlight w:val="none"/>
        </w:rPr>
        <w:t>合同主要条款</w:t>
      </w:r>
      <w:bookmarkEnd w:id="125"/>
    </w:p>
    <w:p>
      <w:pPr>
        <w:overflowPunct w:val="0"/>
        <w:spacing w:line="400" w:lineRule="exact"/>
        <w:jc w:val="center"/>
        <w:rPr>
          <w:rFonts w:ascii="宋体" w:cs="宋体"/>
          <w:b/>
          <w:sz w:val="28"/>
          <w:szCs w:val="28"/>
          <w:highlight w:val="none"/>
        </w:rPr>
      </w:pPr>
      <w:r>
        <w:rPr>
          <w:rFonts w:hint="eastAsia" w:ascii="宋体" w:hAnsi="宋体" w:cs="宋体"/>
          <w:b/>
          <w:sz w:val="28"/>
          <w:szCs w:val="28"/>
          <w:highlight w:val="none"/>
        </w:rPr>
        <w:t>采购合同书（供参考）</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sz w:val="21"/>
          <w:szCs w:val="21"/>
          <w:highlight w:val="none"/>
        </w:rPr>
      </w:pPr>
      <w:r>
        <w:rPr>
          <w:rFonts w:hint="eastAsia"/>
          <w:sz w:val="21"/>
          <w:szCs w:val="21"/>
          <w:highlight w:val="none"/>
        </w:rPr>
        <w:t>项目名称：</w:t>
      </w:r>
      <w:r>
        <w:rPr>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rFonts w:cs="Arial"/>
          <w:bCs/>
          <w:sz w:val="21"/>
          <w:szCs w:val="21"/>
          <w:highlight w:val="none"/>
          <w:u w:val="single"/>
        </w:rPr>
      </w:pPr>
      <w:bookmarkStart w:id="126" w:name="_Toc293916912"/>
      <w:r>
        <w:rPr>
          <w:rFonts w:hint="eastAsia"/>
          <w:sz w:val="21"/>
          <w:szCs w:val="21"/>
          <w:highlight w:val="none"/>
        </w:rPr>
        <w:t>项目编号：</w:t>
      </w:r>
      <w:bookmarkEnd w:id="126"/>
      <w:r>
        <w:rPr>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sz w:val="21"/>
          <w:szCs w:val="21"/>
          <w:highlight w:val="none"/>
          <w:u w:val="single"/>
        </w:rPr>
      </w:pPr>
      <w:bookmarkStart w:id="127" w:name="_Toc293916913"/>
      <w:r>
        <w:rPr>
          <w:rFonts w:hint="eastAsia"/>
          <w:sz w:val="21"/>
          <w:szCs w:val="21"/>
          <w:highlight w:val="none"/>
        </w:rPr>
        <w:t>甲</w:t>
      </w:r>
      <w:r>
        <w:rPr>
          <w:sz w:val="21"/>
          <w:szCs w:val="21"/>
          <w:highlight w:val="none"/>
        </w:rPr>
        <w:t xml:space="preserve">    </w:t>
      </w:r>
      <w:r>
        <w:rPr>
          <w:rFonts w:hint="eastAsia"/>
          <w:sz w:val="21"/>
          <w:szCs w:val="21"/>
          <w:highlight w:val="none"/>
        </w:rPr>
        <w:t>方：</w:t>
      </w:r>
      <w:bookmarkEnd w:id="127"/>
      <w:r>
        <w:rPr>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sz w:val="21"/>
          <w:szCs w:val="21"/>
          <w:highlight w:val="none"/>
        </w:rPr>
      </w:pPr>
      <w:bookmarkStart w:id="128" w:name="_Toc293916914"/>
      <w:r>
        <w:rPr>
          <w:rFonts w:hint="eastAsia"/>
          <w:sz w:val="21"/>
          <w:szCs w:val="21"/>
          <w:highlight w:val="none"/>
        </w:rPr>
        <w:t>乙</w:t>
      </w:r>
      <w:r>
        <w:rPr>
          <w:sz w:val="21"/>
          <w:szCs w:val="21"/>
          <w:highlight w:val="none"/>
        </w:rPr>
        <w:t xml:space="preserve">    </w:t>
      </w:r>
      <w:r>
        <w:rPr>
          <w:rFonts w:hint="eastAsia"/>
          <w:sz w:val="21"/>
          <w:szCs w:val="21"/>
          <w:highlight w:val="none"/>
        </w:rPr>
        <w:t>方：</w:t>
      </w:r>
      <w:bookmarkEnd w:id="128"/>
      <w:r>
        <w:rPr>
          <w:sz w:val="21"/>
          <w:szCs w:val="21"/>
          <w:highlight w:val="none"/>
          <w:u w:val="single"/>
        </w:rPr>
        <w:t xml:space="preserve">                                                       </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20" w:firstLineChars="200"/>
        <w:textAlignment w:val="auto"/>
        <w:rPr>
          <w:b/>
          <w:sz w:val="21"/>
          <w:szCs w:val="21"/>
          <w:highlight w:val="none"/>
        </w:rPr>
      </w:pPr>
      <w:bookmarkStart w:id="129" w:name="_Toc293916915"/>
      <w:r>
        <w:rPr>
          <w:rFonts w:hint="eastAsia"/>
          <w:sz w:val="21"/>
          <w:szCs w:val="21"/>
          <w:highlight w:val="none"/>
        </w:rPr>
        <w:t>甲、乙双方根据</w:t>
      </w:r>
      <w:r>
        <w:rPr>
          <w:sz w:val="21"/>
          <w:szCs w:val="21"/>
          <w:highlight w:val="none"/>
          <w:u w:val="single"/>
        </w:rPr>
        <w:t xml:space="preserve">                  </w:t>
      </w:r>
      <w:r>
        <w:rPr>
          <w:rFonts w:hint="eastAsia"/>
          <w:bCs/>
          <w:sz w:val="21"/>
          <w:szCs w:val="21"/>
          <w:highlight w:val="none"/>
        </w:rPr>
        <w:t>项目竞争性磋商</w:t>
      </w:r>
      <w:r>
        <w:rPr>
          <w:rFonts w:hint="eastAsia"/>
          <w:sz w:val="21"/>
          <w:szCs w:val="21"/>
          <w:highlight w:val="none"/>
        </w:rPr>
        <w:t>的结果，签署本合同。</w:t>
      </w:r>
      <w:bookmarkEnd w:id="129"/>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一、服务内容</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textAlignment w:val="auto"/>
        <w:rPr>
          <w:rFonts w:cs="宋体"/>
          <w:b/>
          <w:sz w:val="21"/>
          <w:szCs w:val="21"/>
          <w:highlight w:val="none"/>
        </w:rPr>
      </w:pP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二、合同金额</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firstLine="420" w:firstLineChars="200"/>
        <w:textAlignment w:val="auto"/>
        <w:rPr>
          <w:rFonts w:cs="宋体"/>
          <w:sz w:val="21"/>
          <w:szCs w:val="21"/>
          <w:highlight w:val="none"/>
        </w:rPr>
      </w:pPr>
      <w:r>
        <w:rPr>
          <w:rFonts w:hint="eastAsia" w:cs="宋体"/>
          <w:sz w:val="21"/>
          <w:szCs w:val="21"/>
          <w:highlight w:val="none"/>
        </w:rPr>
        <w:t>本合同金额为（大写）：</w:t>
      </w:r>
      <w:r>
        <w:rPr>
          <w:rFonts w:cs="宋体"/>
          <w:b/>
          <w:bCs/>
          <w:sz w:val="21"/>
          <w:szCs w:val="21"/>
          <w:highlight w:val="none"/>
          <w:u w:val="single"/>
        </w:rPr>
        <w:t xml:space="preserve">                     </w:t>
      </w:r>
      <w:r>
        <w:rPr>
          <w:rFonts w:hint="eastAsia" w:cs="宋体"/>
          <w:sz w:val="21"/>
          <w:szCs w:val="21"/>
          <w:highlight w:val="none"/>
        </w:rPr>
        <w:t>元（￥</w:t>
      </w:r>
      <w:r>
        <w:rPr>
          <w:rFonts w:cs="宋体"/>
          <w:b/>
          <w:bCs/>
          <w:sz w:val="21"/>
          <w:szCs w:val="21"/>
          <w:highlight w:val="none"/>
          <w:u w:val="single"/>
        </w:rPr>
        <w:t xml:space="preserve">              </w:t>
      </w:r>
      <w:r>
        <w:rPr>
          <w:rFonts w:hint="eastAsia" w:cs="宋体"/>
          <w:sz w:val="21"/>
          <w:szCs w:val="21"/>
          <w:highlight w:val="none"/>
        </w:rPr>
        <w:t>元）人民币。</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三、技术资料</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firstLine="420" w:firstLineChars="200"/>
        <w:textAlignment w:val="auto"/>
        <w:rPr>
          <w:rFonts w:cs="宋体"/>
          <w:sz w:val="21"/>
          <w:szCs w:val="21"/>
          <w:highlight w:val="none"/>
        </w:rPr>
      </w:pPr>
      <w:r>
        <w:rPr>
          <w:rFonts w:cs="宋体"/>
          <w:sz w:val="21"/>
          <w:szCs w:val="21"/>
          <w:highlight w:val="none"/>
        </w:rPr>
        <w:t>1</w:t>
      </w:r>
      <w:r>
        <w:rPr>
          <w:rFonts w:hint="eastAsia" w:cs="宋体"/>
          <w:sz w:val="21"/>
          <w:szCs w:val="21"/>
          <w:highlight w:val="none"/>
        </w:rPr>
        <w:t>、乙方应按竞争性磋商文件规定的时间向甲方提供有关技术资料。</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firstLine="420" w:firstLineChars="200"/>
        <w:textAlignment w:val="auto"/>
        <w:rPr>
          <w:rFonts w:cs="宋体"/>
          <w:sz w:val="21"/>
          <w:szCs w:val="21"/>
          <w:highlight w:val="none"/>
        </w:rPr>
      </w:pPr>
      <w:r>
        <w:rPr>
          <w:rFonts w:cs="宋体"/>
          <w:sz w:val="21"/>
          <w:szCs w:val="21"/>
          <w:highlight w:val="none"/>
        </w:rPr>
        <w:t>2</w:t>
      </w:r>
      <w:r>
        <w:rPr>
          <w:rFonts w:hint="eastAsia" w:cs="宋体"/>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ind w:left="31680" w:hanging="412" w:hangingChars="171"/>
        <w:textAlignment w:val="auto"/>
        <w:rPr>
          <w:rFonts w:cs="宋体"/>
          <w:b/>
          <w:sz w:val="24"/>
          <w:szCs w:val="24"/>
          <w:highlight w:val="none"/>
        </w:rPr>
      </w:pPr>
      <w:r>
        <w:rPr>
          <w:rFonts w:hint="eastAsia" w:cs="宋体"/>
          <w:b/>
          <w:sz w:val="24"/>
          <w:szCs w:val="24"/>
          <w:highlight w:val="none"/>
        </w:rPr>
        <w:t>四、知识产权</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420" w:leftChars="200" w:firstLine="0" w:firstLineChars="0"/>
        <w:textAlignment w:val="auto"/>
        <w:rPr>
          <w:rFonts w:cs="宋体"/>
          <w:b/>
          <w:bCs/>
          <w:sz w:val="21"/>
          <w:szCs w:val="21"/>
          <w:highlight w:val="none"/>
        </w:rPr>
      </w:pPr>
      <w:r>
        <w:rPr>
          <w:rFonts w:hint="eastAsia" w:cs="宋体"/>
          <w:sz w:val="21"/>
          <w:szCs w:val="21"/>
          <w:highlight w:val="none"/>
        </w:rPr>
        <w:t>乙方应保证提供服务过程中不会侵犯任何第三方的</w:t>
      </w:r>
      <w:r>
        <w:rPr>
          <w:rFonts w:hint="eastAsia" w:cs="宋体"/>
          <w:b w:val="0"/>
          <w:bCs/>
          <w:sz w:val="21"/>
          <w:szCs w:val="21"/>
          <w:highlight w:val="none"/>
        </w:rPr>
        <w:t>知识产权</w:t>
      </w:r>
      <w:r>
        <w:rPr>
          <w:rFonts w:hint="eastAsia" w:cs="宋体"/>
          <w:b w:val="0"/>
          <w:bCs w:val="0"/>
          <w:sz w:val="21"/>
          <w:szCs w:val="21"/>
          <w:highlight w:val="none"/>
        </w:rPr>
        <w:t>。</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ind w:left="31680" w:hanging="410" w:hangingChars="170"/>
        <w:textAlignment w:val="auto"/>
        <w:rPr>
          <w:rFonts w:cs="宋体"/>
          <w:b/>
          <w:sz w:val="24"/>
          <w:szCs w:val="24"/>
          <w:highlight w:val="none"/>
        </w:rPr>
      </w:pPr>
      <w:r>
        <w:rPr>
          <w:rFonts w:hint="eastAsia" w:cs="宋体"/>
          <w:b/>
          <w:sz w:val="24"/>
          <w:szCs w:val="24"/>
          <w:highlight w:val="none"/>
        </w:rPr>
        <w:t>五、履约保证金</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ind w:left="420" w:leftChars="200" w:firstLine="63" w:firstLineChars="30"/>
        <w:textAlignment w:val="auto"/>
        <w:rPr>
          <w:rFonts w:cs="宋体"/>
          <w:sz w:val="21"/>
          <w:szCs w:val="21"/>
          <w:highlight w:val="none"/>
        </w:rPr>
      </w:pPr>
      <w:r>
        <w:rPr>
          <w:rFonts w:hint="eastAsia" w:cs="宋体"/>
          <w:sz w:val="21"/>
          <w:szCs w:val="21"/>
          <w:highlight w:val="none"/>
          <w:lang w:eastAsia="zh-CN"/>
        </w:rPr>
        <w:t>无</w:t>
      </w:r>
      <w:r>
        <w:rPr>
          <w:rFonts w:hint="eastAsia" w:cs="宋体"/>
          <w:sz w:val="21"/>
          <w:szCs w:val="21"/>
          <w:highlight w:val="none"/>
        </w:rPr>
        <w:t>。</w:t>
      </w:r>
    </w:p>
    <w:p>
      <w:pPr>
        <w:keepNext w:val="0"/>
        <w:keepLines w:val="0"/>
        <w:pageBreakBefore w:val="0"/>
        <w:kinsoku/>
        <w:wordWrap/>
        <w:overflowPunct/>
        <w:topLinePunct w:val="0"/>
        <w:autoSpaceDE/>
        <w:autoSpaceDN/>
        <w:bidi w:val="0"/>
        <w:snapToGrid w:val="0"/>
        <w:spacing w:line="400" w:lineRule="exact"/>
        <w:textAlignment w:val="auto"/>
        <w:rPr>
          <w:rFonts w:ascii="宋体" w:cs="宋体"/>
          <w:b/>
          <w:sz w:val="24"/>
          <w:szCs w:val="24"/>
          <w:highlight w:val="none"/>
        </w:rPr>
      </w:pPr>
      <w:r>
        <w:rPr>
          <w:rFonts w:hint="eastAsia" w:ascii="宋体" w:hAnsi="宋体" w:cs="宋体"/>
          <w:b/>
          <w:sz w:val="24"/>
          <w:szCs w:val="24"/>
          <w:highlight w:val="none"/>
        </w:rPr>
        <w:t>六、转包或分包</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、本合同范围的服务，应由乙方直接供应，不得转让他人供应；</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、如有转让和未经甲方同意的分包行为，甲方有权解除合同，没收履约保证金并追究乙方的违约责任。</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七、合同履行时间、履行方式及履行地点</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bCs/>
          <w:sz w:val="21"/>
          <w:szCs w:val="21"/>
          <w:highlight w:val="none"/>
        </w:rPr>
      </w:pPr>
      <w:r>
        <w:rPr>
          <w:rFonts w:cs="宋体"/>
          <w:bCs/>
          <w:sz w:val="21"/>
          <w:szCs w:val="21"/>
          <w:highlight w:val="none"/>
        </w:rPr>
        <w:t>1</w:t>
      </w:r>
      <w:r>
        <w:rPr>
          <w:rFonts w:hint="eastAsia" w:cs="宋体"/>
          <w:bCs/>
          <w:sz w:val="21"/>
          <w:szCs w:val="21"/>
          <w:highlight w:val="none"/>
        </w:rPr>
        <w:t>、</w:t>
      </w:r>
      <w:r>
        <w:rPr>
          <w:rFonts w:hint="eastAsia" w:cs="宋体"/>
          <w:sz w:val="21"/>
          <w:szCs w:val="21"/>
          <w:highlight w:val="none"/>
        </w:rPr>
        <w:t>履行时间</w:t>
      </w:r>
      <w:r>
        <w:rPr>
          <w:rFonts w:hint="eastAsia" w:cs="宋体"/>
          <w:bCs/>
          <w:sz w:val="21"/>
          <w:szCs w:val="21"/>
          <w:highlight w:val="none"/>
        </w:rPr>
        <w:t>：</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bCs/>
          <w:sz w:val="21"/>
          <w:szCs w:val="21"/>
          <w:highlight w:val="none"/>
        </w:rPr>
      </w:pPr>
      <w:r>
        <w:rPr>
          <w:rFonts w:cs="宋体"/>
          <w:bCs/>
          <w:sz w:val="21"/>
          <w:szCs w:val="21"/>
          <w:highlight w:val="none"/>
        </w:rPr>
        <w:t>2</w:t>
      </w:r>
      <w:r>
        <w:rPr>
          <w:rFonts w:hint="eastAsia" w:cs="宋体"/>
          <w:bCs/>
          <w:sz w:val="21"/>
          <w:szCs w:val="21"/>
          <w:highlight w:val="none"/>
        </w:rPr>
        <w:t>、</w:t>
      </w:r>
      <w:r>
        <w:rPr>
          <w:rFonts w:hint="eastAsia" w:cs="宋体"/>
          <w:sz w:val="21"/>
          <w:szCs w:val="21"/>
          <w:highlight w:val="none"/>
        </w:rPr>
        <w:t>履行方式</w:t>
      </w:r>
      <w:r>
        <w:rPr>
          <w:rFonts w:hint="eastAsia" w:cs="宋体"/>
          <w:bCs/>
          <w:sz w:val="21"/>
          <w:szCs w:val="21"/>
          <w:highlight w:val="none"/>
        </w:rPr>
        <w:t>：</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sz w:val="21"/>
          <w:szCs w:val="21"/>
          <w:highlight w:val="none"/>
        </w:rPr>
      </w:pPr>
      <w:r>
        <w:rPr>
          <w:rFonts w:cs="宋体"/>
          <w:bCs/>
          <w:sz w:val="21"/>
          <w:szCs w:val="21"/>
          <w:highlight w:val="none"/>
        </w:rPr>
        <w:t>3</w:t>
      </w:r>
      <w:r>
        <w:rPr>
          <w:rFonts w:hint="eastAsia" w:cs="宋体"/>
          <w:bCs/>
          <w:sz w:val="21"/>
          <w:szCs w:val="21"/>
          <w:highlight w:val="none"/>
        </w:rPr>
        <w:t>、</w:t>
      </w:r>
      <w:r>
        <w:rPr>
          <w:rFonts w:hint="eastAsia" w:cs="宋体"/>
          <w:sz w:val="21"/>
          <w:szCs w:val="21"/>
          <w:highlight w:val="none"/>
        </w:rPr>
        <w:t>履行地点</w:t>
      </w:r>
      <w:r>
        <w:rPr>
          <w:rFonts w:hint="eastAsia" w:cs="宋体"/>
          <w:bCs/>
          <w:sz w:val="21"/>
          <w:szCs w:val="21"/>
          <w:highlight w:val="none"/>
        </w:rPr>
        <w:t>：</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textAlignment w:val="auto"/>
        <w:rPr>
          <w:rFonts w:cs="宋体"/>
          <w:b/>
          <w:bCs/>
          <w:color w:val="FF0000"/>
          <w:sz w:val="24"/>
          <w:szCs w:val="24"/>
          <w:highlight w:val="none"/>
        </w:rPr>
      </w:pPr>
      <w:r>
        <w:rPr>
          <w:rFonts w:hint="eastAsia" w:cs="宋体"/>
          <w:b/>
          <w:sz w:val="24"/>
          <w:szCs w:val="24"/>
          <w:highlight w:val="none"/>
        </w:rPr>
        <w:t>八、</w:t>
      </w:r>
      <w:r>
        <w:rPr>
          <w:rFonts w:hint="eastAsia" w:cs="宋体"/>
          <w:b/>
          <w:bCs/>
          <w:color w:val="000000"/>
          <w:sz w:val="24"/>
          <w:szCs w:val="24"/>
          <w:highlight w:val="none"/>
        </w:rPr>
        <w:t>付款方式：</w:t>
      </w:r>
    </w:p>
    <w:p>
      <w:pPr>
        <w:keepNext w:val="0"/>
        <w:keepLines w:val="0"/>
        <w:pageBreakBefore w:val="0"/>
        <w:kinsoku/>
        <w:wordWrap/>
        <w:overflowPunct/>
        <w:topLinePunct w:val="0"/>
        <w:autoSpaceDE/>
        <w:autoSpaceDN/>
        <w:bidi w:val="0"/>
        <w:snapToGrid w:val="0"/>
        <w:spacing w:line="400" w:lineRule="exact"/>
        <w:textAlignment w:val="auto"/>
        <w:rPr>
          <w:rFonts w:ascii="宋体" w:cs="宋体"/>
          <w:b/>
          <w:sz w:val="24"/>
          <w:szCs w:val="24"/>
          <w:highlight w:val="none"/>
        </w:rPr>
      </w:pPr>
      <w:r>
        <w:rPr>
          <w:rFonts w:hint="eastAsia" w:ascii="宋体" w:hAnsi="宋体" w:cs="宋体"/>
          <w:b/>
          <w:sz w:val="24"/>
          <w:szCs w:val="24"/>
          <w:highlight w:val="none"/>
        </w:rPr>
        <w:t>九、税费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本合同执行中相关的一切税费均由乙方负担。</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ind w:left="31680" w:hanging="412" w:hangingChars="171"/>
        <w:textAlignment w:val="auto"/>
        <w:rPr>
          <w:rFonts w:cs="宋体"/>
          <w:sz w:val="24"/>
          <w:szCs w:val="24"/>
          <w:highlight w:val="none"/>
        </w:rPr>
      </w:pPr>
      <w:r>
        <w:rPr>
          <w:rFonts w:hint="eastAsia" w:cs="宋体"/>
          <w:b/>
          <w:sz w:val="24"/>
          <w:szCs w:val="24"/>
          <w:highlight w:val="none"/>
        </w:rPr>
        <w:t>十、质量保证及后续服务</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ind w:left="418" w:leftChars="199" w:firstLine="60" w:firstLineChars="29"/>
        <w:textAlignment w:val="auto"/>
        <w:rPr>
          <w:rFonts w:cs="宋体"/>
          <w:sz w:val="21"/>
          <w:szCs w:val="21"/>
          <w:highlight w:val="none"/>
        </w:rPr>
      </w:pPr>
      <w:r>
        <w:rPr>
          <w:rFonts w:cs="宋体"/>
          <w:sz w:val="21"/>
          <w:szCs w:val="21"/>
          <w:highlight w:val="none"/>
        </w:rPr>
        <w:t>1</w:t>
      </w:r>
      <w:r>
        <w:rPr>
          <w:rFonts w:hint="eastAsia" w:cs="宋体"/>
          <w:sz w:val="21"/>
          <w:szCs w:val="21"/>
          <w:highlight w:val="none"/>
        </w:rPr>
        <w:t>、乙方应按竞争性磋商文件规定向甲方提供服务。</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ind w:firstLine="420" w:firstLineChars="200"/>
        <w:textAlignment w:val="auto"/>
        <w:rPr>
          <w:rFonts w:cs="宋体"/>
          <w:sz w:val="21"/>
          <w:szCs w:val="21"/>
          <w:highlight w:val="none"/>
        </w:rPr>
      </w:pPr>
      <w:r>
        <w:rPr>
          <w:rFonts w:cs="宋体"/>
          <w:sz w:val="21"/>
          <w:szCs w:val="21"/>
          <w:highlight w:val="none"/>
        </w:rPr>
        <w:t>2</w:t>
      </w:r>
      <w:r>
        <w:rPr>
          <w:rFonts w:hint="eastAsia" w:cs="宋体"/>
          <w:sz w:val="21"/>
          <w:szCs w:val="21"/>
          <w:highlight w:val="none"/>
        </w:rPr>
        <w:t>、乙方提供的服务成果在服务质量保证期内发生故障，乙方应负责免费提供后续服务。对达不到要求者，根据实际情况，经双方协商，可按以下办法处理：</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ind w:firstLine="420"/>
        <w:textAlignment w:val="auto"/>
        <w:rPr>
          <w:rFonts w:cs="宋体"/>
          <w:sz w:val="21"/>
          <w:szCs w:val="21"/>
          <w:highlight w:val="none"/>
        </w:rPr>
      </w:pPr>
      <w:r>
        <w:rPr>
          <w:rFonts w:hint="eastAsia" w:cs="宋体"/>
          <w:sz w:val="21"/>
          <w:szCs w:val="21"/>
          <w:highlight w:val="none"/>
        </w:rPr>
        <w:t>⑴重做：由乙方承担所发生的全部费用。</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ind w:firstLine="420"/>
        <w:textAlignment w:val="auto"/>
        <w:rPr>
          <w:rFonts w:cs="宋体"/>
          <w:sz w:val="21"/>
          <w:szCs w:val="21"/>
          <w:highlight w:val="none"/>
        </w:rPr>
      </w:pPr>
      <w:r>
        <w:rPr>
          <w:rFonts w:hint="eastAsia" w:cs="宋体"/>
          <w:sz w:val="21"/>
          <w:szCs w:val="21"/>
          <w:highlight w:val="none"/>
        </w:rPr>
        <w:t>⑵贬值处理：由甲乙双方合议定价。</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ind w:left="420" w:leftChars="200"/>
        <w:textAlignment w:val="auto"/>
        <w:rPr>
          <w:rFonts w:cs="宋体"/>
          <w:sz w:val="21"/>
          <w:szCs w:val="21"/>
          <w:highlight w:val="none"/>
        </w:rPr>
      </w:pPr>
      <w:r>
        <w:rPr>
          <w:rFonts w:hint="eastAsia" w:cs="宋体"/>
          <w:sz w:val="21"/>
          <w:szCs w:val="21"/>
          <w:highlight w:val="none"/>
        </w:rPr>
        <w:t>⑶解除合同。</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ind w:firstLine="420" w:firstLineChars="200"/>
        <w:textAlignment w:val="auto"/>
        <w:rPr>
          <w:rFonts w:cs="宋体"/>
          <w:sz w:val="21"/>
          <w:szCs w:val="21"/>
          <w:highlight w:val="none"/>
        </w:rPr>
      </w:pPr>
      <w:r>
        <w:rPr>
          <w:rFonts w:cs="宋体"/>
          <w:sz w:val="21"/>
          <w:szCs w:val="21"/>
          <w:highlight w:val="none"/>
        </w:rPr>
        <w:t>3</w:t>
      </w:r>
      <w:r>
        <w:rPr>
          <w:rFonts w:hint="eastAsia" w:cs="宋体"/>
          <w:sz w:val="21"/>
          <w:szCs w:val="21"/>
          <w:highlight w:val="none"/>
        </w:rPr>
        <w:t>、如在使用过程中发生问题，乙方在接到甲方通知后在</w:t>
      </w:r>
      <w:r>
        <w:rPr>
          <w:rFonts w:cs="宋体"/>
          <w:sz w:val="21"/>
          <w:szCs w:val="21"/>
          <w:highlight w:val="none"/>
          <w:u w:val="single"/>
        </w:rPr>
        <w:t xml:space="preserve">   </w:t>
      </w:r>
      <w:r>
        <w:rPr>
          <w:rFonts w:hint="eastAsia" w:cs="宋体"/>
          <w:sz w:val="21"/>
          <w:szCs w:val="21"/>
          <w:highlight w:val="none"/>
        </w:rPr>
        <w:t>小时内到达甲方现场。</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十一、违约责任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、甲方无正当理由拒收接受服务的，甲方向乙方偿付合同款项百分之二十作为违约金。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、甲方无故逾期验收和办理款项支付手续的</w:t>
      </w:r>
      <w:r>
        <w:rPr>
          <w:rFonts w:hint="eastAsia" w:ascii="宋体" w:cs="宋体"/>
          <w:szCs w:val="21"/>
          <w:highlight w:val="none"/>
          <w:lang w:eastAsia="zh-CN"/>
        </w:rPr>
        <w:t>，</w:t>
      </w:r>
      <w:r>
        <w:rPr>
          <w:rFonts w:hint="eastAsia" w:ascii="宋体" w:hAnsi="宋体" w:cs="宋体"/>
          <w:szCs w:val="21"/>
          <w:highlight w:val="none"/>
        </w:rPr>
        <w:t>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乙方未能如期提供服务的，每日向甲方支付合同款项的千分之十作为违约金。乙方超过约定日期</w:t>
      </w:r>
      <w:r>
        <w:rPr>
          <w:rFonts w:ascii="宋体" w:hAnsi="宋体" w:cs="宋体"/>
          <w:szCs w:val="21"/>
          <w:highlight w:val="none"/>
        </w:rPr>
        <w:t>10</w:t>
      </w:r>
      <w:r>
        <w:rPr>
          <w:rFonts w:hint="eastAsia" w:ascii="宋体" w:hAnsi="宋体" w:cs="宋体"/>
          <w:szCs w:val="21"/>
          <w:highlight w:val="none"/>
        </w:rPr>
        <w:t>个工作日仍不能提供服务的，甲方可解除本合同。乙方因未能如期提供服务或因其他违约行为导致甲方解除合同的，乙方应向甲方支付合同总值</w:t>
      </w:r>
      <w:r>
        <w:rPr>
          <w:rFonts w:ascii="宋体" w:hAnsi="宋体" w:cs="宋体"/>
          <w:szCs w:val="21"/>
          <w:highlight w:val="none"/>
        </w:rPr>
        <w:t>20%</w:t>
      </w:r>
      <w:r>
        <w:rPr>
          <w:rFonts w:hint="eastAsia" w:ascii="宋体" w:hAnsi="宋体" w:cs="宋体"/>
          <w:szCs w:val="21"/>
          <w:highlight w:val="none"/>
        </w:rPr>
        <w:t>的违约金，如造成甲方损失超过违约金的，超出部分由乙方继续承担赔偿责任。</w:t>
      </w:r>
      <w:r>
        <w:rPr>
          <w:rFonts w:ascii="宋体" w:hAnsi="宋体" w:cs="宋体"/>
          <w:szCs w:val="21"/>
          <w:highlight w:val="none"/>
        </w:rPr>
        <w:t xml:space="preserve"> </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十二、不可抗力事件处理</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sz w:val="21"/>
          <w:szCs w:val="21"/>
          <w:highlight w:val="none"/>
        </w:rPr>
      </w:pPr>
      <w:r>
        <w:rPr>
          <w:rFonts w:cs="宋体"/>
          <w:sz w:val="21"/>
          <w:szCs w:val="21"/>
          <w:highlight w:val="none"/>
        </w:rPr>
        <w:t>1</w:t>
      </w:r>
      <w:r>
        <w:rPr>
          <w:rFonts w:hint="eastAsia" w:cs="宋体"/>
          <w:sz w:val="21"/>
          <w:szCs w:val="21"/>
          <w:highlight w:val="none"/>
        </w:rPr>
        <w:t>、在合同有效期内，任何一方因不可抗力事件导致不能履行合同，则合同履行期可延长，其延长期与不可抗力影响期相同。</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sz w:val="21"/>
          <w:szCs w:val="21"/>
          <w:highlight w:val="none"/>
        </w:rPr>
      </w:pPr>
      <w:r>
        <w:rPr>
          <w:rFonts w:cs="宋体"/>
          <w:sz w:val="21"/>
          <w:szCs w:val="21"/>
          <w:highlight w:val="none"/>
        </w:rPr>
        <w:t>2</w:t>
      </w:r>
      <w:r>
        <w:rPr>
          <w:rFonts w:hint="eastAsia" w:cs="宋体"/>
          <w:sz w:val="21"/>
          <w:szCs w:val="21"/>
          <w:highlight w:val="none"/>
        </w:rPr>
        <w:t>、不可抗力事件发生后，应立即通知对方，并寄送有关权威机构出具的证明。</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cs="宋体"/>
          <w:sz w:val="21"/>
          <w:szCs w:val="21"/>
          <w:highlight w:val="none"/>
        </w:rPr>
      </w:pPr>
      <w:r>
        <w:rPr>
          <w:rFonts w:cs="宋体"/>
          <w:sz w:val="21"/>
          <w:szCs w:val="21"/>
          <w:highlight w:val="none"/>
        </w:rPr>
        <w:t>3</w:t>
      </w:r>
      <w:r>
        <w:rPr>
          <w:rFonts w:hint="eastAsia" w:cs="宋体"/>
          <w:sz w:val="21"/>
          <w:szCs w:val="21"/>
          <w:highlight w:val="none"/>
        </w:rPr>
        <w:t>、不可抗力事件延续</w:t>
      </w:r>
      <w:r>
        <w:rPr>
          <w:rFonts w:cs="宋体"/>
          <w:sz w:val="21"/>
          <w:szCs w:val="21"/>
          <w:highlight w:val="none"/>
        </w:rPr>
        <w:t>120</w:t>
      </w:r>
      <w:r>
        <w:rPr>
          <w:rFonts w:hint="eastAsia" w:cs="宋体"/>
          <w:sz w:val="21"/>
          <w:szCs w:val="21"/>
          <w:highlight w:val="none"/>
        </w:rPr>
        <w:t>天以上，双方应通过友好协商，确定是否继续履行合同。</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十三、诉讼</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ind w:firstLine="420" w:firstLineChars="200"/>
        <w:textAlignment w:val="auto"/>
        <w:rPr>
          <w:rFonts w:cs="宋体"/>
          <w:sz w:val="21"/>
          <w:szCs w:val="21"/>
          <w:highlight w:val="none"/>
        </w:rPr>
      </w:pPr>
      <w:r>
        <w:rPr>
          <w:rFonts w:hint="eastAsia" w:cs="宋体"/>
          <w:sz w:val="21"/>
          <w:szCs w:val="21"/>
          <w:highlight w:val="none"/>
        </w:rPr>
        <w:t>双方在执行合同中所发生的一切争议，应通过协商解决。如协商不成，可向合同履行地法院起诉。</w:t>
      </w:r>
    </w:p>
    <w:p>
      <w:pPr>
        <w:pStyle w:val="13"/>
        <w:keepNext w:val="0"/>
        <w:keepLines w:val="0"/>
        <w:pageBreakBefore w:val="0"/>
        <w:kinsoku/>
        <w:wordWrap/>
        <w:overflowPunct/>
        <w:topLinePunct w:val="0"/>
        <w:autoSpaceDE/>
        <w:autoSpaceDN/>
        <w:bidi w:val="0"/>
        <w:snapToGrid w:val="0"/>
        <w:spacing w:before="0" w:beforeAutospacing="0" w:after="0" w:afterAutospacing="0" w:line="400" w:lineRule="exact"/>
        <w:textAlignment w:val="auto"/>
        <w:rPr>
          <w:rFonts w:cs="宋体"/>
          <w:b/>
          <w:sz w:val="24"/>
          <w:szCs w:val="24"/>
          <w:highlight w:val="none"/>
        </w:rPr>
      </w:pPr>
      <w:r>
        <w:rPr>
          <w:rFonts w:hint="eastAsia" w:cs="宋体"/>
          <w:b/>
          <w:sz w:val="24"/>
          <w:szCs w:val="24"/>
          <w:highlight w:val="none"/>
        </w:rPr>
        <w:t>十四、合同生效及其它</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firstLine="420" w:firstLineChars="200"/>
        <w:textAlignment w:val="auto"/>
        <w:rPr>
          <w:rFonts w:cs="宋体"/>
          <w:sz w:val="21"/>
          <w:szCs w:val="21"/>
          <w:highlight w:val="none"/>
        </w:rPr>
      </w:pPr>
      <w:r>
        <w:rPr>
          <w:rFonts w:cs="宋体"/>
          <w:sz w:val="21"/>
          <w:szCs w:val="21"/>
          <w:highlight w:val="none"/>
        </w:rPr>
        <w:t>1</w:t>
      </w:r>
      <w:r>
        <w:rPr>
          <w:rFonts w:hint="eastAsia" w:cs="宋体"/>
          <w:sz w:val="21"/>
          <w:szCs w:val="21"/>
          <w:highlight w:val="none"/>
        </w:rPr>
        <w:t>、合同经双方法定代表人或授权代表签字并加盖单位公章后生效。</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400" w:lineRule="exact"/>
        <w:ind w:left="0" w:firstLine="420" w:firstLineChars="200"/>
        <w:textAlignment w:val="auto"/>
        <w:rPr>
          <w:rFonts w:cs="宋体"/>
          <w:sz w:val="21"/>
          <w:szCs w:val="21"/>
          <w:highlight w:val="none"/>
        </w:rPr>
      </w:pPr>
      <w:r>
        <w:rPr>
          <w:rFonts w:cs="宋体"/>
          <w:sz w:val="21"/>
          <w:szCs w:val="21"/>
          <w:highlight w:val="none"/>
        </w:rPr>
        <w:t>2</w:t>
      </w:r>
      <w:r>
        <w:rPr>
          <w:rFonts w:hint="eastAsia" w:cs="宋体"/>
          <w:sz w:val="21"/>
          <w:szCs w:val="21"/>
          <w:highlight w:val="none"/>
        </w:rPr>
        <w:t>、本合同未尽事宜，遵照《民法典》有关条文执行。</w:t>
      </w:r>
    </w:p>
    <w:p>
      <w:pPr>
        <w:keepNext w:val="0"/>
        <w:keepLines w:val="0"/>
        <w:pageBreakBefore w:val="0"/>
        <w:kinsoku/>
        <w:wordWrap/>
        <w:overflowPunct/>
        <w:topLinePunct w:val="0"/>
        <w:autoSpaceDE/>
        <w:autoSpaceDN/>
        <w:bidi w:val="0"/>
        <w:adjustRightInd/>
        <w:spacing w:line="400" w:lineRule="exact"/>
        <w:ind w:left="0" w:firstLine="420" w:firstLineChars="200"/>
        <w:textAlignment w:val="auto"/>
        <w:rPr>
          <w:rFonts w:cs="宋体"/>
          <w:szCs w:val="21"/>
          <w:highlight w:val="none"/>
        </w:rPr>
      </w:pPr>
      <w:r>
        <w:rPr>
          <w:rFonts w:ascii="宋体" w:hAnsi="宋体" w:cs="宋体"/>
          <w:kern w:val="0"/>
          <w:szCs w:val="21"/>
          <w:highlight w:val="none"/>
        </w:rPr>
        <w:t>3</w:t>
      </w:r>
      <w:r>
        <w:rPr>
          <w:rFonts w:hint="eastAsia" w:ascii="宋体" w:hAnsi="宋体" w:cs="宋体"/>
          <w:kern w:val="0"/>
          <w:szCs w:val="21"/>
          <w:highlight w:val="none"/>
        </w:rPr>
        <w:t>、本合同正本一式四份，具有同等法律效力，甲乙双方各执两份。</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bookmarkStart w:id="130" w:name="_Toc293916974"/>
      <w:r>
        <w:rPr>
          <w:rFonts w:hint="eastAsia"/>
          <w:sz w:val="21"/>
          <w:szCs w:val="21"/>
          <w:highlight w:val="none"/>
        </w:rPr>
        <w:t>甲方：</w:t>
      </w:r>
      <w:r>
        <w:rPr>
          <w:sz w:val="21"/>
          <w:szCs w:val="21"/>
          <w:highlight w:val="none"/>
        </w:rPr>
        <w:t xml:space="preserve">                                   </w:t>
      </w:r>
      <w:r>
        <w:rPr>
          <w:rFonts w:hint="eastAsia"/>
          <w:sz w:val="21"/>
          <w:szCs w:val="21"/>
          <w:highlight w:val="none"/>
        </w:rPr>
        <w:t>乙方：</w:t>
      </w:r>
      <w:bookmarkEnd w:id="130"/>
      <w:r>
        <w:rPr>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bookmarkStart w:id="131" w:name="_Toc293916975"/>
      <w:r>
        <w:rPr>
          <w:rFonts w:hint="eastAsia"/>
          <w:sz w:val="21"/>
          <w:szCs w:val="21"/>
          <w:highlight w:val="none"/>
        </w:rPr>
        <w:t>地址：</w:t>
      </w:r>
      <w:r>
        <w:rPr>
          <w:sz w:val="21"/>
          <w:szCs w:val="21"/>
          <w:highlight w:val="none"/>
        </w:rPr>
        <w:t xml:space="preserve">                                   </w:t>
      </w:r>
      <w:r>
        <w:rPr>
          <w:rFonts w:hint="eastAsia"/>
          <w:sz w:val="21"/>
          <w:szCs w:val="21"/>
          <w:highlight w:val="none"/>
        </w:rPr>
        <w:t>地址：</w:t>
      </w:r>
      <w:bookmarkEnd w:id="131"/>
      <w:r>
        <w:rPr>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bookmarkStart w:id="132" w:name="_Toc293916976"/>
      <w:r>
        <w:rPr>
          <w:rFonts w:hint="eastAsia"/>
          <w:sz w:val="21"/>
          <w:szCs w:val="21"/>
          <w:highlight w:val="none"/>
        </w:rPr>
        <w:t>法定代表人：</w:t>
      </w:r>
      <w:r>
        <w:rPr>
          <w:sz w:val="21"/>
          <w:szCs w:val="21"/>
          <w:highlight w:val="none"/>
        </w:rPr>
        <w:t xml:space="preserve">                             </w:t>
      </w:r>
      <w:r>
        <w:rPr>
          <w:rFonts w:hint="eastAsia"/>
          <w:sz w:val="21"/>
          <w:szCs w:val="21"/>
          <w:highlight w:val="none"/>
        </w:rPr>
        <w:t>法定代表人：</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textAlignment w:val="auto"/>
        <w:rPr>
          <w:sz w:val="21"/>
          <w:szCs w:val="21"/>
          <w:highlight w:val="none"/>
        </w:rPr>
      </w:pPr>
      <w:r>
        <w:rPr>
          <w:rFonts w:hint="eastAsia"/>
          <w:sz w:val="21"/>
          <w:szCs w:val="21"/>
          <w:highlight w:val="none"/>
        </w:rPr>
        <w:t>或授权人：</w:t>
      </w:r>
      <w:r>
        <w:rPr>
          <w:sz w:val="21"/>
          <w:szCs w:val="21"/>
          <w:highlight w:val="none"/>
        </w:rPr>
        <w:t xml:space="preserve">                           </w:t>
      </w:r>
      <w:bookmarkEnd w:id="132"/>
      <w:bookmarkStart w:id="133" w:name="_Toc293916977"/>
      <w:r>
        <w:rPr>
          <w:sz w:val="21"/>
          <w:szCs w:val="21"/>
          <w:highlight w:val="none"/>
        </w:rPr>
        <w:t xml:space="preserve">    </w:t>
      </w:r>
      <w:r>
        <w:rPr>
          <w:rFonts w:hint="eastAsia"/>
          <w:sz w:val="21"/>
          <w:szCs w:val="21"/>
          <w:highlight w:val="none"/>
        </w:rPr>
        <w:t>或授权人：</w:t>
      </w:r>
      <w:r>
        <w:rPr>
          <w:sz w:val="21"/>
          <w:szCs w:val="21"/>
          <w:highlight w:val="none"/>
        </w:rPr>
        <w:t xml:space="preserve">    </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textAlignment w:val="auto"/>
        <w:rPr>
          <w:rFonts w:hint="eastAsia"/>
          <w:sz w:val="21"/>
          <w:szCs w:val="21"/>
          <w:highlight w:val="none"/>
        </w:rPr>
      </w:pPr>
      <w:r>
        <w:rPr>
          <w:rFonts w:hint="eastAsia"/>
          <w:sz w:val="21"/>
          <w:szCs w:val="21"/>
          <w:highlight w:val="none"/>
        </w:rPr>
        <w:t>签订地点：</w:t>
      </w:r>
      <w:r>
        <w:rPr>
          <w:sz w:val="21"/>
          <w:szCs w:val="21"/>
          <w:highlight w:val="none"/>
        </w:rPr>
        <w:t xml:space="preserve">                               </w:t>
      </w:r>
      <w:r>
        <w:rPr>
          <w:rFonts w:hint="eastAsia"/>
          <w:sz w:val="21"/>
          <w:szCs w:val="21"/>
          <w:highlight w:val="none"/>
        </w:rPr>
        <w:t>签订日期：</w:t>
      </w:r>
      <w:r>
        <w:rPr>
          <w:sz w:val="21"/>
          <w:szCs w:val="21"/>
          <w:highlight w:val="none"/>
        </w:rPr>
        <w:t xml:space="preserve">      </w:t>
      </w:r>
      <w:r>
        <w:rPr>
          <w:rFonts w:hint="eastAsia"/>
          <w:sz w:val="21"/>
          <w:szCs w:val="21"/>
          <w:highlight w:val="none"/>
        </w:rPr>
        <w:t>年</w:t>
      </w:r>
      <w:r>
        <w:rPr>
          <w:sz w:val="21"/>
          <w:szCs w:val="21"/>
          <w:highlight w:val="none"/>
        </w:rPr>
        <w:t xml:space="preserve">  </w:t>
      </w:r>
      <w:r>
        <w:rPr>
          <w:rFonts w:hint="eastAsia"/>
          <w:sz w:val="21"/>
          <w:szCs w:val="21"/>
          <w:highlight w:val="none"/>
        </w:rPr>
        <w:t>月</w:t>
      </w:r>
      <w:r>
        <w:rPr>
          <w:sz w:val="21"/>
          <w:szCs w:val="21"/>
          <w:highlight w:val="none"/>
        </w:rPr>
        <w:t xml:space="preserve">  </w:t>
      </w:r>
      <w:r>
        <w:rPr>
          <w:rFonts w:hint="eastAsia"/>
          <w:sz w:val="21"/>
          <w:szCs w:val="21"/>
          <w:highlight w:val="none"/>
        </w:rPr>
        <w:t>日</w:t>
      </w:r>
      <w:bookmarkEnd w:id="133"/>
    </w:p>
    <w:p>
      <w:pPr>
        <w:pStyle w:val="4"/>
        <w:keepNext w:val="0"/>
        <w:keepLines w:val="0"/>
        <w:pageBreakBefore w:val="0"/>
        <w:widowControl w:val="0"/>
        <w:kinsoku/>
        <w:wordWrap/>
        <w:overflowPunct w:val="0"/>
        <w:topLinePunct w:val="0"/>
        <w:autoSpaceDE/>
        <w:autoSpaceDN/>
        <w:bidi w:val="0"/>
        <w:adjustRightInd/>
        <w:snapToGrid/>
        <w:spacing w:before="157" w:beforeLines="50" w:after="157" w:afterLines="50" w:line="400" w:lineRule="exact"/>
        <w:jc w:val="center"/>
        <w:textAlignment w:val="auto"/>
        <w:rPr>
          <w:rFonts w:ascii="宋体" w:cs="宋体"/>
          <w:sz w:val="32"/>
          <w:szCs w:val="32"/>
          <w:highlight w:val="none"/>
        </w:rPr>
      </w:pPr>
      <w:r>
        <w:rPr>
          <w:rFonts w:hint="eastAsia"/>
          <w:sz w:val="21"/>
          <w:szCs w:val="21"/>
          <w:highlight w:val="none"/>
        </w:rPr>
        <w:br w:type="page"/>
      </w:r>
      <w:bookmarkStart w:id="134" w:name="_Toc11246"/>
      <w:r>
        <w:rPr>
          <w:rFonts w:hint="eastAsia" w:ascii="宋体" w:hAnsi="宋体" w:cs="宋体"/>
          <w:sz w:val="32"/>
          <w:szCs w:val="32"/>
          <w:highlight w:val="none"/>
        </w:rPr>
        <w:t>第六章</w:t>
      </w:r>
      <w:r>
        <w:rPr>
          <w:rFonts w:ascii="宋体" w:hAnsi="宋体" w:cs="宋体"/>
          <w:sz w:val="32"/>
          <w:szCs w:val="32"/>
          <w:highlight w:val="none"/>
        </w:rPr>
        <w:t xml:space="preserve">  </w:t>
      </w:r>
      <w:r>
        <w:rPr>
          <w:rFonts w:hint="eastAsia" w:ascii="宋体" w:hAnsi="宋体" w:cs="宋体"/>
          <w:sz w:val="32"/>
          <w:szCs w:val="32"/>
          <w:highlight w:val="none"/>
        </w:rPr>
        <w:t>响应文件格式</w:t>
      </w:r>
      <w:bookmarkEnd w:id="134"/>
    </w:p>
    <w:p>
      <w:pPr>
        <w:overflowPunct w:val="0"/>
        <w:autoSpaceDE w:val="0"/>
        <w:autoSpaceDN w:val="0"/>
        <w:snapToGrid w:val="0"/>
        <w:spacing w:line="440" w:lineRule="exact"/>
        <w:ind w:firstLine="480" w:firstLineChars="200"/>
        <w:jc w:val="left"/>
        <w:textAlignment w:val="bottom"/>
        <w:rPr>
          <w:rFonts w:ascii="宋体" w:cs="宋体"/>
          <w:bCs/>
          <w:sz w:val="24"/>
          <w:highlight w:val="none"/>
        </w:rPr>
      </w:pPr>
    </w:p>
    <w:p>
      <w:pPr>
        <w:overflowPunct w:val="0"/>
        <w:autoSpaceDE w:val="0"/>
        <w:autoSpaceDN w:val="0"/>
        <w:snapToGrid w:val="0"/>
        <w:spacing w:line="440" w:lineRule="exact"/>
        <w:ind w:firstLine="480" w:firstLineChars="200"/>
        <w:jc w:val="left"/>
        <w:textAlignment w:val="bottom"/>
        <w:rPr>
          <w:rFonts w:ascii="宋体" w:cs="宋体"/>
          <w:bCs/>
          <w:sz w:val="24"/>
          <w:highlight w:val="none"/>
        </w:rPr>
      </w:pPr>
      <w:r>
        <w:rPr>
          <w:rFonts w:hint="eastAsia" w:ascii="宋体" w:hAnsi="宋体" w:cs="宋体"/>
          <w:bCs/>
          <w:sz w:val="24"/>
          <w:highlight w:val="none"/>
        </w:rPr>
        <w:t>本章节内容提供部分响应文件格式，磋商文件中要求，但未提供格式的，须由供应商自行制作。</w:t>
      </w:r>
    </w:p>
    <w:p>
      <w:pPr>
        <w:overflowPunct w:val="0"/>
        <w:ind w:firstLine="602" w:firstLineChars="200"/>
        <w:jc w:val="center"/>
        <w:rPr>
          <w:rFonts w:ascii="宋体" w:cs="宋体"/>
          <w:b/>
          <w:sz w:val="30"/>
          <w:szCs w:val="30"/>
          <w:highlight w:val="none"/>
        </w:rPr>
      </w:pPr>
      <w:r>
        <w:rPr>
          <w:rFonts w:hint="eastAsia" w:ascii="宋体" w:hAnsi="宋体" w:cs="宋体"/>
          <w:b/>
          <w:sz w:val="30"/>
          <w:szCs w:val="30"/>
          <w:highlight w:val="none"/>
        </w:rPr>
        <w:t>一、响应文件外层包装封面格式</w:t>
      </w:r>
    </w:p>
    <w:p>
      <w:pPr>
        <w:overflowPunct w:val="0"/>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、所有响应文件的外包装封面格式：（可选用）</w:t>
      </w:r>
    </w:p>
    <w:p>
      <w:pPr>
        <w:overflowPunct w:val="0"/>
        <w:ind w:firstLine="560" w:firstLineChars="200"/>
        <w:rPr>
          <w:rFonts w:ascii="宋体" w:cs="宋体"/>
          <w:sz w:val="28"/>
          <w:szCs w:val="28"/>
          <w:highlight w:val="none"/>
        </w:rPr>
      </w:pPr>
    </w:p>
    <w:p>
      <w:pPr>
        <w:overflowPunct w:val="0"/>
        <w:ind w:firstLine="560" w:firstLineChars="200"/>
        <w:rPr>
          <w:rFonts w:ascii="宋体" w:cs="宋体"/>
          <w:sz w:val="28"/>
          <w:szCs w:val="28"/>
          <w:highlight w:val="none"/>
        </w:rPr>
      </w:pPr>
    </w:p>
    <w:p>
      <w:pPr>
        <w:overflowPunct w:val="0"/>
        <w:ind w:firstLine="560" w:firstLineChars="200"/>
        <w:rPr>
          <w:rFonts w:ascii="宋体" w:cs="宋体"/>
          <w:sz w:val="28"/>
          <w:szCs w:val="28"/>
          <w:highlight w:val="none"/>
        </w:rPr>
      </w:pPr>
    </w:p>
    <w:p>
      <w:pPr>
        <w:overflowPunct w:val="0"/>
        <w:jc w:val="center"/>
        <w:rPr>
          <w:rFonts w:ascii="宋体" w:cs="宋体"/>
          <w:sz w:val="48"/>
          <w:szCs w:val="48"/>
          <w:highlight w:val="none"/>
        </w:rPr>
      </w:pPr>
      <w:r>
        <w:rPr>
          <w:rFonts w:hint="eastAsia" w:ascii="宋体" w:hAnsi="宋体" w:cs="宋体"/>
          <w:sz w:val="48"/>
          <w:szCs w:val="48"/>
          <w:highlight w:val="none"/>
        </w:rPr>
        <w:t>响应文件（资格证明文件或商务技术文件</w:t>
      </w:r>
      <w:r>
        <w:rPr>
          <w:rFonts w:hint="eastAsia" w:ascii="宋体" w:hAnsi="宋体" w:cs="宋体"/>
          <w:sz w:val="48"/>
          <w:szCs w:val="48"/>
          <w:highlight w:val="none"/>
          <w:lang w:eastAsia="zh-CN"/>
        </w:rPr>
        <w:t>或报价文件</w:t>
      </w:r>
      <w:r>
        <w:rPr>
          <w:rFonts w:hint="eastAsia" w:ascii="宋体" w:hAnsi="宋体" w:cs="宋体"/>
          <w:sz w:val="48"/>
          <w:szCs w:val="48"/>
          <w:highlight w:val="none"/>
        </w:rPr>
        <w:t>）</w:t>
      </w:r>
    </w:p>
    <w:p>
      <w:pPr>
        <w:overflowPunct w:val="0"/>
        <w:ind w:firstLine="960" w:firstLineChars="200"/>
        <w:jc w:val="center"/>
        <w:rPr>
          <w:rFonts w:ascii="宋体" w:cs="宋体"/>
          <w:sz w:val="48"/>
          <w:szCs w:val="48"/>
          <w:highlight w:val="none"/>
        </w:rPr>
      </w:pPr>
    </w:p>
    <w:p>
      <w:pPr>
        <w:overflowPunct w:val="0"/>
        <w:ind w:firstLine="960" w:firstLineChars="200"/>
        <w:jc w:val="center"/>
        <w:rPr>
          <w:rFonts w:ascii="宋体" w:cs="宋体"/>
          <w:sz w:val="48"/>
          <w:szCs w:val="48"/>
          <w:highlight w:val="none"/>
        </w:rPr>
      </w:pPr>
    </w:p>
    <w:p>
      <w:pPr>
        <w:overflowPunct w:val="0"/>
        <w:ind w:firstLine="960" w:firstLineChars="200"/>
        <w:jc w:val="center"/>
        <w:rPr>
          <w:rFonts w:ascii="宋体" w:cs="宋体"/>
          <w:sz w:val="48"/>
          <w:szCs w:val="48"/>
          <w:highlight w:val="none"/>
        </w:rPr>
      </w:pPr>
    </w:p>
    <w:p>
      <w:pPr>
        <w:overflowPunct w:val="0"/>
        <w:spacing w:line="800" w:lineRule="exact"/>
        <w:ind w:firstLine="480" w:firstLineChars="200"/>
        <w:rPr>
          <w:rFonts w:ascii="宋体" w:cs="宋体"/>
          <w:sz w:val="24"/>
          <w:highlight w:val="none"/>
        </w:rPr>
      </w:pPr>
      <w:r>
        <w:rPr>
          <w:rFonts w:hint="eastAsia" w:ascii="宋体" w:hAnsi="宋体" w:cs="宋体"/>
          <w:sz w:val="24"/>
          <w:highlight w:val="none"/>
        </w:rPr>
        <w:t>项目名称：</w:t>
      </w:r>
    </w:p>
    <w:p>
      <w:pPr>
        <w:overflowPunct w:val="0"/>
        <w:spacing w:line="800" w:lineRule="exact"/>
        <w:ind w:firstLine="480" w:firstLineChars="200"/>
        <w:rPr>
          <w:rFonts w:ascii="宋体" w:cs="宋体"/>
          <w:sz w:val="24"/>
          <w:highlight w:val="none"/>
        </w:rPr>
      </w:pPr>
      <w:r>
        <w:rPr>
          <w:rFonts w:hint="eastAsia" w:ascii="宋体" w:hAnsi="宋体" w:cs="宋体"/>
          <w:sz w:val="24"/>
          <w:highlight w:val="none"/>
        </w:rPr>
        <w:t>项目编号：</w:t>
      </w:r>
    </w:p>
    <w:p>
      <w:pPr>
        <w:overflowPunct w:val="0"/>
        <w:spacing w:line="800" w:lineRule="exact"/>
        <w:ind w:firstLine="480" w:firstLineChars="200"/>
        <w:rPr>
          <w:rFonts w:ascii="宋体" w:cs="宋体"/>
          <w:sz w:val="24"/>
          <w:highlight w:val="none"/>
        </w:rPr>
      </w:pPr>
      <w:r>
        <w:rPr>
          <w:rFonts w:hint="eastAsia" w:ascii="宋体" w:hAnsi="宋体" w:cs="宋体"/>
          <w:sz w:val="24"/>
          <w:highlight w:val="none"/>
        </w:rPr>
        <w:t>供应商名称（盖章）：</w:t>
      </w:r>
    </w:p>
    <w:p>
      <w:pPr>
        <w:overflowPunct w:val="0"/>
        <w:spacing w:line="800" w:lineRule="exact"/>
        <w:ind w:firstLine="480" w:firstLineChars="200"/>
        <w:rPr>
          <w:rFonts w:ascii="宋体" w:cs="宋体"/>
          <w:sz w:val="24"/>
          <w:highlight w:val="none"/>
        </w:rPr>
      </w:pPr>
      <w:r>
        <w:rPr>
          <w:rFonts w:hint="eastAsia" w:ascii="宋体" w:hAnsi="宋体" w:cs="宋体"/>
          <w:sz w:val="24"/>
          <w:highlight w:val="none"/>
        </w:rPr>
        <w:t>供应商地址：</w:t>
      </w:r>
    </w:p>
    <w:p>
      <w:pPr>
        <w:overflowPunct w:val="0"/>
        <w:spacing w:line="800" w:lineRule="exact"/>
        <w:ind w:firstLine="480" w:firstLineChars="200"/>
        <w:rPr>
          <w:rFonts w:hint="eastAsia" w:ascii="宋体" w:eastAsia="宋体" w:cs="宋体"/>
          <w:sz w:val="24"/>
          <w:highlight w:val="none"/>
          <w:lang w:eastAsia="zh-CN"/>
        </w:rPr>
      </w:pPr>
      <w:r>
        <w:rPr>
          <w:rFonts w:hint="eastAsia" w:ascii="宋体" w:hAnsi="宋体" w:cs="宋体"/>
          <w:sz w:val="24"/>
          <w:highlight w:val="none"/>
        </w:rPr>
        <w:t>授权代表</w:t>
      </w:r>
      <w:r>
        <w:rPr>
          <w:rFonts w:hint="eastAsia" w:ascii="宋体" w:hAnsi="宋体" w:cs="宋体"/>
          <w:sz w:val="24"/>
          <w:highlight w:val="none"/>
          <w:lang w:eastAsia="zh-CN"/>
        </w:rPr>
        <w:t>签字或盖章：</w:t>
      </w:r>
    </w:p>
    <w:p>
      <w:pPr>
        <w:overflowPunct w:val="0"/>
        <w:spacing w:line="800" w:lineRule="exact"/>
        <w:ind w:firstLine="480" w:firstLineChars="200"/>
        <w:rPr>
          <w:rFonts w:ascii="宋体" w:cs="宋体"/>
          <w:sz w:val="24"/>
          <w:highlight w:val="none"/>
        </w:rPr>
      </w:pPr>
      <w:r>
        <w:rPr>
          <w:rFonts w:hint="eastAsia" w:ascii="宋体" w:hAnsi="宋体" w:cs="宋体"/>
          <w:sz w:val="24"/>
          <w:highlight w:val="none"/>
        </w:rPr>
        <w:t>在</w:t>
      </w:r>
      <w:r>
        <w:rPr>
          <w:rFonts w:ascii="宋体" w:hAnsi="宋体" w:cs="宋体"/>
          <w:sz w:val="24"/>
          <w:highlight w:val="none"/>
        </w:rPr>
        <w:t xml:space="preserve">    </w:t>
      </w:r>
      <w:r>
        <w:rPr>
          <w:rFonts w:hint="eastAsia" w:ascii="宋体" w:hAnsi="宋体" w:cs="宋体"/>
          <w:sz w:val="24"/>
          <w:highlight w:val="none"/>
        </w:rPr>
        <w:t>年</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rPr>
        <w:t xml:space="preserve">  </w:t>
      </w:r>
      <w:r>
        <w:rPr>
          <w:rFonts w:hint="eastAsia" w:ascii="宋体" w:hAnsi="宋体" w:cs="宋体"/>
          <w:sz w:val="24"/>
          <w:highlight w:val="none"/>
        </w:rPr>
        <w:t>日</w:t>
      </w:r>
      <w:r>
        <w:rPr>
          <w:rFonts w:ascii="宋体" w:hAnsi="宋体" w:cs="宋体"/>
          <w:sz w:val="24"/>
          <w:highlight w:val="none"/>
        </w:rPr>
        <w:t xml:space="preserve">  </w:t>
      </w:r>
      <w:r>
        <w:rPr>
          <w:rFonts w:hint="eastAsia" w:ascii="宋体" w:hAnsi="宋体" w:cs="宋体"/>
          <w:sz w:val="24"/>
          <w:highlight w:val="none"/>
        </w:rPr>
        <w:t>时</w:t>
      </w:r>
      <w:r>
        <w:rPr>
          <w:rFonts w:ascii="宋体" w:hAnsi="宋体" w:cs="宋体"/>
          <w:sz w:val="24"/>
          <w:highlight w:val="none"/>
        </w:rPr>
        <w:t xml:space="preserve">  </w:t>
      </w:r>
      <w:r>
        <w:rPr>
          <w:rFonts w:hint="eastAsia" w:ascii="宋体" w:hAnsi="宋体" w:cs="宋体"/>
          <w:sz w:val="24"/>
          <w:highlight w:val="none"/>
        </w:rPr>
        <w:t>分之前不得启封</w:t>
      </w:r>
      <w:r>
        <w:rPr>
          <w:rFonts w:ascii="宋体" w:hAnsi="宋体" w:cs="宋体"/>
          <w:sz w:val="24"/>
          <w:highlight w:val="none"/>
        </w:rPr>
        <w:t>(</w:t>
      </w:r>
      <w:r>
        <w:rPr>
          <w:rFonts w:hint="eastAsia" w:ascii="宋体" w:hAnsi="宋体" w:cs="宋体"/>
          <w:sz w:val="24"/>
          <w:highlight w:val="none"/>
        </w:rPr>
        <w:t>磋商时间</w:t>
      </w:r>
      <w:r>
        <w:rPr>
          <w:rFonts w:ascii="宋体" w:hAnsi="宋体" w:cs="宋体"/>
          <w:sz w:val="24"/>
          <w:highlight w:val="none"/>
        </w:rPr>
        <w:t>)</w:t>
      </w:r>
    </w:p>
    <w:p>
      <w:pPr>
        <w:overflowPunct w:val="0"/>
        <w:spacing w:line="800" w:lineRule="exact"/>
        <w:ind w:firstLine="570"/>
        <w:jc w:val="right"/>
        <w:rPr>
          <w:rFonts w:ascii="宋体" w:cs="宋体"/>
          <w:sz w:val="24"/>
          <w:highlight w:val="none"/>
        </w:rPr>
      </w:pPr>
      <w:r>
        <w:rPr>
          <w:rFonts w:ascii="宋体" w:hAnsi="宋体" w:cs="宋体"/>
          <w:sz w:val="24"/>
          <w:highlight w:val="none"/>
        </w:rPr>
        <w:t xml:space="preserve">                                          </w:t>
      </w:r>
      <w:r>
        <w:rPr>
          <w:rFonts w:hint="eastAsia" w:ascii="宋体" w:hAnsi="宋体" w:cs="宋体"/>
          <w:sz w:val="24"/>
          <w:highlight w:val="none"/>
        </w:rPr>
        <w:t>年</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rPr>
        <w:t xml:space="preserve">  </w:t>
      </w:r>
      <w:r>
        <w:rPr>
          <w:rFonts w:hint="eastAsia" w:ascii="宋体" w:hAnsi="宋体" w:cs="宋体"/>
          <w:sz w:val="24"/>
          <w:highlight w:val="none"/>
        </w:rPr>
        <w:t>日</w:t>
      </w:r>
      <w:r>
        <w:rPr>
          <w:rFonts w:ascii="宋体" w:hAnsi="宋体" w:cs="宋体"/>
          <w:sz w:val="24"/>
          <w:highlight w:val="none"/>
        </w:rPr>
        <w:t xml:space="preserve"> </w:t>
      </w:r>
    </w:p>
    <w:p>
      <w:pPr>
        <w:overflowPunct w:val="0"/>
        <w:ind w:firstLine="570"/>
        <w:jc w:val="center"/>
        <w:rPr>
          <w:rFonts w:ascii="宋体" w:cs="宋体"/>
          <w:sz w:val="32"/>
          <w:szCs w:val="32"/>
          <w:highlight w:val="none"/>
        </w:rPr>
      </w:pPr>
      <w:r>
        <w:rPr>
          <w:rFonts w:hint="eastAsia" w:ascii="宋体" w:hAnsi="宋体" w:cs="宋体"/>
          <w:b/>
          <w:sz w:val="32"/>
          <w:szCs w:val="32"/>
          <w:highlight w:val="none"/>
        </w:rPr>
        <w:t>二、响应文件格式</w:t>
      </w:r>
    </w:p>
    <w:p>
      <w:pPr>
        <w:overflowPunct w:val="0"/>
        <w:ind w:firstLine="570"/>
        <w:rPr>
          <w:rFonts w:ascii="宋体" w:cs="宋体"/>
          <w:sz w:val="28"/>
          <w:szCs w:val="28"/>
          <w:highlight w:val="none"/>
        </w:rPr>
      </w:pPr>
    </w:p>
    <w:p>
      <w:pPr>
        <w:overflowPunct w:val="0"/>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、响应文件的封面格式：</w:t>
      </w:r>
    </w:p>
    <w:p>
      <w:pPr>
        <w:pStyle w:val="4"/>
        <w:rPr>
          <w:highlight w:val="none"/>
        </w:rPr>
      </w:pPr>
    </w:p>
    <w:p>
      <w:pPr>
        <w:pStyle w:val="69"/>
        <w:widowControl w:val="0"/>
        <w:overflowPunct w:val="0"/>
        <w:ind w:firstLine="31680"/>
        <w:rPr>
          <w:rFonts w:cs="宋体"/>
          <w:b/>
          <w:sz w:val="84"/>
          <w:szCs w:val="84"/>
          <w:highlight w:val="none"/>
        </w:rPr>
      </w:pPr>
    </w:p>
    <w:p>
      <w:pPr>
        <w:overflowPunct w:val="0"/>
        <w:rPr>
          <w:rFonts w:ascii="宋体" w:cs="宋体"/>
          <w:highlight w:val="none"/>
        </w:rPr>
      </w:pPr>
    </w:p>
    <w:p>
      <w:pPr>
        <w:overflowPunct w:val="0"/>
        <w:jc w:val="center"/>
        <w:rPr>
          <w:rFonts w:ascii="宋体" w:cs="宋体"/>
          <w:b/>
          <w:sz w:val="48"/>
          <w:szCs w:val="48"/>
          <w:highlight w:val="none"/>
        </w:rPr>
      </w:pPr>
      <w:r>
        <w:rPr>
          <w:rFonts w:hint="eastAsia" w:ascii="宋体" w:hAnsi="宋体" w:cs="宋体"/>
          <w:b/>
          <w:sz w:val="48"/>
          <w:szCs w:val="48"/>
          <w:highlight w:val="none"/>
        </w:rPr>
        <w:t>响应文件（资格证明文件或商务技术文件</w:t>
      </w:r>
      <w:r>
        <w:rPr>
          <w:rFonts w:hint="eastAsia" w:ascii="宋体" w:hAnsi="宋体" w:cs="宋体"/>
          <w:b/>
          <w:sz w:val="48"/>
          <w:szCs w:val="48"/>
          <w:highlight w:val="none"/>
          <w:lang w:eastAsia="zh-CN"/>
        </w:rPr>
        <w:t>或报价文件</w:t>
      </w:r>
      <w:r>
        <w:rPr>
          <w:rFonts w:hint="eastAsia" w:ascii="宋体" w:hAnsi="宋体" w:cs="宋体"/>
          <w:b/>
          <w:sz w:val="48"/>
          <w:szCs w:val="48"/>
          <w:highlight w:val="none"/>
        </w:rPr>
        <w:t>）</w:t>
      </w:r>
    </w:p>
    <w:p>
      <w:pPr>
        <w:overflowPunct w:val="0"/>
        <w:ind w:firstLine="570"/>
        <w:jc w:val="center"/>
        <w:rPr>
          <w:rFonts w:ascii="宋体" w:cs="宋体"/>
          <w:b/>
          <w:sz w:val="84"/>
          <w:szCs w:val="84"/>
          <w:highlight w:val="none"/>
        </w:rPr>
      </w:pPr>
    </w:p>
    <w:p>
      <w:pPr>
        <w:overflowPunct w:val="0"/>
        <w:ind w:firstLine="570"/>
        <w:jc w:val="center"/>
        <w:rPr>
          <w:rFonts w:ascii="宋体" w:cs="宋体"/>
          <w:b/>
          <w:sz w:val="84"/>
          <w:szCs w:val="84"/>
          <w:highlight w:val="none"/>
        </w:rPr>
      </w:pPr>
    </w:p>
    <w:p>
      <w:pPr>
        <w:overflowPunct w:val="0"/>
        <w:spacing w:line="800" w:lineRule="exact"/>
        <w:ind w:firstLine="570"/>
        <w:rPr>
          <w:rFonts w:ascii="宋体" w:cs="宋体"/>
          <w:sz w:val="28"/>
          <w:szCs w:val="28"/>
          <w:highlight w:val="none"/>
        </w:rPr>
      </w:pPr>
      <w:r>
        <w:rPr>
          <w:rFonts w:hint="eastAsia" w:ascii="宋体" w:hAnsi="宋体" w:cs="宋体"/>
          <w:sz w:val="28"/>
          <w:szCs w:val="28"/>
          <w:highlight w:val="none"/>
        </w:rPr>
        <w:t>项目名称：</w:t>
      </w:r>
    </w:p>
    <w:p>
      <w:pPr>
        <w:overflowPunct w:val="0"/>
        <w:spacing w:line="800" w:lineRule="exact"/>
        <w:ind w:firstLine="570"/>
        <w:rPr>
          <w:rFonts w:ascii="宋体" w:cs="宋体"/>
          <w:sz w:val="28"/>
          <w:szCs w:val="28"/>
          <w:highlight w:val="none"/>
        </w:rPr>
      </w:pPr>
      <w:r>
        <w:rPr>
          <w:rFonts w:hint="eastAsia" w:ascii="宋体" w:hAnsi="宋体" w:cs="宋体"/>
          <w:sz w:val="28"/>
          <w:szCs w:val="28"/>
          <w:highlight w:val="none"/>
        </w:rPr>
        <w:t>项目编号：</w:t>
      </w:r>
    </w:p>
    <w:p>
      <w:pPr>
        <w:overflowPunct w:val="0"/>
        <w:spacing w:line="800" w:lineRule="exact"/>
        <w:ind w:firstLine="570"/>
        <w:rPr>
          <w:rFonts w:ascii="宋体" w:cs="宋体"/>
          <w:sz w:val="28"/>
          <w:szCs w:val="28"/>
          <w:highlight w:val="none"/>
        </w:rPr>
      </w:pPr>
      <w:r>
        <w:rPr>
          <w:rFonts w:hint="eastAsia" w:ascii="宋体" w:hAnsi="宋体" w:cs="宋体"/>
          <w:sz w:val="28"/>
          <w:szCs w:val="28"/>
          <w:highlight w:val="none"/>
        </w:rPr>
        <w:t>供应商名称（盖章）：</w:t>
      </w:r>
    </w:p>
    <w:p>
      <w:pPr>
        <w:overflowPunct w:val="0"/>
        <w:spacing w:line="800" w:lineRule="exact"/>
        <w:ind w:firstLine="570"/>
        <w:rPr>
          <w:rFonts w:ascii="宋体" w:cs="宋体"/>
          <w:sz w:val="28"/>
          <w:szCs w:val="28"/>
          <w:highlight w:val="none"/>
        </w:rPr>
      </w:pPr>
      <w:r>
        <w:rPr>
          <w:rFonts w:hint="eastAsia" w:ascii="宋体" w:hAnsi="宋体" w:cs="宋体"/>
          <w:sz w:val="28"/>
          <w:szCs w:val="28"/>
          <w:highlight w:val="none"/>
        </w:rPr>
        <w:t>供应商地址：</w:t>
      </w:r>
    </w:p>
    <w:p>
      <w:pPr>
        <w:overflowPunct w:val="0"/>
        <w:spacing w:line="800" w:lineRule="exact"/>
        <w:ind w:firstLine="570"/>
        <w:jc w:val="right"/>
        <w:rPr>
          <w:rFonts w:ascii="宋体" w:cs="宋体"/>
          <w:b/>
          <w:sz w:val="24"/>
          <w:highlight w:val="none"/>
        </w:rPr>
      </w:pPr>
      <w:r>
        <w:rPr>
          <w:rFonts w:ascii="宋体" w:hAnsi="宋体" w:cs="宋体"/>
          <w:b/>
          <w:sz w:val="24"/>
          <w:highlight w:val="none"/>
        </w:rPr>
        <w:t xml:space="preserve">  </w:t>
      </w:r>
      <w:r>
        <w:rPr>
          <w:rFonts w:hint="eastAsia" w:ascii="宋体" w:hAnsi="宋体" w:cs="宋体"/>
          <w:b/>
          <w:sz w:val="24"/>
          <w:highlight w:val="none"/>
        </w:rPr>
        <w:t>年</w:t>
      </w:r>
      <w:r>
        <w:rPr>
          <w:rFonts w:ascii="宋体" w:hAnsi="宋体" w:cs="宋体"/>
          <w:b/>
          <w:sz w:val="24"/>
          <w:highlight w:val="none"/>
        </w:rPr>
        <w:t xml:space="preserve">   </w:t>
      </w:r>
      <w:r>
        <w:rPr>
          <w:rFonts w:hint="eastAsia" w:ascii="宋体" w:hAnsi="宋体" w:cs="宋体"/>
          <w:b/>
          <w:sz w:val="24"/>
          <w:highlight w:val="none"/>
        </w:rPr>
        <w:t>月</w:t>
      </w:r>
      <w:r>
        <w:rPr>
          <w:rFonts w:ascii="宋体" w:hAnsi="宋体" w:cs="宋体"/>
          <w:b/>
          <w:sz w:val="24"/>
          <w:highlight w:val="none"/>
        </w:rPr>
        <w:t xml:space="preserve">   </w:t>
      </w:r>
      <w:r>
        <w:rPr>
          <w:rFonts w:hint="eastAsia" w:ascii="宋体" w:hAnsi="宋体" w:cs="宋体"/>
          <w:b/>
          <w:sz w:val="24"/>
          <w:highlight w:val="none"/>
        </w:rPr>
        <w:t>日</w:t>
      </w:r>
    </w:p>
    <w:p>
      <w:pPr>
        <w:overflowPunct w:val="0"/>
        <w:spacing w:line="400" w:lineRule="exact"/>
        <w:ind w:firstLine="420" w:firstLineChars="200"/>
        <w:jc w:val="left"/>
        <w:rPr>
          <w:rFonts w:ascii="宋体" w:cs="宋体"/>
          <w:highlight w:val="none"/>
        </w:rPr>
      </w:pPr>
    </w:p>
    <w:p>
      <w:pPr>
        <w:overflowPunct w:val="0"/>
        <w:ind w:firstLine="420" w:firstLineChars="200"/>
        <w:rPr>
          <w:rFonts w:ascii="宋体" w:cs="宋体"/>
          <w:szCs w:val="21"/>
          <w:highlight w:val="none"/>
          <w:u w:val="single"/>
        </w:rPr>
      </w:pPr>
    </w:p>
    <w:p>
      <w:pPr>
        <w:pStyle w:val="69"/>
        <w:widowControl w:val="0"/>
        <w:overflowPunct w:val="0"/>
        <w:ind w:firstLine="31680"/>
        <w:rPr>
          <w:rFonts w:cs="宋体"/>
          <w:highlight w:val="none"/>
        </w:rPr>
      </w:pPr>
    </w:p>
    <w:p>
      <w:pPr>
        <w:overflowPunct w:val="0"/>
        <w:ind w:firstLine="420" w:firstLineChars="200"/>
        <w:rPr>
          <w:rFonts w:ascii="宋体" w:cs="宋体"/>
          <w:szCs w:val="21"/>
          <w:highlight w:val="none"/>
          <w:u w:val="single"/>
        </w:rPr>
      </w:pPr>
    </w:p>
    <w:p>
      <w:pPr>
        <w:overflowPunct w:val="0"/>
        <w:ind w:firstLine="570"/>
        <w:jc w:val="center"/>
        <w:rPr>
          <w:rFonts w:ascii="宋体" w:cs="宋体"/>
          <w:b/>
          <w:sz w:val="32"/>
          <w:szCs w:val="32"/>
          <w:highlight w:val="none"/>
        </w:rPr>
      </w:pPr>
      <w:r>
        <w:rPr>
          <w:rFonts w:hint="eastAsia" w:ascii="宋体" w:hAnsi="宋体" w:cs="宋体"/>
          <w:b/>
          <w:sz w:val="32"/>
          <w:szCs w:val="32"/>
          <w:highlight w:val="none"/>
        </w:rPr>
        <w:t>三、目录及内容</w:t>
      </w:r>
    </w:p>
    <w:p>
      <w:pPr>
        <w:overflowPunct w:val="0"/>
        <w:autoSpaceDE w:val="0"/>
        <w:autoSpaceDN w:val="0"/>
        <w:adjustRightInd w:val="0"/>
        <w:snapToGrid w:val="0"/>
        <w:spacing w:line="400" w:lineRule="exact"/>
        <w:ind w:firstLine="426" w:firstLineChars="202"/>
        <w:textAlignment w:val="bottom"/>
        <w:rPr>
          <w:rFonts w:ascii="宋体" w:cs="宋体"/>
          <w:b/>
          <w:sz w:val="21"/>
          <w:szCs w:val="21"/>
          <w:highlight w:val="none"/>
        </w:rPr>
      </w:pPr>
      <w:r>
        <w:rPr>
          <w:rFonts w:hint="eastAsia" w:ascii="宋体" w:hAnsi="宋体" w:cs="宋体"/>
          <w:b/>
          <w:sz w:val="21"/>
          <w:szCs w:val="21"/>
          <w:highlight w:val="none"/>
        </w:rPr>
        <w:t>资格证明文件</w:t>
      </w:r>
    </w:p>
    <w:p>
      <w:pPr>
        <w:keepNext w:val="0"/>
        <w:keepLines w:val="0"/>
        <w:pageBreakBefore w:val="0"/>
        <w:widowControl w:val="0"/>
        <w:numPr>
          <w:ilvl w:val="0"/>
          <w:numId w:val="7"/>
        </w:numPr>
        <w:kinsoku/>
        <w:wordWrap/>
        <w:overflowPunct w:val="0"/>
        <w:topLinePunct w:val="0"/>
        <w:autoSpaceDE w:val="0"/>
        <w:autoSpaceDN w:val="0"/>
        <w:bidi w:val="0"/>
        <w:adjustRightInd/>
        <w:snapToGrid w:val="0"/>
        <w:spacing w:line="400" w:lineRule="exact"/>
        <w:ind w:left="0" w:firstLine="420" w:firstLineChars="200"/>
        <w:textAlignment w:val="bottom"/>
        <w:rPr>
          <w:rFonts w:ascii="宋体" w:cs="宋体"/>
          <w:bCs/>
          <w:szCs w:val="21"/>
          <w:highlight w:val="none"/>
        </w:rPr>
      </w:pPr>
      <w:r>
        <w:rPr>
          <w:rFonts w:hint="eastAsia" w:ascii="宋体"/>
          <w:szCs w:val="21"/>
          <w:highlight w:val="none"/>
        </w:rPr>
        <w:t>符合参加政府采购活动应当具备的一般条件的承诺函</w:t>
      </w:r>
      <w:r>
        <w:rPr>
          <w:rFonts w:hint="eastAsia" w:ascii="宋体" w:hAnsi="宋体" w:cs="宋体"/>
          <w:bCs/>
          <w:szCs w:val="21"/>
          <w:highlight w:val="none"/>
        </w:rPr>
        <w:t>（格式见附件）；</w:t>
      </w:r>
    </w:p>
    <w:p>
      <w:pPr>
        <w:keepNext w:val="0"/>
        <w:keepLines w:val="0"/>
        <w:pageBreakBefore w:val="0"/>
        <w:widowControl w:val="0"/>
        <w:numPr>
          <w:ilvl w:val="0"/>
          <w:numId w:val="7"/>
        </w:numPr>
        <w:kinsoku/>
        <w:wordWrap/>
        <w:overflowPunct w:val="0"/>
        <w:topLinePunct w:val="0"/>
        <w:autoSpaceDE w:val="0"/>
        <w:autoSpaceDN w:val="0"/>
        <w:bidi w:val="0"/>
        <w:adjustRightInd/>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营业执照复印件；</w:t>
      </w:r>
    </w:p>
    <w:p>
      <w:pPr>
        <w:keepNext w:val="0"/>
        <w:keepLines w:val="0"/>
        <w:pageBreakBefore w:val="0"/>
        <w:widowControl w:val="0"/>
        <w:numPr>
          <w:ilvl w:val="0"/>
          <w:numId w:val="7"/>
        </w:numPr>
        <w:kinsoku/>
        <w:wordWrap/>
        <w:topLinePunct w:val="0"/>
        <w:autoSpaceDE w:val="0"/>
        <w:autoSpaceDN w:val="0"/>
        <w:bidi w:val="0"/>
        <w:adjustRightInd/>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中小企业声明函（格式见附件）；</w:t>
      </w:r>
    </w:p>
    <w:p>
      <w:pPr>
        <w:keepNext w:val="0"/>
        <w:keepLines w:val="0"/>
        <w:pageBreakBefore w:val="0"/>
        <w:widowControl w:val="0"/>
        <w:numPr>
          <w:ilvl w:val="0"/>
          <w:numId w:val="7"/>
        </w:numPr>
        <w:kinsoku/>
        <w:wordWrap/>
        <w:overflowPunct w:val="0"/>
        <w:topLinePunct w:val="0"/>
        <w:autoSpaceDE w:val="0"/>
        <w:autoSpaceDN w:val="0"/>
        <w:bidi w:val="0"/>
        <w:adjustRightInd/>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法定代表人身份证明书（格式见附件）；</w:t>
      </w:r>
    </w:p>
    <w:p>
      <w:pPr>
        <w:keepNext w:val="0"/>
        <w:keepLines w:val="0"/>
        <w:pageBreakBefore w:val="0"/>
        <w:widowControl w:val="0"/>
        <w:numPr>
          <w:ilvl w:val="0"/>
          <w:numId w:val="7"/>
        </w:numPr>
        <w:kinsoku/>
        <w:wordWrap/>
        <w:overflowPunct w:val="0"/>
        <w:topLinePunct w:val="0"/>
        <w:autoSpaceDE w:val="0"/>
        <w:autoSpaceDN w:val="0"/>
        <w:bidi w:val="0"/>
        <w:adjustRightInd/>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法定代表人授权委托书及授权代理人有效身份证明（格式见附件）；</w:t>
      </w:r>
    </w:p>
    <w:p>
      <w:pPr>
        <w:keepNext w:val="0"/>
        <w:keepLines w:val="0"/>
        <w:pageBreakBefore w:val="0"/>
        <w:widowControl w:val="0"/>
        <w:kinsoku/>
        <w:wordWrap/>
        <w:overflowPunct w:val="0"/>
        <w:topLinePunct w:val="0"/>
        <w:bidi w:val="0"/>
        <w:adjustRightInd/>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overflowPunct w:val="0"/>
        <w:spacing w:line="280" w:lineRule="exact"/>
        <w:ind w:firstLine="470" w:firstLineChars="196"/>
        <w:rPr>
          <w:rFonts w:ascii="宋体" w:cs="宋体"/>
          <w:sz w:val="24"/>
          <w:highlight w:val="none"/>
        </w:rPr>
      </w:pPr>
    </w:p>
    <w:p>
      <w:pPr>
        <w:pStyle w:val="3"/>
        <w:widowControl w:val="0"/>
        <w:rPr>
          <w:highlight w:val="none"/>
        </w:rPr>
      </w:pPr>
    </w:p>
    <w:p>
      <w:pPr>
        <w:overflowPunct w:val="0"/>
        <w:spacing w:line="280" w:lineRule="exact"/>
        <w:ind w:firstLine="470" w:firstLineChars="196"/>
        <w:rPr>
          <w:rFonts w:ascii="宋体" w:cs="宋体"/>
          <w:sz w:val="24"/>
          <w:highlight w:val="none"/>
        </w:rPr>
      </w:pPr>
    </w:p>
    <w:p>
      <w:pPr>
        <w:pStyle w:val="9"/>
        <w:rPr>
          <w:highlight w:val="none"/>
        </w:rPr>
      </w:pPr>
    </w:p>
    <w:p>
      <w:pPr>
        <w:pStyle w:val="10"/>
        <w:rPr>
          <w:highlight w:val="none"/>
        </w:rPr>
      </w:pPr>
    </w:p>
    <w:p>
      <w:pPr>
        <w:pStyle w:val="67"/>
        <w:spacing w:before="156"/>
        <w:rPr>
          <w:highlight w:val="none"/>
        </w:rPr>
      </w:pPr>
    </w:p>
    <w:p>
      <w:pPr>
        <w:overflowPunct w:val="0"/>
        <w:spacing w:line="400" w:lineRule="exact"/>
        <w:jc w:val="left"/>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、符合参加政府采购活动应当具备的一般条件的承诺函</w:t>
      </w:r>
    </w:p>
    <w:p>
      <w:pPr>
        <w:overflowPunct w:val="0"/>
        <w:spacing w:line="360" w:lineRule="auto"/>
        <w:jc w:val="center"/>
        <w:rPr>
          <w:rFonts w:hint="eastAsia" w:ascii="宋体" w:hAnsi="宋体" w:cs="宋体"/>
          <w:b/>
          <w:bCs/>
          <w:sz w:val="28"/>
          <w:szCs w:val="28"/>
          <w:highlight w:val="none"/>
        </w:rPr>
      </w:pPr>
    </w:p>
    <w:p>
      <w:pPr>
        <w:overflowPunct w:val="0"/>
        <w:spacing w:line="360" w:lineRule="auto"/>
        <w:jc w:val="center"/>
        <w:rPr>
          <w:rFonts w:ascii="宋体" w:cs="宋体"/>
          <w:b/>
          <w:bCs/>
          <w:sz w:val="28"/>
          <w:szCs w:val="28"/>
          <w:highlight w:val="none"/>
        </w:rPr>
      </w:pPr>
      <w:r>
        <w:rPr>
          <w:rFonts w:hint="eastAsia" w:ascii="宋体" w:hAnsi="宋体" w:cs="宋体"/>
          <w:b/>
          <w:bCs/>
          <w:sz w:val="28"/>
          <w:szCs w:val="28"/>
          <w:highlight w:val="none"/>
        </w:rPr>
        <w:t>符合参加政府采购活动应当具备的一般条件的承诺函</w:t>
      </w:r>
      <w:r>
        <w:rPr>
          <w:rFonts w:ascii="宋体" w:hAnsi="宋体" w:cs="宋体"/>
          <w:b/>
          <w:bCs/>
          <w:sz w:val="28"/>
          <w:szCs w:val="28"/>
          <w:highlight w:val="none"/>
        </w:rPr>
        <w:t xml:space="preserve"> </w:t>
      </w: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rPr>
          <w:rFonts w:hint="eastAsia" w:ascii="宋体" w:hAnsi="宋体" w:cs="宋体"/>
          <w:szCs w:val="21"/>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rPr>
          <w:rFonts w:ascii="宋体" w:cs="宋体"/>
          <w:szCs w:val="21"/>
          <w:highlight w:val="none"/>
        </w:rPr>
      </w:pPr>
      <w:r>
        <w:rPr>
          <w:rFonts w:hint="eastAsia" w:ascii="宋体" w:hAnsi="宋体" w:cs="宋体"/>
          <w:szCs w:val="21"/>
          <w:highlight w:val="none"/>
        </w:rPr>
        <w:t>致：</w:t>
      </w:r>
      <w:r>
        <w:rPr>
          <w:rFonts w:ascii="宋体" w:hAnsi="宋体" w:cs="宋体"/>
          <w:szCs w:val="21"/>
          <w:highlight w:val="none"/>
          <w:u w:val="single"/>
        </w:rPr>
        <w:t xml:space="preserve">                  </w:t>
      </w:r>
      <w:r>
        <w:rPr>
          <w:rFonts w:hint="eastAsia" w:ascii="宋体" w:hAnsi="宋体" w:cs="宋体"/>
          <w:szCs w:val="21"/>
          <w:highlight w:val="none"/>
        </w:rPr>
        <w:t>：</w:t>
      </w:r>
    </w:p>
    <w:p>
      <w:pPr>
        <w:keepNext w:val="0"/>
        <w:keepLines w:val="0"/>
        <w:pageBreakBefore w:val="0"/>
        <w:widowControl w:val="0"/>
        <w:tabs>
          <w:tab w:val="left" w:pos="1418"/>
        </w:tabs>
        <w:kinsoku/>
        <w:wordWrap/>
        <w:overflowPunct w:val="0"/>
        <w:topLinePunct w:val="0"/>
        <w:autoSpaceDE/>
        <w:autoSpaceDN/>
        <w:bidi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（供应商名称）系中华人民共和国合法企业，经营地址</w:t>
      </w:r>
      <w:r>
        <w:rPr>
          <w:rFonts w:ascii="宋体" w:hAnsi="宋体" w:cs="宋体"/>
          <w:szCs w:val="21"/>
          <w:highlight w:val="none"/>
          <w:u w:val="single"/>
        </w:rPr>
        <w:t xml:space="preserve">                </w:t>
      </w:r>
      <w:r>
        <w:rPr>
          <w:rFonts w:hint="eastAsia" w:ascii="宋体" w:hAnsi="宋体" w:cs="宋体"/>
          <w:szCs w:val="21"/>
          <w:highlight w:val="none"/>
        </w:rPr>
        <w:t>。</w:t>
      </w:r>
    </w:p>
    <w:p>
      <w:pPr>
        <w:keepNext w:val="0"/>
        <w:keepLines w:val="0"/>
        <w:pageBreakBefore w:val="0"/>
        <w:widowControl w:val="0"/>
        <w:tabs>
          <w:tab w:val="left" w:pos="1418"/>
        </w:tabs>
        <w:kinsoku/>
        <w:wordWrap/>
        <w:overflowPunct w:val="0"/>
        <w:topLinePunct w:val="0"/>
        <w:autoSpaceDE/>
        <w:autoSpaceDN/>
        <w:bidi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我</w:t>
      </w:r>
      <w:r>
        <w:rPr>
          <w:rFonts w:ascii="宋体" w:hAnsi="宋体" w:cs="宋体"/>
          <w:szCs w:val="21"/>
          <w:highlight w:val="none"/>
          <w:u w:val="single"/>
        </w:rPr>
        <w:t xml:space="preserve">           </w:t>
      </w:r>
      <w:r>
        <w:rPr>
          <w:rFonts w:hint="eastAsia" w:ascii="宋体" w:hAnsi="宋体" w:cs="宋体"/>
          <w:szCs w:val="21"/>
          <w:highlight w:val="none"/>
        </w:rPr>
        <w:t>（姓名）系</w:t>
      </w:r>
      <w:r>
        <w:rPr>
          <w:rFonts w:ascii="宋体" w:hAnsi="宋体" w:cs="宋体"/>
          <w:szCs w:val="21"/>
          <w:highlight w:val="none"/>
          <w:u w:val="single"/>
        </w:rPr>
        <w:t xml:space="preserve">                  </w:t>
      </w:r>
      <w:r>
        <w:rPr>
          <w:rFonts w:hint="eastAsia" w:ascii="宋体" w:hAnsi="宋体" w:cs="宋体"/>
          <w:szCs w:val="21"/>
          <w:highlight w:val="none"/>
        </w:rPr>
        <w:t>（供应商名称）的法定代表人，我方愿意参加贵方组织的</w:t>
      </w:r>
      <w:r>
        <w:rPr>
          <w:rFonts w:ascii="宋体" w:hAnsi="宋体" w:cs="宋体"/>
          <w:szCs w:val="21"/>
          <w:highlight w:val="none"/>
          <w:u w:val="single"/>
        </w:rPr>
        <w:t xml:space="preserve">             </w:t>
      </w:r>
      <w:r>
        <w:rPr>
          <w:rFonts w:hint="eastAsia" w:ascii="宋体" w:hAnsi="宋体" w:cs="宋体"/>
          <w:szCs w:val="21"/>
          <w:highlight w:val="none"/>
        </w:rPr>
        <w:t>项目的磋商，为便于贵方公正、择优地确定成交供应商及其磋商项目的服务，我方就本次磋商有关事项郑重声明如下：</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、我方向贵方提交的所有响应文件、资料都是准确的和真实的；</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、我方承诺已经具备采购文件规定的参加本项目政府采购活动的供应商应当具备的条件：</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）具有独立承担民事责任的能力；</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）具有良好的商业信誉和健全的财务会计制度；</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）具有履行合同所必需的设备和专业技术能力；</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）有依法缴纳税收和社会保障资金的良好记录；</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）参加本次政府采购活动前三年内，在经营活动中没有重大违法记录；</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）至本项目投标截止时间前，我方未列入失信被执行人、重大税收违法案件当事人名单、政府采购严重违法失信行为记录名单；</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、我方承诺：最近三年我方无行贿犯罪行为，若我方成交，愿意接受社会监督和检察院调查，若与我方承诺不符，可免除我方成交人资格。</w:t>
      </w:r>
      <w:r>
        <w:rPr>
          <w:rFonts w:ascii="宋体" w:hAnsi="宋体" w:cs="宋体"/>
          <w:szCs w:val="21"/>
          <w:highlight w:val="none"/>
        </w:rPr>
        <w:t xml:space="preserve">                                                  </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、以上事项如有虚假或隐瞒，我方愿意承担一切后果和责任。</w:t>
      </w:r>
    </w:p>
    <w:p>
      <w:pPr>
        <w:overflowPunct w:val="0"/>
        <w:adjustRightInd w:val="0"/>
        <w:snapToGrid w:val="0"/>
        <w:spacing w:line="360" w:lineRule="auto"/>
        <w:ind w:firstLine="420" w:firstLineChars="200"/>
        <w:rPr>
          <w:rFonts w:ascii="宋体" w:cs="宋体"/>
          <w:szCs w:val="21"/>
          <w:highlight w:val="none"/>
          <w:u w:val="single"/>
        </w:rPr>
      </w:pP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rPr>
          <w:rFonts w:ascii="宋体" w:cs="宋体"/>
          <w:szCs w:val="21"/>
          <w:highlight w:val="none"/>
          <w:u w:val="single"/>
        </w:rPr>
      </w:pPr>
      <w:r>
        <w:rPr>
          <w:rFonts w:hint="eastAsia" w:ascii="宋体" w:hAnsi="宋体" w:cs="宋体"/>
          <w:szCs w:val="21"/>
          <w:highlight w:val="none"/>
        </w:rPr>
        <w:t>法定代表人签字</w:t>
      </w:r>
      <w:r>
        <w:rPr>
          <w:rFonts w:hint="eastAsia" w:ascii="宋体" w:hAnsi="宋体" w:cs="宋体"/>
          <w:szCs w:val="21"/>
          <w:highlight w:val="none"/>
          <w:lang w:eastAsia="zh-CN"/>
        </w:rPr>
        <w:t>或盖章</w:t>
      </w:r>
      <w:r>
        <w:rPr>
          <w:rFonts w:hint="eastAsia" w:ascii="宋体" w:hAnsi="宋体" w:cs="宋体"/>
          <w:szCs w:val="21"/>
          <w:highlight w:val="none"/>
        </w:rPr>
        <w:t>：</w:t>
      </w:r>
      <w:r>
        <w:rPr>
          <w:rFonts w:ascii="宋体" w:hAnsi="宋体" w:cs="宋体"/>
          <w:szCs w:val="21"/>
          <w:highlight w:val="none"/>
          <w:u w:val="single"/>
        </w:rPr>
        <w:t xml:space="preserve">             </w:t>
      </w: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szCs w:val="21"/>
          <w:highlight w:val="none"/>
        </w:rPr>
        <w:t>供应商盖章：</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ascii="宋体" w:hAnsi="宋体" w:cs="宋体"/>
          <w:szCs w:val="21"/>
          <w:highlight w:val="none"/>
        </w:rPr>
        <w:t xml:space="preserve"> </w:t>
      </w: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rPr>
          <w:rFonts w:hint="eastAsia" w:ascii="宋体" w:eastAsia="宋体" w:cs="宋体"/>
          <w:szCs w:val="21"/>
          <w:highlight w:val="none"/>
          <w:lang w:eastAsia="zh-CN"/>
        </w:rPr>
      </w:pPr>
      <w:r>
        <w:rPr>
          <w:rFonts w:hint="eastAsia" w:ascii="宋体" w:hAnsi="宋体" w:cs="宋体"/>
          <w:szCs w:val="21"/>
          <w:highlight w:val="none"/>
          <w:lang w:eastAsia="zh-CN"/>
        </w:rPr>
        <w:t>日期：</w:t>
      </w:r>
    </w:p>
    <w:p>
      <w:pPr>
        <w:pStyle w:val="13"/>
        <w:widowControl w:val="0"/>
        <w:overflowPunct w:val="0"/>
        <w:ind w:right="840"/>
        <w:rPr>
          <w:rFonts w:cs="宋体"/>
          <w:highlight w:val="none"/>
        </w:rPr>
      </w:pPr>
      <w:r>
        <w:rPr>
          <w:rFonts w:hint="eastAsia" w:cs="宋体"/>
          <w:highlight w:val="none"/>
          <w:lang w:val="en-US" w:eastAsia="zh-CN"/>
        </w:rPr>
        <w:t xml:space="preserve">                                                                                                                                                       </w:t>
      </w:r>
      <w:r>
        <w:rPr>
          <w:rFonts w:cs="宋体"/>
          <w:highlight w:val="none"/>
        </w:rPr>
        <w:t xml:space="preserve">   </w:t>
      </w:r>
    </w:p>
    <w:p>
      <w:pPr>
        <w:overflowPunct w:val="0"/>
        <w:spacing w:line="400" w:lineRule="exact"/>
        <w:jc w:val="left"/>
        <w:rPr>
          <w:rFonts w:ascii="宋体" w:cs="宋体"/>
          <w:sz w:val="28"/>
          <w:szCs w:val="28"/>
          <w:highlight w:val="none"/>
        </w:rPr>
      </w:pPr>
      <w:r>
        <w:rPr>
          <w:rFonts w:ascii="宋体" w:cs="宋体"/>
          <w:szCs w:val="21"/>
          <w:highlight w:val="none"/>
        </w:rPr>
        <w:br w:type="page"/>
      </w:r>
      <w:r>
        <w:rPr>
          <w:rFonts w:ascii="宋体" w:hAnsi="宋体" w:cs="宋体"/>
          <w:sz w:val="28"/>
          <w:szCs w:val="28"/>
          <w:highlight w:val="none"/>
        </w:rPr>
        <w:t>4</w:t>
      </w:r>
      <w:r>
        <w:rPr>
          <w:rFonts w:hint="eastAsia" w:ascii="宋体" w:hAnsi="宋体" w:cs="宋体"/>
          <w:sz w:val="28"/>
          <w:szCs w:val="28"/>
          <w:highlight w:val="none"/>
        </w:rPr>
        <w:t>、中小企业声明函、监狱企业、残疾人福利性单位及其他相关的充分的证明材料</w:t>
      </w: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r>
        <w:rPr>
          <w:rFonts w:hint="eastAsia" w:ascii="宋体" w:hAnsi="宋体" w:cs="宋体"/>
          <w:b/>
          <w:kern w:val="0"/>
          <w:sz w:val="28"/>
          <w:szCs w:val="28"/>
          <w:highlight w:val="none"/>
        </w:rPr>
        <w:t>中小企业声明函</w:t>
      </w:r>
    </w:p>
    <w:p>
      <w:pPr>
        <w:wordWrap w:val="0"/>
        <w:snapToGrid w:val="0"/>
        <w:spacing w:line="360" w:lineRule="auto"/>
        <w:ind w:firstLine="420" w:firstLineChars="200"/>
        <w:jc w:val="left"/>
        <w:rPr>
          <w:rFonts w:ascii="宋体" w:cs="宋体"/>
          <w:bCs/>
          <w:kern w:val="0"/>
          <w:szCs w:val="21"/>
          <w:highlight w:val="none"/>
        </w:rPr>
      </w:pPr>
      <w:r>
        <w:rPr>
          <w:rFonts w:hint="eastAsia" w:ascii="宋体" w:hAnsi="宋体" w:cs="宋体"/>
          <w:bCs/>
          <w:kern w:val="0"/>
          <w:szCs w:val="21"/>
          <w:highlight w:val="none"/>
        </w:rPr>
        <w:t>本公司（联合体）郑重声明，根据《政府采购促进中小企业发展管理办法》（财库﹝</w:t>
      </w:r>
      <w:r>
        <w:rPr>
          <w:rFonts w:ascii="宋体" w:hAnsi="宋体" w:cs="宋体"/>
          <w:bCs/>
          <w:kern w:val="0"/>
          <w:szCs w:val="21"/>
          <w:highlight w:val="none"/>
        </w:rPr>
        <w:t>2020</w:t>
      </w:r>
      <w:r>
        <w:rPr>
          <w:rFonts w:hint="eastAsia" w:ascii="宋体" w:hAnsi="宋体" w:cs="宋体"/>
          <w:bCs/>
          <w:kern w:val="0"/>
          <w:szCs w:val="21"/>
          <w:highlight w:val="none"/>
        </w:rPr>
        <w:t>﹞</w:t>
      </w:r>
      <w:r>
        <w:rPr>
          <w:rFonts w:ascii="宋体" w:hAnsi="宋体" w:cs="宋体"/>
          <w:bCs/>
          <w:kern w:val="0"/>
          <w:szCs w:val="21"/>
          <w:highlight w:val="none"/>
        </w:rPr>
        <w:t xml:space="preserve">46 </w:t>
      </w:r>
      <w:r>
        <w:rPr>
          <w:rFonts w:hint="eastAsia" w:ascii="宋体" w:hAnsi="宋体" w:cs="宋体"/>
          <w:bCs/>
          <w:kern w:val="0"/>
          <w:szCs w:val="21"/>
          <w:highlight w:val="none"/>
        </w:rPr>
        <w:t>号）的规定，本公司（联合体）参加</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（单位名称）</w:t>
      </w:r>
      <w:r>
        <w:rPr>
          <w:rFonts w:ascii="宋体" w:hAnsi="宋体" w:cs="宋体"/>
          <w:bCs/>
          <w:kern w:val="0"/>
          <w:szCs w:val="21"/>
          <w:highlight w:val="none"/>
          <w:u w:val="single"/>
        </w:rPr>
        <w:t xml:space="preserve">  </w:t>
      </w:r>
      <w:r>
        <w:rPr>
          <w:rFonts w:hint="eastAsia" w:ascii="宋体" w:hAnsi="宋体" w:cs="宋体"/>
          <w:bCs/>
          <w:kern w:val="0"/>
          <w:szCs w:val="21"/>
          <w:highlight w:val="none"/>
        </w:rPr>
        <w:t>的</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（项目名称）</w:t>
      </w:r>
      <w:r>
        <w:rPr>
          <w:rFonts w:ascii="宋体" w:hAnsi="宋体" w:cs="宋体"/>
          <w:bCs/>
          <w:kern w:val="0"/>
          <w:szCs w:val="21"/>
          <w:highlight w:val="none"/>
          <w:u w:val="single"/>
        </w:rPr>
        <w:t xml:space="preserve">  </w:t>
      </w:r>
      <w:r>
        <w:rPr>
          <w:rFonts w:hint="eastAsia" w:ascii="宋体" w:hAnsi="宋体" w:cs="宋体"/>
          <w:bCs/>
          <w:kern w:val="0"/>
          <w:szCs w:val="21"/>
          <w:highlight w:val="none"/>
        </w:rPr>
        <w:t>采购活动，工程的施工单位全部为符合政策要求的中小企业（或者：服务</w:t>
      </w:r>
      <w:r>
        <w:rPr>
          <w:rFonts w:ascii="宋体" w:hAnsi="宋体" w:cs="宋体"/>
          <w:bCs/>
          <w:kern w:val="0"/>
          <w:szCs w:val="21"/>
          <w:highlight w:val="none"/>
        </w:rPr>
        <w:t xml:space="preserve"> </w:t>
      </w:r>
      <w:r>
        <w:rPr>
          <w:rFonts w:hint="eastAsia" w:ascii="宋体" w:hAnsi="宋体" w:cs="宋体"/>
          <w:bCs/>
          <w:kern w:val="0"/>
          <w:szCs w:val="21"/>
          <w:highlight w:val="none"/>
        </w:rPr>
        <w:t>全部由符合政策要求的中小企业承接）。相关企业（含联合</w:t>
      </w:r>
      <w:r>
        <w:rPr>
          <w:rFonts w:ascii="宋体" w:hAnsi="宋体" w:cs="宋体"/>
          <w:bCs/>
          <w:kern w:val="0"/>
          <w:szCs w:val="21"/>
          <w:highlight w:val="none"/>
        </w:rPr>
        <w:t xml:space="preserve"> </w:t>
      </w:r>
      <w:r>
        <w:rPr>
          <w:rFonts w:hint="eastAsia" w:ascii="宋体" w:hAnsi="宋体" w:cs="宋体"/>
          <w:bCs/>
          <w:kern w:val="0"/>
          <w:szCs w:val="21"/>
          <w:highlight w:val="none"/>
        </w:rPr>
        <w:t>体中的中小企业、签订分包意向协议的中小企业）的具体情</w:t>
      </w:r>
      <w:r>
        <w:rPr>
          <w:rFonts w:ascii="宋体" w:hAnsi="宋体" w:cs="宋体"/>
          <w:bCs/>
          <w:kern w:val="0"/>
          <w:szCs w:val="21"/>
          <w:highlight w:val="none"/>
        </w:rPr>
        <w:t xml:space="preserve"> </w:t>
      </w:r>
      <w:r>
        <w:rPr>
          <w:rFonts w:hint="eastAsia" w:ascii="宋体" w:hAnsi="宋体" w:cs="宋体"/>
          <w:bCs/>
          <w:kern w:val="0"/>
          <w:szCs w:val="21"/>
          <w:highlight w:val="none"/>
        </w:rPr>
        <w:t>况如下：</w:t>
      </w:r>
    </w:p>
    <w:p>
      <w:pPr>
        <w:numPr>
          <w:ilvl w:val="0"/>
          <w:numId w:val="8"/>
        </w:numPr>
        <w:wordWrap w:val="0"/>
        <w:snapToGrid w:val="0"/>
        <w:spacing w:line="360" w:lineRule="auto"/>
        <w:ind w:firstLine="420" w:firstLineChars="200"/>
        <w:jc w:val="left"/>
        <w:rPr>
          <w:rFonts w:ascii="宋体" w:cs="宋体"/>
          <w:bCs/>
          <w:kern w:val="0"/>
          <w:szCs w:val="21"/>
          <w:highlight w:val="none"/>
        </w:rPr>
      </w:pP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lang w:eastAsia="zh-CN"/>
        </w:rPr>
        <w:t>2024年度长合区两岗人员培训及专项培训</w:t>
      </w:r>
      <w:r>
        <w:rPr>
          <w:rFonts w:ascii="宋体" w:hAnsi="宋体" w:cs="宋体"/>
          <w:bCs/>
          <w:kern w:val="0"/>
          <w:szCs w:val="21"/>
          <w:highlight w:val="none"/>
          <w:u w:val="single"/>
        </w:rPr>
        <w:t xml:space="preserve"> </w:t>
      </w:r>
      <w:r>
        <w:rPr>
          <w:rFonts w:hint="eastAsia" w:ascii="宋体" w:hAnsi="宋体" w:cs="宋体"/>
          <w:bCs/>
          <w:kern w:val="0"/>
          <w:szCs w:val="21"/>
          <w:highlight w:val="none"/>
        </w:rPr>
        <w:t>，属于</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其他未列明行业</w:t>
      </w:r>
      <w:r>
        <w:rPr>
          <w:rFonts w:ascii="宋体" w:hAnsi="宋体" w:cs="宋体"/>
          <w:bCs/>
          <w:kern w:val="0"/>
          <w:szCs w:val="21"/>
          <w:highlight w:val="none"/>
          <w:u w:val="single"/>
        </w:rPr>
        <w:t xml:space="preserve"> </w:t>
      </w:r>
      <w:r>
        <w:rPr>
          <w:rFonts w:hint="eastAsia" w:ascii="宋体" w:hAnsi="宋体" w:cs="宋体"/>
          <w:bCs/>
          <w:kern w:val="0"/>
          <w:szCs w:val="21"/>
          <w:highlight w:val="none"/>
        </w:rPr>
        <w:t>；承建（承接）企业为</w:t>
      </w:r>
      <w:r>
        <w:rPr>
          <w:rFonts w:hint="eastAsia" w:ascii="宋体" w:hAnsi="宋体" w:cs="宋体"/>
          <w:bCs/>
          <w:kern w:val="0"/>
          <w:szCs w:val="21"/>
          <w:highlight w:val="none"/>
          <w:u w:val="single"/>
        </w:rPr>
        <w:t>（企业名称）</w:t>
      </w:r>
      <w:r>
        <w:rPr>
          <w:rFonts w:ascii="宋体" w:hAnsi="宋体" w:cs="宋体"/>
          <w:bCs/>
          <w:kern w:val="0"/>
          <w:szCs w:val="21"/>
          <w:highlight w:val="none"/>
          <w:u w:val="single"/>
        </w:rPr>
        <w:t xml:space="preserve"> </w:t>
      </w:r>
      <w:r>
        <w:rPr>
          <w:rFonts w:hint="eastAsia" w:ascii="宋体" w:hAnsi="宋体" w:cs="宋体"/>
          <w:bCs/>
          <w:kern w:val="0"/>
          <w:szCs w:val="21"/>
          <w:highlight w:val="none"/>
        </w:rPr>
        <w:t>，从业人员</w:t>
      </w:r>
      <w:r>
        <w:rPr>
          <w:rFonts w:ascii="宋体" w:hAnsi="宋体" w:cs="宋体"/>
          <w:bCs/>
          <w:kern w:val="0"/>
          <w:szCs w:val="21"/>
          <w:highlight w:val="none"/>
          <w:u w:val="single"/>
        </w:rPr>
        <w:t xml:space="preserve">    </w:t>
      </w:r>
      <w:r>
        <w:rPr>
          <w:rFonts w:hint="eastAsia" w:ascii="宋体" w:hAnsi="宋体" w:cs="宋体"/>
          <w:bCs/>
          <w:kern w:val="0"/>
          <w:szCs w:val="21"/>
          <w:highlight w:val="none"/>
        </w:rPr>
        <w:t>人，营业收入为</w:t>
      </w:r>
      <w:r>
        <w:rPr>
          <w:rFonts w:ascii="宋体" w:hAnsi="宋体" w:cs="宋体"/>
          <w:bCs/>
          <w:kern w:val="0"/>
          <w:szCs w:val="21"/>
          <w:highlight w:val="none"/>
          <w:u w:val="single"/>
        </w:rPr>
        <w:t xml:space="preserve">    </w:t>
      </w:r>
      <w:r>
        <w:rPr>
          <w:rFonts w:hint="eastAsia" w:ascii="宋体" w:hAnsi="宋体" w:cs="宋体"/>
          <w:bCs/>
          <w:kern w:val="0"/>
          <w:szCs w:val="21"/>
          <w:highlight w:val="none"/>
        </w:rPr>
        <w:t>万元，资产总额为</w:t>
      </w:r>
      <w:r>
        <w:rPr>
          <w:rFonts w:ascii="宋体" w:hAnsi="宋体" w:cs="宋体"/>
          <w:bCs/>
          <w:kern w:val="0"/>
          <w:szCs w:val="21"/>
          <w:highlight w:val="none"/>
          <w:u w:val="single"/>
        </w:rPr>
        <w:t xml:space="preserve">     </w:t>
      </w:r>
      <w:r>
        <w:rPr>
          <w:rFonts w:hint="eastAsia" w:ascii="宋体" w:hAnsi="宋体" w:cs="宋体"/>
          <w:bCs/>
          <w:kern w:val="0"/>
          <w:szCs w:val="21"/>
          <w:highlight w:val="none"/>
        </w:rPr>
        <w:t>万元</w:t>
      </w:r>
      <w:r>
        <w:rPr>
          <w:rFonts w:ascii="宋体" w:hAnsi="宋体" w:cs="宋体"/>
          <w:bCs/>
          <w:kern w:val="0"/>
          <w:szCs w:val="21"/>
          <w:highlight w:val="none"/>
        </w:rPr>
        <w:t>1</w:t>
      </w:r>
      <w:r>
        <w:rPr>
          <w:rFonts w:hint="eastAsia" w:ascii="宋体" w:hAnsi="宋体" w:cs="宋体"/>
          <w:bCs/>
          <w:kern w:val="0"/>
          <w:szCs w:val="21"/>
          <w:highlight w:val="none"/>
        </w:rPr>
        <w:t>，属于</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（中型企业、</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小型企业、微型企业）</w:t>
      </w:r>
      <w:r>
        <w:rPr>
          <w:rFonts w:ascii="宋体" w:hAnsi="宋体" w:cs="宋体"/>
          <w:bCs/>
          <w:kern w:val="0"/>
          <w:szCs w:val="21"/>
          <w:highlight w:val="none"/>
          <w:u w:val="single"/>
        </w:rPr>
        <w:t xml:space="preserve"> </w:t>
      </w:r>
      <w:r>
        <w:rPr>
          <w:rFonts w:hint="eastAsia" w:ascii="宋体" w:hAnsi="宋体" w:cs="宋体"/>
          <w:bCs/>
          <w:kern w:val="0"/>
          <w:szCs w:val="21"/>
          <w:highlight w:val="none"/>
        </w:rPr>
        <w:t>；</w:t>
      </w:r>
      <w:r>
        <w:rPr>
          <w:rFonts w:ascii="宋体" w:hAnsi="宋体" w:cs="宋体"/>
          <w:bCs/>
          <w:kern w:val="0"/>
          <w:szCs w:val="21"/>
          <w:highlight w:val="none"/>
        </w:rPr>
        <w:t xml:space="preserve"> </w:t>
      </w:r>
    </w:p>
    <w:p>
      <w:pPr>
        <w:numPr>
          <w:ilvl w:val="0"/>
          <w:numId w:val="8"/>
        </w:numPr>
        <w:wordWrap w:val="0"/>
        <w:snapToGrid w:val="0"/>
        <w:spacing w:line="360" w:lineRule="auto"/>
        <w:ind w:firstLine="420" w:firstLineChars="200"/>
        <w:jc w:val="left"/>
        <w:rPr>
          <w:rFonts w:ascii="宋体" w:cs="宋体"/>
          <w:bCs/>
          <w:kern w:val="0"/>
          <w:szCs w:val="21"/>
          <w:highlight w:val="none"/>
        </w:rPr>
      </w:pP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（标的名称）</w:t>
      </w:r>
      <w:r>
        <w:rPr>
          <w:rFonts w:ascii="宋体" w:hAnsi="宋体" w:cs="宋体"/>
          <w:bCs/>
          <w:kern w:val="0"/>
          <w:szCs w:val="21"/>
          <w:highlight w:val="none"/>
          <w:u w:val="single"/>
        </w:rPr>
        <w:t xml:space="preserve"> </w:t>
      </w:r>
      <w:r>
        <w:rPr>
          <w:rFonts w:hint="eastAsia" w:ascii="宋体" w:hAnsi="宋体" w:cs="宋体"/>
          <w:bCs/>
          <w:kern w:val="0"/>
          <w:szCs w:val="21"/>
          <w:highlight w:val="none"/>
        </w:rPr>
        <w:t>，属于</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（采购文件中明确的所属行业）</w:t>
      </w:r>
      <w:r>
        <w:rPr>
          <w:rFonts w:ascii="宋体" w:hAnsi="宋体" w:cs="宋体"/>
          <w:bCs/>
          <w:kern w:val="0"/>
          <w:szCs w:val="21"/>
          <w:highlight w:val="none"/>
          <w:u w:val="single"/>
        </w:rPr>
        <w:t xml:space="preserve"> </w:t>
      </w:r>
      <w:r>
        <w:rPr>
          <w:rFonts w:hint="eastAsia" w:ascii="宋体" w:hAnsi="宋体" w:cs="宋体"/>
          <w:bCs/>
          <w:kern w:val="0"/>
          <w:szCs w:val="21"/>
          <w:highlight w:val="none"/>
        </w:rPr>
        <w:t>；承建（承接）企业为</w:t>
      </w:r>
      <w:r>
        <w:rPr>
          <w:rFonts w:hint="eastAsia" w:ascii="宋体" w:hAnsi="宋体" w:cs="宋体"/>
          <w:bCs/>
          <w:kern w:val="0"/>
          <w:szCs w:val="21"/>
          <w:highlight w:val="none"/>
          <w:u w:val="single"/>
        </w:rPr>
        <w:t>（企业名称）</w:t>
      </w:r>
      <w:r>
        <w:rPr>
          <w:rFonts w:ascii="宋体" w:hAnsi="宋体" w:cs="宋体"/>
          <w:bCs/>
          <w:kern w:val="0"/>
          <w:szCs w:val="21"/>
          <w:highlight w:val="none"/>
          <w:u w:val="single"/>
        </w:rPr>
        <w:t xml:space="preserve"> </w:t>
      </w:r>
      <w:r>
        <w:rPr>
          <w:rFonts w:hint="eastAsia" w:ascii="宋体" w:hAnsi="宋体" w:cs="宋体"/>
          <w:bCs/>
          <w:kern w:val="0"/>
          <w:szCs w:val="21"/>
          <w:highlight w:val="none"/>
        </w:rPr>
        <w:t>，从业人员</w:t>
      </w:r>
      <w:r>
        <w:rPr>
          <w:rFonts w:ascii="宋体" w:hAnsi="宋体" w:cs="宋体"/>
          <w:bCs/>
          <w:kern w:val="0"/>
          <w:szCs w:val="21"/>
          <w:highlight w:val="none"/>
          <w:u w:val="single"/>
        </w:rPr>
        <w:t xml:space="preserve">    </w:t>
      </w:r>
      <w:r>
        <w:rPr>
          <w:rFonts w:hint="eastAsia" w:ascii="宋体" w:hAnsi="宋体" w:cs="宋体"/>
          <w:bCs/>
          <w:kern w:val="0"/>
          <w:szCs w:val="21"/>
          <w:highlight w:val="none"/>
        </w:rPr>
        <w:t>人，营业收入为</w:t>
      </w:r>
      <w:r>
        <w:rPr>
          <w:rFonts w:ascii="宋体" w:hAnsi="宋体" w:cs="宋体"/>
          <w:bCs/>
          <w:kern w:val="0"/>
          <w:szCs w:val="21"/>
          <w:highlight w:val="none"/>
          <w:u w:val="single"/>
        </w:rPr>
        <w:t xml:space="preserve">     </w:t>
      </w:r>
      <w:r>
        <w:rPr>
          <w:rFonts w:hint="eastAsia" w:ascii="宋体" w:hAnsi="宋体" w:cs="宋体"/>
          <w:bCs/>
          <w:kern w:val="0"/>
          <w:szCs w:val="21"/>
          <w:highlight w:val="none"/>
        </w:rPr>
        <w:t>万元，资产总额为</w:t>
      </w:r>
      <w:r>
        <w:rPr>
          <w:rFonts w:ascii="宋体" w:hAnsi="宋体" w:cs="宋体"/>
          <w:bCs/>
          <w:kern w:val="0"/>
          <w:szCs w:val="21"/>
          <w:highlight w:val="none"/>
          <w:u w:val="single"/>
        </w:rPr>
        <w:t xml:space="preserve">     </w:t>
      </w:r>
      <w:r>
        <w:rPr>
          <w:rFonts w:hint="eastAsia" w:ascii="宋体" w:hAnsi="宋体" w:cs="宋体"/>
          <w:bCs/>
          <w:kern w:val="0"/>
          <w:szCs w:val="21"/>
          <w:highlight w:val="none"/>
        </w:rPr>
        <w:t>万元，属于</w:t>
      </w:r>
      <w:r>
        <w:rPr>
          <w:rFonts w:hint="eastAsia" w:ascii="宋体" w:hAnsi="宋体" w:cs="宋体"/>
          <w:bCs/>
          <w:kern w:val="0"/>
          <w:szCs w:val="21"/>
          <w:highlight w:val="none"/>
          <w:u w:val="single"/>
        </w:rPr>
        <w:t>（中型企业、</w:t>
      </w:r>
      <w:r>
        <w:rPr>
          <w:rFonts w:ascii="宋体" w:hAnsi="宋体" w:cs="宋体"/>
          <w:bCs/>
          <w:kern w:val="0"/>
          <w:szCs w:val="21"/>
          <w:highlight w:val="none"/>
          <w:u w:val="single"/>
        </w:rPr>
        <w:t xml:space="preserve"> </w:t>
      </w:r>
      <w:r>
        <w:rPr>
          <w:rFonts w:hint="eastAsia" w:ascii="宋体" w:hAnsi="宋体" w:cs="宋体"/>
          <w:bCs/>
          <w:kern w:val="0"/>
          <w:szCs w:val="21"/>
          <w:highlight w:val="none"/>
          <w:u w:val="single"/>
        </w:rPr>
        <w:t>小型企业、微型企业）</w:t>
      </w:r>
      <w:r>
        <w:rPr>
          <w:rFonts w:hint="eastAsia" w:ascii="宋体" w:hAnsi="宋体" w:cs="宋体"/>
          <w:bCs/>
          <w:kern w:val="0"/>
          <w:szCs w:val="21"/>
          <w:highlight w:val="none"/>
        </w:rPr>
        <w:t>；</w:t>
      </w:r>
      <w:r>
        <w:rPr>
          <w:rFonts w:ascii="宋体" w:hAnsi="宋体" w:cs="宋体"/>
          <w:bCs/>
          <w:kern w:val="0"/>
          <w:szCs w:val="21"/>
          <w:highlight w:val="none"/>
        </w:rPr>
        <w:t xml:space="preserve"> </w:t>
      </w:r>
    </w:p>
    <w:p>
      <w:pPr>
        <w:wordWrap w:val="0"/>
        <w:snapToGrid w:val="0"/>
        <w:spacing w:line="360" w:lineRule="auto"/>
        <w:ind w:firstLine="420" w:firstLineChars="200"/>
        <w:jc w:val="left"/>
        <w:rPr>
          <w:rFonts w:ascii="宋体" w:cs="宋体"/>
          <w:bCs/>
          <w:kern w:val="0"/>
          <w:szCs w:val="21"/>
          <w:highlight w:val="none"/>
        </w:rPr>
      </w:pPr>
      <w:r>
        <w:rPr>
          <w:rFonts w:hint="eastAsia" w:ascii="宋体" w:hAnsi="宋体" w:cs="宋体"/>
          <w:bCs/>
          <w:kern w:val="0"/>
          <w:szCs w:val="21"/>
          <w:highlight w:val="none"/>
        </w:rPr>
        <w:t>……</w:t>
      </w:r>
    </w:p>
    <w:p>
      <w:pPr>
        <w:wordWrap w:val="0"/>
        <w:snapToGrid w:val="0"/>
        <w:spacing w:line="360" w:lineRule="auto"/>
        <w:ind w:firstLine="420" w:firstLineChars="200"/>
        <w:jc w:val="left"/>
        <w:rPr>
          <w:rFonts w:ascii="宋体" w:cs="宋体"/>
          <w:bCs/>
          <w:kern w:val="0"/>
          <w:szCs w:val="21"/>
          <w:highlight w:val="none"/>
        </w:rPr>
      </w:pPr>
      <w:r>
        <w:rPr>
          <w:rFonts w:hint="eastAsia" w:ascii="宋体" w:hAnsi="宋体" w:cs="宋体"/>
          <w:bCs/>
          <w:kern w:val="0"/>
          <w:szCs w:val="21"/>
          <w:highlight w:val="none"/>
        </w:rPr>
        <w:t>以上企业，不属于大企业的分支机构，不存在控股股东为大企业的情形，也不存在与大企业的负责人为同一人的情形。</w:t>
      </w:r>
    </w:p>
    <w:p>
      <w:pPr>
        <w:wordWrap w:val="0"/>
        <w:snapToGrid w:val="0"/>
        <w:spacing w:line="360" w:lineRule="auto"/>
        <w:ind w:firstLine="420" w:firstLineChars="200"/>
        <w:jc w:val="left"/>
        <w:rPr>
          <w:rFonts w:ascii="宋体" w:cs="宋体"/>
          <w:bCs/>
          <w:kern w:val="0"/>
          <w:szCs w:val="21"/>
          <w:highlight w:val="none"/>
        </w:rPr>
      </w:pPr>
      <w:r>
        <w:rPr>
          <w:rFonts w:hint="eastAsia" w:ascii="宋体" w:hAnsi="宋体" w:cs="宋体"/>
          <w:bCs/>
          <w:kern w:val="0"/>
          <w:szCs w:val="21"/>
          <w:highlight w:val="none"/>
        </w:rPr>
        <w:t>本企业对上述声明内容的真实性负责。如有虚假，将依法承担相应责任。</w:t>
      </w:r>
    </w:p>
    <w:p>
      <w:pPr>
        <w:wordWrap w:val="0"/>
        <w:snapToGrid w:val="0"/>
        <w:spacing w:line="360" w:lineRule="auto"/>
        <w:ind w:firstLine="420" w:firstLineChars="200"/>
        <w:jc w:val="left"/>
        <w:rPr>
          <w:rFonts w:ascii="宋体" w:cs="宋体"/>
          <w:kern w:val="0"/>
          <w:szCs w:val="21"/>
          <w:highlight w:val="none"/>
        </w:rPr>
      </w:pPr>
    </w:p>
    <w:p>
      <w:pPr>
        <w:wordWrap w:val="0"/>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供应商盖章：</w:t>
      </w:r>
    </w:p>
    <w:p>
      <w:pPr>
        <w:wordWrap w:val="0"/>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日期：</w:t>
      </w:r>
      <w:r>
        <w:rPr>
          <w:rFonts w:ascii="宋体" w:hAnsi="宋体" w:cs="宋体"/>
          <w:kern w:val="0"/>
          <w:szCs w:val="21"/>
          <w:highlight w:val="none"/>
        </w:rPr>
        <w:t xml:space="preserve">    </w:t>
      </w:r>
      <w:r>
        <w:rPr>
          <w:rFonts w:hint="eastAsia" w:ascii="宋体" w:hAnsi="宋体" w:cs="宋体"/>
          <w:kern w:val="0"/>
          <w:szCs w:val="21"/>
          <w:highlight w:val="none"/>
        </w:rPr>
        <w:t>年</w:t>
      </w:r>
      <w:r>
        <w:rPr>
          <w:rFonts w:ascii="宋体" w:hAnsi="宋体" w:cs="宋体"/>
          <w:kern w:val="0"/>
          <w:szCs w:val="21"/>
          <w:highlight w:val="none"/>
        </w:rPr>
        <w:t xml:space="preserve">  </w:t>
      </w:r>
      <w:r>
        <w:rPr>
          <w:rFonts w:hint="eastAsia" w:ascii="宋体" w:hAnsi="宋体" w:cs="宋体"/>
          <w:kern w:val="0"/>
          <w:szCs w:val="21"/>
          <w:highlight w:val="none"/>
        </w:rPr>
        <w:t>月</w:t>
      </w:r>
      <w:r>
        <w:rPr>
          <w:rFonts w:ascii="宋体" w:hAnsi="宋体" w:cs="宋体"/>
          <w:kern w:val="0"/>
          <w:szCs w:val="21"/>
          <w:highlight w:val="none"/>
        </w:rPr>
        <w:t xml:space="preserve">  </w:t>
      </w:r>
      <w:r>
        <w:rPr>
          <w:rFonts w:hint="eastAsia" w:ascii="宋体" w:hAnsi="宋体" w:cs="宋体"/>
          <w:kern w:val="0"/>
          <w:szCs w:val="21"/>
          <w:highlight w:val="none"/>
        </w:rPr>
        <w:t>日</w:t>
      </w:r>
    </w:p>
    <w:p>
      <w:pPr>
        <w:pBdr>
          <w:bottom w:val="single" w:color="auto" w:sz="6" w:space="1"/>
        </w:pBdr>
        <w:wordWrap w:val="0"/>
        <w:snapToGrid w:val="0"/>
        <w:spacing w:line="360" w:lineRule="auto"/>
        <w:ind w:firstLine="420" w:firstLineChars="200"/>
        <w:jc w:val="left"/>
        <w:rPr>
          <w:rFonts w:ascii="宋体" w:cs="宋体"/>
          <w:kern w:val="0"/>
          <w:szCs w:val="21"/>
          <w:highlight w:val="none"/>
        </w:rPr>
      </w:pPr>
    </w:p>
    <w:p>
      <w:pPr>
        <w:wordWrap w:val="0"/>
        <w:snapToGrid w:val="0"/>
        <w:spacing w:line="360" w:lineRule="auto"/>
        <w:ind w:firstLine="420" w:firstLineChars="200"/>
        <w:jc w:val="left"/>
        <w:rPr>
          <w:rFonts w:ascii="宋体" w:cs="宋体"/>
          <w:kern w:val="0"/>
          <w:szCs w:val="21"/>
          <w:highlight w:val="none"/>
        </w:rPr>
      </w:pPr>
    </w:p>
    <w:p>
      <w:pPr>
        <w:wordWrap w:val="0"/>
        <w:snapToGrid w:val="0"/>
        <w:spacing w:line="360" w:lineRule="auto"/>
        <w:ind w:firstLine="420" w:firstLineChars="200"/>
        <w:jc w:val="left"/>
        <w:rPr>
          <w:rFonts w:ascii="宋体" w:cs="宋体"/>
          <w:szCs w:val="21"/>
          <w:highlight w:val="none"/>
        </w:rPr>
      </w:pPr>
    </w:p>
    <w:p>
      <w:pPr>
        <w:wordWrap w:val="0"/>
        <w:snapToGrid w:val="0"/>
        <w:spacing w:line="360" w:lineRule="auto"/>
        <w:ind w:firstLine="420" w:firstLineChars="200"/>
        <w:jc w:val="left"/>
        <w:rPr>
          <w:rFonts w:ascii="宋体" w:cs="宋体"/>
          <w:b/>
          <w:kern w:val="0"/>
          <w:szCs w:val="21"/>
          <w:highlight w:val="none"/>
        </w:rPr>
      </w:pPr>
      <w:r>
        <w:rPr>
          <w:rFonts w:hint="eastAsia" w:ascii="宋体" w:hAnsi="宋体" w:cs="宋体"/>
          <w:szCs w:val="21"/>
          <w:highlight w:val="none"/>
        </w:rPr>
        <w:t>从业人员、营业收入、资产总额填报上一年度数据，无上一年度数据的新成立企业可不填报</w:t>
      </w:r>
      <w:r>
        <w:rPr>
          <w:rFonts w:hint="eastAsia" w:ascii="宋体" w:hAnsi="宋体" w:cs="宋体"/>
          <w:kern w:val="0"/>
          <w:szCs w:val="21"/>
          <w:highlight w:val="none"/>
        </w:rPr>
        <w:t>。</w:t>
      </w:r>
    </w:p>
    <w:p>
      <w:pPr>
        <w:wordWrap w:val="0"/>
        <w:snapToGrid w:val="0"/>
        <w:spacing w:line="360" w:lineRule="auto"/>
        <w:ind w:firstLine="422" w:firstLineChars="200"/>
        <w:jc w:val="left"/>
        <w:rPr>
          <w:rFonts w:ascii="宋体" w:cs="宋体"/>
          <w:b/>
          <w:bCs/>
          <w:kern w:val="0"/>
          <w:szCs w:val="21"/>
          <w:highlight w:val="none"/>
        </w:rPr>
      </w:pPr>
    </w:p>
    <w:p>
      <w:pPr>
        <w:wordWrap w:val="0"/>
        <w:snapToGrid w:val="0"/>
        <w:spacing w:line="360" w:lineRule="auto"/>
        <w:jc w:val="left"/>
        <w:rPr>
          <w:rFonts w:ascii="宋体" w:cs="宋体"/>
          <w:b/>
          <w:bCs/>
          <w:kern w:val="0"/>
          <w:szCs w:val="21"/>
          <w:highlight w:val="none"/>
        </w:rPr>
      </w:pPr>
      <w:r>
        <w:rPr>
          <w:rFonts w:hint="eastAsia" w:ascii="宋体" w:hAnsi="宋体" w:cs="宋体"/>
          <w:b/>
          <w:bCs/>
          <w:kern w:val="0"/>
          <w:szCs w:val="21"/>
          <w:highlight w:val="none"/>
        </w:rPr>
        <w:t>注：</w:t>
      </w:r>
      <w:r>
        <w:rPr>
          <w:rFonts w:ascii="宋体" w:hAnsi="宋体" w:cs="宋体"/>
          <w:b/>
          <w:bCs/>
          <w:kern w:val="0"/>
          <w:szCs w:val="21"/>
          <w:highlight w:val="none"/>
        </w:rPr>
        <w:t>1</w:t>
      </w:r>
      <w:r>
        <w:rPr>
          <w:rFonts w:hint="eastAsia" w:ascii="宋体" w:hAnsi="宋体" w:cs="宋体"/>
          <w:b/>
          <w:bCs/>
          <w:kern w:val="0"/>
          <w:szCs w:val="21"/>
          <w:highlight w:val="none"/>
        </w:rPr>
        <w:t>、本项目采购标的对应的中小企业划分标准所属行业为</w:t>
      </w:r>
      <w:r>
        <w:rPr>
          <w:rFonts w:hint="eastAsia" w:ascii="宋体" w:hAnsi="宋体" w:cs="宋体"/>
          <w:b/>
          <w:bCs/>
          <w:kern w:val="0"/>
          <w:szCs w:val="21"/>
          <w:highlight w:val="none"/>
          <w:lang w:eastAsia="zh-CN"/>
        </w:rPr>
        <w:t>其他未列明行业</w:t>
      </w:r>
      <w:r>
        <w:rPr>
          <w:rFonts w:hint="eastAsia" w:ascii="宋体" w:hAnsi="宋体" w:cs="宋体"/>
          <w:b/>
          <w:bCs/>
          <w:kern w:val="0"/>
          <w:szCs w:val="21"/>
          <w:highlight w:val="none"/>
        </w:rPr>
        <w:t>。</w:t>
      </w:r>
    </w:p>
    <w:p>
      <w:pPr>
        <w:wordWrap w:val="0"/>
        <w:snapToGrid w:val="0"/>
        <w:spacing w:line="360" w:lineRule="auto"/>
        <w:ind w:firstLine="422" w:firstLineChars="200"/>
        <w:jc w:val="left"/>
        <w:rPr>
          <w:rFonts w:ascii="宋体" w:cs="宋体"/>
          <w:b/>
          <w:bCs/>
          <w:kern w:val="0"/>
          <w:szCs w:val="21"/>
          <w:highlight w:val="none"/>
        </w:rPr>
      </w:pPr>
      <w:r>
        <w:rPr>
          <w:rFonts w:ascii="宋体" w:hAnsi="宋体" w:cs="宋体"/>
          <w:b/>
          <w:bCs/>
          <w:kern w:val="0"/>
          <w:szCs w:val="21"/>
          <w:highlight w:val="none"/>
        </w:rPr>
        <w:t>2</w:t>
      </w:r>
      <w:r>
        <w:rPr>
          <w:rFonts w:hint="eastAsia" w:ascii="宋体" w:hAnsi="宋体" w:cs="宋体"/>
          <w:b/>
          <w:bCs/>
          <w:kern w:val="0"/>
          <w:szCs w:val="21"/>
          <w:highlight w:val="none"/>
        </w:rPr>
        <w:t>、▲供应商提供的中小企业声明函与实际情况不符的，视为供应商提供虚假材料投标的，投标无效。</w:t>
      </w:r>
    </w:p>
    <w:p>
      <w:pPr>
        <w:pStyle w:val="42"/>
        <w:wordWrap w:val="0"/>
        <w:rPr>
          <w:rFonts w:ascii="宋体" w:cs="宋体"/>
          <w:b/>
          <w:szCs w:val="21"/>
          <w:highlight w:val="none"/>
        </w:rPr>
      </w:pPr>
    </w:p>
    <w:p>
      <w:pPr>
        <w:pStyle w:val="9"/>
        <w:wordWrap w:val="0"/>
        <w:rPr>
          <w:rFonts w:ascii="宋体" w:cs="宋体"/>
          <w:b/>
          <w:bCs/>
          <w:kern w:val="0"/>
          <w:szCs w:val="21"/>
          <w:highlight w:val="none"/>
        </w:rPr>
      </w:pPr>
    </w:p>
    <w:p>
      <w:pPr>
        <w:pStyle w:val="10"/>
        <w:rPr>
          <w:highlight w:val="none"/>
        </w:rPr>
      </w:pPr>
    </w:p>
    <w:p>
      <w:pPr>
        <w:pStyle w:val="9"/>
        <w:wordWrap w:val="0"/>
        <w:spacing w:after="0" w:line="400" w:lineRule="exact"/>
        <w:rPr>
          <w:rFonts w:ascii="宋体" w:cs="宋体"/>
          <w:kern w:val="0"/>
          <w:sz w:val="21"/>
          <w:szCs w:val="21"/>
          <w:highlight w:val="none"/>
        </w:rPr>
      </w:pPr>
      <w:r>
        <w:rPr>
          <w:rFonts w:hint="eastAsia" w:ascii="宋体" w:hAnsi="宋体" w:cs="宋体"/>
          <w:kern w:val="0"/>
          <w:sz w:val="21"/>
          <w:szCs w:val="21"/>
          <w:highlight w:val="none"/>
        </w:rPr>
        <w:t>说明：</w:t>
      </w:r>
      <w:r>
        <w:rPr>
          <w:rFonts w:ascii="宋体" w:hAnsi="宋体" w:cs="宋体"/>
          <w:kern w:val="0"/>
          <w:sz w:val="21"/>
          <w:szCs w:val="21"/>
          <w:highlight w:val="none"/>
        </w:rPr>
        <w:t>1</w:t>
      </w:r>
      <w:r>
        <w:rPr>
          <w:rFonts w:hint="eastAsia" w:ascii="宋体" w:hAnsi="宋体" w:cs="宋体"/>
          <w:kern w:val="0"/>
          <w:sz w:val="21"/>
          <w:szCs w:val="21"/>
          <w:highlight w:val="none"/>
        </w:rPr>
        <w:t>、《关于印发中小企业划型标准规定的通知》（工信部联企业〔</w:t>
      </w:r>
      <w:r>
        <w:rPr>
          <w:rFonts w:ascii="宋体" w:hAnsi="宋体" w:cs="宋体"/>
          <w:kern w:val="0"/>
          <w:sz w:val="21"/>
          <w:szCs w:val="21"/>
          <w:highlight w:val="none"/>
        </w:rPr>
        <w:t>2011</w:t>
      </w:r>
      <w:r>
        <w:rPr>
          <w:rFonts w:hint="eastAsia" w:ascii="宋体" w:hAnsi="宋体" w:cs="宋体"/>
          <w:kern w:val="0"/>
          <w:sz w:val="21"/>
          <w:szCs w:val="21"/>
          <w:highlight w:val="none"/>
        </w:rPr>
        <w:t>〕</w:t>
      </w:r>
      <w:r>
        <w:rPr>
          <w:rFonts w:ascii="宋体" w:hAnsi="宋体" w:cs="宋体"/>
          <w:kern w:val="0"/>
          <w:sz w:val="21"/>
          <w:szCs w:val="21"/>
          <w:highlight w:val="none"/>
        </w:rPr>
        <w:t>300</w:t>
      </w:r>
      <w:r>
        <w:rPr>
          <w:rFonts w:hint="eastAsia" w:ascii="宋体" w:hAnsi="宋体" w:cs="宋体"/>
          <w:kern w:val="0"/>
          <w:sz w:val="21"/>
          <w:szCs w:val="21"/>
          <w:highlight w:val="none"/>
        </w:rPr>
        <w:t>号），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
        <w:wordWrap w:val="0"/>
        <w:spacing w:after="0" w:line="400" w:lineRule="exact"/>
        <w:ind w:firstLine="420" w:firstLineChars="200"/>
        <w:rPr>
          <w:rFonts w:ascii="宋体" w:cs="宋体"/>
          <w:kern w:val="0"/>
          <w:sz w:val="21"/>
          <w:szCs w:val="21"/>
          <w:highlight w:val="none"/>
        </w:rPr>
      </w:pPr>
      <w:r>
        <w:rPr>
          <w:rFonts w:ascii="宋体" w:hAnsi="宋体" w:cs="宋体"/>
          <w:kern w:val="0"/>
          <w:sz w:val="21"/>
          <w:szCs w:val="21"/>
          <w:highlight w:val="none"/>
        </w:rPr>
        <w:t>2</w:t>
      </w:r>
      <w:r>
        <w:rPr>
          <w:rFonts w:hint="eastAsia" w:ascii="宋体" w:hAnsi="宋体" w:cs="宋体"/>
          <w:kern w:val="0"/>
          <w:sz w:val="21"/>
          <w:szCs w:val="21"/>
          <w:highlight w:val="none"/>
        </w:rPr>
        <w:t>、中小企业划分为中型、小型、微型三种类型，具体标准根据企业从业人员、营业收入、资产总额等指标，结合行业特点制定。各行业划型标准为：</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（一）农、林、牧、渔业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营业收入</w:t>
      </w:r>
      <w:r>
        <w:rPr>
          <w:rFonts w:ascii="宋体" w:hAnsi="宋体" w:cs="宋体"/>
          <w:kern w:val="0"/>
          <w:sz w:val="21"/>
          <w:szCs w:val="21"/>
          <w:highlight w:val="none"/>
        </w:rPr>
        <w:t>20000</w:t>
      </w:r>
      <w:r>
        <w:rPr>
          <w:rFonts w:hint="eastAsia" w:ascii="宋体" w:hAnsi="宋体" w:cs="宋体"/>
          <w:kern w:val="0"/>
          <w:sz w:val="21"/>
          <w:szCs w:val="21"/>
          <w:highlight w:val="none"/>
        </w:rPr>
        <w:t>万元以下的为中小微型企业。其中，营业收入</w:t>
      </w:r>
      <w:r>
        <w:rPr>
          <w:rFonts w:ascii="宋体" w:hAnsi="宋体" w:cs="宋体"/>
          <w:kern w:val="0"/>
          <w:sz w:val="21"/>
          <w:szCs w:val="21"/>
          <w:highlight w:val="none"/>
        </w:rPr>
        <w:t>500</w:t>
      </w:r>
      <w:r>
        <w:rPr>
          <w:rFonts w:hint="eastAsia" w:ascii="宋体" w:hAnsi="宋体" w:cs="宋体"/>
          <w:kern w:val="0"/>
          <w:sz w:val="21"/>
          <w:szCs w:val="21"/>
          <w:highlight w:val="none"/>
        </w:rPr>
        <w:t>万元及以上的为中型企业，营业收入</w:t>
      </w:r>
      <w:r>
        <w:rPr>
          <w:rFonts w:ascii="宋体" w:hAnsi="宋体" w:cs="宋体"/>
          <w:kern w:val="0"/>
          <w:sz w:val="21"/>
          <w:szCs w:val="21"/>
          <w:highlight w:val="none"/>
        </w:rPr>
        <w:t>50</w:t>
      </w:r>
      <w:r>
        <w:rPr>
          <w:rFonts w:hint="eastAsia" w:ascii="宋体" w:hAnsi="宋体" w:cs="宋体"/>
          <w:kern w:val="0"/>
          <w:sz w:val="21"/>
          <w:szCs w:val="21"/>
          <w:highlight w:val="none"/>
        </w:rPr>
        <w:t>万元及以上的为小型企业，营业收入</w:t>
      </w:r>
      <w:r>
        <w:rPr>
          <w:rFonts w:ascii="宋体" w:hAnsi="宋体" w:cs="宋体"/>
          <w:kern w:val="0"/>
          <w:sz w:val="21"/>
          <w:szCs w:val="21"/>
          <w:highlight w:val="none"/>
        </w:rPr>
        <w:t>50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（二）工业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1000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40000</w:t>
      </w:r>
      <w:r>
        <w:rPr>
          <w:rFonts w:hint="eastAsia" w:ascii="宋体" w:hAnsi="宋体" w:cs="宋体"/>
          <w:kern w:val="0"/>
          <w:sz w:val="21"/>
          <w:szCs w:val="21"/>
          <w:highlight w:val="none"/>
        </w:rPr>
        <w:t>万元以下的为中小微型企业。其中，从业人员</w:t>
      </w:r>
      <w:r>
        <w:rPr>
          <w:rFonts w:ascii="宋体" w:hAnsi="宋体" w:cs="宋体"/>
          <w:kern w:val="0"/>
          <w:sz w:val="21"/>
          <w:szCs w:val="21"/>
          <w:highlight w:val="none"/>
        </w:rPr>
        <w:t>300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2000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300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300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（三）建筑业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营业收入</w:t>
      </w:r>
      <w:r>
        <w:rPr>
          <w:rFonts w:ascii="宋体" w:hAnsi="宋体" w:cs="宋体"/>
          <w:kern w:val="0"/>
          <w:sz w:val="21"/>
          <w:szCs w:val="21"/>
          <w:highlight w:val="none"/>
        </w:rPr>
        <w:t>80000</w:t>
      </w:r>
      <w:r>
        <w:rPr>
          <w:rFonts w:hint="eastAsia" w:ascii="宋体" w:hAnsi="宋体" w:cs="宋体"/>
          <w:kern w:val="0"/>
          <w:sz w:val="21"/>
          <w:szCs w:val="21"/>
          <w:highlight w:val="none"/>
        </w:rPr>
        <w:t>万元以下或资产总额</w:t>
      </w:r>
      <w:r>
        <w:rPr>
          <w:rFonts w:ascii="宋体" w:hAnsi="宋体" w:cs="宋体"/>
          <w:kern w:val="0"/>
          <w:sz w:val="21"/>
          <w:szCs w:val="21"/>
          <w:highlight w:val="none"/>
        </w:rPr>
        <w:t>80000</w:t>
      </w:r>
      <w:r>
        <w:rPr>
          <w:rFonts w:hint="eastAsia" w:ascii="宋体" w:hAnsi="宋体" w:cs="宋体"/>
          <w:kern w:val="0"/>
          <w:sz w:val="21"/>
          <w:szCs w:val="21"/>
          <w:highlight w:val="none"/>
        </w:rPr>
        <w:t>万元以下的为中小微型企业。其中，营业收入</w:t>
      </w:r>
      <w:r>
        <w:rPr>
          <w:rFonts w:ascii="宋体" w:hAnsi="宋体" w:cs="宋体"/>
          <w:kern w:val="0"/>
          <w:sz w:val="21"/>
          <w:szCs w:val="21"/>
          <w:highlight w:val="none"/>
        </w:rPr>
        <w:t>6000</w:t>
      </w:r>
      <w:r>
        <w:rPr>
          <w:rFonts w:hint="eastAsia" w:ascii="宋体" w:hAnsi="宋体" w:cs="宋体"/>
          <w:kern w:val="0"/>
          <w:sz w:val="21"/>
          <w:szCs w:val="21"/>
          <w:highlight w:val="none"/>
        </w:rPr>
        <w:t>万元及以上，且资产总额</w:t>
      </w:r>
      <w:r>
        <w:rPr>
          <w:rFonts w:ascii="宋体" w:hAnsi="宋体" w:cs="宋体"/>
          <w:kern w:val="0"/>
          <w:sz w:val="21"/>
          <w:szCs w:val="21"/>
          <w:highlight w:val="none"/>
        </w:rPr>
        <w:t>5000</w:t>
      </w:r>
      <w:r>
        <w:rPr>
          <w:rFonts w:hint="eastAsia" w:ascii="宋体" w:hAnsi="宋体" w:cs="宋体"/>
          <w:kern w:val="0"/>
          <w:sz w:val="21"/>
          <w:szCs w:val="21"/>
          <w:highlight w:val="none"/>
        </w:rPr>
        <w:t>万元及以上的为中型企业；营业收入</w:t>
      </w:r>
      <w:r>
        <w:rPr>
          <w:rFonts w:ascii="宋体" w:hAnsi="宋体" w:cs="宋体"/>
          <w:kern w:val="0"/>
          <w:sz w:val="21"/>
          <w:szCs w:val="21"/>
          <w:highlight w:val="none"/>
        </w:rPr>
        <w:t>300</w:t>
      </w:r>
      <w:r>
        <w:rPr>
          <w:rFonts w:hint="eastAsia" w:ascii="宋体" w:hAnsi="宋体" w:cs="宋体"/>
          <w:kern w:val="0"/>
          <w:sz w:val="21"/>
          <w:szCs w:val="21"/>
          <w:highlight w:val="none"/>
        </w:rPr>
        <w:t>万元及以上，且资产总额</w:t>
      </w:r>
      <w:r>
        <w:rPr>
          <w:rFonts w:ascii="宋体" w:hAnsi="宋体" w:cs="宋体"/>
          <w:kern w:val="0"/>
          <w:sz w:val="21"/>
          <w:szCs w:val="21"/>
          <w:highlight w:val="none"/>
        </w:rPr>
        <w:t>300</w:t>
      </w:r>
      <w:r>
        <w:rPr>
          <w:rFonts w:hint="eastAsia" w:ascii="宋体" w:hAnsi="宋体" w:cs="宋体"/>
          <w:kern w:val="0"/>
          <w:sz w:val="21"/>
          <w:szCs w:val="21"/>
          <w:highlight w:val="none"/>
        </w:rPr>
        <w:t>万元及以上的为小型企业；营业收入</w:t>
      </w:r>
      <w:r>
        <w:rPr>
          <w:rFonts w:ascii="宋体" w:hAnsi="宋体" w:cs="宋体"/>
          <w:kern w:val="0"/>
          <w:sz w:val="21"/>
          <w:szCs w:val="21"/>
          <w:highlight w:val="none"/>
        </w:rPr>
        <w:t>300</w:t>
      </w:r>
      <w:r>
        <w:rPr>
          <w:rFonts w:hint="eastAsia" w:ascii="宋体" w:hAnsi="宋体" w:cs="宋体"/>
          <w:kern w:val="0"/>
          <w:sz w:val="21"/>
          <w:szCs w:val="21"/>
          <w:highlight w:val="none"/>
        </w:rPr>
        <w:t>万元以下或资产总额</w:t>
      </w:r>
      <w:r>
        <w:rPr>
          <w:rFonts w:ascii="宋体" w:hAnsi="宋体" w:cs="宋体"/>
          <w:kern w:val="0"/>
          <w:sz w:val="21"/>
          <w:szCs w:val="21"/>
          <w:highlight w:val="none"/>
        </w:rPr>
        <w:t>300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（四）批发业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200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40000</w:t>
      </w:r>
      <w:r>
        <w:rPr>
          <w:rFonts w:hint="eastAsia" w:ascii="宋体" w:hAnsi="宋体" w:cs="宋体"/>
          <w:kern w:val="0"/>
          <w:sz w:val="21"/>
          <w:szCs w:val="21"/>
          <w:highlight w:val="none"/>
        </w:rPr>
        <w:t>万元以下的为中小微型企业。其中，从业人员</w:t>
      </w:r>
      <w:r>
        <w:rPr>
          <w:rFonts w:ascii="宋体" w:hAnsi="宋体" w:cs="宋体"/>
          <w:kern w:val="0"/>
          <w:sz w:val="21"/>
          <w:szCs w:val="21"/>
          <w:highlight w:val="none"/>
        </w:rPr>
        <w:t>20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5000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5</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5</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（五）零售业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20000</w:t>
      </w:r>
      <w:r>
        <w:rPr>
          <w:rFonts w:hint="eastAsia" w:ascii="宋体" w:hAnsi="宋体" w:cs="宋体"/>
          <w:kern w:val="0"/>
          <w:sz w:val="21"/>
          <w:szCs w:val="21"/>
          <w:highlight w:val="none"/>
        </w:rPr>
        <w:t>万元以下的为中小微型企业。其中，从业人员</w:t>
      </w:r>
      <w:r>
        <w:rPr>
          <w:rFonts w:ascii="宋体" w:hAnsi="宋体" w:cs="宋体"/>
          <w:kern w:val="0"/>
          <w:sz w:val="21"/>
          <w:szCs w:val="21"/>
          <w:highlight w:val="none"/>
        </w:rPr>
        <w:t>50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500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（六）交通运输业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1000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30000</w:t>
      </w:r>
      <w:r>
        <w:rPr>
          <w:rFonts w:hint="eastAsia" w:ascii="宋体" w:hAnsi="宋体" w:cs="宋体"/>
          <w:kern w:val="0"/>
          <w:sz w:val="21"/>
          <w:szCs w:val="21"/>
          <w:highlight w:val="none"/>
        </w:rPr>
        <w:t>万元以下的为中小微型企业。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（七）仓储业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200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30000</w:t>
      </w:r>
      <w:r>
        <w:rPr>
          <w:rFonts w:hint="eastAsia" w:ascii="宋体" w:hAnsi="宋体" w:cs="宋体"/>
          <w:kern w:val="0"/>
          <w:sz w:val="21"/>
          <w:szCs w:val="21"/>
          <w:highlight w:val="none"/>
        </w:rPr>
        <w:t>万元以下的为中小微型企业。其中，从业人员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（八）邮政业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1000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30000</w:t>
      </w:r>
      <w:r>
        <w:rPr>
          <w:rFonts w:hint="eastAsia" w:ascii="宋体" w:hAnsi="宋体" w:cs="宋体"/>
          <w:kern w:val="0"/>
          <w:sz w:val="21"/>
          <w:szCs w:val="21"/>
          <w:highlight w:val="none"/>
        </w:rPr>
        <w:t>万元以下的为中小微型企业。其中，从业人员</w:t>
      </w:r>
      <w:r>
        <w:rPr>
          <w:rFonts w:ascii="宋体" w:hAnsi="宋体" w:cs="宋体"/>
          <w:kern w:val="0"/>
          <w:sz w:val="21"/>
          <w:szCs w:val="21"/>
          <w:highlight w:val="none"/>
        </w:rPr>
        <w:t>300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2000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20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（九）住宿业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10000</w:t>
      </w:r>
      <w:r>
        <w:rPr>
          <w:rFonts w:hint="eastAsia" w:ascii="宋体" w:hAnsi="宋体" w:cs="宋体"/>
          <w:kern w:val="0"/>
          <w:sz w:val="21"/>
          <w:szCs w:val="21"/>
          <w:highlight w:val="none"/>
        </w:rPr>
        <w:t>万元以下的为中小微型企业。其中，从业人员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2000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（十）餐饮业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10000</w:t>
      </w:r>
      <w:r>
        <w:rPr>
          <w:rFonts w:hint="eastAsia" w:ascii="宋体" w:hAnsi="宋体" w:cs="宋体"/>
          <w:kern w:val="0"/>
          <w:sz w:val="21"/>
          <w:szCs w:val="21"/>
          <w:highlight w:val="none"/>
        </w:rPr>
        <w:t>万元以下的为中小微型企业。其中，从业人员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2000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（十一）信息传输业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2000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100000</w:t>
      </w:r>
      <w:r>
        <w:rPr>
          <w:rFonts w:hint="eastAsia" w:ascii="宋体" w:hAnsi="宋体" w:cs="宋体"/>
          <w:kern w:val="0"/>
          <w:sz w:val="21"/>
          <w:szCs w:val="21"/>
          <w:highlight w:val="none"/>
        </w:rPr>
        <w:t>万元以下的为中小微型企业。其中，从业人员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（十二）软件和信息技术服务业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10000</w:t>
      </w:r>
      <w:r>
        <w:rPr>
          <w:rFonts w:hint="eastAsia" w:ascii="宋体" w:hAnsi="宋体" w:cs="宋体"/>
          <w:kern w:val="0"/>
          <w:sz w:val="21"/>
          <w:szCs w:val="21"/>
          <w:highlight w:val="none"/>
        </w:rPr>
        <w:t>万元以下的为中小微型企业。其中，从业人员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50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50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（十三）房地产开发经营</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营业收入</w:t>
      </w:r>
      <w:r>
        <w:rPr>
          <w:rFonts w:ascii="宋体" w:hAnsi="宋体" w:cs="宋体"/>
          <w:kern w:val="0"/>
          <w:sz w:val="21"/>
          <w:szCs w:val="21"/>
          <w:highlight w:val="none"/>
        </w:rPr>
        <w:t>200000</w:t>
      </w:r>
      <w:r>
        <w:rPr>
          <w:rFonts w:hint="eastAsia" w:ascii="宋体" w:hAnsi="宋体" w:cs="宋体"/>
          <w:kern w:val="0"/>
          <w:sz w:val="21"/>
          <w:szCs w:val="21"/>
          <w:highlight w:val="none"/>
        </w:rPr>
        <w:t>万元以下或资产总额</w:t>
      </w:r>
      <w:r>
        <w:rPr>
          <w:rFonts w:ascii="宋体" w:hAnsi="宋体" w:cs="宋体"/>
          <w:kern w:val="0"/>
          <w:sz w:val="21"/>
          <w:szCs w:val="21"/>
          <w:highlight w:val="none"/>
        </w:rPr>
        <w:t>10000</w:t>
      </w:r>
      <w:r>
        <w:rPr>
          <w:rFonts w:hint="eastAsia" w:ascii="宋体" w:hAnsi="宋体" w:cs="宋体"/>
          <w:kern w:val="0"/>
          <w:sz w:val="21"/>
          <w:szCs w:val="21"/>
          <w:highlight w:val="none"/>
        </w:rPr>
        <w:t>万元以下的为中小微型企业。其中，营业收入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万元及以上，且资产总额</w:t>
      </w:r>
      <w:r>
        <w:rPr>
          <w:rFonts w:ascii="宋体" w:hAnsi="宋体" w:cs="宋体"/>
          <w:kern w:val="0"/>
          <w:sz w:val="21"/>
          <w:szCs w:val="21"/>
          <w:highlight w:val="none"/>
        </w:rPr>
        <w:t>5000</w:t>
      </w:r>
      <w:r>
        <w:rPr>
          <w:rFonts w:hint="eastAsia" w:ascii="宋体" w:hAnsi="宋体" w:cs="宋体"/>
          <w:kern w:val="0"/>
          <w:sz w:val="21"/>
          <w:szCs w:val="21"/>
          <w:highlight w:val="none"/>
        </w:rPr>
        <w:t>万元及以上的为中型企业；营业收入</w:t>
      </w:r>
      <w:r>
        <w:rPr>
          <w:rFonts w:ascii="宋体" w:hAnsi="宋体" w:cs="宋体"/>
          <w:kern w:val="0"/>
          <w:sz w:val="21"/>
          <w:szCs w:val="21"/>
          <w:highlight w:val="none"/>
        </w:rPr>
        <w:t>100</w:t>
      </w:r>
      <w:r>
        <w:rPr>
          <w:rFonts w:hint="eastAsia" w:ascii="宋体" w:hAnsi="宋体" w:cs="宋体"/>
          <w:kern w:val="0"/>
          <w:sz w:val="21"/>
          <w:szCs w:val="21"/>
          <w:highlight w:val="none"/>
        </w:rPr>
        <w:t>万元及以上，且资产总额</w:t>
      </w:r>
      <w:r>
        <w:rPr>
          <w:rFonts w:ascii="宋体" w:hAnsi="宋体" w:cs="宋体"/>
          <w:kern w:val="0"/>
          <w:sz w:val="21"/>
          <w:szCs w:val="21"/>
          <w:highlight w:val="none"/>
        </w:rPr>
        <w:t>2000</w:t>
      </w:r>
      <w:r>
        <w:rPr>
          <w:rFonts w:hint="eastAsia" w:ascii="宋体" w:hAnsi="宋体" w:cs="宋体"/>
          <w:kern w:val="0"/>
          <w:sz w:val="21"/>
          <w:szCs w:val="21"/>
          <w:highlight w:val="none"/>
        </w:rPr>
        <w:t>万元及以上的为小型企业；营业收入</w:t>
      </w:r>
      <w:r>
        <w:rPr>
          <w:rFonts w:ascii="宋体" w:hAnsi="宋体" w:cs="宋体"/>
          <w:kern w:val="0"/>
          <w:sz w:val="21"/>
          <w:szCs w:val="21"/>
          <w:highlight w:val="none"/>
        </w:rPr>
        <w:t>100</w:t>
      </w:r>
      <w:r>
        <w:rPr>
          <w:rFonts w:hint="eastAsia" w:ascii="宋体" w:hAnsi="宋体" w:cs="宋体"/>
          <w:kern w:val="0"/>
          <w:sz w:val="21"/>
          <w:szCs w:val="21"/>
          <w:highlight w:val="none"/>
        </w:rPr>
        <w:t>万元以下或资产总额</w:t>
      </w:r>
      <w:r>
        <w:rPr>
          <w:rFonts w:ascii="宋体" w:hAnsi="宋体" w:cs="宋体"/>
          <w:kern w:val="0"/>
          <w:sz w:val="21"/>
          <w:szCs w:val="21"/>
          <w:highlight w:val="none"/>
        </w:rPr>
        <w:t>2000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（十四）物业管理</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1000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5000</w:t>
      </w:r>
      <w:r>
        <w:rPr>
          <w:rFonts w:hint="eastAsia" w:ascii="宋体" w:hAnsi="宋体" w:cs="宋体"/>
          <w:kern w:val="0"/>
          <w:sz w:val="21"/>
          <w:szCs w:val="21"/>
          <w:highlight w:val="none"/>
        </w:rPr>
        <w:t>万元以下的为中小微型企业。其中，从业人员</w:t>
      </w:r>
      <w:r>
        <w:rPr>
          <w:rFonts w:ascii="宋体" w:hAnsi="宋体" w:cs="宋体"/>
          <w:kern w:val="0"/>
          <w:sz w:val="21"/>
          <w:szCs w:val="21"/>
          <w:highlight w:val="none"/>
        </w:rPr>
        <w:t>300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1000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人及以上，且营业收入</w:t>
      </w:r>
      <w:r>
        <w:rPr>
          <w:rFonts w:ascii="宋体" w:hAnsi="宋体" w:cs="宋体"/>
          <w:kern w:val="0"/>
          <w:sz w:val="21"/>
          <w:szCs w:val="21"/>
          <w:highlight w:val="none"/>
        </w:rPr>
        <w:t>500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100</w:t>
      </w:r>
      <w:r>
        <w:rPr>
          <w:rFonts w:hint="eastAsia" w:ascii="宋体" w:hAnsi="宋体" w:cs="宋体"/>
          <w:kern w:val="0"/>
          <w:sz w:val="21"/>
          <w:szCs w:val="21"/>
          <w:highlight w:val="none"/>
        </w:rPr>
        <w:t>人以下或营业收入</w:t>
      </w:r>
      <w:r>
        <w:rPr>
          <w:rFonts w:ascii="宋体" w:hAnsi="宋体" w:cs="宋体"/>
          <w:kern w:val="0"/>
          <w:sz w:val="21"/>
          <w:szCs w:val="21"/>
          <w:highlight w:val="none"/>
        </w:rPr>
        <w:t>500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（十五）租赁和商务服务业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人以下或资产总额</w:t>
      </w:r>
      <w:r>
        <w:rPr>
          <w:rFonts w:ascii="宋体" w:hAnsi="宋体" w:cs="宋体"/>
          <w:kern w:val="0"/>
          <w:sz w:val="21"/>
          <w:szCs w:val="21"/>
          <w:highlight w:val="none"/>
        </w:rPr>
        <w:t>120000</w:t>
      </w:r>
      <w:r>
        <w:rPr>
          <w:rFonts w:hint="eastAsia" w:ascii="宋体" w:hAnsi="宋体" w:cs="宋体"/>
          <w:kern w:val="0"/>
          <w:sz w:val="21"/>
          <w:szCs w:val="21"/>
          <w:highlight w:val="none"/>
        </w:rPr>
        <w:t>万元以下的为中小微型企业。其中，从业人员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人及以上，且资产总额</w:t>
      </w:r>
      <w:r>
        <w:rPr>
          <w:rFonts w:ascii="宋体" w:hAnsi="宋体" w:cs="宋体"/>
          <w:kern w:val="0"/>
          <w:sz w:val="21"/>
          <w:szCs w:val="21"/>
          <w:highlight w:val="none"/>
        </w:rPr>
        <w:t>8000</w:t>
      </w:r>
      <w:r>
        <w:rPr>
          <w:rFonts w:hint="eastAsia" w:ascii="宋体" w:hAnsi="宋体" w:cs="宋体"/>
          <w:kern w:val="0"/>
          <w:sz w:val="21"/>
          <w:szCs w:val="21"/>
          <w:highlight w:val="none"/>
        </w:rPr>
        <w:t>万元及以上的为中型企业；从业人员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人及以上，且资产总额</w:t>
      </w:r>
      <w:r>
        <w:rPr>
          <w:rFonts w:ascii="宋体" w:hAnsi="宋体" w:cs="宋体"/>
          <w:kern w:val="0"/>
          <w:sz w:val="21"/>
          <w:szCs w:val="21"/>
          <w:highlight w:val="none"/>
        </w:rPr>
        <w:t>100</w:t>
      </w:r>
      <w:r>
        <w:rPr>
          <w:rFonts w:hint="eastAsia" w:ascii="宋体" w:hAnsi="宋体" w:cs="宋体"/>
          <w:kern w:val="0"/>
          <w:sz w:val="21"/>
          <w:szCs w:val="21"/>
          <w:highlight w:val="none"/>
        </w:rPr>
        <w:t>万元及以上的为小型企业；从业人员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人以下或资产总额</w:t>
      </w:r>
      <w:r>
        <w:rPr>
          <w:rFonts w:ascii="宋体" w:hAnsi="宋体" w:cs="宋体"/>
          <w:kern w:val="0"/>
          <w:sz w:val="21"/>
          <w:szCs w:val="21"/>
          <w:highlight w:val="none"/>
        </w:rPr>
        <w:t>100</w:t>
      </w:r>
      <w:r>
        <w:rPr>
          <w:rFonts w:hint="eastAsia" w:ascii="宋体" w:hAnsi="宋体" w:cs="宋体"/>
          <w:kern w:val="0"/>
          <w:sz w:val="21"/>
          <w:szCs w:val="21"/>
          <w:highlight w:val="none"/>
        </w:rPr>
        <w:t>万元以下的为微型企业。</w:t>
      </w:r>
    </w:p>
    <w:p>
      <w:pPr>
        <w:pStyle w:val="9"/>
        <w:wordWrap w:val="0"/>
        <w:spacing w:after="0" w:line="400" w:lineRule="exact"/>
        <w:ind w:firstLine="422" w:firstLineChars="200"/>
        <w:rPr>
          <w:rFonts w:ascii="宋体" w:cs="宋体"/>
          <w:b/>
          <w:bCs/>
          <w:kern w:val="0"/>
          <w:sz w:val="21"/>
          <w:szCs w:val="21"/>
          <w:highlight w:val="none"/>
        </w:rPr>
      </w:pPr>
      <w:r>
        <w:rPr>
          <w:rFonts w:hint="eastAsia" w:ascii="宋体" w:hAnsi="宋体" w:cs="宋体"/>
          <w:b/>
          <w:bCs/>
          <w:kern w:val="0"/>
          <w:sz w:val="21"/>
          <w:szCs w:val="21"/>
          <w:highlight w:val="none"/>
        </w:rPr>
        <w:t>（十六）其他未列明行业</w:t>
      </w:r>
    </w:p>
    <w:p>
      <w:pPr>
        <w:pStyle w:val="9"/>
        <w:wordWrap w:val="0"/>
        <w:spacing w:after="0" w:line="400" w:lineRule="exact"/>
        <w:ind w:firstLine="420" w:firstLineChars="200"/>
        <w:rPr>
          <w:rFonts w:ascii="宋体" w:cs="宋体"/>
          <w:kern w:val="0"/>
          <w:sz w:val="21"/>
          <w:szCs w:val="21"/>
          <w:highlight w:val="none"/>
        </w:rPr>
      </w:pPr>
      <w:r>
        <w:rPr>
          <w:rFonts w:hint="eastAsia" w:ascii="宋体" w:hAnsi="宋体" w:cs="宋体"/>
          <w:kern w:val="0"/>
          <w:sz w:val="21"/>
          <w:szCs w:val="21"/>
          <w:highlight w:val="none"/>
        </w:rPr>
        <w:t>从业人员</w:t>
      </w:r>
      <w:r>
        <w:rPr>
          <w:rFonts w:ascii="宋体" w:hAnsi="宋体" w:cs="宋体"/>
          <w:kern w:val="0"/>
          <w:sz w:val="21"/>
          <w:szCs w:val="21"/>
          <w:highlight w:val="none"/>
        </w:rPr>
        <w:t>300</w:t>
      </w:r>
      <w:r>
        <w:rPr>
          <w:rFonts w:hint="eastAsia" w:ascii="宋体" w:hAnsi="宋体" w:cs="宋体"/>
          <w:kern w:val="0"/>
          <w:sz w:val="21"/>
          <w:szCs w:val="21"/>
          <w:highlight w:val="none"/>
        </w:rPr>
        <w:t>人以下的为中小微型企业。其中，从业人员</w:t>
      </w:r>
      <w:r>
        <w:rPr>
          <w:rFonts w:ascii="宋体" w:hAnsi="宋体" w:cs="宋体"/>
          <w:kern w:val="0"/>
          <w:sz w:val="21"/>
          <w:szCs w:val="21"/>
          <w:highlight w:val="none"/>
        </w:rPr>
        <w:t>100</w:t>
      </w:r>
      <w:r>
        <w:rPr>
          <w:rFonts w:hint="eastAsia" w:ascii="宋体" w:hAnsi="宋体" w:cs="宋体"/>
          <w:kern w:val="0"/>
          <w:sz w:val="21"/>
          <w:szCs w:val="21"/>
          <w:highlight w:val="none"/>
        </w:rPr>
        <w:t>人及以上的为中型企业；从业人员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人及以上的为小型企业；从业人员</w:t>
      </w:r>
      <w:r>
        <w:rPr>
          <w:rFonts w:ascii="宋体" w:hAnsi="宋体" w:cs="宋体"/>
          <w:kern w:val="0"/>
          <w:sz w:val="21"/>
          <w:szCs w:val="21"/>
          <w:highlight w:val="none"/>
        </w:rPr>
        <w:t>10</w:t>
      </w:r>
      <w:r>
        <w:rPr>
          <w:rFonts w:hint="eastAsia" w:ascii="宋体" w:hAnsi="宋体" w:cs="宋体"/>
          <w:kern w:val="0"/>
          <w:sz w:val="21"/>
          <w:szCs w:val="21"/>
          <w:highlight w:val="none"/>
        </w:rPr>
        <w:t>人以下的为微型企业。</w:t>
      </w:r>
    </w:p>
    <w:p>
      <w:pPr>
        <w:snapToGrid w:val="0"/>
        <w:spacing w:line="360" w:lineRule="auto"/>
        <w:rPr>
          <w:rFonts w:hint="eastAsia" w:ascii="宋体" w:hAnsi="宋体" w:cs="宋体"/>
          <w:b/>
          <w:sz w:val="24"/>
          <w:highlight w:val="none"/>
        </w:rPr>
      </w:pPr>
    </w:p>
    <w:p>
      <w:pPr>
        <w:snapToGrid w:val="0"/>
        <w:spacing w:line="360" w:lineRule="auto"/>
        <w:rPr>
          <w:rFonts w:ascii="宋体" w:cs="宋体"/>
          <w:b/>
          <w:sz w:val="24"/>
          <w:highlight w:val="none"/>
        </w:rPr>
      </w:pPr>
      <w:r>
        <w:rPr>
          <w:rFonts w:hint="eastAsia" w:ascii="宋体" w:hAnsi="宋体" w:cs="宋体"/>
          <w:b/>
          <w:sz w:val="24"/>
          <w:highlight w:val="none"/>
        </w:rPr>
        <w:t>监狱企业、残疾人福利性单位视同为小微企业。</w:t>
      </w:r>
    </w:p>
    <w:p>
      <w:pPr>
        <w:snapToGrid w:val="0"/>
        <w:spacing w:line="360" w:lineRule="auto"/>
        <w:jc w:val="center"/>
        <w:rPr>
          <w:rFonts w:hint="eastAsia" w:ascii="宋体" w:hAnsi="宋体" w:cs="宋体"/>
          <w:b/>
          <w:sz w:val="28"/>
          <w:szCs w:val="28"/>
          <w:highlight w:val="none"/>
        </w:rPr>
      </w:pPr>
    </w:p>
    <w:p>
      <w:pPr>
        <w:snapToGrid w:val="0"/>
        <w:spacing w:line="360" w:lineRule="auto"/>
        <w:jc w:val="center"/>
        <w:rPr>
          <w:rFonts w:ascii="宋体" w:cs="宋体"/>
          <w:b/>
          <w:sz w:val="28"/>
          <w:szCs w:val="28"/>
          <w:highlight w:val="none"/>
        </w:rPr>
      </w:pPr>
      <w:r>
        <w:rPr>
          <w:rFonts w:hint="eastAsia" w:ascii="宋体" w:hAnsi="宋体" w:cs="宋体"/>
          <w:b/>
          <w:sz w:val="28"/>
          <w:szCs w:val="28"/>
          <w:highlight w:val="none"/>
        </w:rPr>
        <w:t>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szCs w:val="21"/>
          <w:highlight w:val="none"/>
        </w:rPr>
      </w:pPr>
      <w:r>
        <w:rPr>
          <w:rFonts w:hint="eastAsia" w:ascii="宋体" w:hAnsi="宋体" w:cs="宋体"/>
          <w:szCs w:val="21"/>
          <w:highlight w:val="none"/>
        </w:rPr>
        <w:t>本单位郑重声明，根据《财政部</w:t>
      </w:r>
      <w:r>
        <w:rPr>
          <w:rFonts w:ascii="宋体" w:hAnsi="宋体" w:cs="宋体"/>
          <w:szCs w:val="21"/>
          <w:highlight w:val="none"/>
        </w:rPr>
        <w:t xml:space="preserve"> </w:t>
      </w:r>
      <w:r>
        <w:rPr>
          <w:rFonts w:hint="eastAsia" w:ascii="宋体" w:hAnsi="宋体" w:cs="宋体"/>
          <w:szCs w:val="21"/>
          <w:highlight w:val="none"/>
        </w:rPr>
        <w:t>民政部</w:t>
      </w:r>
      <w:r>
        <w:rPr>
          <w:rFonts w:ascii="宋体" w:hAnsi="宋体" w:cs="宋体"/>
          <w:szCs w:val="21"/>
          <w:highlight w:val="none"/>
        </w:rPr>
        <w:t xml:space="preserve"> </w:t>
      </w:r>
      <w:r>
        <w:rPr>
          <w:rFonts w:hint="eastAsia" w:ascii="宋体" w:hAnsi="宋体" w:cs="宋体"/>
          <w:szCs w:val="21"/>
          <w:highlight w:val="none"/>
        </w:rPr>
        <w:t>中国残疾人联合会关于促进残疾人就业政府采购政策的通知》（财库〔</w:t>
      </w:r>
      <w:r>
        <w:rPr>
          <w:rFonts w:ascii="宋体" w:hAnsi="宋体" w:cs="宋体"/>
          <w:szCs w:val="21"/>
          <w:highlight w:val="none"/>
        </w:rPr>
        <w:t>2017</w:t>
      </w:r>
      <w:r>
        <w:rPr>
          <w:rFonts w:hint="eastAsia" w:ascii="宋体" w:hAnsi="宋体" w:cs="宋体"/>
          <w:szCs w:val="21"/>
          <w:highlight w:val="none"/>
        </w:rPr>
        <w:t>〕</w:t>
      </w:r>
      <w:r>
        <w:rPr>
          <w:rFonts w:ascii="宋体" w:hAnsi="宋体" w:cs="宋体"/>
          <w:szCs w:val="21"/>
          <w:highlight w:val="none"/>
        </w:rPr>
        <w:t xml:space="preserve"> 141</w:t>
      </w:r>
      <w:r>
        <w:rPr>
          <w:rFonts w:hint="eastAsia" w:ascii="宋体" w:hAnsi="宋体" w:cs="宋体"/>
          <w:szCs w:val="21"/>
          <w:highlight w:val="none"/>
        </w:rPr>
        <w:t>号）的规定，本单位为符合条件的残疾人福利性单位，且本单位参加</w:t>
      </w:r>
      <w:r>
        <w:rPr>
          <w:rFonts w:ascii="宋体" w:hAnsi="宋体" w:cs="宋体"/>
          <w:szCs w:val="21"/>
          <w:highlight w:val="none"/>
        </w:rPr>
        <w:t>______</w:t>
      </w:r>
      <w:r>
        <w:rPr>
          <w:rFonts w:hint="eastAsia" w:ascii="宋体" w:hAnsi="宋体" w:cs="宋体"/>
          <w:szCs w:val="21"/>
          <w:highlight w:val="none"/>
        </w:rPr>
        <w:t>单位的</w:t>
      </w:r>
      <w:r>
        <w:rPr>
          <w:rFonts w:ascii="宋体" w:hAnsi="宋体" w:cs="宋体"/>
          <w:szCs w:val="21"/>
          <w:highlight w:val="none"/>
        </w:rPr>
        <w:t>______</w:t>
      </w:r>
      <w:r>
        <w:rPr>
          <w:rFonts w:hint="eastAsia" w:ascii="宋体" w:hAnsi="宋体" w:cs="宋体"/>
          <w:szCs w:val="21"/>
          <w:highlight w:val="none"/>
        </w:rPr>
        <w:t>项目采购活动提供本单位制造的货物（由本单位承担工程</w:t>
      </w:r>
      <w:r>
        <w:rPr>
          <w:rFonts w:ascii="宋体" w:hAnsi="宋体" w:cs="宋体"/>
          <w:szCs w:val="21"/>
          <w:highlight w:val="none"/>
        </w:rPr>
        <w:t>/</w:t>
      </w:r>
      <w:r>
        <w:rPr>
          <w:rFonts w:hint="eastAsia" w:ascii="宋体" w:hAnsi="宋体" w:cs="宋体"/>
          <w:szCs w:val="21"/>
          <w:highlight w:val="none"/>
        </w:rPr>
        <w:t>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szCs w:val="21"/>
          <w:highlight w:val="none"/>
        </w:rPr>
      </w:pPr>
      <w:r>
        <w:rPr>
          <w:rFonts w:hint="eastAsia" w:ascii="宋体" w:hAnsi="宋体" w:cs="宋体"/>
          <w:szCs w:val="21"/>
          <w:highlight w:val="none"/>
        </w:rPr>
        <w:t>本单位对上述声明的真实性负责。如有虚假，将依法承担相应责任。</w:t>
      </w:r>
    </w:p>
    <w:p>
      <w:pPr>
        <w:snapToGrid w:val="0"/>
        <w:spacing w:line="360" w:lineRule="auto"/>
        <w:ind w:firstLine="420" w:firstLineChars="200"/>
        <w:rPr>
          <w:rFonts w:ascii="宋体" w:cs="宋体"/>
          <w:szCs w:val="21"/>
          <w:highlight w:val="none"/>
        </w:rPr>
      </w:pPr>
    </w:p>
    <w:p>
      <w:pPr>
        <w:snapToGrid w:val="0"/>
        <w:spacing w:line="360" w:lineRule="auto"/>
        <w:ind w:firstLine="420" w:firstLineChars="200"/>
        <w:rPr>
          <w:rFonts w:ascii="宋体" w:cs="宋体"/>
          <w:szCs w:val="21"/>
          <w:highlight w:val="none"/>
        </w:rPr>
      </w:pPr>
    </w:p>
    <w:p>
      <w:pPr>
        <w:keepNext w:val="0"/>
        <w:keepLines w:val="0"/>
        <w:pageBreakBefore w:val="0"/>
        <w:widowControl w:val="0"/>
        <w:tabs>
          <w:tab w:val="left" w:pos="4860"/>
        </w:tabs>
        <w:kinsoku/>
        <w:wordWrap/>
        <w:overflowPunct/>
        <w:topLinePunct w:val="0"/>
        <w:autoSpaceDE/>
        <w:autoSpaceDN/>
        <w:bidi w:val="0"/>
        <w:adjustRightInd/>
        <w:snapToGrid w:val="0"/>
        <w:spacing w:line="360" w:lineRule="auto"/>
        <w:ind w:right="0" w:firstLine="420" w:firstLineChars="200"/>
        <w:jc w:val="left"/>
        <w:textAlignment w:val="auto"/>
        <w:rPr>
          <w:rFonts w:ascii="宋体" w:cs="宋体"/>
          <w:szCs w:val="21"/>
          <w:highlight w:val="none"/>
        </w:rPr>
      </w:pPr>
      <w:r>
        <w:rPr>
          <w:rFonts w:hint="eastAsia" w:ascii="宋体" w:hAnsi="宋体" w:cs="宋体"/>
          <w:szCs w:val="21"/>
          <w:highlight w:val="none"/>
        </w:rPr>
        <w:t>供应商盖章：</w:t>
      </w:r>
    </w:p>
    <w:p>
      <w:pPr>
        <w:keepNext w:val="0"/>
        <w:keepLines w:val="0"/>
        <w:pageBreakBefore w:val="0"/>
        <w:widowControl w:val="0"/>
        <w:tabs>
          <w:tab w:val="left" w:pos="4860"/>
        </w:tabs>
        <w:kinsoku/>
        <w:wordWrap/>
        <w:overflowPunct/>
        <w:topLinePunct w:val="0"/>
        <w:autoSpaceDE/>
        <w:autoSpaceDN/>
        <w:bidi w:val="0"/>
        <w:adjustRightInd/>
        <w:snapToGrid w:val="0"/>
        <w:spacing w:line="360" w:lineRule="auto"/>
        <w:ind w:right="0" w:firstLine="420" w:firstLineChars="200"/>
        <w:jc w:val="left"/>
        <w:textAlignment w:val="auto"/>
        <w:rPr>
          <w:rFonts w:asci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p>
    <w:p>
      <w:pPr>
        <w:pStyle w:val="68"/>
        <w:keepNext w:val="0"/>
        <w:keepLines w:val="0"/>
        <w:pageBreakBefore w:val="0"/>
        <w:widowControl w:val="0"/>
        <w:kinsoku/>
        <w:wordWrap/>
        <w:overflowPunct/>
        <w:topLinePunct w:val="0"/>
        <w:autoSpaceDE/>
        <w:autoSpaceDN/>
        <w:bidi w:val="0"/>
        <w:adjustRightInd/>
        <w:snapToGrid w:val="0"/>
        <w:spacing w:line="360" w:lineRule="auto"/>
        <w:ind w:right="0" w:firstLine="420" w:firstLineChars="200"/>
        <w:jc w:val="left"/>
        <w:textAlignment w:val="auto"/>
        <w:rPr>
          <w:rFonts w:ascii="宋体" w:hAnsi="宋体" w:cs="宋体"/>
          <w:szCs w:val="21"/>
          <w:highlight w:val="none"/>
        </w:rPr>
      </w:pPr>
    </w:p>
    <w:p>
      <w:pPr>
        <w:pStyle w:val="68"/>
        <w:keepNext w:val="0"/>
        <w:keepLines w:val="0"/>
        <w:pageBreakBefore w:val="0"/>
        <w:widowControl w:val="0"/>
        <w:kinsoku/>
        <w:wordWrap/>
        <w:overflowPunct/>
        <w:topLinePunct w:val="0"/>
        <w:autoSpaceDE/>
        <w:autoSpaceDN/>
        <w:bidi w:val="0"/>
        <w:adjustRightInd/>
        <w:snapToGrid w:val="0"/>
        <w:spacing w:line="360" w:lineRule="auto"/>
        <w:ind w:right="0" w:firstLine="420" w:firstLineChars="200"/>
        <w:jc w:val="left"/>
        <w:textAlignment w:val="auto"/>
        <w:rPr>
          <w:rFonts w:ascii="宋体" w:cs="宋体"/>
          <w:szCs w:val="21"/>
          <w:highlight w:val="none"/>
        </w:rPr>
      </w:pPr>
      <w:r>
        <w:rPr>
          <w:rFonts w:hint="eastAsia" w:ascii="宋体" w:hAnsi="宋体" w:cs="宋体"/>
          <w:szCs w:val="21"/>
          <w:highlight w:val="none"/>
        </w:rPr>
        <w:t>提供社保缴纳人员名单、录用的残疾人的《中华人民共和国残疾人证》或者《中华人民共和国残疾军人证</w:t>
      </w:r>
      <w:r>
        <w:rPr>
          <w:rFonts w:ascii="宋体" w:hAnsi="宋体" w:cs="宋体"/>
          <w:szCs w:val="21"/>
          <w:highlight w:val="none"/>
        </w:rPr>
        <w:t>(1</w:t>
      </w:r>
      <w:r>
        <w:rPr>
          <w:rFonts w:hint="eastAsia" w:ascii="宋体" w:hAnsi="宋体" w:cs="宋体"/>
          <w:szCs w:val="21"/>
          <w:highlight w:val="none"/>
        </w:rPr>
        <w:t>至</w:t>
      </w:r>
      <w:r>
        <w:rPr>
          <w:rFonts w:ascii="宋体" w:hAnsi="宋体" w:cs="宋体"/>
          <w:szCs w:val="21"/>
          <w:highlight w:val="none"/>
        </w:rPr>
        <w:t>8</w:t>
      </w:r>
      <w:r>
        <w:rPr>
          <w:rFonts w:hint="eastAsia" w:ascii="宋体" w:hAnsi="宋体" w:cs="宋体"/>
          <w:szCs w:val="21"/>
          <w:highlight w:val="none"/>
        </w:rPr>
        <w:t>级</w:t>
      </w:r>
      <w:r>
        <w:rPr>
          <w:rFonts w:ascii="宋体" w:hAnsi="宋体" w:cs="宋体"/>
          <w:szCs w:val="21"/>
          <w:highlight w:val="none"/>
        </w:rPr>
        <w:t>)</w:t>
      </w:r>
      <w:r>
        <w:rPr>
          <w:rFonts w:hint="eastAsia" w:ascii="宋体" w:hAnsi="宋体" w:cs="宋体"/>
          <w:szCs w:val="21"/>
          <w:highlight w:val="none"/>
        </w:rPr>
        <w:t>》复印件</w:t>
      </w: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p>
    <w:p>
      <w:pPr>
        <w:snapToGrid w:val="0"/>
        <w:spacing w:line="360" w:lineRule="auto"/>
        <w:jc w:val="center"/>
        <w:rPr>
          <w:rFonts w:ascii="宋体" w:cs="宋体"/>
          <w:b/>
          <w:kern w:val="0"/>
          <w:sz w:val="28"/>
          <w:szCs w:val="28"/>
          <w:highlight w:val="none"/>
        </w:rPr>
      </w:pPr>
    </w:p>
    <w:p>
      <w:pPr>
        <w:snapToGrid w:val="0"/>
        <w:spacing w:line="360" w:lineRule="auto"/>
        <w:jc w:val="center"/>
        <w:rPr>
          <w:rFonts w:hint="eastAsia" w:ascii="宋体" w:hAnsi="宋体" w:cs="宋体"/>
          <w:b/>
          <w:kern w:val="0"/>
          <w:sz w:val="28"/>
          <w:szCs w:val="28"/>
          <w:highlight w:val="none"/>
        </w:rPr>
      </w:pPr>
    </w:p>
    <w:p>
      <w:pPr>
        <w:snapToGrid w:val="0"/>
        <w:spacing w:line="360" w:lineRule="auto"/>
        <w:jc w:val="center"/>
        <w:rPr>
          <w:rFonts w:ascii="宋体" w:cs="宋体"/>
          <w:b/>
          <w:kern w:val="0"/>
          <w:sz w:val="28"/>
          <w:szCs w:val="28"/>
          <w:highlight w:val="none"/>
        </w:rPr>
      </w:pPr>
      <w:r>
        <w:rPr>
          <w:rFonts w:hint="eastAsia" w:ascii="宋体" w:hAnsi="宋体" w:cs="宋体"/>
          <w:b/>
          <w:kern w:val="0"/>
          <w:sz w:val="28"/>
          <w:szCs w:val="28"/>
          <w:highlight w:val="none"/>
        </w:rPr>
        <w:t>监狱企业声明函</w:t>
      </w:r>
    </w:p>
    <w:p>
      <w:pPr>
        <w:snapToGrid w:val="0"/>
        <w:spacing w:line="360" w:lineRule="auto"/>
        <w:ind w:firstLine="480" w:firstLineChars="200"/>
        <w:jc w:val="left"/>
        <w:rPr>
          <w:rFonts w:ascii="宋体" w:cs="宋体"/>
          <w:kern w:val="0"/>
          <w:sz w:val="24"/>
          <w:highlight w:val="none"/>
        </w:rPr>
      </w:pPr>
    </w:p>
    <w:p>
      <w:pP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本公司郑重声明，根据《关于政府采购支持监狱企业发展有关问题的通知》</w:t>
      </w:r>
      <w:r>
        <w:rPr>
          <w:rFonts w:ascii="宋体" w:hAnsi="宋体" w:cs="宋体"/>
          <w:kern w:val="0"/>
          <w:szCs w:val="21"/>
          <w:highlight w:val="none"/>
        </w:rPr>
        <w:t xml:space="preserve"> </w:t>
      </w:r>
      <w:r>
        <w:rPr>
          <w:rFonts w:hint="eastAsia" w:ascii="宋体" w:hAnsi="宋体" w:cs="宋体"/>
          <w:kern w:val="0"/>
          <w:szCs w:val="21"/>
          <w:highlight w:val="none"/>
        </w:rPr>
        <w:t>（财库</w:t>
      </w:r>
      <w:r>
        <w:rPr>
          <w:rFonts w:ascii="宋体" w:hAnsi="宋体" w:cs="宋体"/>
          <w:kern w:val="0"/>
          <w:szCs w:val="21"/>
          <w:highlight w:val="none"/>
        </w:rPr>
        <w:t xml:space="preserve">[2014]68 </w:t>
      </w:r>
      <w:r>
        <w:rPr>
          <w:rFonts w:hint="eastAsia" w:ascii="宋体" w:hAnsi="宋体" w:cs="宋体"/>
          <w:kern w:val="0"/>
          <w:szCs w:val="21"/>
          <w:highlight w:val="none"/>
        </w:rPr>
        <w:t>号）的规定，本公司为</w:t>
      </w:r>
      <w:r>
        <w:rPr>
          <w:rFonts w:hint="eastAsia" w:ascii="宋体" w:hAnsi="宋体" w:cs="宋体"/>
          <w:kern w:val="0"/>
          <w:szCs w:val="21"/>
          <w:highlight w:val="none"/>
          <w:u w:val="single"/>
        </w:rPr>
        <w:t>监狱企业</w:t>
      </w:r>
      <w:r>
        <w:rPr>
          <w:rFonts w:hint="eastAsia" w:ascii="宋体" w:hAnsi="宋体" w:cs="宋体"/>
          <w:kern w:val="0"/>
          <w:szCs w:val="21"/>
          <w:highlight w:val="none"/>
        </w:rPr>
        <w:t>。</w:t>
      </w:r>
    </w:p>
    <w:p>
      <w:pP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根据上述标准，我公司属于监狱企业的理由为：</w:t>
      </w:r>
      <w:r>
        <w:rPr>
          <w:rFonts w:ascii="宋体" w:hAnsi="宋体" w:cs="宋体"/>
          <w:kern w:val="0"/>
          <w:szCs w:val="21"/>
          <w:highlight w:val="none"/>
          <w:u w:val="single"/>
        </w:rPr>
        <w:t xml:space="preserve">         </w:t>
      </w:r>
      <w:r>
        <w:rPr>
          <w:rFonts w:hint="eastAsia" w:ascii="宋体" w:hAnsi="宋体" w:cs="宋体"/>
          <w:kern w:val="0"/>
          <w:szCs w:val="21"/>
          <w:highlight w:val="none"/>
        </w:rPr>
        <w:t>。</w:t>
      </w:r>
    </w:p>
    <w:p>
      <w:pP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本公司为参加（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项目名称</w:t>
      </w:r>
      <w:r>
        <w:rPr>
          <w:rFonts w:ascii="宋体" w:hAnsi="宋体" w:cs="宋体"/>
          <w:kern w:val="0"/>
          <w:szCs w:val="21"/>
          <w:highlight w:val="none"/>
          <w:u w:val="single"/>
        </w:rPr>
        <w:t xml:space="preserve">    </w:t>
      </w:r>
      <w:r>
        <w:rPr>
          <w:rFonts w:hint="eastAsia" w:ascii="宋体" w:hAnsi="宋体" w:cs="宋体"/>
          <w:kern w:val="0"/>
          <w:szCs w:val="21"/>
          <w:highlight w:val="none"/>
        </w:rPr>
        <w:t>）</w:t>
      </w:r>
      <w:r>
        <w:rPr>
          <w:rFonts w:ascii="宋体" w:hAnsi="宋体" w:cs="宋体"/>
          <w:kern w:val="0"/>
          <w:szCs w:val="21"/>
          <w:highlight w:val="none"/>
        </w:rPr>
        <w:t xml:space="preserve"> </w:t>
      </w:r>
      <w:r>
        <w:rPr>
          <w:rFonts w:hint="eastAsia" w:ascii="宋体" w:hAnsi="宋体" w:cs="宋体"/>
          <w:kern w:val="0"/>
          <w:szCs w:val="21"/>
          <w:highlight w:val="none"/>
        </w:rPr>
        <w:t>（项目编号：</w:t>
      </w:r>
      <w:r>
        <w:rPr>
          <w:rFonts w:ascii="宋体" w:hAnsi="宋体" w:cs="宋体"/>
          <w:kern w:val="0"/>
          <w:szCs w:val="21"/>
          <w:highlight w:val="none"/>
          <w:u w:val="single"/>
        </w:rPr>
        <w:t xml:space="preserve">      </w:t>
      </w:r>
      <w:r>
        <w:rPr>
          <w:rFonts w:hint="eastAsia" w:ascii="宋体" w:hAnsi="宋体" w:cs="宋体"/>
          <w:kern w:val="0"/>
          <w:szCs w:val="21"/>
          <w:highlight w:val="none"/>
        </w:rPr>
        <w:t>）采购活动提供本企业提供服务。</w:t>
      </w:r>
    </w:p>
    <w:p>
      <w:pP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本公司对上述声明的真实性负责。如有虚假，将依法承担相应责任。</w:t>
      </w:r>
    </w:p>
    <w:p>
      <w:pPr>
        <w:snapToGrid w:val="0"/>
        <w:spacing w:line="360" w:lineRule="auto"/>
        <w:ind w:firstLine="420" w:firstLineChars="200"/>
        <w:jc w:val="left"/>
        <w:rPr>
          <w:rFonts w:ascii="宋体" w:cs="宋体"/>
          <w:kern w:val="0"/>
          <w:szCs w:val="21"/>
          <w:highlight w:val="none"/>
        </w:rPr>
      </w:pPr>
    </w:p>
    <w:p>
      <w:pP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供应商盖章：</w:t>
      </w:r>
    </w:p>
    <w:p>
      <w:pPr>
        <w:snapToGrid w:val="0"/>
        <w:spacing w:line="360" w:lineRule="auto"/>
        <w:ind w:firstLine="420" w:firstLineChars="200"/>
        <w:jc w:val="left"/>
        <w:rPr>
          <w:rFonts w:ascii="宋体" w:cs="宋体"/>
          <w:kern w:val="0"/>
          <w:szCs w:val="21"/>
          <w:highlight w:val="none"/>
        </w:rPr>
      </w:pPr>
      <w:r>
        <w:rPr>
          <w:rFonts w:hint="eastAsia" w:ascii="宋体" w:hAnsi="宋体" w:cs="宋体"/>
          <w:kern w:val="0"/>
          <w:szCs w:val="21"/>
          <w:highlight w:val="none"/>
        </w:rPr>
        <w:t>日期：</w:t>
      </w:r>
      <w:r>
        <w:rPr>
          <w:rFonts w:ascii="宋体" w:hAnsi="宋体" w:cs="宋体"/>
          <w:kern w:val="0"/>
          <w:szCs w:val="21"/>
          <w:highlight w:val="none"/>
        </w:rPr>
        <w:t xml:space="preserve">    </w:t>
      </w:r>
      <w:r>
        <w:rPr>
          <w:rFonts w:hint="eastAsia" w:ascii="宋体" w:hAnsi="宋体" w:cs="宋体"/>
          <w:kern w:val="0"/>
          <w:szCs w:val="21"/>
          <w:highlight w:val="none"/>
        </w:rPr>
        <w:t>年</w:t>
      </w:r>
      <w:r>
        <w:rPr>
          <w:rFonts w:ascii="宋体" w:hAnsi="宋体" w:cs="宋体"/>
          <w:kern w:val="0"/>
          <w:szCs w:val="21"/>
          <w:highlight w:val="none"/>
        </w:rPr>
        <w:t xml:space="preserve">  </w:t>
      </w:r>
      <w:r>
        <w:rPr>
          <w:rFonts w:hint="eastAsia" w:ascii="宋体" w:hAnsi="宋体" w:cs="宋体"/>
          <w:kern w:val="0"/>
          <w:szCs w:val="21"/>
          <w:highlight w:val="none"/>
        </w:rPr>
        <w:t>月</w:t>
      </w:r>
      <w:r>
        <w:rPr>
          <w:rFonts w:ascii="宋体" w:hAnsi="宋体" w:cs="宋体"/>
          <w:kern w:val="0"/>
          <w:szCs w:val="21"/>
          <w:highlight w:val="none"/>
        </w:rPr>
        <w:t xml:space="preserve">  </w:t>
      </w:r>
      <w:r>
        <w:rPr>
          <w:rFonts w:hint="eastAsia" w:ascii="宋体" w:hAnsi="宋体" w:cs="宋体"/>
          <w:kern w:val="0"/>
          <w:szCs w:val="21"/>
          <w:highlight w:val="none"/>
        </w:rPr>
        <w:t>日</w:t>
      </w:r>
    </w:p>
    <w:p>
      <w:pPr>
        <w:snapToGrid w:val="0"/>
        <w:spacing w:line="360" w:lineRule="auto"/>
        <w:ind w:firstLine="480" w:firstLineChars="200"/>
        <w:jc w:val="left"/>
        <w:rPr>
          <w:rFonts w:ascii="宋体" w:cs="宋体"/>
          <w:kern w:val="0"/>
          <w:sz w:val="24"/>
          <w:highlight w:val="none"/>
        </w:rPr>
      </w:pPr>
    </w:p>
    <w:p>
      <w:pPr>
        <w:snapToGrid w:val="0"/>
        <w:spacing w:line="360" w:lineRule="auto"/>
        <w:ind w:firstLine="480" w:firstLineChars="200"/>
        <w:jc w:val="left"/>
        <w:rPr>
          <w:rFonts w:ascii="宋体" w:cs="宋体"/>
          <w:kern w:val="0"/>
          <w:sz w:val="24"/>
          <w:highlight w:val="none"/>
        </w:rPr>
      </w:pPr>
    </w:p>
    <w:p>
      <w:pPr>
        <w:snapToGrid w:val="0"/>
        <w:spacing w:line="360" w:lineRule="auto"/>
        <w:ind w:firstLine="480" w:firstLineChars="200"/>
        <w:jc w:val="left"/>
        <w:rPr>
          <w:rFonts w:ascii="宋体" w:cs="宋体"/>
          <w:kern w:val="0"/>
          <w:sz w:val="24"/>
          <w:highlight w:val="none"/>
        </w:rPr>
      </w:pPr>
    </w:p>
    <w:p>
      <w:pPr>
        <w:snapToGrid w:val="0"/>
        <w:spacing w:line="360" w:lineRule="auto"/>
        <w:ind w:firstLine="480" w:firstLineChars="200"/>
        <w:jc w:val="left"/>
        <w:rPr>
          <w:rFonts w:ascii="宋体" w:cs="宋体"/>
          <w:kern w:val="0"/>
          <w:sz w:val="24"/>
          <w:highlight w:val="none"/>
        </w:rPr>
      </w:pPr>
    </w:p>
    <w:p>
      <w:pPr>
        <w:snapToGrid w:val="0"/>
        <w:spacing w:line="360" w:lineRule="auto"/>
        <w:ind w:firstLine="480" w:firstLineChars="200"/>
        <w:jc w:val="left"/>
        <w:rPr>
          <w:rFonts w:ascii="宋体" w:cs="宋体"/>
          <w:kern w:val="0"/>
          <w:sz w:val="24"/>
          <w:highlight w:val="none"/>
        </w:rPr>
      </w:pPr>
    </w:p>
    <w:p>
      <w:pPr>
        <w:snapToGrid w:val="0"/>
        <w:spacing w:line="360" w:lineRule="auto"/>
        <w:ind w:firstLine="480" w:firstLineChars="200"/>
        <w:jc w:val="left"/>
        <w:rPr>
          <w:rFonts w:ascii="宋体" w:cs="宋体"/>
          <w:kern w:val="0"/>
          <w:sz w:val="24"/>
          <w:highlight w:val="none"/>
        </w:rPr>
      </w:pPr>
    </w:p>
    <w:p>
      <w:pPr>
        <w:snapToGrid w:val="0"/>
        <w:spacing w:line="360" w:lineRule="auto"/>
        <w:rPr>
          <w:rFonts w:ascii="宋体" w:cs="宋体"/>
          <w:b/>
          <w:sz w:val="24"/>
          <w:highlight w:val="none"/>
        </w:rPr>
      </w:pPr>
    </w:p>
    <w:p>
      <w:pPr>
        <w:snapToGrid w:val="0"/>
        <w:spacing w:line="360" w:lineRule="auto"/>
        <w:rPr>
          <w:rFonts w:ascii="宋体" w:cs="宋体"/>
          <w:b/>
          <w:sz w:val="24"/>
          <w:highlight w:val="none"/>
        </w:rPr>
      </w:pPr>
    </w:p>
    <w:p>
      <w:pPr>
        <w:snapToGrid w:val="0"/>
        <w:spacing w:line="360" w:lineRule="auto"/>
        <w:jc w:val="center"/>
        <w:rPr>
          <w:rFonts w:ascii="宋体" w:cs="宋体"/>
          <w:b/>
          <w:sz w:val="24"/>
          <w:highlight w:val="none"/>
        </w:rPr>
      </w:pPr>
    </w:p>
    <w:p>
      <w:pPr>
        <w:snapToGrid w:val="0"/>
        <w:spacing w:line="360" w:lineRule="auto"/>
        <w:jc w:val="center"/>
        <w:rPr>
          <w:rFonts w:ascii="宋体" w:cs="宋体"/>
          <w:b/>
          <w:sz w:val="24"/>
          <w:highlight w:val="none"/>
        </w:rPr>
      </w:pPr>
    </w:p>
    <w:p>
      <w:pPr>
        <w:pStyle w:val="3"/>
        <w:widowControl w:val="0"/>
        <w:rPr>
          <w:sz w:val="21"/>
          <w:szCs w:val="21"/>
          <w:highlight w:val="none"/>
        </w:rPr>
      </w:pPr>
    </w:p>
    <w:p>
      <w:pPr>
        <w:pStyle w:val="3"/>
        <w:widowControl w:val="0"/>
        <w:rPr>
          <w:sz w:val="21"/>
          <w:szCs w:val="21"/>
          <w:highlight w:val="none"/>
        </w:rPr>
      </w:pPr>
    </w:p>
    <w:p>
      <w:pPr>
        <w:pStyle w:val="3"/>
        <w:widowControl w:val="0"/>
        <w:rPr>
          <w:sz w:val="21"/>
          <w:szCs w:val="21"/>
          <w:highlight w:val="none"/>
        </w:rPr>
      </w:pPr>
    </w:p>
    <w:p>
      <w:pPr>
        <w:pStyle w:val="3"/>
        <w:widowControl w:val="0"/>
        <w:rPr>
          <w:sz w:val="21"/>
          <w:szCs w:val="21"/>
          <w:highlight w:val="none"/>
        </w:rPr>
      </w:pPr>
    </w:p>
    <w:p>
      <w:pPr>
        <w:pStyle w:val="3"/>
        <w:widowControl w:val="0"/>
        <w:rPr>
          <w:sz w:val="21"/>
          <w:szCs w:val="21"/>
          <w:highlight w:val="none"/>
        </w:rPr>
      </w:pPr>
    </w:p>
    <w:p>
      <w:pPr>
        <w:pStyle w:val="3"/>
        <w:widowControl w:val="0"/>
        <w:rPr>
          <w:sz w:val="21"/>
          <w:szCs w:val="21"/>
          <w:highlight w:val="none"/>
        </w:rPr>
      </w:pPr>
    </w:p>
    <w:p>
      <w:pPr>
        <w:pStyle w:val="3"/>
        <w:widowControl w:val="0"/>
        <w:rPr>
          <w:sz w:val="21"/>
          <w:szCs w:val="21"/>
          <w:highlight w:val="none"/>
        </w:rPr>
      </w:pPr>
    </w:p>
    <w:p>
      <w:pPr>
        <w:overflowPunct w:val="0"/>
        <w:spacing w:line="400" w:lineRule="exact"/>
        <w:jc w:val="left"/>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、法定代表人身份证明书</w:t>
      </w:r>
    </w:p>
    <w:p>
      <w:pPr>
        <w:overflowPunct w:val="0"/>
        <w:spacing w:beforeLines="50" w:afterLines="50" w:line="400" w:lineRule="exact"/>
        <w:jc w:val="center"/>
        <w:rPr>
          <w:rFonts w:ascii="宋体" w:cs="宋体"/>
          <w:bCs/>
          <w:sz w:val="28"/>
          <w:szCs w:val="28"/>
          <w:highlight w:val="none"/>
        </w:rPr>
      </w:pPr>
    </w:p>
    <w:p>
      <w:pPr>
        <w:overflowPunct w:val="0"/>
        <w:spacing w:beforeLines="50" w:afterLines="50" w:line="400" w:lineRule="exact"/>
        <w:jc w:val="center"/>
        <w:rPr>
          <w:rFonts w:ascii="宋体" w:cs="宋体"/>
          <w:b/>
          <w:sz w:val="28"/>
          <w:szCs w:val="28"/>
          <w:highlight w:val="none"/>
        </w:rPr>
      </w:pPr>
      <w:r>
        <w:rPr>
          <w:rFonts w:hint="eastAsia" w:ascii="宋体" w:hAnsi="宋体" w:cs="宋体"/>
          <w:b/>
          <w:sz w:val="28"/>
          <w:szCs w:val="28"/>
          <w:highlight w:val="none"/>
        </w:rPr>
        <w:t>法定代表人身份证明书</w:t>
      </w:r>
    </w:p>
    <w:p>
      <w:pPr>
        <w:overflowPunct w:val="0"/>
        <w:spacing w:line="360" w:lineRule="auto"/>
        <w:rPr>
          <w:rFonts w:ascii="宋体" w:cs="宋体"/>
          <w:szCs w:val="21"/>
          <w:highlight w:val="none"/>
        </w:rPr>
      </w:pPr>
      <w:r>
        <w:rPr>
          <w:rFonts w:hint="eastAsia" w:ascii="宋体" w:hAnsi="宋体" w:cs="宋体"/>
          <w:szCs w:val="21"/>
          <w:highlight w:val="none"/>
        </w:rPr>
        <w:t>致</w:t>
      </w:r>
      <w:r>
        <w:rPr>
          <w:rFonts w:ascii="宋体" w:hAnsi="宋体" w:cs="宋体"/>
          <w:szCs w:val="21"/>
          <w:highlight w:val="none"/>
          <w:u w:val="single"/>
        </w:rPr>
        <w:t xml:space="preserve">                  </w:t>
      </w:r>
      <w:r>
        <w:rPr>
          <w:rFonts w:hint="eastAsia" w:ascii="宋体" w:hAnsi="宋体" w:cs="宋体"/>
          <w:szCs w:val="21"/>
          <w:highlight w:val="none"/>
          <w:lang w:val="zh-CN"/>
        </w:rPr>
        <w:t>：</w:t>
      </w:r>
    </w:p>
    <w:p>
      <w:pPr>
        <w:overflowPunct w:val="0"/>
        <w:spacing w:beforeLines="50" w:afterLines="50" w:line="400" w:lineRule="exact"/>
        <w:rPr>
          <w:rFonts w:ascii="宋体" w:cs="宋体"/>
          <w:szCs w:val="21"/>
          <w:highlight w:val="none"/>
          <w:u w:val="single"/>
        </w:rPr>
      </w:pPr>
      <w:r>
        <w:rPr>
          <w:rFonts w:ascii="宋体" w:hAnsi="宋体" w:cs="宋体"/>
          <w:bCs/>
          <w:sz w:val="30"/>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（法定代表人姓名）</w:t>
      </w:r>
      <w:r>
        <w:rPr>
          <w:rFonts w:ascii="宋体" w:hAnsi="宋体" w:cs="宋体"/>
          <w:szCs w:val="21"/>
          <w:highlight w:val="none"/>
          <w:u w:val="single"/>
        </w:rPr>
        <w:t xml:space="preserve"> </w:t>
      </w:r>
      <w:r>
        <w:rPr>
          <w:rFonts w:hint="eastAsia" w:ascii="宋体" w:hAnsi="宋体" w:cs="宋体"/>
          <w:szCs w:val="21"/>
          <w:highlight w:val="none"/>
        </w:rPr>
        <w:t>系</w:t>
      </w:r>
      <w:r>
        <w:rPr>
          <w:rFonts w:ascii="宋体" w:hAnsi="宋体" w:cs="宋体"/>
          <w:szCs w:val="21"/>
          <w:highlight w:val="none"/>
          <w:u w:val="single"/>
        </w:rPr>
        <w:t xml:space="preserve">   </w:t>
      </w:r>
      <w:r>
        <w:rPr>
          <w:rFonts w:hint="eastAsia" w:ascii="宋体" w:hAnsi="宋体" w:cs="宋体"/>
          <w:szCs w:val="21"/>
          <w:highlight w:val="none"/>
          <w:u w:val="single"/>
        </w:rPr>
        <w:t>（供应商名称）</w:t>
      </w:r>
      <w:r>
        <w:rPr>
          <w:rFonts w:ascii="宋体" w:hAnsi="宋体" w:cs="宋体"/>
          <w:szCs w:val="21"/>
          <w:highlight w:val="none"/>
          <w:u w:val="single"/>
        </w:rPr>
        <w:t xml:space="preserve">  </w:t>
      </w:r>
      <w:r>
        <w:rPr>
          <w:rFonts w:hint="eastAsia" w:ascii="宋体" w:hAnsi="宋体" w:cs="宋体"/>
          <w:szCs w:val="21"/>
          <w:highlight w:val="none"/>
        </w:rPr>
        <w:t>的法定代表人，性别</w:t>
      </w:r>
      <w:r>
        <w:rPr>
          <w:rFonts w:ascii="宋体" w:hAnsi="宋体" w:cs="宋体"/>
          <w:szCs w:val="21"/>
          <w:highlight w:val="none"/>
          <w:u w:val="single"/>
        </w:rPr>
        <w:t xml:space="preserve">      </w:t>
      </w:r>
      <w:r>
        <w:rPr>
          <w:rFonts w:hint="eastAsia" w:ascii="宋体" w:hAnsi="宋体" w:cs="宋体"/>
          <w:szCs w:val="21"/>
          <w:highlight w:val="none"/>
          <w:u w:val="none"/>
        </w:rPr>
        <w:t>，</w:t>
      </w:r>
      <w:r>
        <w:rPr>
          <w:rFonts w:hint="eastAsia" w:ascii="宋体" w:hAnsi="宋体" w:cs="宋体"/>
          <w:szCs w:val="21"/>
          <w:highlight w:val="none"/>
        </w:rPr>
        <w:t>职务</w:t>
      </w:r>
      <w:r>
        <w:rPr>
          <w:rFonts w:ascii="宋体" w:hAnsi="宋体" w:cs="宋体"/>
          <w:szCs w:val="21"/>
          <w:highlight w:val="none"/>
          <w:u w:val="single"/>
        </w:rPr>
        <w:t xml:space="preserve">   </w:t>
      </w:r>
    </w:p>
    <w:p>
      <w:pPr>
        <w:overflowPunct w:val="0"/>
        <w:spacing w:beforeLines="50" w:afterLines="50" w:line="400" w:lineRule="exact"/>
        <w:rPr>
          <w:rFonts w:asci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u w:val="none"/>
        </w:rPr>
        <w:t>，</w:t>
      </w:r>
      <w:r>
        <w:rPr>
          <w:rFonts w:hint="eastAsia" w:ascii="宋体" w:hAnsi="宋体" w:cs="宋体"/>
          <w:szCs w:val="21"/>
          <w:highlight w:val="none"/>
        </w:rPr>
        <w:t>联系电话</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传真</w:t>
      </w:r>
      <w:r>
        <w:rPr>
          <w:rFonts w:ascii="宋体" w:hAnsi="宋体" w:cs="宋体"/>
          <w:szCs w:val="21"/>
          <w:highlight w:val="none"/>
          <w:u w:val="single"/>
        </w:rPr>
        <w:t xml:space="preserve">                </w:t>
      </w:r>
      <w:r>
        <w:rPr>
          <w:rFonts w:hint="eastAsia" w:ascii="宋体" w:hAnsi="宋体" w:cs="宋体"/>
          <w:szCs w:val="21"/>
          <w:highlight w:val="none"/>
        </w:rPr>
        <w:t>，联系地址</w:t>
      </w:r>
      <w:r>
        <w:rPr>
          <w:rFonts w:ascii="宋体" w:hAnsi="宋体" w:cs="宋体"/>
          <w:szCs w:val="21"/>
          <w:highlight w:val="none"/>
          <w:u w:val="single"/>
        </w:rPr>
        <w:t xml:space="preserve">                 </w:t>
      </w:r>
      <w:r>
        <w:rPr>
          <w:rFonts w:hint="eastAsia" w:ascii="宋体" w:hAnsi="宋体" w:cs="宋体"/>
          <w:szCs w:val="21"/>
          <w:highlight w:val="none"/>
        </w:rPr>
        <w:t>，邮编</w:t>
      </w:r>
      <w:r>
        <w:rPr>
          <w:rFonts w:ascii="宋体" w:hAnsi="宋体" w:cs="宋体"/>
          <w:szCs w:val="21"/>
          <w:highlight w:val="none"/>
          <w:u w:val="single"/>
        </w:rPr>
        <w:t xml:space="preserve">          </w:t>
      </w:r>
      <w:r>
        <w:rPr>
          <w:rFonts w:hint="eastAsia" w:ascii="宋体" w:hAnsi="宋体" w:cs="宋体"/>
          <w:szCs w:val="21"/>
          <w:highlight w:val="none"/>
        </w:rPr>
        <w:t>。</w:t>
      </w:r>
      <w:r>
        <w:rPr>
          <w:rFonts w:ascii="宋体" w:hAnsi="宋体" w:cs="宋体"/>
          <w:szCs w:val="21"/>
          <w:highlight w:val="none"/>
        </w:rPr>
        <w:t xml:space="preserve">          </w:t>
      </w:r>
    </w:p>
    <w:p>
      <w:pPr>
        <w:overflowPunct w:val="0"/>
        <w:spacing w:beforeLines="50" w:afterLines="50" w:line="400" w:lineRule="exact"/>
        <w:rPr>
          <w:rFonts w:ascii="宋体" w:cs="宋体"/>
          <w:szCs w:val="21"/>
          <w:highlight w:val="none"/>
        </w:rPr>
      </w:pPr>
    </w:p>
    <w:p>
      <w:pPr>
        <w:overflowPunct w:val="0"/>
        <w:spacing w:beforeLines="50" w:afterLines="50" w:line="400" w:lineRule="exact"/>
        <w:jc w:val="center"/>
        <w:rPr>
          <w:rFonts w:ascii="宋体" w:cs="宋体"/>
          <w:szCs w:val="21"/>
          <w:highlight w:val="none"/>
        </w:rPr>
      </w:pPr>
      <w:r>
        <w:rPr>
          <w:rFonts w:hint="eastAsia" w:ascii="宋体" w:hAnsi="宋体" w:cs="宋体"/>
          <w:szCs w:val="21"/>
          <w:highlight w:val="none"/>
        </w:rPr>
        <w:t>特此证明</w:t>
      </w:r>
    </w:p>
    <w:p>
      <w:pPr>
        <w:overflowPunct w:val="0"/>
        <w:spacing w:beforeLines="50" w:afterLines="50" w:line="400" w:lineRule="exact"/>
        <w:jc w:val="right"/>
        <w:rPr>
          <w:rFonts w:ascii="宋体" w:cs="宋体"/>
          <w:szCs w:val="21"/>
          <w:highlight w:val="none"/>
        </w:rPr>
      </w:pPr>
    </w:p>
    <w:p>
      <w:pPr>
        <w:overflowPunct w:val="0"/>
        <w:spacing w:beforeLines="50" w:afterLines="50" w:line="400" w:lineRule="exact"/>
        <w:jc w:val="right"/>
        <w:rPr>
          <w:rFonts w:ascii="宋体" w:cs="宋体"/>
          <w:szCs w:val="21"/>
          <w:highlight w:val="none"/>
        </w:rPr>
      </w:pPr>
      <w:r>
        <w:rPr>
          <w:rFonts w:hint="eastAsia" w:ascii="宋体" w:hAnsi="宋体" w:cs="宋体"/>
          <w:szCs w:val="21"/>
          <w:highlight w:val="none"/>
        </w:rPr>
        <w:t>供应商名称（公章）</w:t>
      </w:r>
    </w:p>
    <w:p>
      <w:pPr>
        <w:pBdr>
          <w:bottom w:val="single" w:color="auto" w:sz="4" w:space="0"/>
        </w:pBdr>
        <w:overflowPunct w:val="0"/>
        <w:spacing w:beforeLines="50" w:afterLines="50" w:line="400" w:lineRule="exact"/>
        <w:jc w:val="right"/>
        <w:rPr>
          <w:rFonts w:ascii="宋体" w:cs="宋体"/>
          <w:szCs w:val="21"/>
          <w:highlight w:val="none"/>
        </w:rPr>
      </w:pP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pPr>
        <w:pStyle w:val="2"/>
        <w:widowControl w:val="0"/>
        <w:overflowPunct w:val="0"/>
        <w:rPr>
          <w:highlight w:val="none"/>
        </w:rPr>
      </w:pPr>
    </w:p>
    <w:p>
      <w:pPr>
        <w:overflowPunct w:val="0"/>
        <w:spacing w:beforeLines="50" w:afterLines="50" w:line="400" w:lineRule="exact"/>
        <w:jc w:val="center"/>
        <w:rPr>
          <w:rFonts w:ascii="宋体" w:cs="宋体"/>
          <w:szCs w:val="21"/>
          <w:highlight w:val="none"/>
        </w:rPr>
      </w:pPr>
      <w:r>
        <w:rPr>
          <w:rFonts w:hint="eastAsia" w:ascii="宋体" w:hAnsi="宋体" w:cs="宋体"/>
          <w:szCs w:val="21"/>
          <w:highlight w:val="none"/>
        </w:rPr>
        <w:t>附法定代表人身份证复印件</w:t>
      </w:r>
    </w:p>
    <w:p>
      <w:pPr>
        <w:overflowPunct w:val="0"/>
        <w:spacing w:beforeLines="50" w:afterLines="50" w:line="400" w:lineRule="exact"/>
        <w:rPr>
          <w:rFonts w:ascii="宋体" w:cs="宋体"/>
          <w:szCs w:val="21"/>
          <w:highlight w:val="none"/>
        </w:rPr>
      </w:pPr>
      <w:r>
        <w:rPr>
          <w:rFonts w:ascii="宋体" w:hAnsi="宋体" w:cs="宋体"/>
          <w:szCs w:val="21"/>
          <w:highlight w:val="none"/>
        </w:rPr>
        <w:t xml:space="preserve">   </w:t>
      </w:r>
    </w:p>
    <w:p>
      <w:pPr>
        <w:overflowPunct w:val="0"/>
        <w:spacing w:beforeLines="50" w:afterLines="50" w:line="400" w:lineRule="exact"/>
        <w:rPr>
          <w:rFonts w:ascii="宋体" w:cs="宋体"/>
          <w:szCs w:val="21"/>
          <w:highlight w:val="none"/>
        </w:rPr>
      </w:pPr>
    </w:p>
    <w:p>
      <w:pPr>
        <w:overflowPunct w:val="0"/>
        <w:spacing w:beforeLines="50" w:afterLines="50" w:line="400" w:lineRule="exact"/>
        <w:rPr>
          <w:rFonts w:ascii="宋体" w:cs="宋体"/>
          <w:szCs w:val="21"/>
          <w:highlight w:val="none"/>
        </w:rPr>
      </w:pPr>
    </w:p>
    <w:p>
      <w:pPr>
        <w:overflowPunct w:val="0"/>
        <w:spacing w:line="400" w:lineRule="exact"/>
        <w:rPr>
          <w:rFonts w:ascii="宋体" w:cs="宋体"/>
          <w:highlight w:val="none"/>
        </w:rPr>
      </w:pPr>
    </w:p>
    <w:p>
      <w:pPr>
        <w:overflowPunct w:val="0"/>
        <w:spacing w:line="400" w:lineRule="exact"/>
        <w:rPr>
          <w:rFonts w:ascii="宋体" w:cs="宋体"/>
          <w:highlight w:val="none"/>
        </w:rPr>
      </w:pPr>
    </w:p>
    <w:p>
      <w:pPr>
        <w:overflowPunct w:val="0"/>
        <w:spacing w:line="400" w:lineRule="exact"/>
        <w:rPr>
          <w:rFonts w:ascii="宋体" w:cs="宋体"/>
          <w:highlight w:val="none"/>
        </w:rPr>
      </w:pPr>
    </w:p>
    <w:p>
      <w:pPr>
        <w:overflowPunct w:val="0"/>
        <w:spacing w:line="400" w:lineRule="exact"/>
        <w:rPr>
          <w:rFonts w:ascii="宋体" w:cs="宋体"/>
          <w:highlight w:val="none"/>
        </w:rPr>
      </w:pPr>
    </w:p>
    <w:p>
      <w:pPr>
        <w:overflowPunct w:val="0"/>
        <w:spacing w:line="400" w:lineRule="exact"/>
        <w:rPr>
          <w:rFonts w:ascii="宋体" w:cs="宋体"/>
          <w:highlight w:val="none"/>
        </w:rPr>
      </w:pPr>
    </w:p>
    <w:p>
      <w:pPr>
        <w:overflowPunct w:val="0"/>
        <w:spacing w:line="400" w:lineRule="exact"/>
        <w:rPr>
          <w:rFonts w:ascii="宋体" w:cs="宋体"/>
          <w:highlight w:val="none"/>
        </w:rPr>
      </w:pPr>
    </w:p>
    <w:p>
      <w:pPr>
        <w:overflowPunct w:val="0"/>
        <w:spacing w:line="400" w:lineRule="exact"/>
        <w:rPr>
          <w:rFonts w:ascii="宋体" w:cs="宋体"/>
          <w:highlight w:val="none"/>
        </w:rPr>
      </w:pPr>
    </w:p>
    <w:p>
      <w:pPr>
        <w:overflowPunct w:val="0"/>
        <w:spacing w:line="400" w:lineRule="exact"/>
        <w:rPr>
          <w:rFonts w:ascii="宋体" w:cs="宋体"/>
          <w:highlight w:val="none"/>
        </w:rPr>
      </w:pPr>
    </w:p>
    <w:p>
      <w:pPr>
        <w:overflowPunct w:val="0"/>
        <w:spacing w:line="400" w:lineRule="exact"/>
        <w:rPr>
          <w:rFonts w:ascii="宋体" w:cs="宋体"/>
          <w:highlight w:val="none"/>
        </w:rPr>
      </w:pPr>
    </w:p>
    <w:p>
      <w:pPr>
        <w:overflowPunct w:val="0"/>
        <w:spacing w:line="400" w:lineRule="exact"/>
        <w:rPr>
          <w:rFonts w:ascii="宋体" w:cs="宋体"/>
          <w:highlight w:val="none"/>
        </w:rPr>
      </w:pPr>
    </w:p>
    <w:p>
      <w:pPr>
        <w:overflowPunct w:val="0"/>
        <w:spacing w:line="400" w:lineRule="exact"/>
        <w:jc w:val="left"/>
        <w:rPr>
          <w:rFonts w:ascii="宋体" w:cs="宋体"/>
          <w:sz w:val="28"/>
          <w:szCs w:val="28"/>
          <w:highlight w:val="none"/>
        </w:rPr>
      </w:pPr>
    </w:p>
    <w:p>
      <w:pPr>
        <w:overflowPunct w:val="0"/>
        <w:spacing w:line="400" w:lineRule="exact"/>
        <w:jc w:val="left"/>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、法定代表人授权委托书格式</w:t>
      </w:r>
    </w:p>
    <w:p>
      <w:pPr>
        <w:overflowPunct w:val="0"/>
        <w:spacing w:beforeLines="50" w:afterLines="50" w:line="400" w:lineRule="exact"/>
        <w:jc w:val="center"/>
        <w:rPr>
          <w:rFonts w:ascii="宋体" w:cs="宋体"/>
          <w:bCs/>
          <w:sz w:val="28"/>
          <w:szCs w:val="28"/>
          <w:highlight w:val="none"/>
        </w:rPr>
      </w:pPr>
    </w:p>
    <w:p>
      <w:pPr>
        <w:overflowPunct w:val="0"/>
        <w:spacing w:beforeLines="50" w:afterLines="50" w:line="400" w:lineRule="exact"/>
        <w:jc w:val="center"/>
        <w:rPr>
          <w:rFonts w:ascii="宋体" w:cs="宋体"/>
          <w:b/>
          <w:sz w:val="28"/>
          <w:szCs w:val="28"/>
          <w:highlight w:val="none"/>
        </w:rPr>
      </w:pPr>
      <w:r>
        <w:rPr>
          <w:rFonts w:hint="eastAsia" w:ascii="宋体" w:hAnsi="宋体" w:cs="宋体"/>
          <w:b/>
          <w:sz w:val="28"/>
          <w:szCs w:val="28"/>
          <w:highlight w:val="none"/>
        </w:rPr>
        <w:t>法定代表人授权委托书</w:t>
      </w:r>
    </w:p>
    <w:p>
      <w:pPr>
        <w:overflowPunct w:val="0"/>
        <w:spacing w:line="360" w:lineRule="auto"/>
        <w:rPr>
          <w:rFonts w:ascii="宋体" w:cs="宋体"/>
          <w:szCs w:val="21"/>
          <w:highlight w:val="none"/>
        </w:rPr>
      </w:pPr>
      <w:r>
        <w:rPr>
          <w:rFonts w:hint="eastAsia" w:ascii="宋体" w:hAnsi="宋体" w:cs="宋体"/>
          <w:szCs w:val="21"/>
          <w:highlight w:val="none"/>
        </w:rPr>
        <w:t>致</w:t>
      </w:r>
      <w:r>
        <w:rPr>
          <w:rFonts w:ascii="宋体" w:hAnsi="宋体" w:cs="宋体"/>
          <w:szCs w:val="21"/>
          <w:highlight w:val="none"/>
          <w:u w:val="single"/>
        </w:rPr>
        <w:t xml:space="preserve">                   </w:t>
      </w:r>
      <w:r>
        <w:rPr>
          <w:rFonts w:hint="eastAsia" w:ascii="宋体" w:hAnsi="宋体" w:cs="宋体"/>
          <w:szCs w:val="21"/>
          <w:highlight w:val="none"/>
          <w:lang w:val="zh-CN"/>
        </w:rPr>
        <w:t>：</w:t>
      </w:r>
    </w:p>
    <w:p>
      <w:pPr>
        <w:overflowPunct w:val="0"/>
        <w:spacing w:line="360" w:lineRule="auto"/>
        <w:ind w:firstLine="612"/>
        <w:rPr>
          <w:rFonts w:ascii="宋体" w:cs="宋体"/>
          <w:szCs w:val="21"/>
          <w:highlight w:val="none"/>
        </w:rPr>
      </w:pPr>
      <w:r>
        <w:rPr>
          <w:rFonts w:hint="eastAsia" w:ascii="宋体" w:hAnsi="宋体" w:cs="宋体"/>
          <w:szCs w:val="21"/>
          <w:highlight w:val="none"/>
        </w:rPr>
        <w:t>本授权委托书声明：我</w:t>
      </w:r>
      <w:r>
        <w:rPr>
          <w:rFonts w:ascii="宋体" w:hAnsi="宋体" w:cs="宋体"/>
          <w:szCs w:val="21"/>
          <w:highlight w:val="none"/>
          <w:u w:val="single"/>
        </w:rPr>
        <w:t xml:space="preserve">   </w:t>
      </w:r>
      <w:r>
        <w:rPr>
          <w:rFonts w:hint="eastAsia" w:ascii="宋体" w:hAnsi="宋体" w:cs="宋体"/>
          <w:szCs w:val="21"/>
          <w:highlight w:val="none"/>
          <w:u w:val="single"/>
        </w:rPr>
        <w:t>（法定代表人姓名）</w:t>
      </w:r>
      <w:r>
        <w:rPr>
          <w:rFonts w:ascii="宋体" w:hAnsi="宋体" w:cs="宋体"/>
          <w:szCs w:val="21"/>
          <w:highlight w:val="none"/>
          <w:u w:val="single"/>
        </w:rPr>
        <w:t xml:space="preserve">   </w:t>
      </w:r>
      <w:r>
        <w:rPr>
          <w:rFonts w:hint="eastAsia" w:ascii="宋体" w:hAnsi="宋体" w:cs="宋体"/>
          <w:szCs w:val="21"/>
          <w:highlight w:val="none"/>
        </w:rPr>
        <w:t>系</w:t>
      </w:r>
      <w:r>
        <w:rPr>
          <w:rFonts w:ascii="宋体" w:hAnsi="宋体" w:cs="宋体"/>
          <w:szCs w:val="21"/>
          <w:highlight w:val="none"/>
          <w:u w:val="single"/>
        </w:rPr>
        <w:t xml:space="preserve">   </w:t>
      </w:r>
      <w:r>
        <w:rPr>
          <w:rFonts w:hint="eastAsia" w:ascii="宋体" w:hAnsi="宋体" w:cs="宋体"/>
          <w:szCs w:val="21"/>
          <w:highlight w:val="none"/>
          <w:u w:val="single"/>
        </w:rPr>
        <w:t>（供应商）</w:t>
      </w:r>
      <w:r>
        <w:rPr>
          <w:rFonts w:ascii="宋体" w:hAnsi="宋体" w:cs="宋体"/>
          <w:szCs w:val="21"/>
          <w:highlight w:val="none"/>
          <w:u w:val="single"/>
        </w:rPr>
        <w:t xml:space="preserve">  </w:t>
      </w:r>
      <w:r>
        <w:rPr>
          <w:rFonts w:hint="eastAsia" w:ascii="宋体" w:hAnsi="宋体" w:cs="宋体"/>
          <w:szCs w:val="21"/>
          <w:highlight w:val="none"/>
        </w:rPr>
        <w:t>的法定代表人，现授权委托</w:t>
      </w:r>
      <w:r>
        <w:rPr>
          <w:rFonts w:hint="eastAsia" w:ascii="宋体" w:hAnsi="宋体" w:cs="宋体"/>
          <w:szCs w:val="21"/>
          <w:highlight w:val="none"/>
          <w:u w:val="single"/>
        </w:rPr>
        <w:t>（授权代表姓名）</w:t>
      </w:r>
      <w:r>
        <w:rPr>
          <w:rFonts w:ascii="宋体" w:hAnsi="宋体" w:cs="宋体"/>
          <w:szCs w:val="21"/>
          <w:highlight w:val="none"/>
          <w:u w:val="single"/>
        </w:rPr>
        <w:t xml:space="preserve">  </w:t>
      </w:r>
      <w:r>
        <w:rPr>
          <w:rFonts w:hint="eastAsia" w:ascii="宋体" w:hAnsi="宋体" w:cs="宋体"/>
          <w:szCs w:val="21"/>
          <w:highlight w:val="none"/>
        </w:rPr>
        <w:t>为我公司法定代表人授权代表，参加贵处组织的</w:t>
      </w:r>
      <w:r>
        <w:rPr>
          <w:rFonts w:ascii="宋体" w:hAnsi="宋体" w:cs="宋体"/>
          <w:szCs w:val="21"/>
          <w:highlight w:val="none"/>
        </w:rPr>
        <w:t xml:space="preserve">  </w:t>
      </w:r>
      <w:r>
        <w:rPr>
          <w:rFonts w:hint="eastAsia" w:ascii="宋体" w:hAnsi="宋体" w:cs="宋体"/>
          <w:szCs w:val="21"/>
          <w:highlight w:val="none"/>
          <w:u w:val="single"/>
        </w:rPr>
        <w:t>项目名称，</w:t>
      </w:r>
      <w:r>
        <w:rPr>
          <w:rFonts w:ascii="宋体" w:hAnsi="宋体" w:cs="宋体"/>
          <w:szCs w:val="21"/>
          <w:highlight w:val="none"/>
          <w:u w:val="single"/>
        </w:rPr>
        <w:t xml:space="preserve"> </w:t>
      </w:r>
      <w:r>
        <w:rPr>
          <w:rFonts w:hint="eastAsia" w:ascii="宋体" w:hAnsi="宋体" w:cs="宋体"/>
          <w:szCs w:val="21"/>
          <w:highlight w:val="none"/>
          <w:u w:val="single"/>
        </w:rPr>
        <w:t>（项目编号）</w:t>
      </w:r>
      <w:r>
        <w:rPr>
          <w:rFonts w:ascii="宋体" w:hAnsi="宋体" w:cs="宋体"/>
          <w:szCs w:val="21"/>
          <w:highlight w:val="none"/>
          <w:u w:val="single"/>
        </w:rPr>
        <w:t xml:space="preserve">  </w:t>
      </w:r>
      <w:r>
        <w:rPr>
          <w:rFonts w:hint="eastAsia" w:ascii="宋体" w:hAnsi="宋体" w:cs="宋体"/>
          <w:szCs w:val="21"/>
          <w:highlight w:val="none"/>
        </w:rPr>
        <w:t>项目谈判，全权处理本次谈判活动中的一切事宜，我承认授权代表全权代表我所签署的本项目的响应文件的内容。</w:t>
      </w:r>
    </w:p>
    <w:p>
      <w:pPr>
        <w:overflowPunct w:val="0"/>
        <w:spacing w:line="360" w:lineRule="auto"/>
        <w:jc w:val="center"/>
        <w:rPr>
          <w:rFonts w:ascii="宋体" w:cs="宋体"/>
          <w:szCs w:val="21"/>
          <w:highlight w:val="none"/>
        </w:rPr>
      </w:pPr>
      <w:r>
        <w:rPr>
          <w:rFonts w:hint="eastAsia" w:ascii="宋体" w:hAnsi="宋体" w:cs="宋体"/>
          <w:szCs w:val="21"/>
          <w:highlight w:val="none"/>
        </w:rPr>
        <w:t>授权代表无转授权，特此授权。</w:t>
      </w:r>
    </w:p>
    <w:p>
      <w:pPr>
        <w:overflowPunct w:val="0"/>
        <w:spacing w:line="360" w:lineRule="auto"/>
        <w:ind w:firstLine="420" w:firstLineChars="200"/>
        <w:rPr>
          <w:rFonts w:ascii="宋体" w:cs="宋体"/>
          <w:szCs w:val="21"/>
          <w:highlight w:val="none"/>
        </w:rPr>
      </w:pPr>
    </w:p>
    <w:p>
      <w:pPr>
        <w:keepNext w:val="0"/>
        <w:keepLines w:val="0"/>
        <w:pageBreakBefore w:val="0"/>
        <w:widowControl w:val="0"/>
        <w:kinsoku/>
        <w:wordWrap/>
        <w:overflowPunct w:val="0"/>
        <w:topLinePunct w:val="0"/>
        <w:autoSpaceDE/>
        <w:autoSpaceDN/>
        <w:bidi w:val="0"/>
        <w:adjustRightInd/>
        <w:snapToGrid/>
        <w:spacing w:line="360" w:lineRule="auto"/>
        <w:ind w:firstLine="420" w:firstLineChars="200"/>
        <w:textAlignment w:val="auto"/>
        <w:rPr>
          <w:rFonts w:ascii="宋体" w:cs="宋体"/>
          <w:szCs w:val="21"/>
          <w:highlight w:val="none"/>
        </w:rPr>
      </w:pPr>
      <w:r>
        <w:rPr>
          <w:rFonts w:hint="eastAsia" w:ascii="宋体" w:hAnsi="宋体" w:cs="宋体"/>
          <w:szCs w:val="21"/>
          <w:highlight w:val="none"/>
        </w:rPr>
        <w:t>授权代表：</w:t>
      </w:r>
      <w:r>
        <w:rPr>
          <w:rFonts w:ascii="宋体" w:hAnsi="宋体" w:cs="宋体"/>
          <w:szCs w:val="21"/>
          <w:highlight w:val="none"/>
          <w:u w:val="single"/>
        </w:rPr>
        <w:t xml:space="preserve">   </w:t>
      </w:r>
      <w:r>
        <w:rPr>
          <w:rFonts w:hint="eastAsia" w:ascii="宋体" w:hAnsi="宋体" w:cs="宋体"/>
          <w:szCs w:val="21"/>
          <w:highlight w:val="none"/>
          <w:u w:val="single"/>
        </w:rPr>
        <w:t>（签字）</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性别：</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年龄：</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职务：</w:t>
      </w:r>
      <w:r>
        <w:rPr>
          <w:rFonts w:ascii="宋体" w:hAnsi="宋体" w:cs="宋体"/>
          <w:szCs w:val="21"/>
          <w:highlight w:val="none"/>
          <w:u w:val="single"/>
        </w:rPr>
        <w:t xml:space="preserve">        </w:t>
      </w:r>
    </w:p>
    <w:p>
      <w:pPr>
        <w:keepNext w:val="0"/>
        <w:keepLines w:val="0"/>
        <w:pageBreakBefore w:val="0"/>
        <w:widowControl w:val="0"/>
        <w:kinsoku/>
        <w:wordWrap/>
        <w:overflowPunct w:val="0"/>
        <w:topLinePunct w:val="0"/>
        <w:autoSpaceDE/>
        <w:autoSpaceDN/>
        <w:bidi w:val="0"/>
        <w:adjustRightInd/>
        <w:snapToGrid/>
        <w:spacing w:line="360" w:lineRule="auto"/>
        <w:ind w:firstLine="420" w:firstLineChars="200"/>
        <w:textAlignment w:val="auto"/>
        <w:rPr>
          <w:rFonts w:ascii="宋体" w:cs="宋体"/>
          <w:szCs w:val="21"/>
          <w:highlight w:val="none"/>
          <w:u w:val="single"/>
        </w:rPr>
      </w:pPr>
      <w:r>
        <w:rPr>
          <w:rFonts w:hint="eastAsia" w:ascii="宋体" w:hAnsi="宋体" w:cs="宋体"/>
          <w:szCs w:val="21"/>
          <w:highlight w:val="none"/>
        </w:rPr>
        <w:t>详细通讯地址：</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邮政编码：</w:t>
      </w:r>
      <w:r>
        <w:rPr>
          <w:rFonts w:ascii="宋体" w:hAnsi="宋体" w:cs="宋体"/>
          <w:szCs w:val="21"/>
          <w:highlight w:val="none"/>
          <w:u w:val="single"/>
        </w:rPr>
        <w:t xml:space="preserve">           </w:t>
      </w:r>
    </w:p>
    <w:p>
      <w:pPr>
        <w:keepNext w:val="0"/>
        <w:keepLines w:val="0"/>
        <w:pageBreakBefore w:val="0"/>
        <w:widowControl w:val="0"/>
        <w:kinsoku/>
        <w:wordWrap/>
        <w:overflowPunct w:val="0"/>
        <w:topLinePunct w:val="0"/>
        <w:autoSpaceDE/>
        <w:autoSpaceDN/>
        <w:bidi w:val="0"/>
        <w:adjustRightInd/>
        <w:snapToGrid/>
        <w:spacing w:line="360" w:lineRule="auto"/>
        <w:ind w:firstLine="420" w:firstLineChars="200"/>
        <w:textAlignment w:val="auto"/>
        <w:rPr>
          <w:rFonts w:ascii="宋体" w:cs="宋体"/>
          <w:szCs w:val="21"/>
          <w:highlight w:val="none"/>
          <w:u w:val="single"/>
        </w:rPr>
      </w:pPr>
      <w:r>
        <w:rPr>
          <w:rFonts w:hint="eastAsia" w:ascii="宋体" w:hAnsi="宋体" w:cs="宋体"/>
          <w:szCs w:val="21"/>
          <w:highlight w:val="none"/>
        </w:rPr>
        <w:t>电话：</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传真：</w:t>
      </w:r>
      <w:r>
        <w:rPr>
          <w:rFonts w:ascii="宋体" w:hAnsi="宋体" w:cs="宋体"/>
          <w:szCs w:val="21"/>
          <w:highlight w:val="none"/>
          <w:u w:val="single"/>
        </w:rPr>
        <w:t xml:space="preserve">                      </w:t>
      </w:r>
    </w:p>
    <w:p>
      <w:pPr>
        <w:keepNext w:val="0"/>
        <w:keepLines w:val="0"/>
        <w:pageBreakBefore w:val="0"/>
        <w:widowControl w:val="0"/>
        <w:kinsoku/>
        <w:wordWrap/>
        <w:overflowPunct w:val="0"/>
        <w:topLinePunct w:val="0"/>
        <w:autoSpaceDE/>
        <w:autoSpaceDN/>
        <w:bidi w:val="0"/>
        <w:adjustRightInd/>
        <w:snapToGrid/>
        <w:ind w:left="1" w:firstLine="403" w:firstLineChars="192"/>
        <w:textAlignment w:val="auto"/>
        <w:rPr>
          <w:rFonts w:ascii="宋体" w:cs="宋体"/>
          <w:szCs w:val="21"/>
          <w:highlight w:val="none"/>
        </w:rPr>
      </w:pPr>
      <w:r>
        <w:rPr>
          <w:rFonts w:ascii="宋体" w:hAnsi="宋体" w:cs="宋体"/>
          <w:szCs w:val="21"/>
          <w:highlight w:val="none"/>
        </w:rPr>
        <w:t xml:space="preserve">   </w:t>
      </w:r>
    </w:p>
    <w:p>
      <w:pPr>
        <w:overflowPunct w:val="0"/>
        <w:spacing w:line="360" w:lineRule="auto"/>
        <w:ind w:left="424" w:right="420"/>
        <w:jc w:val="right"/>
        <w:rPr>
          <w:rFonts w:ascii="宋体" w:cs="宋体"/>
          <w:szCs w:val="21"/>
          <w:highlight w:val="none"/>
        </w:rPr>
      </w:pPr>
      <w:r>
        <w:rPr>
          <w:rFonts w:hint="eastAsia" w:ascii="宋体" w:hAnsi="宋体" w:cs="宋体"/>
          <w:szCs w:val="21"/>
          <w:highlight w:val="none"/>
        </w:rPr>
        <w:t>供应商名称：（盖章）</w:t>
      </w:r>
      <w:r>
        <w:rPr>
          <w:rFonts w:ascii="宋体" w:hAnsi="宋体" w:cs="宋体"/>
          <w:szCs w:val="21"/>
          <w:highlight w:val="none"/>
          <w:u w:val="single"/>
        </w:rPr>
        <w:t xml:space="preserve">                                   </w:t>
      </w:r>
    </w:p>
    <w:p>
      <w:pPr>
        <w:overflowPunct w:val="0"/>
        <w:spacing w:line="360" w:lineRule="auto"/>
        <w:ind w:left="424" w:right="420"/>
        <w:jc w:val="right"/>
        <w:rPr>
          <w:rFonts w:ascii="宋体" w:cs="宋体"/>
          <w:szCs w:val="21"/>
          <w:highlight w:val="none"/>
        </w:rPr>
      </w:pPr>
      <w:r>
        <w:rPr>
          <w:rFonts w:hint="eastAsia" w:ascii="宋体" w:hAnsi="宋体" w:cs="宋体"/>
          <w:szCs w:val="21"/>
          <w:highlight w:val="none"/>
        </w:rPr>
        <w:t>法定代表人（签字</w:t>
      </w:r>
      <w:r>
        <w:rPr>
          <w:rFonts w:hint="eastAsia" w:ascii="宋体" w:hAnsi="宋体" w:cs="宋体"/>
          <w:szCs w:val="21"/>
          <w:highlight w:val="none"/>
          <w:lang w:eastAsia="zh-CN"/>
        </w:rPr>
        <w:t>或盖章</w:t>
      </w:r>
      <w:r>
        <w:rPr>
          <w:rFonts w:hint="eastAsia" w:ascii="宋体" w:hAnsi="宋体" w:cs="宋体"/>
          <w:szCs w:val="21"/>
          <w:highlight w:val="none"/>
        </w:rPr>
        <w:t>）：</w:t>
      </w:r>
    </w:p>
    <w:p>
      <w:pPr>
        <w:overflowPunct w:val="0"/>
        <w:spacing w:line="360" w:lineRule="auto"/>
        <w:ind w:left="424" w:right="420"/>
        <w:jc w:val="right"/>
        <w:rPr>
          <w:rFonts w:asci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overflowPunct w:val="0"/>
        <w:spacing w:line="360" w:lineRule="auto"/>
        <w:rPr>
          <w:rFonts w:ascii="宋体" w:cs="宋体"/>
          <w:sz w:val="24"/>
          <w:highlight w:val="none"/>
        </w:rPr>
      </w:pPr>
      <w:r>
        <w:rPr>
          <w:rFonts w:ascii="宋体" w:cs="宋体"/>
          <w:sz w:val="24"/>
          <w:highlight w:val="none"/>
        </w:rPr>
        <w:t>------------------------------------------------------------------------</w:t>
      </w:r>
    </w:p>
    <w:p>
      <w:pPr>
        <w:pStyle w:val="3"/>
        <w:widowControl w:val="0"/>
        <w:rPr>
          <w:highlight w:val="none"/>
        </w:rPr>
      </w:pPr>
    </w:p>
    <w:p>
      <w:pPr>
        <w:pStyle w:val="16"/>
        <w:overflowPunct w:val="0"/>
        <w:ind w:left="31680" w:firstLine="420" w:firstLineChars="200"/>
        <w:rPr>
          <w:rFonts w:ascii="宋体" w:cs="宋体"/>
          <w:highlight w:val="none"/>
        </w:rPr>
      </w:pPr>
      <w:r>
        <w:rPr>
          <w:rFonts w:hint="eastAsia" w:ascii="宋体" w:hAnsi="宋体" w:cs="宋体"/>
          <w:highlight w:val="none"/>
        </w:rPr>
        <w:t>授权代表身份证复印件</w:t>
      </w:r>
    </w:p>
    <w:p>
      <w:pPr>
        <w:pStyle w:val="16"/>
        <w:overflowPunct w:val="0"/>
        <w:ind w:left="31680" w:firstLine="420" w:firstLineChars="200"/>
        <w:rPr>
          <w:rFonts w:ascii="宋体" w:cs="宋体"/>
          <w:highlight w:val="none"/>
        </w:rPr>
      </w:pPr>
    </w:p>
    <w:p>
      <w:pPr>
        <w:overflowPunct w:val="0"/>
        <w:spacing w:line="400" w:lineRule="exact"/>
        <w:jc w:val="left"/>
        <w:rPr>
          <w:rFonts w:ascii="宋体" w:cs="宋体"/>
          <w:szCs w:val="21"/>
          <w:highlight w:val="none"/>
        </w:rPr>
      </w:pPr>
    </w:p>
    <w:p>
      <w:pPr>
        <w:overflowPunct w:val="0"/>
        <w:spacing w:line="400" w:lineRule="exact"/>
        <w:jc w:val="left"/>
        <w:rPr>
          <w:rFonts w:ascii="宋体" w:cs="宋体"/>
          <w:szCs w:val="21"/>
          <w:highlight w:val="none"/>
        </w:rPr>
      </w:pPr>
    </w:p>
    <w:p>
      <w:pPr>
        <w:overflowPunct w:val="0"/>
        <w:spacing w:line="400" w:lineRule="exact"/>
        <w:jc w:val="left"/>
        <w:rPr>
          <w:rFonts w:ascii="宋体" w:cs="宋体"/>
          <w:szCs w:val="21"/>
          <w:highlight w:val="none"/>
        </w:rPr>
      </w:pPr>
    </w:p>
    <w:p>
      <w:pPr>
        <w:overflowPunct w:val="0"/>
        <w:spacing w:line="400" w:lineRule="exact"/>
        <w:jc w:val="left"/>
        <w:rPr>
          <w:rFonts w:ascii="宋体" w:cs="宋体"/>
          <w:szCs w:val="21"/>
          <w:highlight w:val="none"/>
        </w:rPr>
      </w:pPr>
    </w:p>
    <w:p>
      <w:pPr>
        <w:overflowPunct w:val="0"/>
        <w:spacing w:line="400" w:lineRule="exact"/>
        <w:jc w:val="left"/>
        <w:rPr>
          <w:rFonts w:ascii="宋体" w:cs="宋体"/>
          <w:szCs w:val="21"/>
          <w:highlight w:val="none"/>
        </w:rPr>
      </w:pPr>
    </w:p>
    <w:p>
      <w:pPr>
        <w:overflowPunct w:val="0"/>
        <w:spacing w:line="400" w:lineRule="exact"/>
        <w:jc w:val="left"/>
        <w:rPr>
          <w:rFonts w:ascii="宋体" w:cs="宋体"/>
          <w:szCs w:val="21"/>
          <w:highlight w:val="none"/>
        </w:rPr>
      </w:pPr>
    </w:p>
    <w:p>
      <w:pPr>
        <w:overflowPunct w:val="0"/>
        <w:spacing w:line="400" w:lineRule="exact"/>
        <w:jc w:val="left"/>
        <w:rPr>
          <w:rFonts w:ascii="宋体" w:cs="宋体"/>
          <w:szCs w:val="21"/>
          <w:highlight w:val="none"/>
        </w:rPr>
      </w:pPr>
    </w:p>
    <w:p>
      <w:pPr>
        <w:overflowPunct w:val="0"/>
        <w:spacing w:line="400" w:lineRule="exact"/>
        <w:jc w:val="left"/>
        <w:rPr>
          <w:rFonts w:ascii="宋体" w:cs="宋体"/>
          <w:szCs w:val="21"/>
          <w:highlight w:val="none"/>
        </w:rPr>
      </w:pPr>
    </w:p>
    <w:p>
      <w:pPr>
        <w:overflowPunct w:val="0"/>
        <w:autoSpaceDE w:val="0"/>
        <w:autoSpaceDN w:val="0"/>
        <w:adjustRightInd w:val="0"/>
        <w:snapToGrid w:val="0"/>
        <w:spacing w:line="400" w:lineRule="exact"/>
        <w:ind w:firstLine="649" w:firstLineChars="202"/>
        <w:jc w:val="center"/>
        <w:textAlignment w:val="bottom"/>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pPr>
        <w:overflowPunct w:val="0"/>
        <w:autoSpaceDE w:val="0"/>
        <w:autoSpaceDN w:val="0"/>
        <w:adjustRightInd w:val="0"/>
        <w:snapToGrid w:val="0"/>
        <w:spacing w:line="400" w:lineRule="exact"/>
        <w:ind w:firstLine="426" w:firstLineChars="202"/>
        <w:textAlignment w:val="bottom"/>
        <w:rPr>
          <w:rFonts w:ascii="宋体" w:cs="宋体"/>
          <w:b/>
          <w:szCs w:val="21"/>
          <w:highlight w:val="none"/>
          <w:u w:val="none"/>
        </w:rPr>
      </w:pPr>
      <w:r>
        <w:rPr>
          <w:rFonts w:hint="eastAsia" w:ascii="宋体" w:hAnsi="宋体" w:cs="宋体"/>
          <w:b/>
          <w:szCs w:val="21"/>
          <w:highlight w:val="none"/>
          <w:u w:val="none"/>
        </w:rPr>
        <w:t>商务</w:t>
      </w:r>
      <w:r>
        <w:rPr>
          <w:rFonts w:hint="eastAsia" w:ascii="宋体" w:hAnsi="宋体" w:cs="宋体"/>
          <w:b/>
          <w:szCs w:val="21"/>
          <w:highlight w:val="none"/>
          <w:u w:val="none"/>
          <w:lang w:eastAsia="zh-CN"/>
        </w:rPr>
        <w:t>技术</w:t>
      </w:r>
      <w:r>
        <w:rPr>
          <w:rFonts w:hint="eastAsia" w:ascii="宋体" w:hAnsi="宋体" w:cs="宋体"/>
          <w:b/>
          <w:szCs w:val="21"/>
          <w:highlight w:val="none"/>
          <w:u w:val="none"/>
        </w:rPr>
        <w:t>文件</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磋商声明书（格式见附件）；</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营业执照复印件；</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供应商情况一览表（格式见附件）；</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成功案例及业绩（同类项目实施情况一览表）（格式见附件）；</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商务响应表（格式见附件）；</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eastAsia="宋体" w:cs="宋体"/>
          <w:sz w:val="21"/>
          <w:szCs w:val="21"/>
          <w:highlight w:val="none"/>
          <w:lang w:val="en-US" w:eastAsia="zh-CN"/>
        </w:rPr>
        <w:t>权威认证</w:t>
      </w:r>
      <w:r>
        <w:rPr>
          <w:rFonts w:hint="eastAsia" w:ascii="宋体" w:hAnsi="宋体" w:cs="宋体"/>
          <w:sz w:val="21"/>
          <w:szCs w:val="21"/>
          <w:highlight w:val="none"/>
          <w:lang w:val="en-US" w:eastAsia="zh-CN"/>
        </w:rPr>
        <w:t>；</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color w:val="auto"/>
          <w:sz w:val="21"/>
          <w:szCs w:val="21"/>
          <w:highlight w:val="none"/>
          <w:lang w:eastAsia="zh-CN"/>
        </w:rPr>
        <w:t>项目理解</w:t>
      </w:r>
      <w:r>
        <w:rPr>
          <w:rFonts w:hint="eastAsia" w:ascii="宋体" w:hAnsi="宋体" w:eastAsia="宋体" w:cs="宋体"/>
          <w:snapToGrid w:val="0"/>
          <w:kern w:val="0"/>
          <w:sz w:val="21"/>
          <w:szCs w:val="21"/>
          <w:highlight w:val="none"/>
          <w:lang w:eastAsia="zh-CN"/>
        </w:rPr>
        <w:t>；</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color w:val="auto"/>
          <w:kern w:val="2"/>
          <w:sz w:val="21"/>
          <w:szCs w:val="21"/>
          <w:highlight w:val="none"/>
          <w:lang w:val="en-US" w:eastAsia="zh-CN" w:bidi="ar-SA"/>
        </w:rPr>
        <w:t>服务方案</w:t>
      </w:r>
      <w:r>
        <w:rPr>
          <w:rFonts w:hint="eastAsia" w:ascii="宋体" w:hAnsi="宋体" w:cs="宋体"/>
          <w:bCs/>
          <w:szCs w:val="21"/>
          <w:highlight w:val="none"/>
        </w:rPr>
        <w:t>；</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rPr>
        <w:t>管理制度</w:t>
      </w:r>
      <w:r>
        <w:rPr>
          <w:rFonts w:hint="eastAsia" w:ascii="宋体" w:hAnsi="宋体" w:cs="宋体"/>
          <w:bCs/>
          <w:szCs w:val="21"/>
          <w:highlight w:val="none"/>
        </w:rPr>
        <w:t>；</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sz w:val="21"/>
          <w:szCs w:val="21"/>
          <w:highlight w:val="none"/>
          <w:lang w:val="en-US" w:eastAsia="zh-CN"/>
        </w:rPr>
        <w:t>质量控制体系</w:t>
      </w:r>
      <w:r>
        <w:rPr>
          <w:rFonts w:hint="eastAsia" w:ascii="宋体" w:hAnsi="宋体" w:cs="宋体"/>
          <w:bCs/>
          <w:szCs w:val="21"/>
          <w:highlight w:val="none"/>
        </w:rPr>
        <w:t>；</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lang w:val="en-US" w:eastAsia="zh-CN"/>
        </w:rPr>
        <w:t>培训设备</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b w:val="0"/>
          <w:bCs w:val="0"/>
          <w:color w:val="auto"/>
          <w:sz w:val="21"/>
          <w:szCs w:val="21"/>
          <w:highlight w:val="none"/>
          <w:lang w:eastAsia="zh-CN"/>
        </w:rPr>
        <w:t>培训</w:t>
      </w:r>
      <w:r>
        <w:rPr>
          <w:rFonts w:hint="eastAsia" w:ascii="宋体" w:hAnsi="宋体" w:eastAsia="宋体" w:cs="宋体"/>
          <w:b w:val="0"/>
          <w:bCs w:val="0"/>
          <w:color w:val="auto"/>
          <w:sz w:val="21"/>
          <w:szCs w:val="21"/>
          <w:highlight w:val="none"/>
        </w:rPr>
        <w:t>场地</w:t>
      </w:r>
      <w:r>
        <w:rPr>
          <w:rFonts w:hint="eastAsia" w:ascii="宋体" w:hAnsi="宋体" w:eastAsia="宋体" w:cs="宋体"/>
          <w:sz w:val="21"/>
          <w:szCs w:val="21"/>
          <w:highlight w:val="none"/>
          <w:lang w:val="en-US" w:eastAsia="zh-CN"/>
        </w:rPr>
        <w:t>；</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lang w:val="en-US" w:eastAsia="zh-CN"/>
        </w:rPr>
        <w:t>后勤保障及应急预案</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lang w:val="en-US" w:eastAsia="zh-CN"/>
        </w:rPr>
        <w:t>服务承诺</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eastAsia="宋体" w:cs="宋体"/>
          <w:sz w:val="21"/>
          <w:szCs w:val="21"/>
          <w:highlight w:val="none"/>
          <w:lang w:val="en-US" w:eastAsia="zh-CN"/>
        </w:rPr>
        <w:t>人员配备</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bCs/>
          <w:szCs w:val="21"/>
          <w:highlight w:val="none"/>
        </w:rPr>
        <w:t>供应商对本项目的合理化建议和改进措施；</w:t>
      </w:r>
    </w:p>
    <w:p>
      <w:pPr>
        <w:keepNext w:val="0"/>
        <w:keepLines w:val="0"/>
        <w:pageBreakBefore w:val="0"/>
        <w:widowControl w:val="0"/>
        <w:numPr>
          <w:ilvl w:val="0"/>
          <w:numId w:val="9"/>
        </w:numPr>
        <w:kinsoku/>
        <w:wordWrap/>
        <w:topLinePunct w:val="0"/>
        <w:autoSpaceDE w:val="0"/>
        <w:autoSpaceDN w:val="0"/>
        <w:bidi w:val="0"/>
        <w:snapToGrid w:val="0"/>
        <w:spacing w:line="400" w:lineRule="exact"/>
        <w:ind w:left="0" w:firstLine="420" w:firstLineChars="200"/>
        <w:textAlignment w:val="bottom"/>
        <w:rPr>
          <w:rFonts w:hint="eastAsia" w:ascii="宋体" w:hAnsi="宋体" w:cs="宋体"/>
          <w:bCs/>
          <w:szCs w:val="21"/>
          <w:highlight w:val="none"/>
        </w:rPr>
      </w:pPr>
      <w:r>
        <w:rPr>
          <w:rFonts w:hint="eastAsia" w:ascii="宋体" w:hAnsi="宋体" w:cs="宋体"/>
          <w:bCs/>
          <w:szCs w:val="21"/>
          <w:highlight w:val="none"/>
        </w:rPr>
        <w:t>采购文件要求的及供应商认为可能需要的其他文件资料。</w:t>
      </w:r>
    </w:p>
    <w:p>
      <w:pPr>
        <w:overflowPunct w:val="0"/>
        <w:autoSpaceDE w:val="0"/>
        <w:autoSpaceDN w:val="0"/>
        <w:snapToGrid w:val="0"/>
        <w:spacing w:line="400" w:lineRule="exact"/>
        <w:textAlignment w:val="bottom"/>
        <w:rPr>
          <w:rFonts w:ascii="宋体" w:cs="宋体"/>
          <w:szCs w:val="21"/>
          <w:highlight w:val="none"/>
        </w:rPr>
      </w:pPr>
    </w:p>
    <w:p>
      <w:pPr>
        <w:overflowPunct w:val="0"/>
        <w:rPr>
          <w:rFonts w:ascii="宋体" w:cs="宋体"/>
          <w:highlight w:val="none"/>
        </w:rPr>
      </w:pPr>
    </w:p>
    <w:p>
      <w:pPr>
        <w:overflowPunct w:val="0"/>
        <w:spacing w:line="400" w:lineRule="exact"/>
        <w:jc w:val="left"/>
        <w:rPr>
          <w:rFonts w:ascii="宋体" w:cs="宋体"/>
          <w:sz w:val="28"/>
          <w:szCs w:val="28"/>
          <w:highlight w:val="none"/>
        </w:rPr>
      </w:pPr>
    </w:p>
    <w:p>
      <w:pPr>
        <w:overflowPunct w:val="0"/>
        <w:spacing w:line="400" w:lineRule="exact"/>
        <w:jc w:val="left"/>
        <w:rPr>
          <w:rFonts w:ascii="宋体" w:cs="宋体"/>
          <w:sz w:val="28"/>
          <w:szCs w:val="28"/>
          <w:highlight w:val="none"/>
        </w:rPr>
      </w:pPr>
    </w:p>
    <w:p>
      <w:pPr>
        <w:pStyle w:val="67"/>
        <w:spacing w:before="156"/>
        <w:ind w:firstLine="0"/>
        <w:rPr>
          <w:rFonts w:ascii="宋体" w:cs="宋体"/>
          <w:sz w:val="28"/>
          <w:szCs w:val="28"/>
          <w:highlight w:val="none"/>
        </w:rPr>
      </w:pPr>
    </w:p>
    <w:p>
      <w:pPr>
        <w:pStyle w:val="67"/>
        <w:spacing w:before="156"/>
        <w:ind w:firstLine="0"/>
        <w:rPr>
          <w:rFonts w:ascii="宋体" w:cs="宋体"/>
          <w:sz w:val="28"/>
          <w:szCs w:val="28"/>
          <w:highlight w:val="none"/>
        </w:rPr>
      </w:pPr>
    </w:p>
    <w:p>
      <w:pPr>
        <w:pStyle w:val="67"/>
        <w:spacing w:before="156"/>
        <w:ind w:firstLine="0"/>
        <w:rPr>
          <w:rFonts w:ascii="宋体" w:cs="宋体"/>
          <w:sz w:val="28"/>
          <w:szCs w:val="28"/>
          <w:highlight w:val="none"/>
        </w:rPr>
      </w:pPr>
    </w:p>
    <w:p>
      <w:pPr>
        <w:pStyle w:val="67"/>
        <w:spacing w:before="156"/>
        <w:ind w:firstLine="0"/>
        <w:rPr>
          <w:rFonts w:ascii="宋体" w:cs="宋体"/>
          <w:sz w:val="28"/>
          <w:szCs w:val="28"/>
          <w:highlight w:val="none"/>
        </w:rPr>
      </w:pPr>
    </w:p>
    <w:p>
      <w:pPr>
        <w:pStyle w:val="67"/>
        <w:spacing w:before="156"/>
        <w:ind w:firstLine="0"/>
        <w:rPr>
          <w:rFonts w:ascii="宋体" w:cs="宋体"/>
          <w:sz w:val="28"/>
          <w:szCs w:val="28"/>
          <w:highlight w:val="none"/>
        </w:rPr>
      </w:pPr>
    </w:p>
    <w:p>
      <w:pPr>
        <w:pStyle w:val="67"/>
        <w:spacing w:before="156"/>
        <w:ind w:firstLine="0"/>
        <w:rPr>
          <w:rFonts w:ascii="宋体" w:cs="宋体"/>
          <w:sz w:val="28"/>
          <w:szCs w:val="28"/>
          <w:highlight w:val="none"/>
        </w:rPr>
      </w:pPr>
    </w:p>
    <w:p>
      <w:pPr>
        <w:overflowPunct w:val="0"/>
        <w:spacing w:line="400" w:lineRule="exact"/>
        <w:jc w:val="left"/>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、磋商声明书</w:t>
      </w:r>
    </w:p>
    <w:p>
      <w:pPr>
        <w:overflowPunct w:val="0"/>
        <w:spacing w:line="360" w:lineRule="auto"/>
        <w:jc w:val="center"/>
        <w:rPr>
          <w:rFonts w:ascii="宋体" w:cs="宋体"/>
          <w:b/>
          <w:sz w:val="28"/>
          <w:szCs w:val="28"/>
          <w:highlight w:val="none"/>
        </w:rPr>
      </w:pPr>
      <w:bookmarkStart w:id="135" w:name="_Toc414960388"/>
      <w:r>
        <w:rPr>
          <w:rFonts w:hint="eastAsia" w:ascii="宋体" w:hAnsi="宋体" w:cs="宋体"/>
          <w:b/>
          <w:sz w:val="28"/>
          <w:szCs w:val="28"/>
          <w:highlight w:val="none"/>
        </w:rPr>
        <w:t>磋商声明书</w:t>
      </w:r>
      <w:bookmarkEnd w:id="135"/>
    </w:p>
    <w:p>
      <w:pPr>
        <w:pStyle w:val="13"/>
        <w:widowControl w:val="0"/>
        <w:overflowPunct w:val="0"/>
        <w:spacing w:line="460" w:lineRule="atLeast"/>
        <w:jc w:val="center"/>
        <w:rPr>
          <w:rFonts w:cs="宋体"/>
          <w:highlight w:val="none"/>
        </w:rPr>
      </w:pPr>
    </w:p>
    <w:p>
      <w:pPr>
        <w:overflowPunct w:val="0"/>
        <w:spacing w:line="400" w:lineRule="exact"/>
        <w:rPr>
          <w:rFonts w:ascii="宋体" w:cs="宋体"/>
          <w:szCs w:val="21"/>
          <w:highlight w:val="none"/>
          <w:u w:val="single"/>
        </w:rPr>
      </w:pPr>
      <w:r>
        <w:rPr>
          <w:rFonts w:hint="eastAsia" w:ascii="宋体" w:hAnsi="宋体" w:cs="宋体"/>
          <w:szCs w:val="21"/>
          <w:highlight w:val="none"/>
          <w:u w:val="single"/>
        </w:rPr>
        <w:t>致</w:t>
      </w:r>
      <w:r>
        <w:rPr>
          <w:rFonts w:ascii="宋体" w:hAnsi="宋体" w:cs="宋体"/>
          <w:szCs w:val="21"/>
          <w:highlight w:val="none"/>
          <w:u w:val="single"/>
        </w:rPr>
        <w:t xml:space="preserve">                 </w:t>
      </w:r>
      <w:r>
        <w:rPr>
          <w:rFonts w:hint="eastAsia" w:ascii="宋体" w:hAnsi="宋体" w:cs="宋体"/>
          <w:szCs w:val="21"/>
          <w:highlight w:val="none"/>
          <w:u w:val="single"/>
        </w:rPr>
        <w:t>：</w:t>
      </w:r>
    </w:p>
    <w:p>
      <w:pPr>
        <w:overflowPunct w:val="0"/>
        <w:spacing w:line="400" w:lineRule="exact"/>
        <w:ind w:firstLine="420" w:firstLineChars="200"/>
        <w:rPr>
          <w:rFonts w:asci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u w:val="single"/>
        </w:rPr>
        <w:t>（供应商全称）</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授权</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（授权代表名称、职务、职称）</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为本公司授权代表，参加贵方组织的</w:t>
      </w:r>
      <w:r>
        <w:rPr>
          <w:rFonts w:ascii="宋体" w:hAnsi="宋体" w:cs="宋体"/>
          <w:szCs w:val="21"/>
          <w:highlight w:val="none"/>
          <w:u w:val="single"/>
        </w:rPr>
        <w:t xml:space="preserve">  </w:t>
      </w:r>
      <w:r>
        <w:rPr>
          <w:rFonts w:hint="eastAsia" w:ascii="宋体" w:hAnsi="宋体" w:cs="宋体"/>
          <w:szCs w:val="21"/>
          <w:highlight w:val="none"/>
          <w:u w:val="single"/>
        </w:rPr>
        <w:t>项目名称（项目编号）</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竞争性磋商有关活动，进行磋商。为此</w:t>
      </w:r>
      <w:r>
        <w:rPr>
          <w:rFonts w:hint="eastAsia" w:ascii="宋体" w:hAnsi="宋体" w:cs="宋体"/>
          <w:szCs w:val="21"/>
          <w:highlight w:val="none"/>
          <w:lang w:val="zh-CN"/>
        </w:rPr>
        <w:t>承诺如下</w:t>
      </w:r>
      <w:r>
        <w:rPr>
          <w:rFonts w:hint="eastAsia" w:ascii="宋体" w:hAnsi="宋体" w:cs="宋体"/>
          <w:szCs w:val="21"/>
          <w:highlight w:val="none"/>
        </w:rPr>
        <w:t>：</w:t>
      </w:r>
    </w:p>
    <w:p>
      <w:pPr>
        <w:overflowPunct w:val="0"/>
        <w:spacing w:line="400" w:lineRule="exact"/>
        <w:ind w:firstLine="420" w:firstLineChars="200"/>
        <w:rPr>
          <w:rFonts w:ascii="宋体" w:cs="宋体"/>
          <w:szCs w:val="21"/>
          <w:highlight w:val="none"/>
          <w:u w:val="single"/>
        </w:rPr>
      </w:pPr>
      <w:r>
        <w:rPr>
          <w:rFonts w:ascii="宋体" w:hAnsi="宋体" w:cs="宋体"/>
          <w:szCs w:val="21"/>
          <w:highlight w:val="none"/>
        </w:rPr>
        <w:t>1</w:t>
      </w:r>
      <w:r>
        <w:rPr>
          <w:rFonts w:hint="eastAsia" w:ascii="宋体" w:hAnsi="宋体" w:cs="宋体"/>
          <w:szCs w:val="21"/>
          <w:highlight w:val="none"/>
        </w:rPr>
        <w:t>、按照磋商文件要求制作并提交规定的资格证明文件，商务技术文件。</w:t>
      </w:r>
    </w:p>
    <w:p>
      <w:pP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、本项目负责人：</w:t>
      </w:r>
      <w:r>
        <w:rPr>
          <w:rFonts w:ascii="宋体" w:hAnsi="宋体" w:cs="宋体"/>
          <w:szCs w:val="21"/>
          <w:highlight w:val="none"/>
          <w:u w:val="single"/>
        </w:rPr>
        <w:t xml:space="preserve">        </w:t>
      </w:r>
      <w:r>
        <w:rPr>
          <w:rFonts w:hint="eastAsia" w:ascii="宋体" w:hAnsi="宋体" w:cs="宋体"/>
          <w:szCs w:val="21"/>
          <w:highlight w:val="none"/>
        </w:rPr>
        <w:t>；联系电话：</w:t>
      </w:r>
      <w:r>
        <w:rPr>
          <w:rFonts w:ascii="宋体" w:hAnsi="宋体" w:cs="宋体"/>
          <w:szCs w:val="21"/>
          <w:highlight w:val="none"/>
          <w:u w:val="single"/>
        </w:rPr>
        <w:t xml:space="preserve">                </w:t>
      </w:r>
      <w:r>
        <w:rPr>
          <w:rFonts w:hint="eastAsia" w:ascii="宋体" w:hAnsi="宋体" w:cs="宋体"/>
          <w:szCs w:val="21"/>
          <w:highlight w:val="none"/>
        </w:rPr>
        <w:t>。</w:t>
      </w:r>
    </w:p>
    <w:p>
      <w:pP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、保证遵守磋商文件中的有关规定和收费标准。</w:t>
      </w:r>
    </w:p>
    <w:p>
      <w:pP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、保证严格执行甲、乙双方所签的合同，并承担全部规定的责任义务。</w:t>
      </w:r>
    </w:p>
    <w:p>
      <w:pP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、我们已详细审查全部磋商文件，包括磋商补充文件（如果有的话）。我们完全理解并同意放弃对这方面有不明及误解的权力。</w:t>
      </w:r>
    </w:p>
    <w:p>
      <w:pPr>
        <w:overflowPunct w:val="0"/>
        <w:spacing w:line="460" w:lineRule="exact"/>
        <w:ind w:firstLine="420" w:firstLineChars="200"/>
        <w:rPr>
          <w:rFonts w:asci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、我们已对项目现场进行实地踏勘，充分了解项目要求。</w:t>
      </w:r>
    </w:p>
    <w:p>
      <w:pPr>
        <w:overflowPunct w:val="0"/>
        <w:spacing w:line="460" w:lineRule="exact"/>
        <w:ind w:firstLine="420" w:firstLineChars="200"/>
        <w:rPr>
          <w:rFonts w:asci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、愿意向贵方提供任何与该项目有关的数据、情况和技术资料，完全理解贵方不一定接受最低价成交的决定。</w:t>
      </w:r>
    </w:p>
    <w:p>
      <w:pP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、本文件自磋商之日起</w:t>
      </w:r>
      <w:r>
        <w:rPr>
          <w:rFonts w:ascii="宋体" w:hAnsi="宋体" w:cs="宋体"/>
          <w:szCs w:val="21"/>
          <w:highlight w:val="none"/>
          <w:u w:val="single"/>
        </w:rPr>
        <w:t xml:space="preserve"> 90 </w:t>
      </w:r>
      <w:r>
        <w:rPr>
          <w:rFonts w:hint="eastAsia" w:ascii="宋体" w:hAnsi="宋体" w:cs="宋体"/>
          <w:szCs w:val="21"/>
          <w:highlight w:val="none"/>
        </w:rPr>
        <w:t>天内有效。</w:t>
      </w:r>
    </w:p>
    <w:p>
      <w:pPr>
        <w:overflowPunct w:val="0"/>
        <w:spacing w:line="400" w:lineRule="exact"/>
        <w:ind w:firstLine="420" w:firstLineChars="200"/>
        <w:rPr>
          <w:rFonts w:asci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、与本项目有关的一切往来通讯请寄：</w:t>
      </w:r>
    </w:p>
    <w:p>
      <w:pPr>
        <w:overflowPunct w:val="0"/>
        <w:spacing w:line="400" w:lineRule="exact"/>
        <w:ind w:firstLine="420" w:firstLineChars="200"/>
        <w:rPr>
          <w:rFonts w:ascii="宋体" w:cs="宋体"/>
          <w:szCs w:val="21"/>
          <w:highlight w:val="none"/>
        </w:rPr>
      </w:pPr>
      <w:r>
        <w:rPr>
          <w:rFonts w:hint="eastAsia" w:ascii="宋体" w:hAnsi="宋体" w:cs="宋体"/>
          <w:szCs w:val="21"/>
          <w:highlight w:val="none"/>
        </w:rPr>
        <w:t>地址：</w:t>
      </w:r>
      <w:r>
        <w:rPr>
          <w:rFonts w:ascii="宋体" w:hAnsi="宋体" w:cs="宋体"/>
          <w:szCs w:val="21"/>
          <w:highlight w:val="none"/>
          <w:u w:val="single"/>
        </w:rPr>
        <w:t xml:space="preserve">                               </w:t>
      </w:r>
    </w:p>
    <w:p>
      <w:pPr>
        <w:overflowPunct w:val="0"/>
        <w:spacing w:line="400" w:lineRule="exact"/>
        <w:ind w:firstLine="420" w:firstLineChars="200"/>
        <w:rPr>
          <w:rFonts w:ascii="宋体" w:cs="宋体"/>
          <w:szCs w:val="21"/>
          <w:highlight w:val="none"/>
          <w:u w:val="single"/>
        </w:rPr>
      </w:pPr>
      <w:r>
        <w:rPr>
          <w:rFonts w:hint="eastAsia" w:ascii="宋体" w:hAnsi="宋体" w:cs="宋体"/>
          <w:szCs w:val="21"/>
          <w:highlight w:val="none"/>
        </w:rPr>
        <w:t>邮编：</w:t>
      </w:r>
      <w:r>
        <w:rPr>
          <w:rFonts w:ascii="宋体" w:hAnsi="宋体" w:cs="宋体"/>
          <w:szCs w:val="21"/>
          <w:highlight w:val="none"/>
          <w:u w:val="single"/>
        </w:rPr>
        <w:t xml:space="preserve">              </w:t>
      </w:r>
      <w:r>
        <w:rPr>
          <w:rFonts w:hint="eastAsia" w:ascii="宋体" w:hAnsi="宋体" w:cs="宋体"/>
          <w:szCs w:val="21"/>
          <w:highlight w:val="none"/>
        </w:rPr>
        <w:t>电话：</w:t>
      </w:r>
      <w:r>
        <w:rPr>
          <w:rFonts w:ascii="宋体" w:hAnsi="宋体" w:cs="宋体"/>
          <w:szCs w:val="21"/>
          <w:highlight w:val="none"/>
          <w:u w:val="single"/>
        </w:rPr>
        <w:t xml:space="preserve">              </w:t>
      </w:r>
      <w:r>
        <w:rPr>
          <w:rFonts w:hint="eastAsia" w:ascii="宋体" w:hAnsi="宋体" w:cs="宋体"/>
          <w:szCs w:val="21"/>
          <w:highlight w:val="none"/>
        </w:rPr>
        <w:t>传真：</w:t>
      </w:r>
      <w:r>
        <w:rPr>
          <w:rFonts w:ascii="宋体" w:hAnsi="宋体" w:cs="宋体"/>
          <w:szCs w:val="21"/>
          <w:highlight w:val="none"/>
          <w:u w:val="single"/>
        </w:rPr>
        <w:t xml:space="preserve">              </w:t>
      </w:r>
    </w:p>
    <w:p>
      <w:pPr>
        <w:pStyle w:val="13"/>
        <w:widowControl w:val="0"/>
        <w:overflowPunct w:val="0"/>
        <w:spacing w:line="460" w:lineRule="atLeast"/>
        <w:jc w:val="center"/>
        <w:rPr>
          <w:rFonts w:cs="宋体"/>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pPr>
        <w:overflowPunct w:val="0"/>
        <w:ind w:firstLine="315" w:firstLineChars="150"/>
        <w:rPr>
          <w:rFonts w:ascii="宋体" w:cs="宋体"/>
          <w:highlight w:val="none"/>
        </w:rPr>
      </w:pPr>
    </w:p>
    <w:p>
      <w:pPr>
        <w:overflowPunct w:val="0"/>
        <w:spacing w:line="400" w:lineRule="exact"/>
        <w:jc w:val="left"/>
        <w:rPr>
          <w:rFonts w:ascii="宋体" w:cs="宋体"/>
          <w:sz w:val="28"/>
          <w:szCs w:val="28"/>
          <w:highlight w:val="none"/>
        </w:rPr>
      </w:pPr>
    </w:p>
    <w:p>
      <w:pPr>
        <w:pStyle w:val="5"/>
        <w:rPr>
          <w:highlight w:val="none"/>
        </w:rPr>
      </w:pPr>
    </w:p>
    <w:p>
      <w:pPr>
        <w:overflowPunct w:val="0"/>
        <w:spacing w:line="400" w:lineRule="exact"/>
        <w:jc w:val="left"/>
        <w:rPr>
          <w:rFonts w:ascii="宋体" w:cs="宋体"/>
          <w:sz w:val="28"/>
          <w:szCs w:val="28"/>
          <w:highlight w:val="none"/>
        </w:rPr>
      </w:pPr>
    </w:p>
    <w:p>
      <w:pPr>
        <w:overflowPunct w:val="0"/>
        <w:spacing w:line="400" w:lineRule="exact"/>
        <w:jc w:val="left"/>
        <w:rPr>
          <w:rFonts w:ascii="宋体" w:cs="宋体"/>
          <w:sz w:val="28"/>
          <w:szCs w:val="28"/>
          <w:highlight w:val="none"/>
        </w:rPr>
      </w:pPr>
    </w:p>
    <w:p>
      <w:pPr>
        <w:overflowPunct w:val="0"/>
        <w:spacing w:line="400" w:lineRule="exact"/>
        <w:jc w:val="left"/>
        <w:rPr>
          <w:rFonts w:ascii="宋体" w:cs="宋体"/>
          <w:sz w:val="28"/>
          <w:szCs w:val="28"/>
          <w:highlight w:val="none"/>
        </w:rPr>
      </w:pPr>
    </w:p>
    <w:p>
      <w:pPr>
        <w:overflowPunct w:val="0"/>
        <w:spacing w:line="400" w:lineRule="exact"/>
        <w:jc w:val="left"/>
        <w:rPr>
          <w:rFonts w:ascii="宋体" w:cs="宋体"/>
          <w:sz w:val="28"/>
          <w:szCs w:val="28"/>
          <w:highlight w:val="none"/>
        </w:rPr>
      </w:pPr>
      <w:r>
        <w:rPr>
          <w:rFonts w:hint="eastAsia" w:ascii="宋体" w:hAnsi="宋体" w:cs="宋体"/>
          <w:sz w:val="28"/>
          <w:szCs w:val="28"/>
          <w:highlight w:val="none"/>
          <w:lang w:val="en-US" w:eastAsia="zh-CN"/>
        </w:rPr>
        <w:t>8</w:t>
      </w:r>
      <w:r>
        <w:rPr>
          <w:rFonts w:hint="eastAsia" w:ascii="宋体" w:hAnsi="宋体" w:cs="宋体"/>
          <w:sz w:val="28"/>
          <w:szCs w:val="28"/>
          <w:highlight w:val="none"/>
        </w:rPr>
        <w:t>、供应商的情况一览表</w:t>
      </w:r>
    </w:p>
    <w:p>
      <w:pPr>
        <w:overflowPunct w:val="0"/>
        <w:adjustRightInd w:val="0"/>
        <w:snapToGrid w:val="0"/>
        <w:spacing w:line="360" w:lineRule="auto"/>
        <w:jc w:val="center"/>
        <w:rPr>
          <w:rFonts w:ascii="宋体" w:cs="宋体"/>
          <w:b/>
          <w:bCs/>
          <w:kern w:val="0"/>
          <w:sz w:val="28"/>
          <w:szCs w:val="28"/>
          <w:highlight w:val="none"/>
        </w:rPr>
      </w:pPr>
    </w:p>
    <w:p>
      <w:pPr>
        <w:overflowPunct w:val="0"/>
        <w:adjustRightInd w:val="0"/>
        <w:snapToGrid w:val="0"/>
        <w:spacing w:line="360" w:lineRule="auto"/>
        <w:jc w:val="center"/>
        <w:rPr>
          <w:rFonts w:ascii="宋体" w:cs="宋体"/>
          <w:b/>
          <w:sz w:val="28"/>
          <w:szCs w:val="28"/>
          <w:highlight w:val="none"/>
        </w:rPr>
      </w:pPr>
      <w:r>
        <w:rPr>
          <w:rFonts w:hint="eastAsia" w:ascii="宋体" w:hAnsi="宋体" w:cs="宋体"/>
          <w:b/>
          <w:bCs/>
          <w:kern w:val="0"/>
          <w:sz w:val="28"/>
          <w:szCs w:val="28"/>
          <w:highlight w:val="none"/>
        </w:rPr>
        <w:t>供应商</w:t>
      </w:r>
      <w:r>
        <w:rPr>
          <w:rFonts w:hint="eastAsia" w:ascii="宋体" w:hAnsi="宋体" w:cs="宋体"/>
          <w:b/>
          <w:sz w:val="28"/>
          <w:szCs w:val="28"/>
          <w:highlight w:val="none"/>
        </w:rPr>
        <w:t>情况一览表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81"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公司名称</w:t>
            </w:r>
          </w:p>
        </w:tc>
        <w:tc>
          <w:tcPr>
            <w:tcW w:w="5140"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81"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注册资金</w:t>
            </w:r>
          </w:p>
        </w:tc>
        <w:tc>
          <w:tcPr>
            <w:tcW w:w="5140"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81"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地址、邮编</w:t>
            </w:r>
          </w:p>
        </w:tc>
        <w:tc>
          <w:tcPr>
            <w:tcW w:w="5140"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81"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主要业务范围</w:t>
            </w:r>
          </w:p>
        </w:tc>
        <w:tc>
          <w:tcPr>
            <w:tcW w:w="5140"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81"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企业性质</w:t>
            </w:r>
          </w:p>
        </w:tc>
        <w:tc>
          <w:tcPr>
            <w:tcW w:w="5140"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81"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成立时间</w:t>
            </w:r>
          </w:p>
        </w:tc>
        <w:tc>
          <w:tcPr>
            <w:tcW w:w="5140"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81"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生产经营场所规模（平方）</w:t>
            </w:r>
          </w:p>
        </w:tc>
        <w:tc>
          <w:tcPr>
            <w:tcW w:w="5140" w:type="dxa"/>
            <w:gridSpan w:val="3"/>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21" w:type="dxa"/>
            <w:gridSpan w:val="6"/>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61" w:type="dxa"/>
            <w:gridSpan w:val="2"/>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法人代表</w:t>
            </w:r>
          </w:p>
        </w:tc>
        <w:tc>
          <w:tcPr>
            <w:tcW w:w="172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公司经理</w:t>
            </w:r>
          </w:p>
        </w:tc>
        <w:tc>
          <w:tcPr>
            <w:tcW w:w="1859"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总工程师</w:t>
            </w:r>
          </w:p>
        </w:tc>
        <w:tc>
          <w:tcPr>
            <w:tcW w:w="175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总经济师</w:t>
            </w:r>
          </w:p>
        </w:tc>
        <w:tc>
          <w:tcPr>
            <w:tcW w:w="152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61" w:type="dxa"/>
            <w:gridSpan w:val="2"/>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2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859"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5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52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21" w:type="dxa"/>
            <w:gridSpan w:val="6"/>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61" w:type="dxa"/>
            <w:gridSpan w:val="2"/>
            <w:vMerge w:val="restart"/>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人员总数（人）</w:t>
            </w:r>
          </w:p>
        </w:tc>
        <w:tc>
          <w:tcPr>
            <w:tcW w:w="172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高级职称</w:t>
            </w:r>
          </w:p>
        </w:tc>
        <w:tc>
          <w:tcPr>
            <w:tcW w:w="1859"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中级职称</w:t>
            </w:r>
          </w:p>
        </w:tc>
        <w:tc>
          <w:tcPr>
            <w:tcW w:w="175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初级职称</w:t>
            </w:r>
          </w:p>
        </w:tc>
        <w:tc>
          <w:tcPr>
            <w:tcW w:w="152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61"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2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859"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5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52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61" w:type="dxa"/>
            <w:gridSpan w:val="2"/>
            <w:vMerge w:val="restart"/>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人员构成（</w:t>
            </w:r>
            <w:r>
              <w:rPr>
                <w:rFonts w:ascii="宋体" w:hAnsi="宋体" w:cs="宋体"/>
                <w:szCs w:val="21"/>
                <w:highlight w:val="none"/>
              </w:rPr>
              <w:t>%</w:t>
            </w:r>
            <w:r>
              <w:rPr>
                <w:rFonts w:hint="eastAsia" w:ascii="宋体" w:hAnsi="宋体" w:cs="宋体"/>
                <w:szCs w:val="21"/>
                <w:highlight w:val="none"/>
              </w:rPr>
              <w:t>）</w:t>
            </w:r>
          </w:p>
        </w:tc>
        <w:tc>
          <w:tcPr>
            <w:tcW w:w="172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管理人员</w:t>
            </w:r>
          </w:p>
        </w:tc>
        <w:tc>
          <w:tcPr>
            <w:tcW w:w="1859"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技术人员</w:t>
            </w:r>
          </w:p>
        </w:tc>
        <w:tc>
          <w:tcPr>
            <w:tcW w:w="175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后勤人员</w:t>
            </w:r>
          </w:p>
        </w:tc>
        <w:tc>
          <w:tcPr>
            <w:tcW w:w="152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61"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2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859"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5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52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61" w:type="dxa"/>
            <w:gridSpan w:val="2"/>
            <w:vMerge w:val="restart"/>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上年度末资产及负债情况</w:t>
            </w:r>
          </w:p>
        </w:tc>
        <w:tc>
          <w:tcPr>
            <w:tcW w:w="172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总资产</w:t>
            </w:r>
          </w:p>
        </w:tc>
        <w:tc>
          <w:tcPr>
            <w:tcW w:w="1859"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固定资产净额</w:t>
            </w:r>
          </w:p>
        </w:tc>
        <w:tc>
          <w:tcPr>
            <w:tcW w:w="175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流动资产</w:t>
            </w:r>
          </w:p>
        </w:tc>
        <w:tc>
          <w:tcPr>
            <w:tcW w:w="152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61"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2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859"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758"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c>
          <w:tcPr>
            <w:tcW w:w="1523" w:type="dxa"/>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645" w:type="dxa"/>
            <w:vAlign w:val="center"/>
          </w:tcPr>
          <w:p>
            <w:pPr>
              <w:overflowPunct w:val="0"/>
              <w:rPr>
                <w:rFonts w:ascii="宋体" w:cs="宋体"/>
                <w:szCs w:val="21"/>
                <w:highlight w:val="none"/>
              </w:rPr>
            </w:pPr>
            <w:r>
              <w:rPr>
                <w:rFonts w:hint="eastAsia" w:ascii="宋体" w:hAnsi="宋体" w:cs="宋体"/>
                <w:szCs w:val="21"/>
                <w:highlight w:val="none"/>
              </w:rPr>
              <w:t>企业概况</w:t>
            </w:r>
          </w:p>
        </w:tc>
        <w:tc>
          <w:tcPr>
            <w:tcW w:w="7976" w:type="dxa"/>
            <w:gridSpan w:val="5"/>
            <w:vAlign w:val="center"/>
          </w:tcPr>
          <w:p>
            <w:pPr>
              <w:overflowPunct w:val="0"/>
              <w:rPr>
                <w:rFonts w:ascii="宋体" w:cs="宋体"/>
                <w:szCs w:val="21"/>
                <w:highlight w:val="none"/>
              </w:rPr>
            </w:pPr>
          </w:p>
        </w:tc>
      </w:tr>
    </w:tbl>
    <w:p>
      <w:pPr>
        <w:overflowPunct w:val="0"/>
        <w:adjustRightInd w:val="0"/>
        <w:snapToGrid w:val="0"/>
        <w:spacing w:line="360" w:lineRule="auto"/>
        <w:rPr>
          <w:rFonts w:ascii="宋体" w:cs="宋体"/>
          <w:sz w:val="28"/>
          <w:szCs w:val="28"/>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pPr>
        <w:pStyle w:val="16"/>
        <w:overflowPunct w:val="0"/>
        <w:ind w:left="31680"/>
        <w:rPr>
          <w:rFonts w:ascii="宋体" w:cs="宋体"/>
          <w:highlight w:val="none"/>
        </w:rPr>
      </w:pPr>
      <w:r>
        <w:rPr>
          <w:rFonts w:hint="eastAsia" w:ascii="宋体" w:hAnsi="宋体" w:cs="宋体"/>
          <w:highlight w:val="none"/>
        </w:rPr>
        <w:t>说明：本表格可视情形添加或删减。除表格外，可另附文字、图片等情况加以说明。</w:t>
      </w:r>
    </w:p>
    <w:p>
      <w:pPr>
        <w:overflowPunct w:val="0"/>
        <w:spacing w:line="400" w:lineRule="exact"/>
        <w:jc w:val="left"/>
        <w:rPr>
          <w:rFonts w:hint="eastAsia" w:ascii="宋体" w:hAnsi="宋体" w:cs="宋体"/>
          <w:sz w:val="28"/>
          <w:szCs w:val="28"/>
          <w:highlight w:val="none"/>
          <w:lang w:val="en-US" w:eastAsia="zh-CN"/>
        </w:rPr>
      </w:pPr>
    </w:p>
    <w:p>
      <w:pPr>
        <w:overflowPunct w:val="0"/>
        <w:spacing w:line="400" w:lineRule="exact"/>
        <w:jc w:val="left"/>
        <w:rPr>
          <w:rFonts w:ascii="宋体" w:cs="宋体"/>
          <w:sz w:val="28"/>
          <w:szCs w:val="28"/>
          <w:highlight w:val="none"/>
        </w:rPr>
      </w:pPr>
      <w:r>
        <w:rPr>
          <w:rFonts w:hint="eastAsia" w:ascii="宋体" w:hAnsi="宋体" w:cs="宋体"/>
          <w:sz w:val="28"/>
          <w:szCs w:val="28"/>
          <w:highlight w:val="none"/>
          <w:lang w:val="en-US" w:eastAsia="zh-CN"/>
        </w:rPr>
        <w:t>9</w:t>
      </w:r>
      <w:r>
        <w:rPr>
          <w:rFonts w:hint="eastAsia" w:ascii="宋体" w:hAnsi="宋体" w:cs="宋体"/>
          <w:sz w:val="28"/>
          <w:szCs w:val="28"/>
          <w:highlight w:val="none"/>
        </w:rPr>
        <w:t>、同类项目实施情况一览表</w:t>
      </w:r>
    </w:p>
    <w:p>
      <w:pPr>
        <w:overflowPunct w:val="0"/>
        <w:spacing w:line="400" w:lineRule="exact"/>
        <w:jc w:val="left"/>
        <w:rPr>
          <w:rFonts w:ascii="宋体" w:cs="宋体"/>
          <w:bCs/>
          <w:sz w:val="28"/>
          <w:szCs w:val="28"/>
          <w:highlight w:val="none"/>
        </w:rPr>
      </w:pPr>
    </w:p>
    <w:p>
      <w:pPr>
        <w:overflowPunct w:val="0"/>
        <w:spacing w:line="360" w:lineRule="auto"/>
        <w:jc w:val="center"/>
        <w:rPr>
          <w:rFonts w:ascii="宋体" w:cs="宋体"/>
          <w:b/>
          <w:sz w:val="28"/>
          <w:szCs w:val="28"/>
          <w:highlight w:val="none"/>
        </w:rPr>
      </w:pPr>
      <w:r>
        <w:rPr>
          <w:rFonts w:hint="eastAsia" w:ascii="宋体" w:hAnsi="宋体" w:cs="宋体"/>
          <w:bCs/>
          <w:sz w:val="28"/>
          <w:szCs w:val="28"/>
          <w:highlight w:val="none"/>
        </w:rPr>
        <w:t>同类项目实施情况一览表</w:t>
      </w:r>
    </w:p>
    <w:p>
      <w:pPr>
        <w:overflowPunct w:val="0"/>
        <w:spacing w:line="360" w:lineRule="auto"/>
        <w:ind w:firstLine="420" w:firstLineChars="200"/>
        <w:rPr>
          <w:rFonts w:ascii="宋体" w:cs="宋体"/>
          <w:szCs w:val="21"/>
          <w:highlight w:val="none"/>
        </w:rPr>
      </w:pPr>
      <w:r>
        <w:rPr>
          <w:rFonts w:hint="eastAsia" w:ascii="宋体" w:hAnsi="宋体" w:cs="宋体"/>
          <w:szCs w:val="21"/>
          <w:highlight w:val="none"/>
        </w:rPr>
        <w:t>项目名称：</w:t>
      </w:r>
      <w:r>
        <w:rPr>
          <w:rFonts w:ascii="宋体" w:hAnsi="宋体" w:cs="宋体"/>
          <w:szCs w:val="21"/>
          <w:highlight w:val="none"/>
        </w:rPr>
        <w:t xml:space="preserve">                          </w:t>
      </w:r>
      <w:r>
        <w:rPr>
          <w:rFonts w:hint="eastAsia" w:ascii="宋体" w:hAnsi="宋体" w:cs="宋体"/>
          <w:szCs w:val="21"/>
          <w:highlight w:val="none"/>
        </w:rPr>
        <w:t>项目编号：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676"/>
        <w:gridCol w:w="803"/>
        <w:gridCol w:w="1138"/>
        <w:gridCol w:w="20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采购单位名称</w:t>
            </w:r>
          </w:p>
        </w:tc>
        <w:tc>
          <w:tcPr>
            <w:tcW w:w="2676" w:type="dxa"/>
            <w:vAlign w:val="center"/>
          </w:tcPr>
          <w:p>
            <w:pP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项目名称</w:t>
            </w:r>
          </w:p>
        </w:tc>
        <w:tc>
          <w:tcPr>
            <w:tcW w:w="803" w:type="dxa"/>
            <w:vAlign w:val="center"/>
          </w:tcPr>
          <w:p>
            <w:pP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数量</w:t>
            </w:r>
          </w:p>
        </w:tc>
        <w:tc>
          <w:tcPr>
            <w:tcW w:w="1138" w:type="dxa"/>
            <w:vAlign w:val="center"/>
          </w:tcPr>
          <w:p>
            <w:pP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合同金额</w:t>
            </w:r>
          </w:p>
          <w:p>
            <w:pP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（万元）</w:t>
            </w:r>
          </w:p>
        </w:tc>
        <w:tc>
          <w:tcPr>
            <w:tcW w:w="2037" w:type="dxa"/>
            <w:vAlign w:val="center"/>
          </w:tcPr>
          <w:p>
            <w:pPr>
              <w:overflowPunct w:val="0"/>
              <w:snapToGrid w:val="0"/>
              <w:spacing w:line="320" w:lineRule="exact"/>
              <w:jc w:val="center"/>
              <w:rPr>
                <w:rFonts w:ascii="宋体" w:cs="宋体"/>
                <w:bCs/>
                <w:szCs w:val="21"/>
                <w:highlight w:val="none"/>
              </w:rPr>
            </w:pPr>
            <w:r>
              <w:rPr>
                <w:rFonts w:hint="eastAsia" w:ascii="宋体" w:hAnsi="宋体" w:cs="宋体"/>
                <w:bCs/>
                <w:szCs w:val="21"/>
                <w:highlight w:val="none"/>
              </w:rPr>
              <w:t>采购单位联系人及联系电话</w:t>
            </w:r>
          </w:p>
        </w:tc>
        <w:tc>
          <w:tcPr>
            <w:tcW w:w="973" w:type="dxa"/>
            <w:vAlign w:val="center"/>
          </w:tcPr>
          <w:p>
            <w:pPr>
              <w:overflowPunct w:val="0"/>
              <w:spacing w:line="320" w:lineRule="exact"/>
              <w:jc w:val="center"/>
              <w:rPr>
                <w:rFonts w:ascii="宋体" w:cs="宋体"/>
                <w:bCs/>
                <w:szCs w:val="21"/>
                <w:highlight w:val="none"/>
              </w:rPr>
            </w:pPr>
            <w:r>
              <w:rPr>
                <w:rFonts w:hint="eastAsia" w:ascii="宋体" w:hAnsi="宋体" w:cs="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overflowPunct w:val="0"/>
              <w:jc w:val="center"/>
              <w:rPr>
                <w:rFonts w:ascii="宋体" w:cs="宋体"/>
                <w:bCs/>
                <w:szCs w:val="21"/>
                <w:highlight w:val="none"/>
              </w:rPr>
            </w:pPr>
          </w:p>
        </w:tc>
        <w:tc>
          <w:tcPr>
            <w:tcW w:w="2676" w:type="dxa"/>
            <w:vAlign w:val="center"/>
          </w:tcPr>
          <w:p>
            <w:pPr>
              <w:overflowPunct w:val="0"/>
              <w:jc w:val="center"/>
              <w:rPr>
                <w:rFonts w:ascii="宋体" w:cs="宋体"/>
                <w:bCs/>
                <w:szCs w:val="21"/>
                <w:highlight w:val="none"/>
              </w:rPr>
            </w:pPr>
          </w:p>
        </w:tc>
        <w:tc>
          <w:tcPr>
            <w:tcW w:w="803" w:type="dxa"/>
            <w:vAlign w:val="center"/>
          </w:tcPr>
          <w:p>
            <w:pPr>
              <w:overflowPunct w:val="0"/>
              <w:jc w:val="center"/>
              <w:rPr>
                <w:rFonts w:ascii="宋体" w:cs="宋体"/>
                <w:bCs/>
                <w:szCs w:val="21"/>
                <w:highlight w:val="none"/>
              </w:rPr>
            </w:pPr>
          </w:p>
        </w:tc>
        <w:tc>
          <w:tcPr>
            <w:tcW w:w="1138" w:type="dxa"/>
            <w:vAlign w:val="center"/>
          </w:tcPr>
          <w:p>
            <w:pPr>
              <w:overflowPunct w:val="0"/>
              <w:jc w:val="center"/>
              <w:rPr>
                <w:rFonts w:ascii="宋体" w:cs="宋体"/>
                <w:bCs/>
                <w:szCs w:val="21"/>
                <w:highlight w:val="none"/>
              </w:rPr>
            </w:pPr>
          </w:p>
        </w:tc>
        <w:tc>
          <w:tcPr>
            <w:tcW w:w="2037" w:type="dxa"/>
            <w:vAlign w:val="center"/>
          </w:tcPr>
          <w:p>
            <w:pPr>
              <w:overflowPunct w:val="0"/>
              <w:jc w:val="center"/>
              <w:rPr>
                <w:rFonts w:ascii="宋体" w:cs="宋体"/>
                <w:bCs/>
                <w:szCs w:val="21"/>
                <w:highlight w:val="none"/>
              </w:rPr>
            </w:pPr>
          </w:p>
        </w:tc>
        <w:tc>
          <w:tcPr>
            <w:tcW w:w="973" w:type="dxa"/>
          </w:tcPr>
          <w:p>
            <w:pPr>
              <w:overflowPunct w:val="0"/>
              <w:jc w:val="center"/>
              <w:rPr>
                <w:rFonts w:asci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overflowPunct w:val="0"/>
              <w:jc w:val="center"/>
              <w:rPr>
                <w:rFonts w:ascii="宋体" w:cs="宋体"/>
                <w:bCs/>
                <w:szCs w:val="21"/>
                <w:highlight w:val="none"/>
              </w:rPr>
            </w:pPr>
          </w:p>
        </w:tc>
        <w:tc>
          <w:tcPr>
            <w:tcW w:w="2676" w:type="dxa"/>
            <w:vAlign w:val="center"/>
          </w:tcPr>
          <w:p>
            <w:pPr>
              <w:overflowPunct w:val="0"/>
              <w:jc w:val="center"/>
              <w:rPr>
                <w:rFonts w:ascii="宋体" w:cs="宋体"/>
                <w:bCs/>
                <w:szCs w:val="21"/>
                <w:highlight w:val="none"/>
              </w:rPr>
            </w:pPr>
          </w:p>
        </w:tc>
        <w:tc>
          <w:tcPr>
            <w:tcW w:w="803" w:type="dxa"/>
            <w:vAlign w:val="center"/>
          </w:tcPr>
          <w:p>
            <w:pPr>
              <w:overflowPunct w:val="0"/>
              <w:jc w:val="center"/>
              <w:rPr>
                <w:rFonts w:ascii="宋体" w:cs="宋体"/>
                <w:bCs/>
                <w:szCs w:val="21"/>
                <w:highlight w:val="none"/>
              </w:rPr>
            </w:pPr>
          </w:p>
        </w:tc>
        <w:tc>
          <w:tcPr>
            <w:tcW w:w="1138" w:type="dxa"/>
            <w:vAlign w:val="center"/>
          </w:tcPr>
          <w:p>
            <w:pPr>
              <w:overflowPunct w:val="0"/>
              <w:jc w:val="center"/>
              <w:rPr>
                <w:rFonts w:ascii="宋体" w:cs="宋体"/>
                <w:bCs/>
                <w:szCs w:val="21"/>
                <w:highlight w:val="none"/>
              </w:rPr>
            </w:pPr>
          </w:p>
        </w:tc>
        <w:tc>
          <w:tcPr>
            <w:tcW w:w="2037" w:type="dxa"/>
            <w:vAlign w:val="center"/>
          </w:tcPr>
          <w:p>
            <w:pPr>
              <w:overflowPunct w:val="0"/>
              <w:jc w:val="center"/>
              <w:rPr>
                <w:rFonts w:ascii="宋体" w:cs="宋体"/>
                <w:bCs/>
                <w:szCs w:val="21"/>
                <w:highlight w:val="none"/>
              </w:rPr>
            </w:pPr>
          </w:p>
        </w:tc>
        <w:tc>
          <w:tcPr>
            <w:tcW w:w="973" w:type="dxa"/>
          </w:tcPr>
          <w:p>
            <w:pPr>
              <w:overflowPunct w:val="0"/>
              <w:jc w:val="center"/>
              <w:rPr>
                <w:rFonts w:asci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overflowPunct w:val="0"/>
              <w:jc w:val="center"/>
              <w:rPr>
                <w:rFonts w:ascii="宋体" w:cs="宋体"/>
                <w:bCs/>
                <w:szCs w:val="21"/>
                <w:highlight w:val="none"/>
              </w:rPr>
            </w:pPr>
          </w:p>
        </w:tc>
        <w:tc>
          <w:tcPr>
            <w:tcW w:w="2676" w:type="dxa"/>
            <w:vAlign w:val="center"/>
          </w:tcPr>
          <w:p>
            <w:pPr>
              <w:overflowPunct w:val="0"/>
              <w:jc w:val="center"/>
              <w:rPr>
                <w:rFonts w:ascii="宋体" w:cs="宋体"/>
                <w:bCs/>
                <w:szCs w:val="21"/>
                <w:highlight w:val="none"/>
              </w:rPr>
            </w:pPr>
          </w:p>
        </w:tc>
        <w:tc>
          <w:tcPr>
            <w:tcW w:w="803" w:type="dxa"/>
            <w:vAlign w:val="center"/>
          </w:tcPr>
          <w:p>
            <w:pPr>
              <w:overflowPunct w:val="0"/>
              <w:jc w:val="center"/>
              <w:rPr>
                <w:rFonts w:ascii="宋体" w:cs="宋体"/>
                <w:bCs/>
                <w:szCs w:val="21"/>
                <w:highlight w:val="none"/>
              </w:rPr>
            </w:pPr>
          </w:p>
        </w:tc>
        <w:tc>
          <w:tcPr>
            <w:tcW w:w="1138" w:type="dxa"/>
            <w:vAlign w:val="center"/>
          </w:tcPr>
          <w:p>
            <w:pPr>
              <w:overflowPunct w:val="0"/>
              <w:jc w:val="center"/>
              <w:rPr>
                <w:rFonts w:ascii="宋体" w:cs="宋体"/>
                <w:bCs/>
                <w:szCs w:val="21"/>
                <w:highlight w:val="none"/>
              </w:rPr>
            </w:pPr>
          </w:p>
        </w:tc>
        <w:tc>
          <w:tcPr>
            <w:tcW w:w="2037" w:type="dxa"/>
            <w:vAlign w:val="center"/>
          </w:tcPr>
          <w:p>
            <w:pPr>
              <w:overflowPunct w:val="0"/>
              <w:jc w:val="center"/>
              <w:rPr>
                <w:rFonts w:ascii="宋体" w:cs="宋体"/>
                <w:bCs/>
                <w:szCs w:val="21"/>
                <w:highlight w:val="none"/>
              </w:rPr>
            </w:pPr>
          </w:p>
        </w:tc>
        <w:tc>
          <w:tcPr>
            <w:tcW w:w="973" w:type="dxa"/>
          </w:tcPr>
          <w:p>
            <w:pPr>
              <w:overflowPunct w:val="0"/>
              <w:jc w:val="center"/>
              <w:rPr>
                <w:rFonts w:asci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overflowPunct w:val="0"/>
              <w:jc w:val="center"/>
              <w:rPr>
                <w:rFonts w:ascii="宋体" w:cs="宋体"/>
                <w:bCs/>
                <w:szCs w:val="21"/>
                <w:highlight w:val="none"/>
              </w:rPr>
            </w:pPr>
          </w:p>
        </w:tc>
        <w:tc>
          <w:tcPr>
            <w:tcW w:w="2676" w:type="dxa"/>
            <w:vAlign w:val="center"/>
          </w:tcPr>
          <w:p>
            <w:pPr>
              <w:overflowPunct w:val="0"/>
              <w:jc w:val="center"/>
              <w:rPr>
                <w:rFonts w:ascii="宋体" w:cs="宋体"/>
                <w:bCs/>
                <w:szCs w:val="21"/>
                <w:highlight w:val="none"/>
              </w:rPr>
            </w:pPr>
          </w:p>
        </w:tc>
        <w:tc>
          <w:tcPr>
            <w:tcW w:w="803" w:type="dxa"/>
            <w:vAlign w:val="center"/>
          </w:tcPr>
          <w:p>
            <w:pPr>
              <w:overflowPunct w:val="0"/>
              <w:jc w:val="center"/>
              <w:rPr>
                <w:rFonts w:ascii="宋体" w:cs="宋体"/>
                <w:bCs/>
                <w:szCs w:val="21"/>
                <w:highlight w:val="none"/>
              </w:rPr>
            </w:pPr>
          </w:p>
        </w:tc>
        <w:tc>
          <w:tcPr>
            <w:tcW w:w="1138" w:type="dxa"/>
            <w:vAlign w:val="center"/>
          </w:tcPr>
          <w:p>
            <w:pPr>
              <w:overflowPunct w:val="0"/>
              <w:jc w:val="center"/>
              <w:rPr>
                <w:rFonts w:ascii="宋体" w:cs="宋体"/>
                <w:bCs/>
                <w:szCs w:val="21"/>
                <w:highlight w:val="none"/>
              </w:rPr>
            </w:pPr>
          </w:p>
        </w:tc>
        <w:tc>
          <w:tcPr>
            <w:tcW w:w="2037" w:type="dxa"/>
            <w:vAlign w:val="center"/>
          </w:tcPr>
          <w:p>
            <w:pPr>
              <w:overflowPunct w:val="0"/>
              <w:jc w:val="center"/>
              <w:rPr>
                <w:rFonts w:ascii="宋体" w:cs="宋体"/>
                <w:bCs/>
                <w:szCs w:val="21"/>
                <w:highlight w:val="none"/>
              </w:rPr>
            </w:pPr>
          </w:p>
        </w:tc>
        <w:tc>
          <w:tcPr>
            <w:tcW w:w="973" w:type="dxa"/>
          </w:tcPr>
          <w:p>
            <w:pPr>
              <w:overflowPunct w:val="0"/>
              <w:jc w:val="center"/>
              <w:rPr>
                <w:rFonts w:asci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overflowPunct w:val="0"/>
              <w:jc w:val="center"/>
              <w:rPr>
                <w:rFonts w:ascii="宋体" w:cs="宋体"/>
                <w:bCs/>
                <w:szCs w:val="21"/>
                <w:highlight w:val="none"/>
              </w:rPr>
            </w:pPr>
          </w:p>
        </w:tc>
        <w:tc>
          <w:tcPr>
            <w:tcW w:w="2676" w:type="dxa"/>
            <w:vAlign w:val="center"/>
          </w:tcPr>
          <w:p>
            <w:pPr>
              <w:overflowPunct w:val="0"/>
              <w:jc w:val="center"/>
              <w:rPr>
                <w:rFonts w:ascii="宋体" w:cs="宋体"/>
                <w:bCs/>
                <w:szCs w:val="21"/>
                <w:highlight w:val="none"/>
              </w:rPr>
            </w:pPr>
          </w:p>
        </w:tc>
        <w:tc>
          <w:tcPr>
            <w:tcW w:w="803" w:type="dxa"/>
            <w:vAlign w:val="center"/>
          </w:tcPr>
          <w:p>
            <w:pPr>
              <w:overflowPunct w:val="0"/>
              <w:jc w:val="center"/>
              <w:rPr>
                <w:rFonts w:ascii="宋体" w:cs="宋体"/>
                <w:bCs/>
                <w:szCs w:val="21"/>
                <w:highlight w:val="none"/>
              </w:rPr>
            </w:pPr>
          </w:p>
        </w:tc>
        <w:tc>
          <w:tcPr>
            <w:tcW w:w="1138" w:type="dxa"/>
            <w:vAlign w:val="center"/>
          </w:tcPr>
          <w:p>
            <w:pPr>
              <w:overflowPunct w:val="0"/>
              <w:jc w:val="center"/>
              <w:rPr>
                <w:rFonts w:ascii="宋体" w:cs="宋体"/>
                <w:bCs/>
                <w:szCs w:val="21"/>
                <w:highlight w:val="none"/>
              </w:rPr>
            </w:pPr>
          </w:p>
        </w:tc>
        <w:tc>
          <w:tcPr>
            <w:tcW w:w="2037" w:type="dxa"/>
            <w:vAlign w:val="center"/>
          </w:tcPr>
          <w:p>
            <w:pPr>
              <w:overflowPunct w:val="0"/>
              <w:jc w:val="center"/>
              <w:rPr>
                <w:rFonts w:ascii="宋体" w:cs="宋体"/>
                <w:bCs/>
                <w:szCs w:val="21"/>
                <w:highlight w:val="none"/>
              </w:rPr>
            </w:pPr>
          </w:p>
        </w:tc>
        <w:tc>
          <w:tcPr>
            <w:tcW w:w="973" w:type="dxa"/>
          </w:tcPr>
          <w:p>
            <w:pPr>
              <w:overflowPunct w:val="0"/>
              <w:jc w:val="center"/>
              <w:rPr>
                <w:rFonts w:asci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overflowPunct w:val="0"/>
              <w:jc w:val="center"/>
              <w:rPr>
                <w:rFonts w:ascii="宋体" w:cs="宋体"/>
                <w:bCs/>
                <w:szCs w:val="21"/>
                <w:highlight w:val="none"/>
              </w:rPr>
            </w:pPr>
          </w:p>
        </w:tc>
        <w:tc>
          <w:tcPr>
            <w:tcW w:w="2676" w:type="dxa"/>
            <w:vAlign w:val="center"/>
          </w:tcPr>
          <w:p>
            <w:pPr>
              <w:overflowPunct w:val="0"/>
              <w:jc w:val="center"/>
              <w:rPr>
                <w:rFonts w:ascii="宋体" w:cs="宋体"/>
                <w:bCs/>
                <w:szCs w:val="21"/>
                <w:highlight w:val="none"/>
              </w:rPr>
            </w:pPr>
          </w:p>
        </w:tc>
        <w:tc>
          <w:tcPr>
            <w:tcW w:w="803" w:type="dxa"/>
            <w:vAlign w:val="center"/>
          </w:tcPr>
          <w:p>
            <w:pPr>
              <w:overflowPunct w:val="0"/>
              <w:jc w:val="center"/>
              <w:rPr>
                <w:rFonts w:ascii="宋体" w:cs="宋体"/>
                <w:bCs/>
                <w:szCs w:val="21"/>
                <w:highlight w:val="none"/>
              </w:rPr>
            </w:pPr>
          </w:p>
        </w:tc>
        <w:tc>
          <w:tcPr>
            <w:tcW w:w="1138" w:type="dxa"/>
            <w:vAlign w:val="center"/>
          </w:tcPr>
          <w:p>
            <w:pPr>
              <w:overflowPunct w:val="0"/>
              <w:jc w:val="center"/>
              <w:rPr>
                <w:rFonts w:ascii="宋体" w:cs="宋体"/>
                <w:bCs/>
                <w:szCs w:val="21"/>
                <w:highlight w:val="none"/>
              </w:rPr>
            </w:pPr>
          </w:p>
        </w:tc>
        <w:tc>
          <w:tcPr>
            <w:tcW w:w="2037" w:type="dxa"/>
            <w:vAlign w:val="center"/>
          </w:tcPr>
          <w:p>
            <w:pPr>
              <w:overflowPunct w:val="0"/>
              <w:jc w:val="center"/>
              <w:rPr>
                <w:rFonts w:ascii="宋体" w:cs="宋体"/>
                <w:bCs/>
                <w:szCs w:val="21"/>
                <w:highlight w:val="none"/>
              </w:rPr>
            </w:pPr>
          </w:p>
        </w:tc>
        <w:tc>
          <w:tcPr>
            <w:tcW w:w="973" w:type="dxa"/>
          </w:tcPr>
          <w:p>
            <w:pPr>
              <w:overflowPunct w:val="0"/>
              <w:jc w:val="center"/>
              <w:rPr>
                <w:rFonts w:ascii="宋体" w:cs="宋体"/>
                <w:bCs/>
                <w:szCs w:val="21"/>
                <w:highlight w:val="none"/>
              </w:rPr>
            </w:pPr>
          </w:p>
        </w:tc>
      </w:tr>
    </w:tbl>
    <w:p>
      <w:pPr>
        <w:overflowPunct w:val="0"/>
        <w:spacing w:line="600" w:lineRule="atLeast"/>
        <w:ind w:firstLine="420" w:firstLineChars="200"/>
        <w:rPr>
          <w:rFonts w:ascii="宋体" w:cs="宋体"/>
          <w:szCs w:val="21"/>
          <w:highlight w:val="none"/>
        </w:rPr>
      </w:pPr>
    </w:p>
    <w:p>
      <w:pPr>
        <w:keepNext w:val="0"/>
        <w:keepLines w:val="0"/>
        <w:pageBreakBefore w:val="0"/>
        <w:widowControl w:val="0"/>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宋体"/>
          <w:bCs/>
          <w:kern w:val="0"/>
          <w:szCs w:val="21"/>
          <w:highlight w:val="none"/>
        </w:rPr>
      </w:pPr>
    </w:p>
    <w:p>
      <w:pPr>
        <w:keepNext w:val="0"/>
        <w:keepLines w:val="0"/>
        <w:pageBreakBefore w:val="0"/>
        <w:widowControl w:val="0"/>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宋体"/>
          <w:bCs/>
          <w:kern w:val="0"/>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pPr>
        <w:overflowPunct w:val="0"/>
        <w:spacing w:line="600" w:lineRule="atLeast"/>
        <w:ind w:firstLine="420" w:firstLineChars="200"/>
        <w:rPr>
          <w:rFonts w:ascii="宋体" w:cs="宋体"/>
          <w:szCs w:val="21"/>
          <w:highlight w:val="none"/>
        </w:rPr>
      </w:pPr>
      <w:r>
        <w:rPr>
          <w:rFonts w:ascii="宋体" w:hAnsi="宋体" w:cs="宋体"/>
          <w:szCs w:val="21"/>
          <w:highlight w:val="none"/>
        </w:rPr>
        <w:t xml:space="preserve">  </w:t>
      </w:r>
    </w:p>
    <w:p>
      <w:pPr>
        <w:overflowPunct w:val="0"/>
        <w:rPr>
          <w:rFonts w:ascii="宋体" w:cs="宋体"/>
          <w:szCs w:val="21"/>
          <w:highlight w:val="none"/>
        </w:rPr>
      </w:pPr>
    </w:p>
    <w:p>
      <w:pPr>
        <w:overflowPunct w:val="0"/>
        <w:rPr>
          <w:rFonts w:ascii="宋体" w:cs="宋体"/>
          <w:szCs w:val="21"/>
          <w:highlight w:val="none"/>
          <w:u w:val="single"/>
        </w:rPr>
      </w:pPr>
      <w:r>
        <w:rPr>
          <w:rFonts w:ascii="宋体" w:hAnsi="宋体" w:cs="宋体"/>
          <w:szCs w:val="21"/>
          <w:highlight w:val="none"/>
        </w:rPr>
        <w:t xml:space="preserve">               </w:t>
      </w:r>
    </w:p>
    <w:p>
      <w:pPr>
        <w:overflowPunct w:val="0"/>
        <w:autoSpaceDE w:val="0"/>
        <w:autoSpaceDN w:val="0"/>
        <w:snapToGrid w:val="0"/>
        <w:spacing w:line="420" w:lineRule="exact"/>
        <w:textAlignment w:val="bottom"/>
        <w:rPr>
          <w:rFonts w:ascii="宋体" w:cs="宋体"/>
          <w:szCs w:val="21"/>
          <w:highlight w:val="none"/>
        </w:rPr>
      </w:pPr>
    </w:p>
    <w:p>
      <w:pPr>
        <w:overflowPunct w:val="0"/>
        <w:autoSpaceDE w:val="0"/>
        <w:autoSpaceDN w:val="0"/>
        <w:snapToGrid w:val="0"/>
        <w:spacing w:line="420" w:lineRule="exact"/>
        <w:textAlignment w:val="bottom"/>
        <w:rPr>
          <w:rFonts w:ascii="宋体" w:cs="宋体"/>
          <w:szCs w:val="21"/>
          <w:highlight w:val="none"/>
        </w:rPr>
      </w:pPr>
    </w:p>
    <w:p>
      <w:pPr>
        <w:overflowPunct w:val="0"/>
        <w:autoSpaceDE w:val="0"/>
        <w:autoSpaceDN w:val="0"/>
        <w:snapToGrid w:val="0"/>
        <w:spacing w:line="420" w:lineRule="exact"/>
        <w:textAlignment w:val="bottom"/>
        <w:rPr>
          <w:rFonts w:ascii="宋体" w:cs="宋体"/>
          <w:szCs w:val="21"/>
          <w:highlight w:val="none"/>
        </w:rPr>
      </w:pPr>
    </w:p>
    <w:p>
      <w:pPr>
        <w:overflowPunct w:val="0"/>
        <w:autoSpaceDE w:val="0"/>
        <w:autoSpaceDN w:val="0"/>
        <w:snapToGrid w:val="0"/>
        <w:spacing w:line="420" w:lineRule="exact"/>
        <w:textAlignment w:val="bottom"/>
        <w:rPr>
          <w:rFonts w:ascii="宋体" w:cs="宋体"/>
          <w:szCs w:val="21"/>
          <w:highlight w:val="none"/>
        </w:rPr>
      </w:pPr>
    </w:p>
    <w:p>
      <w:pPr>
        <w:overflowPunct w:val="0"/>
        <w:autoSpaceDE w:val="0"/>
        <w:autoSpaceDN w:val="0"/>
        <w:snapToGrid w:val="0"/>
        <w:spacing w:line="420" w:lineRule="exact"/>
        <w:textAlignment w:val="bottom"/>
        <w:rPr>
          <w:rFonts w:ascii="宋体" w:cs="宋体"/>
          <w:szCs w:val="21"/>
          <w:highlight w:val="none"/>
        </w:rPr>
      </w:pPr>
    </w:p>
    <w:p>
      <w:pPr>
        <w:overflowPunct w:val="0"/>
        <w:autoSpaceDE w:val="0"/>
        <w:autoSpaceDN w:val="0"/>
        <w:snapToGrid w:val="0"/>
        <w:spacing w:line="420" w:lineRule="exact"/>
        <w:textAlignment w:val="bottom"/>
        <w:rPr>
          <w:rFonts w:ascii="宋体" w:cs="宋体"/>
          <w:szCs w:val="21"/>
          <w:highlight w:val="none"/>
        </w:rPr>
      </w:pPr>
    </w:p>
    <w:p>
      <w:pPr>
        <w:overflowPunct w:val="0"/>
        <w:autoSpaceDE w:val="0"/>
        <w:autoSpaceDN w:val="0"/>
        <w:snapToGrid w:val="0"/>
        <w:spacing w:line="420" w:lineRule="exact"/>
        <w:textAlignment w:val="bottom"/>
        <w:rPr>
          <w:rFonts w:ascii="宋体" w:cs="宋体"/>
          <w:szCs w:val="21"/>
          <w:highlight w:val="none"/>
        </w:rPr>
      </w:pPr>
    </w:p>
    <w:p>
      <w:pPr>
        <w:overflowPunct w:val="0"/>
        <w:autoSpaceDE w:val="0"/>
        <w:autoSpaceDN w:val="0"/>
        <w:snapToGrid w:val="0"/>
        <w:spacing w:line="420" w:lineRule="exact"/>
        <w:textAlignment w:val="bottom"/>
        <w:rPr>
          <w:rFonts w:ascii="宋体" w:cs="宋体"/>
          <w:szCs w:val="21"/>
          <w:highlight w:val="none"/>
        </w:rPr>
      </w:pPr>
    </w:p>
    <w:p>
      <w:pPr>
        <w:overflowPunct w:val="0"/>
        <w:autoSpaceDE w:val="0"/>
        <w:autoSpaceDN w:val="0"/>
        <w:snapToGrid w:val="0"/>
        <w:spacing w:line="420" w:lineRule="exact"/>
        <w:textAlignment w:val="bottom"/>
        <w:rPr>
          <w:rFonts w:ascii="宋体" w:cs="宋体"/>
          <w:szCs w:val="21"/>
          <w:highlight w:val="none"/>
        </w:rPr>
      </w:pPr>
    </w:p>
    <w:p>
      <w:pPr>
        <w:overflowPunct w:val="0"/>
        <w:autoSpaceDE w:val="0"/>
        <w:autoSpaceDN w:val="0"/>
        <w:snapToGrid w:val="0"/>
        <w:spacing w:line="420" w:lineRule="exact"/>
        <w:textAlignment w:val="bottom"/>
        <w:rPr>
          <w:rFonts w:ascii="宋体" w:cs="宋体"/>
          <w:szCs w:val="21"/>
          <w:highlight w:val="none"/>
        </w:rPr>
      </w:pPr>
    </w:p>
    <w:p>
      <w:pPr>
        <w:overflowPunct w:val="0"/>
        <w:spacing w:line="400" w:lineRule="exact"/>
        <w:jc w:val="left"/>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lang w:val="en-US" w:eastAsia="zh-CN"/>
        </w:rPr>
        <w:t>0</w:t>
      </w:r>
      <w:r>
        <w:rPr>
          <w:rFonts w:hint="eastAsia" w:ascii="宋体" w:hAnsi="宋体" w:cs="宋体"/>
          <w:sz w:val="28"/>
          <w:szCs w:val="28"/>
          <w:highlight w:val="none"/>
        </w:rPr>
        <w:t>、商务响应表</w:t>
      </w:r>
    </w:p>
    <w:p>
      <w:pPr>
        <w:overflowPunct w:val="0"/>
        <w:spacing w:line="360" w:lineRule="auto"/>
        <w:jc w:val="center"/>
        <w:rPr>
          <w:rFonts w:ascii="宋体" w:cs="宋体"/>
          <w:bCs/>
          <w:sz w:val="28"/>
          <w:szCs w:val="28"/>
          <w:highlight w:val="none"/>
        </w:rPr>
      </w:pPr>
      <w:r>
        <w:rPr>
          <w:rFonts w:hint="eastAsia" w:ascii="宋体" w:hAnsi="宋体" w:cs="宋体"/>
          <w:bCs/>
          <w:sz w:val="28"/>
          <w:szCs w:val="28"/>
          <w:highlight w:val="none"/>
        </w:rPr>
        <w:t>商务响应表</w:t>
      </w:r>
    </w:p>
    <w:tbl>
      <w:tblPr>
        <w:tblStyle w:val="26"/>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22"/>
        <w:gridCol w:w="2348"/>
        <w:gridCol w:w="2162"/>
        <w:gridCol w:w="1085"/>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overflowPunct w:val="0"/>
              <w:spacing w:line="360" w:lineRule="exact"/>
              <w:jc w:val="center"/>
              <w:rPr>
                <w:rFonts w:ascii="宋体" w:cs="宋体"/>
                <w:szCs w:val="21"/>
                <w:highlight w:val="none"/>
              </w:rPr>
            </w:pPr>
            <w:r>
              <w:rPr>
                <w:rFonts w:hint="eastAsia" w:ascii="宋体" w:hAnsi="宋体" w:cs="宋体"/>
                <w:szCs w:val="21"/>
                <w:highlight w:val="none"/>
              </w:rPr>
              <w:t>序号</w:t>
            </w:r>
          </w:p>
        </w:tc>
        <w:tc>
          <w:tcPr>
            <w:tcW w:w="1522" w:type="dxa"/>
            <w:vAlign w:val="center"/>
          </w:tcPr>
          <w:p>
            <w:pPr>
              <w:overflowPunct w:val="0"/>
              <w:spacing w:line="360" w:lineRule="exact"/>
              <w:jc w:val="center"/>
              <w:rPr>
                <w:rFonts w:ascii="宋体" w:cs="宋体"/>
                <w:szCs w:val="21"/>
                <w:highlight w:val="none"/>
              </w:rPr>
            </w:pPr>
            <w:r>
              <w:rPr>
                <w:rFonts w:hint="eastAsia" w:ascii="宋体" w:hAnsi="宋体" w:cs="宋体"/>
                <w:szCs w:val="21"/>
                <w:highlight w:val="none"/>
              </w:rPr>
              <w:t>内容</w:t>
            </w:r>
          </w:p>
        </w:tc>
        <w:tc>
          <w:tcPr>
            <w:tcW w:w="2348" w:type="dxa"/>
            <w:vAlign w:val="center"/>
          </w:tcPr>
          <w:p>
            <w:pPr>
              <w:overflowPunct w:val="0"/>
              <w:spacing w:line="360" w:lineRule="exact"/>
              <w:jc w:val="center"/>
              <w:rPr>
                <w:rFonts w:ascii="宋体" w:cs="宋体"/>
                <w:szCs w:val="21"/>
                <w:highlight w:val="none"/>
              </w:rPr>
            </w:pPr>
            <w:r>
              <w:rPr>
                <w:rFonts w:hint="eastAsia" w:ascii="宋体" w:hAnsi="宋体" w:cs="宋体"/>
                <w:szCs w:val="21"/>
                <w:highlight w:val="none"/>
              </w:rPr>
              <w:t>磋商文件规范要求</w:t>
            </w:r>
          </w:p>
        </w:tc>
        <w:tc>
          <w:tcPr>
            <w:tcW w:w="2162" w:type="dxa"/>
            <w:vAlign w:val="center"/>
          </w:tcPr>
          <w:p>
            <w:pPr>
              <w:overflowPunct w:val="0"/>
              <w:spacing w:line="360" w:lineRule="exact"/>
              <w:jc w:val="center"/>
              <w:rPr>
                <w:rFonts w:ascii="宋体" w:cs="宋体"/>
                <w:szCs w:val="21"/>
                <w:highlight w:val="none"/>
              </w:rPr>
            </w:pPr>
            <w:r>
              <w:rPr>
                <w:rFonts w:hint="eastAsia" w:ascii="宋体" w:hAnsi="宋体" w:cs="宋体"/>
                <w:szCs w:val="21"/>
                <w:highlight w:val="none"/>
              </w:rPr>
              <w:t>响应文件对应规范</w:t>
            </w:r>
          </w:p>
        </w:tc>
        <w:tc>
          <w:tcPr>
            <w:tcW w:w="1085" w:type="dxa"/>
            <w:vAlign w:val="center"/>
          </w:tcPr>
          <w:p>
            <w:pPr>
              <w:overflowPunct w:val="0"/>
              <w:spacing w:line="360" w:lineRule="exact"/>
              <w:jc w:val="center"/>
              <w:rPr>
                <w:rFonts w:ascii="宋体" w:cs="宋体"/>
                <w:b/>
                <w:highlight w:val="none"/>
              </w:rPr>
            </w:pPr>
            <w:r>
              <w:rPr>
                <w:rFonts w:hint="eastAsia" w:ascii="宋体" w:hAnsi="宋体" w:cs="宋体"/>
                <w:szCs w:val="21"/>
                <w:highlight w:val="none"/>
              </w:rPr>
              <w:t>偏离情况</w:t>
            </w:r>
          </w:p>
        </w:tc>
        <w:tc>
          <w:tcPr>
            <w:tcW w:w="1113" w:type="dxa"/>
            <w:vAlign w:val="center"/>
          </w:tcPr>
          <w:p>
            <w:pPr>
              <w:overflowPunct w:val="0"/>
              <w:spacing w:line="360" w:lineRule="exact"/>
              <w:jc w:val="center"/>
              <w:rPr>
                <w:rFonts w:ascii="宋体" w:cs="宋体"/>
                <w:b/>
                <w:highlight w:val="none"/>
              </w:rPr>
            </w:pPr>
            <w:r>
              <w:rPr>
                <w:rFonts w:hint="eastAsia" w:ascii="宋体" w:hAnsi="宋体" w:cs="宋体"/>
                <w:szCs w:val="21"/>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pPr>
              <w:overflowPunct w:val="0"/>
              <w:spacing w:line="360" w:lineRule="auto"/>
              <w:jc w:val="center"/>
              <w:rPr>
                <w:rFonts w:ascii="宋体" w:cs="宋体"/>
                <w:highlight w:val="none"/>
              </w:rPr>
            </w:pPr>
            <w:r>
              <w:rPr>
                <w:rFonts w:ascii="宋体" w:hAnsi="宋体" w:cs="宋体"/>
                <w:highlight w:val="none"/>
              </w:rPr>
              <w:t>1</w:t>
            </w:r>
          </w:p>
        </w:tc>
        <w:tc>
          <w:tcPr>
            <w:tcW w:w="1522" w:type="dxa"/>
            <w:vAlign w:val="center"/>
          </w:tcPr>
          <w:p>
            <w:pPr>
              <w:overflowPunct w:val="0"/>
              <w:spacing w:line="360" w:lineRule="auto"/>
              <w:jc w:val="left"/>
              <w:rPr>
                <w:rFonts w:ascii="宋体" w:cs="宋体"/>
                <w:bCs/>
                <w:highlight w:val="none"/>
              </w:rPr>
            </w:pPr>
          </w:p>
        </w:tc>
        <w:tc>
          <w:tcPr>
            <w:tcW w:w="2348" w:type="dxa"/>
          </w:tcPr>
          <w:p>
            <w:pPr>
              <w:overflowPunct w:val="0"/>
              <w:spacing w:line="360" w:lineRule="auto"/>
              <w:ind w:firstLine="420" w:firstLineChars="200"/>
              <w:rPr>
                <w:rFonts w:ascii="宋体" w:cs="宋体"/>
                <w:highlight w:val="none"/>
              </w:rPr>
            </w:pPr>
          </w:p>
        </w:tc>
        <w:tc>
          <w:tcPr>
            <w:tcW w:w="2162" w:type="dxa"/>
          </w:tcPr>
          <w:p>
            <w:pPr>
              <w:overflowPunct w:val="0"/>
              <w:spacing w:line="360" w:lineRule="auto"/>
              <w:ind w:firstLine="420" w:firstLineChars="200"/>
              <w:rPr>
                <w:rFonts w:ascii="宋体" w:cs="宋体"/>
                <w:highlight w:val="none"/>
              </w:rPr>
            </w:pPr>
          </w:p>
        </w:tc>
        <w:tc>
          <w:tcPr>
            <w:tcW w:w="1085" w:type="dxa"/>
          </w:tcPr>
          <w:p>
            <w:pPr>
              <w:overflowPunct w:val="0"/>
              <w:spacing w:line="360" w:lineRule="auto"/>
              <w:ind w:firstLine="420" w:firstLineChars="200"/>
              <w:rPr>
                <w:rFonts w:ascii="宋体" w:cs="宋体"/>
                <w:highlight w:val="none"/>
              </w:rPr>
            </w:pPr>
          </w:p>
        </w:tc>
        <w:tc>
          <w:tcPr>
            <w:tcW w:w="1113" w:type="dxa"/>
          </w:tcPr>
          <w:p>
            <w:pPr>
              <w:overflowPunct w:val="0"/>
              <w:spacing w:line="360" w:lineRule="auto"/>
              <w:ind w:firstLine="420" w:firstLineChars="20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pPr>
              <w:overflowPunct w:val="0"/>
              <w:spacing w:line="360" w:lineRule="auto"/>
              <w:jc w:val="center"/>
              <w:rPr>
                <w:rFonts w:ascii="宋体" w:cs="宋体"/>
                <w:highlight w:val="none"/>
              </w:rPr>
            </w:pPr>
            <w:r>
              <w:rPr>
                <w:rFonts w:ascii="宋体" w:hAnsi="宋体" w:cs="宋体"/>
                <w:highlight w:val="none"/>
              </w:rPr>
              <w:t>2</w:t>
            </w:r>
          </w:p>
        </w:tc>
        <w:tc>
          <w:tcPr>
            <w:tcW w:w="1522" w:type="dxa"/>
            <w:vAlign w:val="center"/>
          </w:tcPr>
          <w:p>
            <w:pPr>
              <w:overflowPunct w:val="0"/>
              <w:spacing w:line="360" w:lineRule="auto"/>
              <w:jc w:val="left"/>
              <w:rPr>
                <w:rFonts w:ascii="宋体" w:cs="宋体"/>
                <w:bCs/>
                <w:highlight w:val="none"/>
              </w:rPr>
            </w:pPr>
          </w:p>
        </w:tc>
        <w:tc>
          <w:tcPr>
            <w:tcW w:w="2348" w:type="dxa"/>
          </w:tcPr>
          <w:p>
            <w:pPr>
              <w:overflowPunct w:val="0"/>
              <w:spacing w:line="360" w:lineRule="auto"/>
              <w:ind w:firstLine="420" w:firstLineChars="200"/>
              <w:rPr>
                <w:rFonts w:ascii="宋体" w:cs="宋体"/>
                <w:highlight w:val="none"/>
              </w:rPr>
            </w:pPr>
          </w:p>
        </w:tc>
        <w:tc>
          <w:tcPr>
            <w:tcW w:w="2162" w:type="dxa"/>
          </w:tcPr>
          <w:p>
            <w:pPr>
              <w:overflowPunct w:val="0"/>
              <w:spacing w:line="360" w:lineRule="auto"/>
              <w:ind w:firstLine="420" w:firstLineChars="200"/>
              <w:rPr>
                <w:rFonts w:ascii="宋体" w:cs="宋体"/>
                <w:highlight w:val="none"/>
              </w:rPr>
            </w:pPr>
          </w:p>
        </w:tc>
        <w:tc>
          <w:tcPr>
            <w:tcW w:w="1085" w:type="dxa"/>
          </w:tcPr>
          <w:p>
            <w:pPr>
              <w:overflowPunct w:val="0"/>
              <w:spacing w:line="360" w:lineRule="auto"/>
              <w:ind w:firstLine="420" w:firstLineChars="200"/>
              <w:rPr>
                <w:rFonts w:ascii="宋体" w:cs="宋体"/>
                <w:highlight w:val="none"/>
              </w:rPr>
            </w:pPr>
          </w:p>
        </w:tc>
        <w:tc>
          <w:tcPr>
            <w:tcW w:w="1113" w:type="dxa"/>
          </w:tcPr>
          <w:p>
            <w:pPr>
              <w:overflowPunct w:val="0"/>
              <w:spacing w:line="360" w:lineRule="auto"/>
              <w:ind w:firstLine="420" w:firstLineChars="20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pPr>
              <w:overflowPunct w:val="0"/>
              <w:spacing w:line="360" w:lineRule="auto"/>
              <w:jc w:val="center"/>
              <w:rPr>
                <w:rFonts w:ascii="宋体" w:cs="宋体"/>
                <w:highlight w:val="none"/>
              </w:rPr>
            </w:pPr>
            <w:r>
              <w:rPr>
                <w:rFonts w:ascii="宋体" w:hAnsi="宋体" w:cs="宋体"/>
                <w:highlight w:val="none"/>
              </w:rPr>
              <w:t>3</w:t>
            </w:r>
          </w:p>
        </w:tc>
        <w:tc>
          <w:tcPr>
            <w:tcW w:w="1522" w:type="dxa"/>
            <w:vAlign w:val="center"/>
          </w:tcPr>
          <w:p>
            <w:pPr>
              <w:overflowPunct w:val="0"/>
              <w:spacing w:line="360" w:lineRule="auto"/>
              <w:jc w:val="left"/>
              <w:rPr>
                <w:rFonts w:ascii="宋体" w:cs="宋体"/>
                <w:bCs/>
                <w:highlight w:val="none"/>
              </w:rPr>
            </w:pPr>
          </w:p>
        </w:tc>
        <w:tc>
          <w:tcPr>
            <w:tcW w:w="2348" w:type="dxa"/>
          </w:tcPr>
          <w:p>
            <w:pPr>
              <w:overflowPunct w:val="0"/>
              <w:spacing w:line="360" w:lineRule="auto"/>
              <w:ind w:firstLine="420" w:firstLineChars="200"/>
              <w:rPr>
                <w:rFonts w:ascii="宋体" w:cs="宋体"/>
                <w:highlight w:val="none"/>
              </w:rPr>
            </w:pPr>
          </w:p>
        </w:tc>
        <w:tc>
          <w:tcPr>
            <w:tcW w:w="2162" w:type="dxa"/>
          </w:tcPr>
          <w:p>
            <w:pPr>
              <w:overflowPunct w:val="0"/>
              <w:spacing w:line="360" w:lineRule="auto"/>
              <w:ind w:firstLine="420" w:firstLineChars="200"/>
              <w:rPr>
                <w:rFonts w:ascii="宋体" w:cs="宋体"/>
                <w:highlight w:val="none"/>
              </w:rPr>
            </w:pPr>
          </w:p>
        </w:tc>
        <w:tc>
          <w:tcPr>
            <w:tcW w:w="1085" w:type="dxa"/>
          </w:tcPr>
          <w:p>
            <w:pPr>
              <w:overflowPunct w:val="0"/>
              <w:spacing w:line="360" w:lineRule="auto"/>
              <w:ind w:firstLine="420" w:firstLineChars="200"/>
              <w:rPr>
                <w:rFonts w:ascii="宋体" w:cs="宋体"/>
                <w:highlight w:val="none"/>
              </w:rPr>
            </w:pPr>
          </w:p>
        </w:tc>
        <w:tc>
          <w:tcPr>
            <w:tcW w:w="1113" w:type="dxa"/>
          </w:tcPr>
          <w:p>
            <w:pPr>
              <w:overflowPunct w:val="0"/>
              <w:spacing w:line="360" w:lineRule="auto"/>
              <w:ind w:firstLine="420" w:firstLineChars="20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pPr>
              <w:overflowPunct w:val="0"/>
              <w:spacing w:line="360" w:lineRule="auto"/>
              <w:jc w:val="center"/>
              <w:rPr>
                <w:rFonts w:ascii="宋体" w:cs="宋体"/>
                <w:highlight w:val="none"/>
              </w:rPr>
            </w:pPr>
            <w:r>
              <w:rPr>
                <w:rFonts w:ascii="宋体" w:hAnsi="宋体" w:cs="宋体"/>
                <w:highlight w:val="none"/>
              </w:rPr>
              <w:t>4</w:t>
            </w:r>
          </w:p>
        </w:tc>
        <w:tc>
          <w:tcPr>
            <w:tcW w:w="1522" w:type="dxa"/>
            <w:vAlign w:val="center"/>
          </w:tcPr>
          <w:p>
            <w:pPr>
              <w:overflowPunct w:val="0"/>
              <w:spacing w:line="360" w:lineRule="auto"/>
              <w:jc w:val="left"/>
              <w:rPr>
                <w:rFonts w:ascii="宋体" w:cs="宋体"/>
                <w:bCs/>
                <w:highlight w:val="none"/>
              </w:rPr>
            </w:pPr>
          </w:p>
        </w:tc>
        <w:tc>
          <w:tcPr>
            <w:tcW w:w="2348" w:type="dxa"/>
          </w:tcPr>
          <w:p>
            <w:pPr>
              <w:overflowPunct w:val="0"/>
              <w:spacing w:line="360" w:lineRule="auto"/>
              <w:ind w:firstLine="420" w:firstLineChars="200"/>
              <w:rPr>
                <w:rFonts w:ascii="宋体" w:cs="宋体"/>
                <w:highlight w:val="none"/>
              </w:rPr>
            </w:pPr>
          </w:p>
        </w:tc>
        <w:tc>
          <w:tcPr>
            <w:tcW w:w="2162" w:type="dxa"/>
          </w:tcPr>
          <w:p>
            <w:pPr>
              <w:overflowPunct w:val="0"/>
              <w:spacing w:line="360" w:lineRule="auto"/>
              <w:ind w:firstLine="420" w:firstLineChars="200"/>
              <w:rPr>
                <w:rFonts w:ascii="宋体" w:cs="宋体"/>
                <w:highlight w:val="none"/>
              </w:rPr>
            </w:pPr>
          </w:p>
        </w:tc>
        <w:tc>
          <w:tcPr>
            <w:tcW w:w="1085" w:type="dxa"/>
          </w:tcPr>
          <w:p>
            <w:pPr>
              <w:overflowPunct w:val="0"/>
              <w:spacing w:line="360" w:lineRule="auto"/>
              <w:ind w:firstLine="420" w:firstLineChars="200"/>
              <w:rPr>
                <w:rFonts w:ascii="宋体" w:cs="宋体"/>
                <w:highlight w:val="none"/>
              </w:rPr>
            </w:pPr>
          </w:p>
        </w:tc>
        <w:tc>
          <w:tcPr>
            <w:tcW w:w="1113" w:type="dxa"/>
          </w:tcPr>
          <w:p>
            <w:pPr>
              <w:overflowPunct w:val="0"/>
              <w:spacing w:line="360" w:lineRule="auto"/>
              <w:ind w:firstLine="420" w:firstLineChars="20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pPr>
              <w:overflowPunct w:val="0"/>
              <w:spacing w:line="360" w:lineRule="auto"/>
              <w:ind w:firstLine="420" w:firstLineChars="200"/>
              <w:rPr>
                <w:rFonts w:ascii="宋体" w:cs="宋体"/>
                <w:highlight w:val="none"/>
              </w:rPr>
            </w:pPr>
          </w:p>
        </w:tc>
        <w:tc>
          <w:tcPr>
            <w:tcW w:w="1522" w:type="dxa"/>
          </w:tcPr>
          <w:p>
            <w:pPr>
              <w:overflowPunct w:val="0"/>
              <w:spacing w:line="360" w:lineRule="auto"/>
              <w:ind w:firstLine="420" w:firstLineChars="200"/>
              <w:rPr>
                <w:rFonts w:ascii="宋体" w:cs="宋体"/>
                <w:highlight w:val="none"/>
              </w:rPr>
            </w:pPr>
          </w:p>
        </w:tc>
        <w:tc>
          <w:tcPr>
            <w:tcW w:w="2348" w:type="dxa"/>
          </w:tcPr>
          <w:p>
            <w:pPr>
              <w:overflowPunct w:val="0"/>
              <w:spacing w:line="360" w:lineRule="auto"/>
              <w:ind w:firstLine="420" w:firstLineChars="200"/>
              <w:rPr>
                <w:rFonts w:ascii="宋体" w:cs="宋体"/>
                <w:highlight w:val="none"/>
              </w:rPr>
            </w:pPr>
          </w:p>
        </w:tc>
        <w:tc>
          <w:tcPr>
            <w:tcW w:w="2162" w:type="dxa"/>
          </w:tcPr>
          <w:p>
            <w:pPr>
              <w:overflowPunct w:val="0"/>
              <w:spacing w:line="360" w:lineRule="auto"/>
              <w:ind w:firstLine="420" w:firstLineChars="200"/>
              <w:rPr>
                <w:rFonts w:ascii="宋体" w:cs="宋体"/>
                <w:highlight w:val="none"/>
              </w:rPr>
            </w:pPr>
          </w:p>
        </w:tc>
        <w:tc>
          <w:tcPr>
            <w:tcW w:w="1085" w:type="dxa"/>
          </w:tcPr>
          <w:p>
            <w:pPr>
              <w:overflowPunct w:val="0"/>
              <w:spacing w:line="360" w:lineRule="auto"/>
              <w:ind w:firstLine="420" w:firstLineChars="200"/>
              <w:rPr>
                <w:rFonts w:ascii="宋体" w:cs="宋体"/>
                <w:highlight w:val="none"/>
              </w:rPr>
            </w:pPr>
          </w:p>
        </w:tc>
        <w:tc>
          <w:tcPr>
            <w:tcW w:w="1113" w:type="dxa"/>
          </w:tcPr>
          <w:p>
            <w:pPr>
              <w:overflowPunct w:val="0"/>
              <w:spacing w:line="360" w:lineRule="auto"/>
              <w:ind w:firstLine="420" w:firstLineChars="200"/>
              <w:rPr>
                <w:rFonts w:ascii="宋体" w:cs="宋体"/>
                <w:highlight w:val="none"/>
              </w:rPr>
            </w:pPr>
          </w:p>
        </w:tc>
      </w:tr>
    </w:tbl>
    <w:p>
      <w:pPr>
        <w:overflowPunct w:val="0"/>
        <w:spacing w:line="340" w:lineRule="exact"/>
        <w:ind w:firstLine="420" w:firstLineChars="200"/>
        <w:rPr>
          <w:rFonts w:ascii="宋体" w:cs="宋体"/>
          <w:highlight w:val="none"/>
        </w:rPr>
      </w:pPr>
      <w:r>
        <w:rPr>
          <w:rFonts w:ascii="宋体" w:hAnsi="宋体" w:cs="宋体"/>
          <w:highlight w:val="none"/>
        </w:rPr>
        <w:t xml:space="preserve"> </w:t>
      </w:r>
    </w:p>
    <w:p>
      <w:pPr>
        <w:keepNext w:val="0"/>
        <w:keepLines w:val="0"/>
        <w:pageBreakBefore w:val="0"/>
        <w:widowControl w:val="0"/>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宋体"/>
          <w:bCs/>
          <w:kern w:val="0"/>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pPr>
        <w:overflowPunct w:val="0"/>
        <w:rPr>
          <w:rFonts w:ascii="宋体" w:cs="宋体"/>
          <w:sz w:val="24"/>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宋体" w:cs="宋体"/>
          <w:szCs w:val="21"/>
          <w:highlight w:val="none"/>
        </w:rPr>
      </w:pPr>
      <w:r>
        <w:rPr>
          <w:rFonts w:hint="eastAsia" w:ascii="宋体" w:hAnsi="宋体" w:cs="宋体"/>
          <w:szCs w:val="21"/>
          <w:highlight w:val="none"/>
        </w:rPr>
        <w:t>注：</w:t>
      </w:r>
      <w:r>
        <w:rPr>
          <w:rFonts w:ascii="宋体" w:hAnsi="宋体" w:cs="宋体"/>
          <w:szCs w:val="21"/>
          <w:highlight w:val="none"/>
        </w:rPr>
        <w:t>1</w:t>
      </w:r>
      <w:r>
        <w:rPr>
          <w:rFonts w:hint="eastAsia" w:ascii="宋体" w:hAnsi="宋体" w:cs="宋体"/>
          <w:szCs w:val="21"/>
          <w:highlight w:val="none"/>
        </w:rPr>
        <w:t>、本表格为</w:t>
      </w:r>
      <w:r>
        <w:rPr>
          <w:rFonts w:hint="eastAsia" w:ascii="宋体" w:hAnsi="宋体" w:cs="宋体"/>
          <w:bCs/>
          <w:szCs w:val="21"/>
          <w:highlight w:val="none"/>
        </w:rPr>
        <w:t>商务要求中除报价以外的其他要求，</w:t>
      </w:r>
      <w:r>
        <w:rPr>
          <w:rFonts w:hint="eastAsia" w:ascii="宋体" w:hAnsi="宋体" w:cs="宋体"/>
          <w:szCs w:val="21"/>
          <w:highlight w:val="none"/>
        </w:rPr>
        <w:t>此表可在不改变格式的情况下可自行制作。</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ascii="宋体" w:cs="宋体"/>
          <w:highlight w:val="none"/>
        </w:rPr>
      </w:pPr>
      <w:r>
        <w:rPr>
          <w:rFonts w:ascii="宋体" w:hAnsi="宋体" w:cs="宋体"/>
          <w:szCs w:val="21"/>
          <w:highlight w:val="none"/>
        </w:rPr>
        <w:t>2</w:t>
      </w:r>
      <w:r>
        <w:rPr>
          <w:rFonts w:hint="eastAsia" w:ascii="宋体" w:hAnsi="宋体" w:cs="宋体"/>
          <w:szCs w:val="21"/>
          <w:highlight w:val="none"/>
        </w:rPr>
        <w:t>、在“偏离情况”栏注明“正偏离”、“负偏离”或“无偏离”。行数可视情况自行添加。不填写视同完全响应磋商文件要求。</w:t>
      </w:r>
    </w:p>
    <w:p>
      <w:pPr>
        <w:overflowPunct w:val="0"/>
        <w:autoSpaceDE w:val="0"/>
        <w:autoSpaceDN w:val="0"/>
        <w:snapToGrid w:val="0"/>
        <w:spacing w:line="420" w:lineRule="exact"/>
        <w:textAlignment w:val="bottom"/>
        <w:rPr>
          <w:rFonts w:ascii="宋体" w:cs="宋体"/>
          <w:szCs w:val="21"/>
          <w:highlight w:val="none"/>
        </w:rPr>
      </w:pPr>
    </w:p>
    <w:p>
      <w:pPr>
        <w:overflowPunct w:val="0"/>
        <w:autoSpaceDE w:val="0"/>
        <w:autoSpaceDN w:val="0"/>
        <w:snapToGrid w:val="0"/>
        <w:spacing w:line="420" w:lineRule="exact"/>
        <w:textAlignment w:val="bottom"/>
        <w:rPr>
          <w:rFonts w:ascii="宋体" w:cs="宋体"/>
          <w:szCs w:val="21"/>
          <w:highlight w:val="none"/>
        </w:rPr>
      </w:pPr>
    </w:p>
    <w:p>
      <w:pPr>
        <w:overflowPunct w:val="0"/>
        <w:autoSpaceDE w:val="0"/>
        <w:autoSpaceDN w:val="0"/>
        <w:snapToGrid w:val="0"/>
        <w:spacing w:line="420" w:lineRule="exact"/>
        <w:textAlignment w:val="bottom"/>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keepNext w:val="0"/>
        <w:keepLines w:val="0"/>
        <w:widowControl w:val="0"/>
        <w:kinsoku/>
        <w:wordWrap/>
        <w:topLinePunct w:val="0"/>
        <w:bidi w:val="0"/>
        <w:adjustRightInd w:val="0"/>
        <w:snapToGrid w:val="0"/>
        <w:spacing w:before="120" w:beforeLines="50" w:after="120" w:afterLines="50" w:line="500" w:lineRule="exact"/>
        <w:rPr>
          <w:rFonts w:hint="eastAsia" w:ascii="宋体" w:hAnsi="宋体"/>
          <w:b w:val="0"/>
          <w:bCs/>
          <w:sz w:val="28"/>
          <w:szCs w:val="28"/>
          <w:highlight w:val="none"/>
        </w:rPr>
      </w:pPr>
      <w:r>
        <w:rPr>
          <w:rFonts w:hint="eastAsia" w:ascii="宋体" w:hAnsi="宋体"/>
          <w:b w:val="0"/>
          <w:bCs/>
          <w:sz w:val="28"/>
          <w:szCs w:val="28"/>
          <w:highlight w:val="none"/>
          <w:lang w:val="en-US" w:eastAsia="zh-CN"/>
        </w:rPr>
        <w:t>11</w:t>
      </w:r>
      <w:r>
        <w:rPr>
          <w:rFonts w:hint="eastAsia" w:ascii="宋体" w:hAnsi="宋体"/>
          <w:b w:val="0"/>
          <w:bCs/>
          <w:sz w:val="28"/>
          <w:szCs w:val="28"/>
          <w:highlight w:val="none"/>
        </w:rPr>
        <w:t>、</w:t>
      </w:r>
      <w:r>
        <w:rPr>
          <w:rFonts w:hint="eastAsia" w:ascii="宋体" w:hAnsi="宋体"/>
          <w:b w:val="0"/>
          <w:bCs/>
          <w:sz w:val="28"/>
          <w:szCs w:val="28"/>
          <w:highlight w:val="none"/>
          <w:lang w:eastAsia="zh-CN"/>
        </w:rPr>
        <w:t>服务承诺</w:t>
      </w:r>
      <w:r>
        <w:rPr>
          <w:rFonts w:hint="eastAsia" w:ascii="宋体" w:hAnsi="宋体"/>
          <w:b w:val="0"/>
          <w:bCs/>
          <w:sz w:val="28"/>
          <w:szCs w:val="28"/>
          <w:highlight w:val="none"/>
        </w:rPr>
        <w:t>格式：</w:t>
      </w:r>
    </w:p>
    <w:p>
      <w:pPr>
        <w:keepNext w:val="0"/>
        <w:keepLines w:val="0"/>
        <w:widowControl w:val="0"/>
        <w:kinsoku/>
        <w:wordWrap/>
        <w:topLinePunct w:val="0"/>
        <w:bidi w:val="0"/>
        <w:adjustRightInd w:val="0"/>
        <w:snapToGrid w:val="0"/>
        <w:spacing w:line="440" w:lineRule="exact"/>
        <w:jc w:val="left"/>
        <w:rPr>
          <w:rFonts w:hint="eastAsia" w:ascii="宋体" w:hAnsi="宋体"/>
          <w:b w:val="0"/>
          <w:bCs/>
          <w:color w:val="000000"/>
          <w:sz w:val="28"/>
          <w:szCs w:val="28"/>
          <w:highlight w:val="none"/>
        </w:rPr>
      </w:pPr>
    </w:p>
    <w:p>
      <w:pPr>
        <w:keepNext w:val="0"/>
        <w:keepLines w:val="0"/>
        <w:widowControl w:val="0"/>
        <w:kinsoku/>
        <w:wordWrap/>
        <w:topLinePunct w:val="0"/>
        <w:bidi w:val="0"/>
        <w:snapToGrid w:val="0"/>
        <w:spacing w:line="400" w:lineRule="exact"/>
        <w:jc w:val="center"/>
        <w:rPr>
          <w:rFonts w:hint="eastAsia" w:ascii="宋体" w:hAnsi="宋体"/>
          <w:b w:val="0"/>
          <w:bCs/>
          <w:sz w:val="28"/>
          <w:szCs w:val="28"/>
          <w:highlight w:val="none"/>
        </w:rPr>
      </w:pPr>
      <w:r>
        <w:rPr>
          <w:rFonts w:hint="eastAsia" w:ascii="宋体" w:hAnsi="宋体"/>
          <w:b w:val="0"/>
          <w:bCs/>
          <w:sz w:val="28"/>
          <w:szCs w:val="28"/>
          <w:highlight w:val="none"/>
        </w:rPr>
        <w:t>服务承诺</w:t>
      </w:r>
    </w:p>
    <w:p>
      <w:pPr>
        <w:keepNext w:val="0"/>
        <w:keepLines w:val="0"/>
        <w:widowControl w:val="0"/>
        <w:kinsoku/>
        <w:wordWrap/>
        <w:topLinePunct w:val="0"/>
        <w:bidi w:val="0"/>
        <w:snapToGrid w:val="0"/>
        <w:spacing w:line="400" w:lineRule="exact"/>
        <w:jc w:val="left"/>
        <w:rPr>
          <w:rFonts w:hint="eastAsia" w:ascii="宋体" w:hAnsi="宋体" w:eastAsia="宋体"/>
          <w:sz w:val="21"/>
          <w:szCs w:val="21"/>
          <w:highlight w:val="none"/>
          <w:lang w:eastAsia="zh-CN"/>
        </w:rPr>
      </w:pPr>
      <w:r>
        <w:rPr>
          <w:rFonts w:hint="eastAsia" w:ascii="宋体" w:hAnsi="宋体"/>
          <w:sz w:val="21"/>
          <w:szCs w:val="21"/>
          <w:highlight w:val="none"/>
        </w:rPr>
        <w:t>致：</w:t>
      </w:r>
      <w:r>
        <w:rPr>
          <w:rFonts w:hint="eastAsia" w:ascii="宋体" w:hAnsi="宋体"/>
          <w:sz w:val="21"/>
          <w:szCs w:val="21"/>
          <w:highlight w:val="none"/>
          <w:lang w:eastAsia="zh-CN"/>
        </w:rPr>
        <w:t>长三角（湖州）产业合作区管理委员会</w:t>
      </w:r>
    </w:p>
    <w:p>
      <w:pPr>
        <w:keepNext w:val="0"/>
        <w:keepLines w:val="0"/>
        <w:widowControl w:val="0"/>
        <w:kinsoku/>
        <w:wordWrap/>
        <w:topLinePunct w:val="0"/>
        <w:bidi w:val="0"/>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关于贵方组织的</w:t>
      </w:r>
      <w:r>
        <w:rPr>
          <w:rFonts w:hint="eastAsia" w:ascii="宋体" w:hAnsi="宋体"/>
          <w:sz w:val="21"/>
          <w:szCs w:val="21"/>
          <w:highlight w:val="none"/>
          <w:u w:val="single"/>
        </w:rPr>
        <w:t xml:space="preserve">        （项目名称）</w:t>
      </w:r>
      <w:r>
        <w:rPr>
          <w:rFonts w:hint="eastAsia" w:ascii="宋体" w:hAnsi="宋体"/>
          <w:sz w:val="21"/>
          <w:szCs w:val="21"/>
          <w:highlight w:val="none"/>
        </w:rPr>
        <w:t>项目（采购编号</w:t>
      </w:r>
      <w:r>
        <w:rPr>
          <w:rFonts w:hint="eastAsia" w:ascii="宋体" w:hAnsi="宋体"/>
          <w:sz w:val="21"/>
          <w:szCs w:val="21"/>
          <w:highlight w:val="none"/>
          <w:u w:val="single"/>
        </w:rPr>
        <w:t xml:space="preserve">       </w:t>
      </w:r>
      <w:r>
        <w:rPr>
          <w:rFonts w:hint="eastAsia" w:ascii="宋体" w:hAnsi="宋体"/>
          <w:sz w:val="21"/>
          <w:szCs w:val="21"/>
          <w:highlight w:val="none"/>
        </w:rPr>
        <w:t>）招标活动，现承诺如下：</w:t>
      </w:r>
    </w:p>
    <w:p>
      <w:pPr>
        <w:keepNext w:val="0"/>
        <w:keepLines w:val="0"/>
        <w:widowControl w:val="0"/>
        <w:kinsoku/>
        <w:wordWrap/>
        <w:topLinePunct w:val="0"/>
        <w:bidi w:val="0"/>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本次招标所提供的服务完全满足</w:t>
      </w:r>
      <w:r>
        <w:rPr>
          <w:rFonts w:hint="eastAsia" w:ascii="宋体" w:hAnsi="宋体"/>
          <w:sz w:val="21"/>
          <w:szCs w:val="21"/>
          <w:highlight w:val="none"/>
          <w:lang w:eastAsia="zh-CN"/>
        </w:rPr>
        <w:t>竞争性磋商</w:t>
      </w:r>
      <w:r>
        <w:rPr>
          <w:rFonts w:hint="eastAsia" w:ascii="宋体" w:hAnsi="宋体"/>
          <w:sz w:val="21"/>
          <w:szCs w:val="21"/>
          <w:highlight w:val="none"/>
        </w:rPr>
        <w:t>文件第三章</w:t>
      </w:r>
      <w:r>
        <w:rPr>
          <w:rFonts w:hint="eastAsia" w:ascii="宋体" w:hAnsi="宋体"/>
          <w:sz w:val="21"/>
          <w:szCs w:val="21"/>
          <w:highlight w:val="none"/>
          <w:lang w:val="en-US" w:eastAsia="zh-CN"/>
        </w:rPr>
        <w:t xml:space="preserve"> </w:t>
      </w:r>
      <w:r>
        <w:rPr>
          <w:rFonts w:hint="eastAsia" w:ascii="宋体" w:hAnsi="宋体"/>
          <w:sz w:val="21"/>
          <w:szCs w:val="21"/>
          <w:highlight w:val="none"/>
        </w:rPr>
        <w:t>磋商项目服务内容及要求</w:t>
      </w:r>
      <w:r>
        <w:rPr>
          <w:rFonts w:hint="eastAsia" w:ascii="宋体" w:hAnsi="宋体"/>
          <w:sz w:val="21"/>
          <w:szCs w:val="21"/>
          <w:highlight w:val="none"/>
          <w:lang w:eastAsia="zh-CN"/>
        </w:rPr>
        <w:t>的</w:t>
      </w:r>
      <w:r>
        <w:rPr>
          <w:rFonts w:hint="eastAsia" w:ascii="宋体" w:hAnsi="宋体"/>
          <w:sz w:val="21"/>
          <w:szCs w:val="21"/>
          <w:highlight w:val="none"/>
        </w:rPr>
        <w:t>所有要求。</w:t>
      </w:r>
    </w:p>
    <w:p>
      <w:pPr>
        <w:keepNext w:val="0"/>
        <w:keepLines w:val="0"/>
        <w:widowControl w:val="0"/>
        <w:kinsoku/>
        <w:wordWrap/>
        <w:topLinePunct w:val="0"/>
        <w:bidi w:val="0"/>
        <w:snapToGrid w:val="0"/>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特此承诺。</w:t>
      </w:r>
    </w:p>
    <w:p>
      <w:pPr>
        <w:keepNext w:val="0"/>
        <w:keepLines w:val="0"/>
        <w:widowControl w:val="0"/>
        <w:kinsoku/>
        <w:wordWrap/>
        <w:topLinePunct w:val="0"/>
        <w:bidi w:val="0"/>
        <w:snapToGrid w:val="0"/>
        <w:spacing w:line="400" w:lineRule="exact"/>
        <w:jc w:val="left"/>
        <w:rPr>
          <w:rFonts w:hint="eastAsia" w:ascii="宋体" w:hAnsi="宋体"/>
          <w:sz w:val="21"/>
          <w:szCs w:val="21"/>
          <w:highlight w:val="none"/>
        </w:rPr>
      </w:pPr>
    </w:p>
    <w:p>
      <w:pPr>
        <w:keepNext w:val="0"/>
        <w:keepLines w:val="0"/>
        <w:widowControl w:val="0"/>
        <w:kinsoku/>
        <w:wordWrap/>
        <w:topLinePunct w:val="0"/>
        <w:bidi w:val="0"/>
        <w:snapToGrid w:val="0"/>
        <w:spacing w:line="400" w:lineRule="exact"/>
        <w:jc w:val="left"/>
        <w:rPr>
          <w:rFonts w:hint="eastAsia" w:ascii="宋体" w:hAnsi="宋体"/>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pPr>
        <w:keepNext w:val="0"/>
        <w:keepLines w:val="0"/>
        <w:pageBreakBefore w:val="0"/>
        <w:widowControl w:val="0"/>
        <w:kinsoku/>
        <w:wordWrap/>
        <w:overflowPunct w:val="0"/>
        <w:topLinePunct w:val="0"/>
        <w:bidi w:val="0"/>
        <w:spacing w:before="156" w:beforeLines="50" w:after="156" w:afterLines="50"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 </w:t>
      </w: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pStyle w:val="67"/>
        <w:overflowPunct w:val="0"/>
        <w:spacing w:before="156"/>
        <w:rPr>
          <w:rFonts w:hint="eastAsia" w:ascii="宋体" w:cs="宋体"/>
          <w:szCs w:val="21"/>
          <w:highlight w:val="none"/>
          <w:lang w:eastAsia="zh-CN"/>
        </w:rPr>
      </w:pPr>
    </w:p>
    <w:p>
      <w:pPr>
        <w:overflowPunct w:val="0"/>
        <w:autoSpaceDE w:val="0"/>
        <w:autoSpaceDN w:val="0"/>
        <w:adjustRightInd w:val="0"/>
        <w:snapToGrid w:val="0"/>
        <w:spacing w:line="400" w:lineRule="exact"/>
        <w:ind w:firstLine="649" w:firstLineChars="202"/>
        <w:jc w:val="center"/>
        <w:textAlignment w:val="bottom"/>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pPr>
        <w:overflowPunct w:val="0"/>
        <w:autoSpaceDE w:val="0"/>
        <w:autoSpaceDN w:val="0"/>
        <w:adjustRightInd w:val="0"/>
        <w:snapToGrid w:val="0"/>
        <w:spacing w:line="400" w:lineRule="exact"/>
        <w:ind w:firstLine="426" w:firstLineChars="202"/>
        <w:textAlignment w:val="bottom"/>
        <w:rPr>
          <w:rFonts w:ascii="宋体" w:cs="宋体"/>
          <w:b/>
          <w:szCs w:val="21"/>
          <w:highlight w:val="none"/>
          <w:u w:val="none"/>
        </w:rPr>
      </w:pPr>
      <w:r>
        <w:rPr>
          <w:rFonts w:hint="eastAsia" w:ascii="宋体" w:hAnsi="宋体" w:cs="宋体"/>
          <w:b/>
          <w:szCs w:val="21"/>
          <w:highlight w:val="none"/>
          <w:u w:val="none"/>
          <w:lang w:eastAsia="zh-CN"/>
        </w:rPr>
        <w:t>报价</w:t>
      </w:r>
      <w:r>
        <w:rPr>
          <w:rFonts w:hint="eastAsia" w:ascii="宋体" w:hAnsi="宋体" w:cs="宋体"/>
          <w:b/>
          <w:szCs w:val="21"/>
          <w:highlight w:val="none"/>
          <w:u w:val="none"/>
        </w:rPr>
        <w:t>文件</w:t>
      </w:r>
    </w:p>
    <w:p>
      <w:pPr>
        <w:numPr>
          <w:ilvl w:val="0"/>
          <w:numId w:val="10"/>
        </w:numPr>
        <w:autoSpaceDE w:val="0"/>
        <w:autoSpaceDN w:val="0"/>
        <w:snapToGrid w:val="0"/>
        <w:spacing w:line="400" w:lineRule="exact"/>
        <w:ind w:left="0" w:firstLine="420" w:firstLineChars="200"/>
        <w:textAlignment w:val="bottom"/>
        <w:rPr>
          <w:rFonts w:ascii="宋体" w:cs="宋体"/>
          <w:bCs/>
          <w:szCs w:val="21"/>
          <w:highlight w:val="none"/>
        </w:rPr>
      </w:pPr>
      <w:r>
        <w:rPr>
          <w:rFonts w:hint="eastAsia" w:ascii="宋体" w:hAnsi="宋体" w:cs="宋体"/>
          <w:bCs/>
          <w:szCs w:val="21"/>
          <w:highlight w:val="none"/>
        </w:rPr>
        <w:t>初次报价表（格式见附件）；</w:t>
      </w:r>
    </w:p>
    <w:p>
      <w:pPr>
        <w:pStyle w:val="67"/>
        <w:overflowPunct w:val="0"/>
        <w:spacing w:before="156"/>
        <w:rPr>
          <w:rFonts w:hint="eastAsia" w:ascii="宋体" w:cs="宋体"/>
          <w:szCs w:val="21"/>
          <w:highlight w:val="none"/>
          <w:lang w:eastAsia="zh-CN"/>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pStyle w:val="67"/>
        <w:overflowPunct w:val="0"/>
        <w:spacing w:before="156"/>
        <w:rPr>
          <w:rFonts w:ascii="宋体" w:cs="宋体"/>
          <w:szCs w:val="21"/>
          <w:highlight w:val="none"/>
        </w:rPr>
      </w:pPr>
    </w:p>
    <w:p>
      <w:pPr>
        <w:overflowPunct w:val="0"/>
        <w:spacing w:line="400" w:lineRule="exact"/>
        <w:jc w:val="left"/>
        <w:rPr>
          <w:rFonts w:ascii="宋体" w:cs="宋体"/>
          <w:sz w:val="28"/>
          <w:szCs w:val="28"/>
          <w:highlight w:val="none"/>
        </w:rPr>
      </w:pPr>
      <w:r>
        <w:rPr>
          <w:rFonts w:hint="eastAsia" w:ascii="宋体" w:hAnsi="宋体" w:cs="宋体"/>
          <w:sz w:val="28"/>
          <w:szCs w:val="28"/>
          <w:highlight w:val="none"/>
          <w:lang w:val="en-US" w:eastAsia="zh-CN"/>
        </w:rPr>
        <w:t>12</w:t>
      </w:r>
      <w:r>
        <w:rPr>
          <w:rFonts w:hint="eastAsia" w:ascii="宋体" w:hAnsi="宋体" w:cs="宋体"/>
          <w:sz w:val="28"/>
          <w:szCs w:val="28"/>
          <w:highlight w:val="none"/>
        </w:rPr>
        <w:t>、初次报价表格式</w:t>
      </w:r>
    </w:p>
    <w:p>
      <w:pPr>
        <w:overflowPunct w:val="0"/>
        <w:rPr>
          <w:rFonts w:ascii="宋体" w:cs="宋体"/>
          <w:sz w:val="28"/>
          <w:szCs w:val="28"/>
          <w:highlight w:val="none"/>
        </w:rPr>
      </w:pPr>
    </w:p>
    <w:p>
      <w:pPr>
        <w:overflowPunct w:val="0"/>
        <w:spacing w:line="360" w:lineRule="auto"/>
        <w:jc w:val="center"/>
        <w:rPr>
          <w:rFonts w:ascii="宋体" w:cs="宋体"/>
          <w:b/>
          <w:bCs/>
          <w:kern w:val="0"/>
          <w:sz w:val="28"/>
          <w:szCs w:val="28"/>
          <w:highlight w:val="none"/>
        </w:rPr>
      </w:pPr>
      <w:r>
        <w:rPr>
          <w:rFonts w:hint="eastAsia" w:ascii="宋体" w:hAnsi="宋体" w:cs="宋体"/>
          <w:b/>
          <w:bCs/>
          <w:kern w:val="0"/>
          <w:sz w:val="28"/>
          <w:szCs w:val="28"/>
          <w:highlight w:val="none"/>
        </w:rPr>
        <w:t>初次报价表</w:t>
      </w:r>
    </w:p>
    <w:p>
      <w:pPr>
        <w:pStyle w:val="7"/>
        <w:tabs>
          <w:tab w:val="left" w:pos="4477"/>
        </w:tabs>
        <w:overflowPunct w:val="0"/>
        <w:spacing w:line="400" w:lineRule="exact"/>
        <w:rPr>
          <w:rFonts w:ascii="宋体" w:cs="宋体"/>
          <w:szCs w:val="24"/>
          <w:highlight w:val="none"/>
        </w:rPr>
      </w:pPr>
    </w:p>
    <w:p>
      <w:pPr>
        <w:pStyle w:val="7"/>
        <w:keepNext w:val="0"/>
        <w:keepLines w:val="0"/>
        <w:pageBreakBefore w:val="0"/>
        <w:widowControl w:val="0"/>
        <w:tabs>
          <w:tab w:val="left" w:pos="4477"/>
        </w:tabs>
        <w:kinsoku/>
        <w:wordWrap/>
        <w:overflowPunct w:val="0"/>
        <w:topLinePunct w:val="0"/>
        <w:autoSpaceDE/>
        <w:autoSpaceDN/>
        <w:bidi w:val="0"/>
        <w:adjustRightInd/>
        <w:snapToGrid/>
        <w:spacing w:line="400" w:lineRule="exact"/>
        <w:ind w:firstLine="0"/>
        <w:textAlignment w:val="auto"/>
        <w:rPr>
          <w:rFonts w:ascii="宋体" w:cs="宋体"/>
          <w:szCs w:val="24"/>
          <w:highlight w:val="none"/>
        </w:rPr>
      </w:pPr>
      <w:r>
        <w:rPr>
          <w:rFonts w:hint="eastAsia" w:ascii="宋体" w:hAnsi="宋体" w:cs="宋体"/>
          <w:szCs w:val="24"/>
          <w:highlight w:val="none"/>
        </w:rPr>
        <w:t>项目名称：</w:t>
      </w:r>
      <w:r>
        <w:rPr>
          <w:rFonts w:ascii="宋体" w:hAnsi="宋体" w:cs="宋体"/>
          <w:szCs w:val="24"/>
          <w:highlight w:val="none"/>
        </w:rPr>
        <w:t xml:space="preserve">                       </w:t>
      </w:r>
      <w:r>
        <w:rPr>
          <w:rFonts w:hint="eastAsia" w:ascii="宋体" w:hAnsi="宋体" w:cs="宋体"/>
          <w:szCs w:val="24"/>
          <w:highlight w:val="none"/>
        </w:rPr>
        <w:t>项目编号：</w:t>
      </w:r>
      <w:r>
        <w:rPr>
          <w:rFonts w:ascii="宋体" w:hAnsi="宋体" w:cs="宋体"/>
          <w:szCs w:val="24"/>
          <w:highlight w:val="none"/>
        </w:rPr>
        <w:t xml:space="preserve">                       </w:t>
      </w:r>
    </w:p>
    <w:p>
      <w:pPr>
        <w:pStyle w:val="7"/>
        <w:keepNext w:val="0"/>
        <w:keepLines w:val="0"/>
        <w:pageBreakBefore w:val="0"/>
        <w:widowControl w:val="0"/>
        <w:tabs>
          <w:tab w:val="left" w:pos="4477"/>
        </w:tabs>
        <w:kinsoku/>
        <w:wordWrap/>
        <w:overflowPunct w:val="0"/>
        <w:topLinePunct w:val="0"/>
        <w:autoSpaceDE/>
        <w:autoSpaceDN/>
        <w:bidi w:val="0"/>
        <w:adjustRightInd/>
        <w:snapToGrid/>
        <w:spacing w:line="400" w:lineRule="exact"/>
        <w:ind w:firstLine="7140" w:firstLineChars="3400"/>
        <w:textAlignment w:val="auto"/>
        <w:rPr>
          <w:rFonts w:ascii="宋体" w:cs="宋体"/>
          <w:szCs w:val="24"/>
          <w:highlight w:val="none"/>
        </w:rPr>
      </w:pPr>
      <w:r>
        <w:rPr>
          <w:rFonts w:hint="eastAsia" w:ascii="宋体" w:hAnsi="宋体" w:cs="宋体"/>
          <w:szCs w:val="24"/>
          <w:highlight w:val="none"/>
        </w:rPr>
        <w:t>金额单位：元</w:t>
      </w:r>
      <w:r>
        <w:rPr>
          <w:rFonts w:ascii="宋体" w:hAnsi="宋体" w:cs="宋体"/>
          <w:szCs w:val="24"/>
          <w:highlight w:val="none"/>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800"/>
        <w:gridCol w:w="200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Align w:val="center"/>
          </w:tcPr>
          <w:p>
            <w:pPr>
              <w:overflowPunct w:val="0"/>
              <w:spacing w:line="360" w:lineRule="exact"/>
              <w:ind w:right="-21" w:rightChars="-10"/>
              <w:jc w:val="center"/>
              <w:rPr>
                <w:rFonts w:ascii="宋体" w:cs="宋体"/>
                <w:szCs w:val="21"/>
                <w:highlight w:val="none"/>
              </w:rPr>
            </w:pPr>
            <w:r>
              <w:rPr>
                <w:rFonts w:hint="eastAsia" w:ascii="宋体" w:hAnsi="宋体" w:cs="宋体"/>
                <w:szCs w:val="21"/>
                <w:highlight w:val="none"/>
              </w:rPr>
              <w:t>序号</w:t>
            </w:r>
          </w:p>
        </w:tc>
        <w:tc>
          <w:tcPr>
            <w:tcW w:w="3800" w:type="dxa"/>
            <w:vAlign w:val="center"/>
          </w:tcPr>
          <w:p>
            <w:pPr>
              <w:overflowPunct w:val="0"/>
              <w:spacing w:line="360" w:lineRule="exact"/>
              <w:ind w:right="-21" w:rightChars="-10"/>
              <w:jc w:val="center"/>
              <w:rPr>
                <w:rFonts w:ascii="宋体" w:cs="宋体"/>
                <w:szCs w:val="21"/>
                <w:highlight w:val="none"/>
              </w:rPr>
            </w:pPr>
            <w:r>
              <w:rPr>
                <w:rFonts w:hint="eastAsia" w:ascii="宋体" w:hAnsi="宋体" w:cs="宋体"/>
                <w:szCs w:val="21"/>
                <w:highlight w:val="none"/>
              </w:rPr>
              <w:t>项目内容</w:t>
            </w:r>
          </w:p>
        </w:tc>
        <w:tc>
          <w:tcPr>
            <w:tcW w:w="20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cs="宋体"/>
                <w:szCs w:val="21"/>
                <w:highlight w:val="none"/>
              </w:rPr>
            </w:pPr>
            <w:r>
              <w:rPr>
                <w:rFonts w:hint="eastAsia" w:ascii="宋体" w:hAnsi="宋体" w:eastAsia="宋体" w:cs="宋体"/>
                <w:sz w:val="21"/>
                <w:szCs w:val="21"/>
                <w:highlight w:val="none"/>
                <w:vertAlign w:val="baseline"/>
                <w:lang w:eastAsia="zh-CN"/>
              </w:rPr>
              <w:t>最高限价（元</w:t>
            </w:r>
            <w:r>
              <w:rPr>
                <w:rFonts w:hint="eastAsia" w:ascii="宋体" w:hAnsi="宋体" w:eastAsia="宋体" w:cs="宋体"/>
                <w:sz w:val="21"/>
                <w:szCs w:val="21"/>
                <w:highlight w:val="none"/>
                <w:vertAlign w:val="baseline"/>
                <w:lang w:val="en-US" w:eastAsia="zh-CN"/>
              </w:rPr>
              <w:t>/人</w:t>
            </w:r>
            <w:r>
              <w:rPr>
                <w:rFonts w:hint="eastAsia" w:ascii="宋体" w:hAnsi="宋体" w:eastAsia="宋体" w:cs="宋体"/>
                <w:sz w:val="21"/>
                <w:szCs w:val="21"/>
                <w:highlight w:val="none"/>
                <w:vertAlign w:val="baseline"/>
                <w:lang w:eastAsia="zh-CN"/>
              </w:rPr>
              <w:t>）</w:t>
            </w:r>
          </w:p>
        </w:tc>
        <w:tc>
          <w:tcPr>
            <w:tcW w:w="1908" w:type="dxa"/>
            <w:vAlign w:val="center"/>
          </w:tcPr>
          <w:p>
            <w:pPr>
              <w:overflowPunct w:val="0"/>
              <w:spacing w:line="360" w:lineRule="exact"/>
              <w:ind w:right="-21" w:rightChars="-10"/>
              <w:jc w:val="center"/>
              <w:rPr>
                <w:rFonts w:hint="eastAsia" w:ascii="宋体" w:eastAsia="宋体" w:cs="宋体"/>
                <w:szCs w:val="21"/>
                <w:highlight w:val="none"/>
                <w:lang w:eastAsia="zh-CN"/>
              </w:rPr>
            </w:pPr>
            <w:r>
              <w:rPr>
                <w:rFonts w:hint="eastAsia" w:ascii="宋体" w:hAnsi="宋体" w:cs="宋体"/>
                <w:szCs w:val="21"/>
                <w:highlight w:val="none"/>
              </w:rPr>
              <w:t>磋商</w:t>
            </w:r>
            <w:r>
              <w:rPr>
                <w:rFonts w:hint="eastAsia" w:ascii="宋体" w:hAnsi="宋体" w:cs="宋体"/>
                <w:szCs w:val="21"/>
                <w:highlight w:val="none"/>
                <w:lang w:eastAsia="zh-CN"/>
              </w:rPr>
              <w:t>单价</w:t>
            </w:r>
            <w:r>
              <w:rPr>
                <w:rFonts w:hint="eastAsia" w:ascii="宋体" w:hAnsi="宋体" w:eastAsia="宋体" w:cs="宋体"/>
                <w:sz w:val="21"/>
                <w:szCs w:val="21"/>
                <w:highlight w:val="none"/>
                <w:vertAlign w:val="baseline"/>
                <w:lang w:eastAsia="zh-CN"/>
              </w:rPr>
              <w:t>（元</w:t>
            </w:r>
            <w:r>
              <w:rPr>
                <w:rFonts w:hint="eastAsia" w:ascii="宋体" w:hAnsi="宋体" w:eastAsia="宋体" w:cs="宋体"/>
                <w:sz w:val="21"/>
                <w:szCs w:val="21"/>
                <w:highlight w:val="none"/>
                <w:vertAlign w:val="baseline"/>
                <w:lang w:val="en-US" w:eastAsia="zh-CN"/>
              </w:rPr>
              <w:t>/人</w:t>
            </w:r>
            <w:r>
              <w:rPr>
                <w:rFonts w:hint="eastAsia" w:ascii="宋体" w:hAnsi="宋体" w:eastAsia="宋体" w:cs="宋体"/>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Align w:val="center"/>
          </w:tcPr>
          <w:p>
            <w:pPr>
              <w:overflowPunct w:val="0"/>
              <w:spacing w:line="360" w:lineRule="exact"/>
              <w:ind w:right="-21" w:rightChars="-10"/>
              <w:jc w:val="center"/>
              <w:rPr>
                <w:rFonts w:ascii="宋体" w:cs="宋体"/>
                <w:szCs w:val="21"/>
                <w:highlight w:val="none"/>
              </w:rPr>
            </w:pPr>
            <w:r>
              <w:rPr>
                <w:rFonts w:ascii="宋体" w:hAnsi="宋体" w:cs="宋体"/>
                <w:szCs w:val="21"/>
                <w:highlight w:val="none"/>
              </w:rPr>
              <w:t>1</w:t>
            </w:r>
          </w:p>
        </w:tc>
        <w:tc>
          <w:tcPr>
            <w:tcW w:w="38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eastAsia="宋体" w:cs="宋体"/>
                <w:szCs w:val="21"/>
                <w:highlight w:val="none"/>
                <w:lang w:eastAsia="zh-CN"/>
              </w:rPr>
            </w:pPr>
            <w:r>
              <w:rPr>
                <w:rFonts w:hint="eastAsia" w:ascii="宋体" w:hAnsi="宋体" w:eastAsia="宋体" w:cs="宋体"/>
                <w:sz w:val="21"/>
                <w:szCs w:val="21"/>
                <w:highlight w:val="none"/>
                <w:vertAlign w:val="baseline"/>
                <w:lang w:eastAsia="zh-CN"/>
              </w:rPr>
              <w:t>初训安全取证培训</w:t>
            </w:r>
          </w:p>
        </w:tc>
        <w:tc>
          <w:tcPr>
            <w:tcW w:w="20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cs="宋体"/>
                <w:szCs w:val="21"/>
                <w:highlight w:val="none"/>
                <w:lang w:val="en-US" w:eastAsia="zh-CN"/>
              </w:rPr>
            </w:pPr>
            <w:r>
              <w:rPr>
                <w:rFonts w:hint="eastAsia" w:ascii="宋体" w:hAnsi="宋体" w:eastAsia="宋体" w:cs="宋体"/>
                <w:sz w:val="21"/>
                <w:szCs w:val="21"/>
                <w:highlight w:val="none"/>
                <w:vertAlign w:val="baseline"/>
                <w:lang w:val="en-US" w:eastAsia="zh-CN"/>
              </w:rPr>
              <w:t>360</w:t>
            </w:r>
          </w:p>
        </w:tc>
        <w:tc>
          <w:tcPr>
            <w:tcW w:w="1908" w:type="dxa"/>
            <w:vAlign w:val="center"/>
          </w:tcPr>
          <w:p>
            <w:pPr>
              <w:overflowPunct w:val="0"/>
              <w:spacing w:line="360" w:lineRule="exact"/>
              <w:ind w:right="-21" w:rightChars="-10"/>
              <w:jc w:val="cente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Align w:val="center"/>
          </w:tcPr>
          <w:p>
            <w:pPr>
              <w:overflowPunct w:val="0"/>
              <w:spacing w:line="360" w:lineRule="exact"/>
              <w:ind w:right="-21" w:rightChars="-1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38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cs="宋体"/>
                <w:kern w:val="0"/>
                <w:szCs w:val="21"/>
                <w:highlight w:val="none"/>
                <w:lang w:eastAsia="zh-CN"/>
              </w:rPr>
            </w:pPr>
            <w:r>
              <w:rPr>
                <w:rFonts w:hint="eastAsia" w:ascii="宋体" w:hAnsi="宋体" w:eastAsia="宋体" w:cs="宋体"/>
                <w:sz w:val="21"/>
                <w:szCs w:val="21"/>
                <w:highlight w:val="none"/>
                <w:vertAlign w:val="baseline"/>
                <w:lang w:eastAsia="zh-CN"/>
              </w:rPr>
              <w:t>复训安全培训</w:t>
            </w:r>
          </w:p>
        </w:tc>
        <w:tc>
          <w:tcPr>
            <w:tcW w:w="20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cs="宋体"/>
                <w:szCs w:val="21"/>
                <w:highlight w:val="none"/>
                <w:lang w:val="en-US" w:eastAsia="zh-CN"/>
              </w:rPr>
            </w:pPr>
            <w:r>
              <w:rPr>
                <w:rFonts w:hint="eastAsia" w:ascii="宋体" w:hAnsi="宋体" w:eastAsia="宋体" w:cs="宋体"/>
                <w:sz w:val="21"/>
                <w:szCs w:val="21"/>
                <w:highlight w:val="none"/>
                <w:vertAlign w:val="baseline"/>
                <w:lang w:val="en-US" w:eastAsia="zh-CN"/>
              </w:rPr>
              <w:t>200</w:t>
            </w:r>
          </w:p>
        </w:tc>
        <w:tc>
          <w:tcPr>
            <w:tcW w:w="1908" w:type="dxa"/>
            <w:vAlign w:val="center"/>
          </w:tcPr>
          <w:p>
            <w:pPr>
              <w:overflowPunct w:val="0"/>
              <w:spacing w:line="360" w:lineRule="exact"/>
              <w:ind w:right="-21" w:rightChars="-1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Align w:val="center"/>
          </w:tcPr>
          <w:p>
            <w:pPr>
              <w:overflowPunct w:val="0"/>
              <w:spacing w:line="360" w:lineRule="exact"/>
              <w:ind w:right="-21" w:rightChars="-1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38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其他类人员培训</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cs="宋体"/>
                <w:kern w:val="0"/>
                <w:szCs w:val="21"/>
                <w:highlight w:val="none"/>
                <w:lang w:eastAsia="zh-CN"/>
              </w:rPr>
            </w:pPr>
            <w:r>
              <w:rPr>
                <w:rFonts w:hint="eastAsia" w:ascii="宋体" w:hAnsi="宋体" w:eastAsia="宋体" w:cs="宋体"/>
                <w:sz w:val="21"/>
                <w:szCs w:val="21"/>
                <w:highlight w:val="none"/>
                <w:vertAlign w:val="baseline"/>
              </w:rPr>
              <w:t>（有限空间、危化品使用、金属熔融等）</w:t>
            </w:r>
          </w:p>
        </w:tc>
        <w:tc>
          <w:tcPr>
            <w:tcW w:w="20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cs="宋体"/>
                <w:szCs w:val="21"/>
                <w:highlight w:val="none"/>
                <w:lang w:val="en-US" w:eastAsia="zh-CN"/>
              </w:rPr>
            </w:pPr>
            <w:r>
              <w:rPr>
                <w:rFonts w:hint="eastAsia" w:ascii="宋体" w:hAnsi="宋体" w:eastAsia="宋体" w:cs="宋体"/>
                <w:sz w:val="21"/>
                <w:szCs w:val="21"/>
                <w:highlight w:val="none"/>
                <w:vertAlign w:val="baseline"/>
                <w:lang w:val="en-US" w:eastAsia="zh-CN"/>
              </w:rPr>
              <w:t>300</w:t>
            </w:r>
          </w:p>
        </w:tc>
        <w:tc>
          <w:tcPr>
            <w:tcW w:w="1908" w:type="dxa"/>
            <w:vAlign w:val="center"/>
          </w:tcPr>
          <w:p>
            <w:pPr>
              <w:overflowPunct w:val="0"/>
              <w:spacing w:line="360" w:lineRule="exact"/>
              <w:ind w:right="-21" w:rightChars="-1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42" w:type="dxa"/>
            <w:vAlign w:val="center"/>
          </w:tcPr>
          <w:p>
            <w:pPr>
              <w:overflowPunct w:val="0"/>
              <w:spacing w:line="360" w:lineRule="exact"/>
              <w:ind w:right="-21" w:rightChars="-1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380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三项磋商单价合计</w:t>
            </w:r>
          </w:p>
        </w:tc>
        <w:tc>
          <w:tcPr>
            <w:tcW w:w="3908" w:type="dxa"/>
            <w:gridSpan w:val="2"/>
            <w:vAlign w:val="center"/>
          </w:tcPr>
          <w:p>
            <w:pPr>
              <w:overflowPunct w:val="0"/>
              <w:spacing w:line="360" w:lineRule="exact"/>
              <w:ind w:right="-21" w:rightChars="-10"/>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元</w:t>
            </w:r>
          </w:p>
        </w:tc>
      </w:tr>
    </w:tbl>
    <w:p>
      <w:pPr>
        <w:pStyle w:val="7"/>
        <w:tabs>
          <w:tab w:val="left" w:pos="4477"/>
        </w:tabs>
        <w:overflowPunct w:val="0"/>
        <w:spacing w:line="400" w:lineRule="exact"/>
        <w:ind w:firstLine="7140" w:firstLineChars="3400"/>
        <w:rPr>
          <w:rFonts w:ascii="宋体" w:cs="宋体"/>
          <w:szCs w:val="24"/>
          <w:highlight w:val="none"/>
        </w:rPr>
      </w:pP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400" w:lineRule="exact"/>
        <w:textAlignment w:val="auto"/>
        <w:rPr>
          <w:rFonts w:cs="宋体"/>
          <w:b/>
          <w:sz w:val="22"/>
          <w:szCs w:val="22"/>
          <w:highlight w:val="none"/>
        </w:rPr>
      </w:pPr>
      <w:r>
        <w:rPr>
          <w:rFonts w:hint="eastAsia" w:cs="宋体"/>
          <w:b/>
          <w:sz w:val="22"/>
          <w:szCs w:val="22"/>
          <w:highlight w:val="none"/>
        </w:rPr>
        <w:t>说明：</w:t>
      </w:r>
    </w:p>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ascii="宋体" w:cs="宋体"/>
          <w:b/>
          <w:kern w:val="0"/>
          <w:sz w:val="22"/>
          <w:szCs w:val="22"/>
          <w:highlight w:val="none"/>
        </w:rPr>
      </w:pPr>
      <w:r>
        <w:rPr>
          <w:rFonts w:ascii="宋体" w:hAnsi="宋体" w:cs="宋体"/>
          <w:b/>
          <w:kern w:val="0"/>
          <w:sz w:val="22"/>
          <w:szCs w:val="22"/>
          <w:highlight w:val="none"/>
        </w:rPr>
        <w:t>1</w:t>
      </w:r>
      <w:r>
        <w:rPr>
          <w:rFonts w:hint="eastAsia" w:ascii="宋体" w:hAnsi="宋体" w:cs="宋体"/>
          <w:b/>
          <w:kern w:val="0"/>
          <w:sz w:val="22"/>
          <w:szCs w:val="22"/>
          <w:highlight w:val="none"/>
        </w:rPr>
        <w:t>、报价总价是履行合同的最终价格，即完成本项目采购内容和要求所产生的所有费用。</w:t>
      </w:r>
    </w:p>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ascii="宋体" w:cs="宋体"/>
          <w:b/>
          <w:kern w:val="0"/>
          <w:sz w:val="22"/>
          <w:szCs w:val="22"/>
          <w:highlight w:val="none"/>
        </w:rPr>
      </w:pPr>
      <w:r>
        <w:rPr>
          <w:rFonts w:ascii="宋体" w:hAnsi="宋体" w:cs="宋体"/>
          <w:b/>
          <w:kern w:val="0"/>
          <w:sz w:val="22"/>
          <w:szCs w:val="22"/>
          <w:highlight w:val="none"/>
        </w:rPr>
        <w:t>2</w:t>
      </w:r>
      <w:r>
        <w:rPr>
          <w:rFonts w:hint="eastAsia" w:ascii="宋体" w:hAnsi="宋体" w:cs="宋体"/>
          <w:b/>
          <w:kern w:val="0"/>
          <w:sz w:val="22"/>
          <w:szCs w:val="22"/>
          <w:highlight w:val="none"/>
        </w:rPr>
        <w:t>、初次报价不公开。不提供此表格的将视为没有实质性响应磋商文件。</w:t>
      </w:r>
    </w:p>
    <w:p>
      <w:pPr>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ascii="宋体" w:cs="宋体"/>
          <w:sz w:val="22"/>
          <w:szCs w:val="22"/>
          <w:highlight w:val="none"/>
        </w:rPr>
      </w:pPr>
      <w:r>
        <w:rPr>
          <w:rFonts w:ascii="宋体" w:hAnsi="宋体" w:cs="宋体"/>
          <w:b/>
          <w:kern w:val="0"/>
          <w:sz w:val="22"/>
          <w:szCs w:val="22"/>
          <w:highlight w:val="none"/>
        </w:rPr>
        <w:t>3</w:t>
      </w:r>
      <w:r>
        <w:rPr>
          <w:rFonts w:hint="eastAsia" w:ascii="宋体" w:hAnsi="宋体" w:cs="宋体"/>
          <w:b/>
          <w:kern w:val="0"/>
          <w:sz w:val="22"/>
          <w:szCs w:val="22"/>
          <w:highlight w:val="none"/>
        </w:rPr>
        <w:t>、供应商报价以磋商现场的最后报价为准。</w:t>
      </w:r>
    </w:p>
    <w:p>
      <w:pPr>
        <w:overflowPunct w:val="0"/>
        <w:spacing w:line="460" w:lineRule="atLeast"/>
        <w:ind w:right="660"/>
        <w:jc w:val="left"/>
        <w:rPr>
          <w:rFonts w:ascii="宋体" w:cs="宋体"/>
          <w:sz w:val="22"/>
          <w:szCs w:val="22"/>
          <w:highlight w:val="none"/>
        </w:rPr>
      </w:pPr>
    </w:p>
    <w:p>
      <w:pPr>
        <w:overflowPunct w:val="0"/>
        <w:spacing w:line="460" w:lineRule="atLeast"/>
        <w:ind w:right="660"/>
        <w:jc w:val="left"/>
        <w:rPr>
          <w:rFonts w:ascii="宋体" w:cs="宋体"/>
          <w:sz w:val="22"/>
          <w:szCs w:val="22"/>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cs="宋体"/>
          <w:color w:val="auto"/>
          <w:szCs w:val="21"/>
          <w:highlight w:val="none"/>
          <w:lang w:eastAsia="zh-CN"/>
        </w:rPr>
        <w:t>或盖章</w:t>
      </w:r>
      <w:r>
        <w:rPr>
          <w:rFonts w:hint="eastAsia" w:ascii="宋体" w:hAnsi="宋体" w:eastAsia="宋体" w:cs="宋体"/>
          <w:color w:val="auto"/>
          <w:szCs w:val="21"/>
          <w:highlight w:val="none"/>
        </w:rPr>
        <w:t>）：</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 xml:space="preserve">日期： </w:t>
      </w:r>
    </w:p>
    <w:p>
      <w:pPr>
        <w:overflowPunct w:val="0"/>
        <w:rPr>
          <w:rFonts w:ascii="宋体" w:cs="宋体"/>
          <w:sz w:val="32"/>
          <w:highlight w:val="none"/>
        </w:rPr>
      </w:pPr>
    </w:p>
    <w:p>
      <w:pPr>
        <w:overflowPunct w:val="0"/>
        <w:rPr>
          <w:rFonts w:ascii="宋体" w:cs="宋体"/>
          <w:sz w:val="32"/>
          <w:highlight w:val="none"/>
        </w:rPr>
      </w:pPr>
    </w:p>
    <w:p>
      <w:pPr>
        <w:overflowPunct w:val="0"/>
        <w:rPr>
          <w:rFonts w:ascii="宋体" w:cs="宋体"/>
          <w:sz w:val="32"/>
          <w:highlight w:val="none"/>
        </w:rPr>
      </w:pPr>
    </w:p>
    <w:p>
      <w:pPr>
        <w:overflowPunct w:val="0"/>
        <w:rPr>
          <w:rFonts w:ascii="宋体" w:cs="宋体"/>
          <w:sz w:val="32"/>
          <w:highlight w:val="none"/>
        </w:rPr>
      </w:pPr>
    </w:p>
    <w:p>
      <w:pPr>
        <w:overflowPunct w:val="0"/>
        <w:spacing w:line="400" w:lineRule="exact"/>
        <w:jc w:val="left"/>
        <w:rPr>
          <w:rFonts w:ascii="宋体" w:cs="宋体"/>
          <w:sz w:val="32"/>
          <w:highlight w:val="none"/>
        </w:rPr>
      </w:pPr>
    </w:p>
    <w:p>
      <w:pPr>
        <w:overflowPunct w:val="0"/>
        <w:spacing w:line="400" w:lineRule="exact"/>
        <w:jc w:val="left"/>
        <w:rPr>
          <w:rFonts w:ascii="宋体" w:cs="宋体"/>
          <w:sz w:val="28"/>
          <w:szCs w:val="28"/>
          <w:highlight w:val="none"/>
        </w:rPr>
      </w:pPr>
    </w:p>
    <w:p>
      <w:pPr>
        <w:overflowPunct w:val="0"/>
        <w:spacing w:line="400" w:lineRule="exact"/>
        <w:jc w:val="left"/>
        <w:rPr>
          <w:rFonts w:ascii="宋体" w:cs="宋体"/>
          <w:sz w:val="28"/>
          <w:szCs w:val="28"/>
          <w:highlight w:val="none"/>
        </w:rPr>
      </w:pPr>
    </w:p>
    <w:p>
      <w:pPr>
        <w:keepNext w:val="0"/>
        <w:keepLines w:val="0"/>
        <w:pageBreakBefore w:val="0"/>
        <w:widowControl w:val="0"/>
        <w:kinsoku/>
        <w:wordWrap/>
        <w:overflowPunct w:val="0"/>
        <w:topLinePunct w:val="0"/>
        <w:autoSpaceDE/>
        <w:autoSpaceDN/>
        <w:bidi w:val="0"/>
        <w:adjustRightInd/>
        <w:snapToGrid/>
        <w:spacing w:before="156" w:beforeLines="50" w:after="156" w:afterLines="50" w:line="400" w:lineRule="exact"/>
        <w:jc w:val="center"/>
        <w:textAlignment w:val="auto"/>
        <w:rPr>
          <w:rFonts w:hint="eastAsia" w:ascii="宋体" w:hAnsi="宋体" w:eastAsia="宋体" w:cs="宋体"/>
          <w:b/>
          <w:bCs/>
          <w:kern w:val="44"/>
          <w:sz w:val="32"/>
          <w:szCs w:val="32"/>
          <w:highlight w:val="none"/>
          <w:lang w:val="zh-CN" w:eastAsia="zh-CN" w:bidi="ar-SA"/>
        </w:rPr>
      </w:pPr>
      <w:bookmarkStart w:id="136" w:name="_Toc24952"/>
      <w:r>
        <w:rPr>
          <w:rFonts w:hint="eastAsia" w:ascii="宋体" w:hAnsi="宋体" w:eastAsia="宋体" w:cs="宋体"/>
          <w:color w:val="auto"/>
          <w:kern w:val="2"/>
          <w:sz w:val="21"/>
          <w:szCs w:val="21"/>
          <w:highlight w:val="none"/>
        </w:rPr>
        <w:br w:type="page"/>
      </w:r>
      <w:bookmarkStart w:id="137" w:name="_Toc13596"/>
      <w:r>
        <w:rPr>
          <w:rStyle w:val="44"/>
          <w:rFonts w:hint="eastAsia"/>
          <w:b/>
          <w:sz w:val="32"/>
          <w:highlight w:val="none"/>
          <w:lang w:val="zh-CN" w:eastAsia="zh-CN"/>
        </w:rPr>
        <w:t>第七章</w:t>
      </w:r>
      <w:r>
        <w:rPr>
          <w:rStyle w:val="44"/>
          <w:rFonts w:hint="eastAsia"/>
          <w:b/>
          <w:sz w:val="32"/>
          <w:highlight w:val="none"/>
          <w:lang w:val="en-US" w:eastAsia="zh-CN"/>
        </w:rPr>
        <w:t xml:space="preserve">   专家评分索引表</w:t>
      </w:r>
      <w:bookmarkEnd w:id="136"/>
      <w:bookmarkEnd w:id="137"/>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135"/>
        <w:gridCol w:w="1131"/>
        <w:gridCol w:w="1130"/>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序号</w:t>
            </w:r>
          </w:p>
        </w:tc>
        <w:tc>
          <w:tcPr>
            <w:tcW w:w="4135"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评分内容</w:t>
            </w:r>
          </w:p>
        </w:tc>
        <w:tc>
          <w:tcPr>
            <w:tcW w:w="1131"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标准分</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自评分</w:t>
            </w: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在响应文件中所对应的页码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4135"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项目理解</w:t>
            </w:r>
          </w:p>
        </w:tc>
        <w:tc>
          <w:tcPr>
            <w:tcW w:w="1131"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4135" w:type="dxa"/>
            <w:vAlign w:val="center"/>
          </w:tcPr>
          <w:p>
            <w:pPr>
              <w:pStyle w:val="87"/>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w:t>
            </w:r>
          </w:p>
        </w:tc>
        <w:tc>
          <w:tcPr>
            <w:tcW w:w="1131"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413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管理制度</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413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质量控制体系</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413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培训设备</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413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培训</w:t>
            </w:r>
            <w:r>
              <w:rPr>
                <w:rFonts w:hint="eastAsia" w:ascii="宋体" w:hAnsi="宋体" w:eastAsia="宋体" w:cs="宋体"/>
                <w:b w:val="0"/>
                <w:bCs w:val="0"/>
                <w:color w:val="auto"/>
                <w:sz w:val="21"/>
                <w:szCs w:val="21"/>
                <w:highlight w:val="none"/>
              </w:rPr>
              <w:t>场地</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413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后勤保障及应急预案</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413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服务承诺</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413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413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权威认证</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413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同类项目业绩</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hint="default" w:ascii="宋体" w:eastAsia="宋体" w:cs="宋体"/>
                <w:szCs w:val="21"/>
                <w:highlight w:val="none"/>
                <w:lang w:val="en-US" w:eastAsia="zh-CN"/>
              </w:rPr>
            </w:pPr>
            <w:r>
              <w:rPr>
                <w:rFonts w:hint="eastAsia" w:ascii="宋体" w:cs="宋体"/>
                <w:szCs w:val="21"/>
                <w:highlight w:val="none"/>
                <w:lang w:val="en-US" w:eastAsia="zh-CN"/>
              </w:rPr>
              <w:t>12</w:t>
            </w:r>
          </w:p>
        </w:tc>
        <w:tc>
          <w:tcPr>
            <w:tcW w:w="4135"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rPr>
              <w:t>合计得分</w:t>
            </w:r>
          </w:p>
        </w:tc>
        <w:tc>
          <w:tcPr>
            <w:tcW w:w="1131"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r>
              <w:rPr>
                <w:rFonts w:hint="eastAsia" w:ascii="宋体" w:hAnsi="宋体" w:cs="宋体"/>
                <w:szCs w:val="21"/>
                <w:highlight w:val="none"/>
                <w:lang w:val="en-US" w:eastAsia="zh-CN"/>
              </w:rPr>
              <w:t>90</w:t>
            </w:r>
            <w:r>
              <w:rPr>
                <w:rFonts w:hint="eastAsia" w:ascii="宋体" w:hAnsi="宋体" w:cs="宋体"/>
                <w:szCs w:val="21"/>
                <w:highlight w:val="none"/>
              </w:rPr>
              <w:t>分</w:t>
            </w:r>
          </w:p>
        </w:tc>
        <w:tc>
          <w:tcPr>
            <w:tcW w:w="1130"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c>
          <w:tcPr>
            <w:tcW w:w="1489" w:type="dxa"/>
            <w:vAlign w:val="center"/>
          </w:tcPr>
          <w:p>
            <w:pPr>
              <w:keepNext w:val="0"/>
              <w:keepLines w:val="0"/>
              <w:pageBreakBefore w:val="0"/>
              <w:widowControl w:val="0"/>
              <w:kinsoku/>
              <w:overflowPunct w:val="0"/>
              <w:topLinePunct w:val="0"/>
              <w:autoSpaceDE/>
              <w:autoSpaceDN/>
              <w:bidi w:val="0"/>
              <w:spacing w:line="400" w:lineRule="exact"/>
              <w:jc w:val="center"/>
              <w:textAlignment w:val="auto"/>
              <w:rPr>
                <w:rFonts w:ascii="宋体" w:cs="宋体"/>
                <w:szCs w:val="21"/>
                <w:highlight w:val="none"/>
              </w:rPr>
            </w:pPr>
          </w:p>
        </w:tc>
      </w:tr>
    </w:tbl>
    <w:p>
      <w:pPr>
        <w:overflowPunct w:val="0"/>
        <w:adjustRightInd w:val="0"/>
        <w:snapToGrid w:val="0"/>
        <w:spacing w:line="400" w:lineRule="exact"/>
        <w:rPr>
          <w:rFonts w:hint="eastAsia" w:ascii="宋体" w:hAnsi="宋体" w:cs="宋体"/>
          <w:b/>
          <w:szCs w:val="21"/>
          <w:highlight w:val="none"/>
        </w:rPr>
      </w:pP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rPr>
          <w:rFonts w:ascii="宋体" w:cs="宋体"/>
          <w:highlight w:val="none"/>
        </w:rPr>
      </w:pPr>
      <w:r>
        <w:rPr>
          <w:rFonts w:hint="eastAsia" w:ascii="宋体" w:hAnsi="宋体" w:cs="宋体"/>
          <w:b/>
          <w:szCs w:val="21"/>
          <w:highlight w:val="none"/>
        </w:rPr>
        <w:t>注：“专家评分索引表”装订在商务技术文件首页。供应商应认真填写相关内容在响应文件中所对应的页码，否则有可能做无效标处理。</w:t>
      </w:r>
    </w:p>
    <w:bookmarkEnd w:id="138"/>
    <w:sectPr>
      <w:footerReference r:id="rId7" w:type="first"/>
      <w:footerReference r:id="rId6" w:type="default"/>
      <w:pgSz w:w="11906" w:h="16838"/>
      <w:pgMar w:top="1361" w:right="1587" w:bottom="1361" w:left="1587"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roman"/>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8"/>
                </w:pPr>
              </w:p>
            </w:txbxContent>
          </v:textbox>
        </v:shape>
      </w:pic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w:pict>
        <v:shape id="_x0000_s4102" o:spid="_x0000_s410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w:r>
    <w: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18"/>
                </w:pPr>
              </w:p>
            </w:txbxContent>
          </v:textbox>
        </v:shape>
      </w:pic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103" o:spid="_x0000_s410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pBdr>
        <w:bottom w:val="none" w:color="auto" w:sz="0" w:space="0"/>
      </w:pBdr>
      <w:jc w:val="left"/>
    </w:pPr>
  </w:p>
  <w:p>
    <w:pPr>
      <w:pStyle w:val="19"/>
      <w:pBdr>
        <w:bottom w:val="none" w:color="auto" w:sz="0" w:space="0"/>
      </w:pBdr>
      <w:jc w:val="left"/>
      <w:rPr>
        <w:rFonts w:hint="default" w:eastAsia="宋体"/>
        <w:u w:val="single"/>
        <w:lang w:val="en-US" w:eastAsia="zh-CN"/>
      </w:rPr>
    </w:pPr>
    <w:r>
      <w:rPr>
        <w:rFonts w:hint="eastAsia"/>
        <w:u w:val="single"/>
        <w:lang w:eastAsia="zh-CN"/>
      </w:rPr>
      <w:t>2024年度长合区两岗人员培训及专项培训项目</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left"/>
      <w:rPr>
        <w:rFonts w:hint="default" w:eastAsia="宋体"/>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E66A1"/>
    <w:multiLevelType w:val="singleLevel"/>
    <w:tmpl w:val="B04E66A1"/>
    <w:lvl w:ilvl="0" w:tentative="0">
      <w:start w:val="1"/>
      <w:numFmt w:val="decimal"/>
      <w:suff w:val="nothing"/>
      <w:lvlText w:val="（%1）"/>
      <w:lvlJc w:val="left"/>
      <w:rPr>
        <w:rFonts w:cs="Times New Roman"/>
      </w:rPr>
    </w:lvl>
  </w:abstractNum>
  <w:abstractNum w:abstractNumId="1">
    <w:nsid w:val="CCEF422A"/>
    <w:multiLevelType w:val="multilevel"/>
    <w:tmpl w:val="CCEF422A"/>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2">
    <w:nsid w:val="0378679F"/>
    <w:multiLevelType w:val="multilevel"/>
    <w:tmpl w:val="0378679F"/>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3">
    <w:nsid w:val="13406261"/>
    <w:multiLevelType w:val="multilevel"/>
    <w:tmpl w:val="13406261"/>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4">
    <w:nsid w:val="1478B84A"/>
    <w:multiLevelType w:val="singleLevel"/>
    <w:tmpl w:val="1478B84A"/>
    <w:lvl w:ilvl="0" w:tentative="0">
      <w:start w:val="1"/>
      <w:numFmt w:val="chineseCounting"/>
      <w:suff w:val="nothing"/>
      <w:lvlText w:val="%1、"/>
      <w:lvlJc w:val="left"/>
      <w:rPr>
        <w:rFonts w:hint="eastAsia"/>
      </w:rPr>
    </w:lvl>
  </w:abstractNum>
  <w:abstractNum w:abstractNumId="5">
    <w:nsid w:val="2CC2E4B4"/>
    <w:multiLevelType w:val="singleLevel"/>
    <w:tmpl w:val="2CC2E4B4"/>
    <w:lvl w:ilvl="0" w:tentative="0">
      <w:start w:val="1"/>
      <w:numFmt w:val="decimal"/>
      <w:suff w:val="space"/>
      <w:lvlText w:val="%1."/>
      <w:lvlJc w:val="left"/>
      <w:rPr>
        <w:rFonts w:cs="Times New Roman"/>
      </w:rPr>
    </w:lvl>
  </w:abstractNum>
  <w:abstractNum w:abstractNumId="6">
    <w:nsid w:val="4E40271D"/>
    <w:multiLevelType w:val="multilevel"/>
    <w:tmpl w:val="4E40271D"/>
    <w:lvl w:ilvl="0" w:tentative="0">
      <w:start w:val="1"/>
      <w:numFmt w:val="chineseCounting"/>
      <w:suff w:val="space"/>
      <w:lvlText w:val="第%1章"/>
      <w:lvlJc w:val="left"/>
      <w:pPr>
        <w:tabs>
          <w:tab w:val="left" w:pos="0"/>
        </w:tabs>
        <w:ind w:left="425" w:hanging="425"/>
      </w:pPr>
      <w:rPr>
        <w:rFonts w:hint="eastAsia" w:ascii="黑体" w:hAnsi="黑体" w:eastAsia="黑体" w:cs="宋体"/>
        <w:sz w:val="32"/>
        <w:szCs w:val="18"/>
        <w:lang w:val="en-US"/>
      </w:rPr>
    </w:lvl>
    <w:lvl w:ilvl="1" w:tentative="0">
      <w:start w:val="1"/>
      <w:numFmt w:val="chineseCounting"/>
      <w:suff w:val="space"/>
      <w:lvlText w:val="（%2）"/>
      <w:lvlJc w:val="left"/>
      <w:pPr>
        <w:tabs>
          <w:tab w:val="left" w:pos="420"/>
        </w:tabs>
        <w:ind w:left="847" w:hanging="567"/>
      </w:pPr>
      <w:rPr>
        <w:rFonts w:hint="eastAsia" w:ascii="宋体" w:hAnsi="宋体" w:eastAsia="宋体" w:cs="宋体"/>
        <w:sz w:val="28"/>
        <w:szCs w:val="28"/>
        <w:lang w:val="en-US"/>
      </w:rPr>
    </w:lvl>
    <w:lvl w:ilvl="2" w:tentative="0">
      <w:start w:val="1"/>
      <w:numFmt w:val="decimal"/>
      <w:pStyle w:val="6"/>
      <w:suff w:val="space"/>
      <w:lvlText w:val="%3."/>
      <w:lvlJc w:val="left"/>
      <w:rPr>
        <w:lang w:bidi="zh-CN"/>
      </w:rPr>
    </w:lvl>
    <w:lvl w:ilvl="3" w:tentative="0">
      <w:start w:val="1"/>
      <w:numFmt w:val="decimal"/>
      <w:isLgl/>
      <w:suff w:val="space"/>
      <w:lvlText w:val="%3.%4"/>
      <w:lvlJc w:val="left"/>
      <w:pPr>
        <w:tabs>
          <w:tab w:val="left" w:pos="0"/>
        </w:tabs>
        <w:ind w:left="850" w:hanging="850"/>
      </w:pPr>
    </w:lvl>
    <w:lvl w:ilvl="4" w:tentative="0">
      <w:start w:val="1"/>
      <w:numFmt w:val="decimalEnclosedCircleChinese"/>
      <w:isLgl/>
      <w:suff w:val="space"/>
      <w:lvlText w:val="%3.%4.%5"/>
      <w:lvlJc w:val="left"/>
      <w:pPr>
        <w:tabs>
          <w:tab w:val="left" w:pos="420"/>
        </w:tabs>
        <w:ind w:left="991" w:hanging="991"/>
      </w:pPr>
    </w:lvl>
    <w:lvl w:ilvl="5" w:tentative="0">
      <w:start w:val="1"/>
      <w:numFmt w:val="decimal"/>
      <w:isLgl/>
      <w:lvlText w:val="%5.%6"/>
      <w:lvlJc w:val="left"/>
      <w:pPr>
        <w:tabs>
          <w:tab w:val="left" w:pos="420"/>
        </w:tabs>
        <w:ind w:left="1134" w:hanging="1134"/>
      </w:pPr>
      <w:rPr>
        <w:rFonts w:hint="eastAsia" w:ascii="宋体" w:hAnsi="宋体" w:eastAsia="宋体" w:cs="宋体"/>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7">
    <w:nsid w:val="55840C01"/>
    <w:multiLevelType w:val="multilevel"/>
    <w:tmpl w:val="55840C01"/>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8">
    <w:nsid w:val="57E7F374"/>
    <w:multiLevelType w:val="multilevel"/>
    <w:tmpl w:val="57E7F374"/>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9">
    <w:nsid w:val="58D335FE"/>
    <w:multiLevelType w:val="multilevel"/>
    <w:tmpl w:val="58D335FE"/>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num w:numId="1">
    <w:abstractNumId w:val="6"/>
  </w:num>
  <w:num w:numId="2">
    <w:abstractNumId w:val="0"/>
  </w:num>
  <w:num w:numId="3">
    <w:abstractNumId w:val="8"/>
  </w:num>
  <w:num w:numId="4">
    <w:abstractNumId w:val="9"/>
  </w:num>
  <w:num w:numId="5">
    <w:abstractNumId w:val="2"/>
  </w:num>
  <w:num w:numId="6">
    <w:abstractNumId w:val="4"/>
  </w:num>
  <w:num w:numId="7">
    <w:abstractNumId w:val="7"/>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xODM0ZjIxN2JjZDg4ZmE2OWY4MjU2MGI0Yjg5OTAifQ=="/>
  </w:docVars>
  <w:rsids>
    <w:rsidRoot w:val="00AA54CE"/>
    <w:rsid w:val="000015B1"/>
    <w:rsid w:val="00002F4E"/>
    <w:rsid w:val="00003113"/>
    <w:rsid w:val="00003CEB"/>
    <w:rsid w:val="00005FD1"/>
    <w:rsid w:val="00012412"/>
    <w:rsid w:val="00015C38"/>
    <w:rsid w:val="0001673C"/>
    <w:rsid w:val="00016D88"/>
    <w:rsid w:val="000203E6"/>
    <w:rsid w:val="000263C6"/>
    <w:rsid w:val="00026C9E"/>
    <w:rsid w:val="00031C8F"/>
    <w:rsid w:val="000358B8"/>
    <w:rsid w:val="00035BC0"/>
    <w:rsid w:val="00042316"/>
    <w:rsid w:val="000430C1"/>
    <w:rsid w:val="00044981"/>
    <w:rsid w:val="0005129F"/>
    <w:rsid w:val="00060724"/>
    <w:rsid w:val="000634EA"/>
    <w:rsid w:val="00076510"/>
    <w:rsid w:val="0008056D"/>
    <w:rsid w:val="00084DBC"/>
    <w:rsid w:val="00092902"/>
    <w:rsid w:val="00096D39"/>
    <w:rsid w:val="000A140A"/>
    <w:rsid w:val="000A3461"/>
    <w:rsid w:val="000B68FD"/>
    <w:rsid w:val="000C51F3"/>
    <w:rsid w:val="000C6416"/>
    <w:rsid w:val="000D0A17"/>
    <w:rsid w:val="000E1F65"/>
    <w:rsid w:val="000E2EAD"/>
    <w:rsid w:val="000E5644"/>
    <w:rsid w:val="000E7414"/>
    <w:rsid w:val="000F0131"/>
    <w:rsid w:val="000F6217"/>
    <w:rsid w:val="001121D9"/>
    <w:rsid w:val="0011394D"/>
    <w:rsid w:val="001140D1"/>
    <w:rsid w:val="0011471D"/>
    <w:rsid w:val="0011636B"/>
    <w:rsid w:val="00116AA8"/>
    <w:rsid w:val="00117E99"/>
    <w:rsid w:val="00127B96"/>
    <w:rsid w:val="0013122D"/>
    <w:rsid w:val="001336C1"/>
    <w:rsid w:val="001346E8"/>
    <w:rsid w:val="00135BA9"/>
    <w:rsid w:val="00137D9D"/>
    <w:rsid w:val="00140A64"/>
    <w:rsid w:val="00142D03"/>
    <w:rsid w:val="00152697"/>
    <w:rsid w:val="00152F68"/>
    <w:rsid w:val="00155185"/>
    <w:rsid w:val="00162189"/>
    <w:rsid w:val="001621EA"/>
    <w:rsid w:val="001623CC"/>
    <w:rsid w:val="00174BD5"/>
    <w:rsid w:val="00175E3E"/>
    <w:rsid w:val="0017689A"/>
    <w:rsid w:val="00193B08"/>
    <w:rsid w:val="00193D58"/>
    <w:rsid w:val="00196C69"/>
    <w:rsid w:val="001A120D"/>
    <w:rsid w:val="001A16A6"/>
    <w:rsid w:val="001A632F"/>
    <w:rsid w:val="001A7226"/>
    <w:rsid w:val="001B7314"/>
    <w:rsid w:val="001B7AF2"/>
    <w:rsid w:val="001C56D6"/>
    <w:rsid w:val="001C5A41"/>
    <w:rsid w:val="001D5C43"/>
    <w:rsid w:val="001E0026"/>
    <w:rsid w:val="001E2308"/>
    <w:rsid w:val="001E52B2"/>
    <w:rsid w:val="001E56C7"/>
    <w:rsid w:val="001E64F4"/>
    <w:rsid w:val="001E6E11"/>
    <w:rsid w:val="001F0065"/>
    <w:rsid w:val="001F0ADD"/>
    <w:rsid w:val="001F36BB"/>
    <w:rsid w:val="001F3A4E"/>
    <w:rsid w:val="00202902"/>
    <w:rsid w:val="002102AE"/>
    <w:rsid w:val="002212F1"/>
    <w:rsid w:val="00226526"/>
    <w:rsid w:val="00230930"/>
    <w:rsid w:val="00232B4C"/>
    <w:rsid w:val="00232E0B"/>
    <w:rsid w:val="00237E5D"/>
    <w:rsid w:val="00241162"/>
    <w:rsid w:val="002426E8"/>
    <w:rsid w:val="002437D4"/>
    <w:rsid w:val="002504E3"/>
    <w:rsid w:val="00250FCF"/>
    <w:rsid w:val="002524C7"/>
    <w:rsid w:val="00252F20"/>
    <w:rsid w:val="00257688"/>
    <w:rsid w:val="00257780"/>
    <w:rsid w:val="0026115C"/>
    <w:rsid w:val="00263D6B"/>
    <w:rsid w:val="00267599"/>
    <w:rsid w:val="00276571"/>
    <w:rsid w:val="002815D5"/>
    <w:rsid w:val="00283054"/>
    <w:rsid w:val="00283CC9"/>
    <w:rsid w:val="00286FCD"/>
    <w:rsid w:val="00290DA2"/>
    <w:rsid w:val="00292713"/>
    <w:rsid w:val="002954C2"/>
    <w:rsid w:val="002A4780"/>
    <w:rsid w:val="002B00A2"/>
    <w:rsid w:val="002B06A4"/>
    <w:rsid w:val="002B1CCA"/>
    <w:rsid w:val="002B2775"/>
    <w:rsid w:val="002B27C0"/>
    <w:rsid w:val="002B34C5"/>
    <w:rsid w:val="002B4D55"/>
    <w:rsid w:val="002C2CC5"/>
    <w:rsid w:val="002C4ED1"/>
    <w:rsid w:val="002C6453"/>
    <w:rsid w:val="002D03C1"/>
    <w:rsid w:val="002D764D"/>
    <w:rsid w:val="002E0698"/>
    <w:rsid w:val="002E10B8"/>
    <w:rsid w:val="002E1FF3"/>
    <w:rsid w:val="002E22CC"/>
    <w:rsid w:val="002E4C8C"/>
    <w:rsid w:val="002E5BAA"/>
    <w:rsid w:val="002F7583"/>
    <w:rsid w:val="00301B69"/>
    <w:rsid w:val="003041B2"/>
    <w:rsid w:val="0030762C"/>
    <w:rsid w:val="00311BB8"/>
    <w:rsid w:val="0032052F"/>
    <w:rsid w:val="00321D9C"/>
    <w:rsid w:val="003236F4"/>
    <w:rsid w:val="003238DB"/>
    <w:rsid w:val="0032490A"/>
    <w:rsid w:val="00331855"/>
    <w:rsid w:val="00331C5C"/>
    <w:rsid w:val="00336C75"/>
    <w:rsid w:val="00341E07"/>
    <w:rsid w:val="00346EA7"/>
    <w:rsid w:val="0035038B"/>
    <w:rsid w:val="00350C22"/>
    <w:rsid w:val="0035105C"/>
    <w:rsid w:val="00353CAF"/>
    <w:rsid w:val="003544B2"/>
    <w:rsid w:val="0035467F"/>
    <w:rsid w:val="00354BED"/>
    <w:rsid w:val="003636BC"/>
    <w:rsid w:val="00364250"/>
    <w:rsid w:val="003643CB"/>
    <w:rsid w:val="0037700A"/>
    <w:rsid w:val="00377D4F"/>
    <w:rsid w:val="0038338F"/>
    <w:rsid w:val="00383688"/>
    <w:rsid w:val="00385E22"/>
    <w:rsid w:val="00392D05"/>
    <w:rsid w:val="00395B28"/>
    <w:rsid w:val="003979A9"/>
    <w:rsid w:val="003A2917"/>
    <w:rsid w:val="003A4FF0"/>
    <w:rsid w:val="003B185A"/>
    <w:rsid w:val="003B21E1"/>
    <w:rsid w:val="003B2678"/>
    <w:rsid w:val="003B4062"/>
    <w:rsid w:val="003B4BF1"/>
    <w:rsid w:val="003B556D"/>
    <w:rsid w:val="003B67C3"/>
    <w:rsid w:val="003C0EFA"/>
    <w:rsid w:val="003D1637"/>
    <w:rsid w:val="003E386D"/>
    <w:rsid w:val="003E485C"/>
    <w:rsid w:val="003E6A2F"/>
    <w:rsid w:val="003F3622"/>
    <w:rsid w:val="003F364D"/>
    <w:rsid w:val="003F3A25"/>
    <w:rsid w:val="003F44B7"/>
    <w:rsid w:val="004017B7"/>
    <w:rsid w:val="00407BBF"/>
    <w:rsid w:val="004152CB"/>
    <w:rsid w:val="00415FD2"/>
    <w:rsid w:val="00417139"/>
    <w:rsid w:val="00417282"/>
    <w:rsid w:val="00420DDE"/>
    <w:rsid w:val="00422EC8"/>
    <w:rsid w:val="0042535F"/>
    <w:rsid w:val="00426915"/>
    <w:rsid w:val="00426D29"/>
    <w:rsid w:val="0043390D"/>
    <w:rsid w:val="00435FA3"/>
    <w:rsid w:val="00441752"/>
    <w:rsid w:val="004417EB"/>
    <w:rsid w:val="00442974"/>
    <w:rsid w:val="00444638"/>
    <w:rsid w:val="00453621"/>
    <w:rsid w:val="00453EE0"/>
    <w:rsid w:val="0045447F"/>
    <w:rsid w:val="00456454"/>
    <w:rsid w:val="004621E0"/>
    <w:rsid w:val="004674B6"/>
    <w:rsid w:val="004805C7"/>
    <w:rsid w:val="00480FE3"/>
    <w:rsid w:val="00490014"/>
    <w:rsid w:val="004901EC"/>
    <w:rsid w:val="00492E08"/>
    <w:rsid w:val="00492EAC"/>
    <w:rsid w:val="00493D5F"/>
    <w:rsid w:val="00494071"/>
    <w:rsid w:val="004956AC"/>
    <w:rsid w:val="0049587E"/>
    <w:rsid w:val="004A3F5B"/>
    <w:rsid w:val="004A568A"/>
    <w:rsid w:val="004A7105"/>
    <w:rsid w:val="004B2A65"/>
    <w:rsid w:val="004B3130"/>
    <w:rsid w:val="004B6B09"/>
    <w:rsid w:val="004B6EC5"/>
    <w:rsid w:val="004B7448"/>
    <w:rsid w:val="004C0B20"/>
    <w:rsid w:val="004C10B7"/>
    <w:rsid w:val="004C37CE"/>
    <w:rsid w:val="004C4B3A"/>
    <w:rsid w:val="004C675F"/>
    <w:rsid w:val="004D28A1"/>
    <w:rsid w:val="004E32ED"/>
    <w:rsid w:val="004E69CB"/>
    <w:rsid w:val="004F22BE"/>
    <w:rsid w:val="004F63FD"/>
    <w:rsid w:val="004F6F57"/>
    <w:rsid w:val="00502CC7"/>
    <w:rsid w:val="005042B3"/>
    <w:rsid w:val="00504D39"/>
    <w:rsid w:val="00510C42"/>
    <w:rsid w:val="00515618"/>
    <w:rsid w:val="00517DD9"/>
    <w:rsid w:val="0052596D"/>
    <w:rsid w:val="00525F6C"/>
    <w:rsid w:val="00526689"/>
    <w:rsid w:val="005320A2"/>
    <w:rsid w:val="00554FBD"/>
    <w:rsid w:val="005561B0"/>
    <w:rsid w:val="00560A9E"/>
    <w:rsid w:val="00571211"/>
    <w:rsid w:val="00573E0D"/>
    <w:rsid w:val="00574712"/>
    <w:rsid w:val="00575126"/>
    <w:rsid w:val="00580752"/>
    <w:rsid w:val="00582391"/>
    <w:rsid w:val="00585EB4"/>
    <w:rsid w:val="005867EC"/>
    <w:rsid w:val="00590E6C"/>
    <w:rsid w:val="005923B5"/>
    <w:rsid w:val="00593485"/>
    <w:rsid w:val="00596383"/>
    <w:rsid w:val="005A422B"/>
    <w:rsid w:val="005A4852"/>
    <w:rsid w:val="005A4890"/>
    <w:rsid w:val="005B1079"/>
    <w:rsid w:val="005B3233"/>
    <w:rsid w:val="005B3439"/>
    <w:rsid w:val="005B3A1D"/>
    <w:rsid w:val="005C5604"/>
    <w:rsid w:val="005C5DF7"/>
    <w:rsid w:val="005D6966"/>
    <w:rsid w:val="005E0B4C"/>
    <w:rsid w:val="005E15EA"/>
    <w:rsid w:val="005F3D6B"/>
    <w:rsid w:val="005F5E34"/>
    <w:rsid w:val="00612211"/>
    <w:rsid w:val="00614E27"/>
    <w:rsid w:val="006162BB"/>
    <w:rsid w:val="0061633E"/>
    <w:rsid w:val="0061678C"/>
    <w:rsid w:val="00636AC1"/>
    <w:rsid w:val="006526F1"/>
    <w:rsid w:val="00654734"/>
    <w:rsid w:val="00657387"/>
    <w:rsid w:val="006602FC"/>
    <w:rsid w:val="00661485"/>
    <w:rsid w:val="0066698A"/>
    <w:rsid w:val="00671913"/>
    <w:rsid w:val="00674505"/>
    <w:rsid w:val="00681063"/>
    <w:rsid w:val="00683E5C"/>
    <w:rsid w:val="00687FF2"/>
    <w:rsid w:val="006910B6"/>
    <w:rsid w:val="00695136"/>
    <w:rsid w:val="006A36E7"/>
    <w:rsid w:val="006A3AAD"/>
    <w:rsid w:val="006A454C"/>
    <w:rsid w:val="006A51FA"/>
    <w:rsid w:val="006A7645"/>
    <w:rsid w:val="006A7F0B"/>
    <w:rsid w:val="006B46C1"/>
    <w:rsid w:val="006B7768"/>
    <w:rsid w:val="006C4736"/>
    <w:rsid w:val="006D2D7E"/>
    <w:rsid w:val="006D38DA"/>
    <w:rsid w:val="006D3AA2"/>
    <w:rsid w:val="006D5806"/>
    <w:rsid w:val="006D7950"/>
    <w:rsid w:val="006E0713"/>
    <w:rsid w:val="006E2AF2"/>
    <w:rsid w:val="006E3DDA"/>
    <w:rsid w:val="006F1EFA"/>
    <w:rsid w:val="006F3FF9"/>
    <w:rsid w:val="006F72FD"/>
    <w:rsid w:val="00700B4B"/>
    <w:rsid w:val="0070661F"/>
    <w:rsid w:val="00706B0B"/>
    <w:rsid w:val="007077A2"/>
    <w:rsid w:val="00707D9E"/>
    <w:rsid w:val="00711017"/>
    <w:rsid w:val="00714646"/>
    <w:rsid w:val="0071538E"/>
    <w:rsid w:val="00722966"/>
    <w:rsid w:val="00725414"/>
    <w:rsid w:val="007429C9"/>
    <w:rsid w:val="00743C75"/>
    <w:rsid w:val="007450FB"/>
    <w:rsid w:val="00746DCE"/>
    <w:rsid w:val="00747EDD"/>
    <w:rsid w:val="00750C31"/>
    <w:rsid w:val="007516CB"/>
    <w:rsid w:val="00751D64"/>
    <w:rsid w:val="00756BAD"/>
    <w:rsid w:val="007611D4"/>
    <w:rsid w:val="00771FD0"/>
    <w:rsid w:val="00773520"/>
    <w:rsid w:val="00775766"/>
    <w:rsid w:val="00776E29"/>
    <w:rsid w:val="00785338"/>
    <w:rsid w:val="00790EFD"/>
    <w:rsid w:val="007917FB"/>
    <w:rsid w:val="00792917"/>
    <w:rsid w:val="00793C29"/>
    <w:rsid w:val="00795A5C"/>
    <w:rsid w:val="007A2F91"/>
    <w:rsid w:val="007A3B2A"/>
    <w:rsid w:val="007A6D46"/>
    <w:rsid w:val="007C2601"/>
    <w:rsid w:val="007C2BA0"/>
    <w:rsid w:val="007C40A7"/>
    <w:rsid w:val="007D1856"/>
    <w:rsid w:val="007D1B74"/>
    <w:rsid w:val="007D2B8E"/>
    <w:rsid w:val="007D5803"/>
    <w:rsid w:val="007E23D6"/>
    <w:rsid w:val="007E30A3"/>
    <w:rsid w:val="007E418F"/>
    <w:rsid w:val="007F0BEB"/>
    <w:rsid w:val="007F61EF"/>
    <w:rsid w:val="008023DE"/>
    <w:rsid w:val="00802556"/>
    <w:rsid w:val="00812F6B"/>
    <w:rsid w:val="00816A05"/>
    <w:rsid w:val="00816FFB"/>
    <w:rsid w:val="00821618"/>
    <w:rsid w:val="00824BD6"/>
    <w:rsid w:val="00827DA5"/>
    <w:rsid w:val="00834EDB"/>
    <w:rsid w:val="008454DC"/>
    <w:rsid w:val="008478E6"/>
    <w:rsid w:val="008530A8"/>
    <w:rsid w:val="008541D0"/>
    <w:rsid w:val="00870AD4"/>
    <w:rsid w:val="00875B1B"/>
    <w:rsid w:val="00876566"/>
    <w:rsid w:val="0088050B"/>
    <w:rsid w:val="0088178F"/>
    <w:rsid w:val="00882EC8"/>
    <w:rsid w:val="00886D68"/>
    <w:rsid w:val="00887A11"/>
    <w:rsid w:val="00892638"/>
    <w:rsid w:val="008954DE"/>
    <w:rsid w:val="008A45EE"/>
    <w:rsid w:val="008B1273"/>
    <w:rsid w:val="008B73F8"/>
    <w:rsid w:val="008C4B3F"/>
    <w:rsid w:val="008C7304"/>
    <w:rsid w:val="008D304C"/>
    <w:rsid w:val="008D4A8D"/>
    <w:rsid w:val="008E1815"/>
    <w:rsid w:val="008E2F5A"/>
    <w:rsid w:val="008E55BC"/>
    <w:rsid w:val="008E5FA5"/>
    <w:rsid w:val="008E7179"/>
    <w:rsid w:val="008F094C"/>
    <w:rsid w:val="008F255A"/>
    <w:rsid w:val="008F2B5D"/>
    <w:rsid w:val="00905448"/>
    <w:rsid w:val="0091081D"/>
    <w:rsid w:val="0091414E"/>
    <w:rsid w:val="00915593"/>
    <w:rsid w:val="009157C7"/>
    <w:rsid w:val="00931790"/>
    <w:rsid w:val="00936BC9"/>
    <w:rsid w:val="009379D8"/>
    <w:rsid w:val="00940037"/>
    <w:rsid w:val="00943333"/>
    <w:rsid w:val="00945657"/>
    <w:rsid w:val="00952222"/>
    <w:rsid w:val="00961653"/>
    <w:rsid w:val="00966601"/>
    <w:rsid w:val="0096733A"/>
    <w:rsid w:val="00972B0E"/>
    <w:rsid w:val="00975EF9"/>
    <w:rsid w:val="00980944"/>
    <w:rsid w:val="0098327C"/>
    <w:rsid w:val="009858D8"/>
    <w:rsid w:val="0098605B"/>
    <w:rsid w:val="009877CA"/>
    <w:rsid w:val="00992AAE"/>
    <w:rsid w:val="0099610C"/>
    <w:rsid w:val="009A0015"/>
    <w:rsid w:val="009A2FEF"/>
    <w:rsid w:val="009A422A"/>
    <w:rsid w:val="009B1682"/>
    <w:rsid w:val="009B2CF5"/>
    <w:rsid w:val="009B5FC5"/>
    <w:rsid w:val="009B78E7"/>
    <w:rsid w:val="009C35E4"/>
    <w:rsid w:val="009C5B1E"/>
    <w:rsid w:val="009C6A84"/>
    <w:rsid w:val="009D2944"/>
    <w:rsid w:val="009E4B97"/>
    <w:rsid w:val="009F0997"/>
    <w:rsid w:val="009F344D"/>
    <w:rsid w:val="009F4034"/>
    <w:rsid w:val="00A11EEF"/>
    <w:rsid w:val="00A124CF"/>
    <w:rsid w:val="00A14FFA"/>
    <w:rsid w:val="00A15453"/>
    <w:rsid w:val="00A16F0C"/>
    <w:rsid w:val="00A2019F"/>
    <w:rsid w:val="00A2569D"/>
    <w:rsid w:val="00A30DB6"/>
    <w:rsid w:val="00A330BE"/>
    <w:rsid w:val="00A36674"/>
    <w:rsid w:val="00A40423"/>
    <w:rsid w:val="00A468A4"/>
    <w:rsid w:val="00A55B9A"/>
    <w:rsid w:val="00A66EA0"/>
    <w:rsid w:val="00A7305D"/>
    <w:rsid w:val="00A768D7"/>
    <w:rsid w:val="00A841FC"/>
    <w:rsid w:val="00A8424C"/>
    <w:rsid w:val="00A86D62"/>
    <w:rsid w:val="00A873E4"/>
    <w:rsid w:val="00A910EC"/>
    <w:rsid w:val="00A9450F"/>
    <w:rsid w:val="00A94712"/>
    <w:rsid w:val="00A970C0"/>
    <w:rsid w:val="00AA01C3"/>
    <w:rsid w:val="00AA0D56"/>
    <w:rsid w:val="00AA3DB2"/>
    <w:rsid w:val="00AA54CE"/>
    <w:rsid w:val="00AB000F"/>
    <w:rsid w:val="00AB295D"/>
    <w:rsid w:val="00AB6AFC"/>
    <w:rsid w:val="00AC0E61"/>
    <w:rsid w:val="00AC49D7"/>
    <w:rsid w:val="00AD24E9"/>
    <w:rsid w:val="00AD465B"/>
    <w:rsid w:val="00AD7B69"/>
    <w:rsid w:val="00AE28B0"/>
    <w:rsid w:val="00AE4405"/>
    <w:rsid w:val="00AF01C9"/>
    <w:rsid w:val="00AF6348"/>
    <w:rsid w:val="00B107AF"/>
    <w:rsid w:val="00B1092E"/>
    <w:rsid w:val="00B1118E"/>
    <w:rsid w:val="00B211F5"/>
    <w:rsid w:val="00B2378D"/>
    <w:rsid w:val="00B34A55"/>
    <w:rsid w:val="00B367D1"/>
    <w:rsid w:val="00B3713F"/>
    <w:rsid w:val="00B43A94"/>
    <w:rsid w:val="00B44E20"/>
    <w:rsid w:val="00B475BC"/>
    <w:rsid w:val="00B57E60"/>
    <w:rsid w:val="00B62C2D"/>
    <w:rsid w:val="00B7497B"/>
    <w:rsid w:val="00B82775"/>
    <w:rsid w:val="00B82898"/>
    <w:rsid w:val="00B82E84"/>
    <w:rsid w:val="00B85E24"/>
    <w:rsid w:val="00B94972"/>
    <w:rsid w:val="00BA0FD4"/>
    <w:rsid w:val="00BA2545"/>
    <w:rsid w:val="00BA26A7"/>
    <w:rsid w:val="00BA2CB7"/>
    <w:rsid w:val="00BA5F9C"/>
    <w:rsid w:val="00BB04EF"/>
    <w:rsid w:val="00BB0AED"/>
    <w:rsid w:val="00BB2C6B"/>
    <w:rsid w:val="00BC547C"/>
    <w:rsid w:val="00BD19AF"/>
    <w:rsid w:val="00BD2809"/>
    <w:rsid w:val="00BD36C7"/>
    <w:rsid w:val="00BD3E28"/>
    <w:rsid w:val="00BD4068"/>
    <w:rsid w:val="00BD524E"/>
    <w:rsid w:val="00BE7B30"/>
    <w:rsid w:val="00BF70B7"/>
    <w:rsid w:val="00C008F7"/>
    <w:rsid w:val="00C1046C"/>
    <w:rsid w:val="00C10E9D"/>
    <w:rsid w:val="00C148CC"/>
    <w:rsid w:val="00C15B12"/>
    <w:rsid w:val="00C16114"/>
    <w:rsid w:val="00C2262D"/>
    <w:rsid w:val="00C2678D"/>
    <w:rsid w:val="00C34C38"/>
    <w:rsid w:val="00C35DB1"/>
    <w:rsid w:val="00C413CF"/>
    <w:rsid w:val="00C44570"/>
    <w:rsid w:val="00C45871"/>
    <w:rsid w:val="00C50751"/>
    <w:rsid w:val="00C518B8"/>
    <w:rsid w:val="00C5211D"/>
    <w:rsid w:val="00C53F36"/>
    <w:rsid w:val="00C56C78"/>
    <w:rsid w:val="00C576C7"/>
    <w:rsid w:val="00C634D3"/>
    <w:rsid w:val="00C747F9"/>
    <w:rsid w:val="00C76A2C"/>
    <w:rsid w:val="00C91119"/>
    <w:rsid w:val="00C913CB"/>
    <w:rsid w:val="00C92204"/>
    <w:rsid w:val="00C92447"/>
    <w:rsid w:val="00C930E2"/>
    <w:rsid w:val="00C94FF0"/>
    <w:rsid w:val="00CA2413"/>
    <w:rsid w:val="00CA507C"/>
    <w:rsid w:val="00CA7036"/>
    <w:rsid w:val="00CA76DF"/>
    <w:rsid w:val="00CB4BA0"/>
    <w:rsid w:val="00CB6882"/>
    <w:rsid w:val="00CC23C5"/>
    <w:rsid w:val="00CC3841"/>
    <w:rsid w:val="00CD0C33"/>
    <w:rsid w:val="00CD2A30"/>
    <w:rsid w:val="00CE1F6B"/>
    <w:rsid w:val="00CE26EC"/>
    <w:rsid w:val="00CE36DE"/>
    <w:rsid w:val="00CF5C50"/>
    <w:rsid w:val="00D01923"/>
    <w:rsid w:val="00D17A6D"/>
    <w:rsid w:val="00D17C46"/>
    <w:rsid w:val="00D20686"/>
    <w:rsid w:val="00D21ABC"/>
    <w:rsid w:val="00D22025"/>
    <w:rsid w:val="00D22032"/>
    <w:rsid w:val="00D22F8F"/>
    <w:rsid w:val="00D24532"/>
    <w:rsid w:val="00D30DA6"/>
    <w:rsid w:val="00D42DB9"/>
    <w:rsid w:val="00D442AB"/>
    <w:rsid w:val="00D4536B"/>
    <w:rsid w:val="00D53DB1"/>
    <w:rsid w:val="00D62F06"/>
    <w:rsid w:val="00D64A39"/>
    <w:rsid w:val="00D73C16"/>
    <w:rsid w:val="00D7581D"/>
    <w:rsid w:val="00D76D8E"/>
    <w:rsid w:val="00D860BC"/>
    <w:rsid w:val="00D9158A"/>
    <w:rsid w:val="00D969BB"/>
    <w:rsid w:val="00D97B29"/>
    <w:rsid w:val="00DA02BA"/>
    <w:rsid w:val="00DA0CAF"/>
    <w:rsid w:val="00DA44A0"/>
    <w:rsid w:val="00DB0D1D"/>
    <w:rsid w:val="00DB143B"/>
    <w:rsid w:val="00DB359F"/>
    <w:rsid w:val="00DB5876"/>
    <w:rsid w:val="00DB61E3"/>
    <w:rsid w:val="00DC156A"/>
    <w:rsid w:val="00DC2172"/>
    <w:rsid w:val="00DC3DDC"/>
    <w:rsid w:val="00DC4D90"/>
    <w:rsid w:val="00DC5452"/>
    <w:rsid w:val="00DC6897"/>
    <w:rsid w:val="00DD40E7"/>
    <w:rsid w:val="00DD42D0"/>
    <w:rsid w:val="00DD4AF1"/>
    <w:rsid w:val="00DD6DB2"/>
    <w:rsid w:val="00DE1E76"/>
    <w:rsid w:val="00DE5C5F"/>
    <w:rsid w:val="00DE64A4"/>
    <w:rsid w:val="00E02002"/>
    <w:rsid w:val="00E03832"/>
    <w:rsid w:val="00E04679"/>
    <w:rsid w:val="00E06C53"/>
    <w:rsid w:val="00E07077"/>
    <w:rsid w:val="00E1113B"/>
    <w:rsid w:val="00E11B79"/>
    <w:rsid w:val="00E150F3"/>
    <w:rsid w:val="00E246B0"/>
    <w:rsid w:val="00E25AC4"/>
    <w:rsid w:val="00E33CCD"/>
    <w:rsid w:val="00E422CE"/>
    <w:rsid w:val="00E430A1"/>
    <w:rsid w:val="00E44CE4"/>
    <w:rsid w:val="00E55AFB"/>
    <w:rsid w:val="00E60336"/>
    <w:rsid w:val="00E606E4"/>
    <w:rsid w:val="00E640F3"/>
    <w:rsid w:val="00E7171C"/>
    <w:rsid w:val="00E72C78"/>
    <w:rsid w:val="00E73ED1"/>
    <w:rsid w:val="00E75C3F"/>
    <w:rsid w:val="00E77CD1"/>
    <w:rsid w:val="00E82CEE"/>
    <w:rsid w:val="00E8549E"/>
    <w:rsid w:val="00E90137"/>
    <w:rsid w:val="00EA0017"/>
    <w:rsid w:val="00EA337C"/>
    <w:rsid w:val="00EA4A0B"/>
    <w:rsid w:val="00EA4A99"/>
    <w:rsid w:val="00EB466A"/>
    <w:rsid w:val="00EC19E0"/>
    <w:rsid w:val="00EC7909"/>
    <w:rsid w:val="00ED40CC"/>
    <w:rsid w:val="00ED73FA"/>
    <w:rsid w:val="00EE712A"/>
    <w:rsid w:val="00EF2A2C"/>
    <w:rsid w:val="00EF2FC8"/>
    <w:rsid w:val="00EF4DA1"/>
    <w:rsid w:val="00F134E2"/>
    <w:rsid w:val="00F1427F"/>
    <w:rsid w:val="00F14712"/>
    <w:rsid w:val="00F147BD"/>
    <w:rsid w:val="00F17B70"/>
    <w:rsid w:val="00F3056F"/>
    <w:rsid w:val="00F33591"/>
    <w:rsid w:val="00F377C6"/>
    <w:rsid w:val="00F37A83"/>
    <w:rsid w:val="00F4343B"/>
    <w:rsid w:val="00F448C0"/>
    <w:rsid w:val="00F54F05"/>
    <w:rsid w:val="00F558B5"/>
    <w:rsid w:val="00F6438F"/>
    <w:rsid w:val="00F64E27"/>
    <w:rsid w:val="00F65473"/>
    <w:rsid w:val="00F65655"/>
    <w:rsid w:val="00F67572"/>
    <w:rsid w:val="00F76BD9"/>
    <w:rsid w:val="00F7707A"/>
    <w:rsid w:val="00F817A7"/>
    <w:rsid w:val="00F83EFA"/>
    <w:rsid w:val="00F9086E"/>
    <w:rsid w:val="00F91CC4"/>
    <w:rsid w:val="00F9550F"/>
    <w:rsid w:val="00F95FC0"/>
    <w:rsid w:val="00FA47AB"/>
    <w:rsid w:val="00FA6213"/>
    <w:rsid w:val="00FB2D04"/>
    <w:rsid w:val="00FC1346"/>
    <w:rsid w:val="00FC3582"/>
    <w:rsid w:val="00FD7D31"/>
    <w:rsid w:val="00FE10E2"/>
    <w:rsid w:val="00FE7F3D"/>
    <w:rsid w:val="00FF502C"/>
    <w:rsid w:val="01006C98"/>
    <w:rsid w:val="011758CA"/>
    <w:rsid w:val="01246222"/>
    <w:rsid w:val="01710893"/>
    <w:rsid w:val="01BE39D3"/>
    <w:rsid w:val="01C90C4A"/>
    <w:rsid w:val="0211011C"/>
    <w:rsid w:val="02434ACB"/>
    <w:rsid w:val="02804781"/>
    <w:rsid w:val="028E26C7"/>
    <w:rsid w:val="0295550B"/>
    <w:rsid w:val="040A04C0"/>
    <w:rsid w:val="040C516C"/>
    <w:rsid w:val="0425211F"/>
    <w:rsid w:val="05322C2F"/>
    <w:rsid w:val="0550796B"/>
    <w:rsid w:val="05C53FD7"/>
    <w:rsid w:val="05FA721E"/>
    <w:rsid w:val="060E37AA"/>
    <w:rsid w:val="06D61787"/>
    <w:rsid w:val="074607FB"/>
    <w:rsid w:val="079F4C76"/>
    <w:rsid w:val="07B332B1"/>
    <w:rsid w:val="07B45083"/>
    <w:rsid w:val="07BE629E"/>
    <w:rsid w:val="07F95346"/>
    <w:rsid w:val="080B4B43"/>
    <w:rsid w:val="08290F91"/>
    <w:rsid w:val="084749C8"/>
    <w:rsid w:val="08B16BE0"/>
    <w:rsid w:val="08C94FF9"/>
    <w:rsid w:val="08FE0041"/>
    <w:rsid w:val="09222223"/>
    <w:rsid w:val="096E3EE6"/>
    <w:rsid w:val="09D24F88"/>
    <w:rsid w:val="0A4F089D"/>
    <w:rsid w:val="0B483BC7"/>
    <w:rsid w:val="0B5C46C6"/>
    <w:rsid w:val="0BC55773"/>
    <w:rsid w:val="0BC929F4"/>
    <w:rsid w:val="0BE87CEE"/>
    <w:rsid w:val="0C236487"/>
    <w:rsid w:val="0C310B6C"/>
    <w:rsid w:val="0C4511BE"/>
    <w:rsid w:val="0C466569"/>
    <w:rsid w:val="0C7620CF"/>
    <w:rsid w:val="0CA301E3"/>
    <w:rsid w:val="0CE709D1"/>
    <w:rsid w:val="0CF65C00"/>
    <w:rsid w:val="0D59622B"/>
    <w:rsid w:val="0D63265E"/>
    <w:rsid w:val="0D7C6BB9"/>
    <w:rsid w:val="0D882ACC"/>
    <w:rsid w:val="0D9B7FCD"/>
    <w:rsid w:val="0DCB406E"/>
    <w:rsid w:val="0E2A4679"/>
    <w:rsid w:val="0E5A6378"/>
    <w:rsid w:val="0E8C42D0"/>
    <w:rsid w:val="0EA5611C"/>
    <w:rsid w:val="0EFB3EE3"/>
    <w:rsid w:val="0F2E5740"/>
    <w:rsid w:val="0FB87958"/>
    <w:rsid w:val="0FC72D3C"/>
    <w:rsid w:val="0FEC510D"/>
    <w:rsid w:val="0FF008F5"/>
    <w:rsid w:val="10203C3F"/>
    <w:rsid w:val="102E3E21"/>
    <w:rsid w:val="10616F21"/>
    <w:rsid w:val="10BD6788"/>
    <w:rsid w:val="114A38A9"/>
    <w:rsid w:val="116524E3"/>
    <w:rsid w:val="11C35D89"/>
    <w:rsid w:val="11C57E28"/>
    <w:rsid w:val="121A5FCD"/>
    <w:rsid w:val="122F7B2D"/>
    <w:rsid w:val="1280638D"/>
    <w:rsid w:val="129C02C4"/>
    <w:rsid w:val="13014916"/>
    <w:rsid w:val="1303381E"/>
    <w:rsid w:val="1318750C"/>
    <w:rsid w:val="131C1BCB"/>
    <w:rsid w:val="1423634A"/>
    <w:rsid w:val="149A1237"/>
    <w:rsid w:val="150E7E64"/>
    <w:rsid w:val="1522055C"/>
    <w:rsid w:val="153F4C0B"/>
    <w:rsid w:val="154C3D3E"/>
    <w:rsid w:val="15AC6BCF"/>
    <w:rsid w:val="15CA6025"/>
    <w:rsid w:val="15DA62DD"/>
    <w:rsid w:val="1618559A"/>
    <w:rsid w:val="16216C55"/>
    <w:rsid w:val="163F4EFF"/>
    <w:rsid w:val="16476980"/>
    <w:rsid w:val="16940BAF"/>
    <w:rsid w:val="16B35E18"/>
    <w:rsid w:val="16BE41A4"/>
    <w:rsid w:val="16D83A36"/>
    <w:rsid w:val="174B6C8A"/>
    <w:rsid w:val="178B5320"/>
    <w:rsid w:val="17A37D02"/>
    <w:rsid w:val="17AC3DF0"/>
    <w:rsid w:val="17E62623"/>
    <w:rsid w:val="18280650"/>
    <w:rsid w:val="183F7C02"/>
    <w:rsid w:val="18691307"/>
    <w:rsid w:val="187928C6"/>
    <w:rsid w:val="187976EE"/>
    <w:rsid w:val="18A81DA2"/>
    <w:rsid w:val="18B91E30"/>
    <w:rsid w:val="19540E26"/>
    <w:rsid w:val="19EA2014"/>
    <w:rsid w:val="19FE2A54"/>
    <w:rsid w:val="1A071941"/>
    <w:rsid w:val="1A4203A7"/>
    <w:rsid w:val="1A5F4402"/>
    <w:rsid w:val="1A9D5C1B"/>
    <w:rsid w:val="1B323377"/>
    <w:rsid w:val="1C1E6982"/>
    <w:rsid w:val="1C40395B"/>
    <w:rsid w:val="1C45364B"/>
    <w:rsid w:val="1C5727E7"/>
    <w:rsid w:val="1C640003"/>
    <w:rsid w:val="1CE356A9"/>
    <w:rsid w:val="1CE43599"/>
    <w:rsid w:val="1D567BA9"/>
    <w:rsid w:val="1D6A03FE"/>
    <w:rsid w:val="1D885188"/>
    <w:rsid w:val="1D9E26A4"/>
    <w:rsid w:val="1DB35FD5"/>
    <w:rsid w:val="1DD068A6"/>
    <w:rsid w:val="1DD1105C"/>
    <w:rsid w:val="1DF36F7B"/>
    <w:rsid w:val="1EDF674E"/>
    <w:rsid w:val="1F1A15E4"/>
    <w:rsid w:val="1F276947"/>
    <w:rsid w:val="1F2E62C1"/>
    <w:rsid w:val="1F3421A9"/>
    <w:rsid w:val="1FA54661"/>
    <w:rsid w:val="1FA655E0"/>
    <w:rsid w:val="1FC83001"/>
    <w:rsid w:val="1FE12068"/>
    <w:rsid w:val="205926AB"/>
    <w:rsid w:val="20E21D4E"/>
    <w:rsid w:val="21161DC5"/>
    <w:rsid w:val="211A4CA2"/>
    <w:rsid w:val="21451F12"/>
    <w:rsid w:val="217216E5"/>
    <w:rsid w:val="2211244F"/>
    <w:rsid w:val="22491A77"/>
    <w:rsid w:val="2250495A"/>
    <w:rsid w:val="22633695"/>
    <w:rsid w:val="22691B98"/>
    <w:rsid w:val="22751D24"/>
    <w:rsid w:val="22943D42"/>
    <w:rsid w:val="22CD2BFB"/>
    <w:rsid w:val="2381662F"/>
    <w:rsid w:val="23CD0FD4"/>
    <w:rsid w:val="246A25EC"/>
    <w:rsid w:val="2476229D"/>
    <w:rsid w:val="247E6772"/>
    <w:rsid w:val="24E82607"/>
    <w:rsid w:val="251033B9"/>
    <w:rsid w:val="25245F91"/>
    <w:rsid w:val="254A3258"/>
    <w:rsid w:val="25E86B7F"/>
    <w:rsid w:val="25F7163A"/>
    <w:rsid w:val="266613DF"/>
    <w:rsid w:val="267020AE"/>
    <w:rsid w:val="26BC6432"/>
    <w:rsid w:val="26C417E7"/>
    <w:rsid w:val="272E75D9"/>
    <w:rsid w:val="278B4096"/>
    <w:rsid w:val="279208B7"/>
    <w:rsid w:val="28052E70"/>
    <w:rsid w:val="287C157A"/>
    <w:rsid w:val="28881F27"/>
    <w:rsid w:val="290F6DE1"/>
    <w:rsid w:val="292204E8"/>
    <w:rsid w:val="29BA042C"/>
    <w:rsid w:val="29D0388D"/>
    <w:rsid w:val="2A256853"/>
    <w:rsid w:val="2A830979"/>
    <w:rsid w:val="2AA646BC"/>
    <w:rsid w:val="2ABD6727"/>
    <w:rsid w:val="2ADC6A54"/>
    <w:rsid w:val="2AE10FA9"/>
    <w:rsid w:val="2B1E78E8"/>
    <w:rsid w:val="2BE84693"/>
    <w:rsid w:val="2C475903"/>
    <w:rsid w:val="2CA0541A"/>
    <w:rsid w:val="2CAD0B81"/>
    <w:rsid w:val="2D8F00C8"/>
    <w:rsid w:val="2D9A17B8"/>
    <w:rsid w:val="2DB161D0"/>
    <w:rsid w:val="2E06749A"/>
    <w:rsid w:val="2E6B17BE"/>
    <w:rsid w:val="2E887BA6"/>
    <w:rsid w:val="2E895EF2"/>
    <w:rsid w:val="2F63356A"/>
    <w:rsid w:val="2F720202"/>
    <w:rsid w:val="30460CAE"/>
    <w:rsid w:val="30472042"/>
    <w:rsid w:val="304B5C34"/>
    <w:rsid w:val="30626A23"/>
    <w:rsid w:val="30F90B56"/>
    <w:rsid w:val="31051F76"/>
    <w:rsid w:val="31743B54"/>
    <w:rsid w:val="31744B80"/>
    <w:rsid w:val="319649F6"/>
    <w:rsid w:val="31BE28C0"/>
    <w:rsid w:val="31E50E81"/>
    <w:rsid w:val="322D6586"/>
    <w:rsid w:val="32D90296"/>
    <w:rsid w:val="32ED3E68"/>
    <w:rsid w:val="32F508B7"/>
    <w:rsid w:val="331425A9"/>
    <w:rsid w:val="3317541D"/>
    <w:rsid w:val="33B908A4"/>
    <w:rsid w:val="33CD3987"/>
    <w:rsid w:val="33D25C33"/>
    <w:rsid w:val="34023724"/>
    <w:rsid w:val="34076580"/>
    <w:rsid w:val="342045F8"/>
    <w:rsid w:val="343329DD"/>
    <w:rsid w:val="34452416"/>
    <w:rsid w:val="352479C5"/>
    <w:rsid w:val="35680DD5"/>
    <w:rsid w:val="35A00653"/>
    <w:rsid w:val="36616E16"/>
    <w:rsid w:val="3678368B"/>
    <w:rsid w:val="36C810F6"/>
    <w:rsid w:val="36CB28B1"/>
    <w:rsid w:val="36DA7901"/>
    <w:rsid w:val="36E37CAA"/>
    <w:rsid w:val="36FC32AA"/>
    <w:rsid w:val="376F1919"/>
    <w:rsid w:val="3840559F"/>
    <w:rsid w:val="38C962F2"/>
    <w:rsid w:val="391C1D28"/>
    <w:rsid w:val="393048AB"/>
    <w:rsid w:val="399440A1"/>
    <w:rsid w:val="39AF38AC"/>
    <w:rsid w:val="39E3734B"/>
    <w:rsid w:val="3A204032"/>
    <w:rsid w:val="3A2D2830"/>
    <w:rsid w:val="3A396138"/>
    <w:rsid w:val="3A3E6B83"/>
    <w:rsid w:val="3A804592"/>
    <w:rsid w:val="3A9B0794"/>
    <w:rsid w:val="3AED2B0A"/>
    <w:rsid w:val="3B0358CE"/>
    <w:rsid w:val="3B282854"/>
    <w:rsid w:val="3B37435C"/>
    <w:rsid w:val="3B3E2CF4"/>
    <w:rsid w:val="3B3E796D"/>
    <w:rsid w:val="3B4E14F1"/>
    <w:rsid w:val="3B7F4030"/>
    <w:rsid w:val="3BBD4D3D"/>
    <w:rsid w:val="3C8C3EFC"/>
    <w:rsid w:val="3CE44D48"/>
    <w:rsid w:val="3D0D6723"/>
    <w:rsid w:val="3D656978"/>
    <w:rsid w:val="3D6D00A3"/>
    <w:rsid w:val="3D6D22AE"/>
    <w:rsid w:val="3DE2249A"/>
    <w:rsid w:val="3DEA7723"/>
    <w:rsid w:val="3E3C7711"/>
    <w:rsid w:val="3ED65E09"/>
    <w:rsid w:val="3EFB73C4"/>
    <w:rsid w:val="3F531478"/>
    <w:rsid w:val="3FC22808"/>
    <w:rsid w:val="3FF5663E"/>
    <w:rsid w:val="3FF971CD"/>
    <w:rsid w:val="400E2C48"/>
    <w:rsid w:val="40B608A4"/>
    <w:rsid w:val="4104587D"/>
    <w:rsid w:val="415141AC"/>
    <w:rsid w:val="417E0B17"/>
    <w:rsid w:val="418F0350"/>
    <w:rsid w:val="41CF0CCA"/>
    <w:rsid w:val="423E6735"/>
    <w:rsid w:val="42E24418"/>
    <w:rsid w:val="43103F85"/>
    <w:rsid w:val="45C66C5D"/>
    <w:rsid w:val="45E8401B"/>
    <w:rsid w:val="460C5ACD"/>
    <w:rsid w:val="461834F6"/>
    <w:rsid w:val="46460EE5"/>
    <w:rsid w:val="468F7AB2"/>
    <w:rsid w:val="46C609E9"/>
    <w:rsid w:val="46CD3D53"/>
    <w:rsid w:val="46D96FF6"/>
    <w:rsid w:val="470F3C79"/>
    <w:rsid w:val="47C83F0B"/>
    <w:rsid w:val="48736A67"/>
    <w:rsid w:val="488E7588"/>
    <w:rsid w:val="48B72B29"/>
    <w:rsid w:val="4940366F"/>
    <w:rsid w:val="494B0BF5"/>
    <w:rsid w:val="49D82910"/>
    <w:rsid w:val="4A1F3E13"/>
    <w:rsid w:val="4A232A38"/>
    <w:rsid w:val="4A4A38AE"/>
    <w:rsid w:val="4A8A7736"/>
    <w:rsid w:val="4AB62173"/>
    <w:rsid w:val="4AE320E4"/>
    <w:rsid w:val="4AF46FEB"/>
    <w:rsid w:val="4B26663A"/>
    <w:rsid w:val="4B2B01CF"/>
    <w:rsid w:val="4B3A1853"/>
    <w:rsid w:val="4B596F3B"/>
    <w:rsid w:val="4B617B2C"/>
    <w:rsid w:val="4B6B5317"/>
    <w:rsid w:val="4BD85AE2"/>
    <w:rsid w:val="4BF948F0"/>
    <w:rsid w:val="4C46039D"/>
    <w:rsid w:val="4C5E3E9B"/>
    <w:rsid w:val="4C7B1118"/>
    <w:rsid w:val="4C7B2D4A"/>
    <w:rsid w:val="4D1D72E3"/>
    <w:rsid w:val="4D9A0192"/>
    <w:rsid w:val="4DDB13B3"/>
    <w:rsid w:val="4DE376DA"/>
    <w:rsid w:val="4E05002E"/>
    <w:rsid w:val="4E2915B3"/>
    <w:rsid w:val="4E317374"/>
    <w:rsid w:val="4E5C1128"/>
    <w:rsid w:val="4EB71FD7"/>
    <w:rsid w:val="4EC731AC"/>
    <w:rsid w:val="4EFD5083"/>
    <w:rsid w:val="4F0B752B"/>
    <w:rsid w:val="4F372FC7"/>
    <w:rsid w:val="4F531262"/>
    <w:rsid w:val="4F5F2593"/>
    <w:rsid w:val="4FF44D7B"/>
    <w:rsid w:val="501012C2"/>
    <w:rsid w:val="504B1DF9"/>
    <w:rsid w:val="506F047B"/>
    <w:rsid w:val="50A6515E"/>
    <w:rsid w:val="50BA786B"/>
    <w:rsid w:val="50D205A9"/>
    <w:rsid w:val="51006555"/>
    <w:rsid w:val="5115109C"/>
    <w:rsid w:val="5134031D"/>
    <w:rsid w:val="51401537"/>
    <w:rsid w:val="51702BC7"/>
    <w:rsid w:val="51D55788"/>
    <w:rsid w:val="52BE5863"/>
    <w:rsid w:val="52CB39A1"/>
    <w:rsid w:val="52F85E35"/>
    <w:rsid w:val="52FE6F34"/>
    <w:rsid w:val="531329BD"/>
    <w:rsid w:val="533365DF"/>
    <w:rsid w:val="54E04F9A"/>
    <w:rsid w:val="551C62C9"/>
    <w:rsid w:val="554329FC"/>
    <w:rsid w:val="555A28F0"/>
    <w:rsid w:val="556A6054"/>
    <w:rsid w:val="556D208E"/>
    <w:rsid w:val="55B3484C"/>
    <w:rsid w:val="55E54FDA"/>
    <w:rsid w:val="56161BC1"/>
    <w:rsid w:val="563B0804"/>
    <w:rsid w:val="56757B73"/>
    <w:rsid w:val="567807A8"/>
    <w:rsid w:val="56EA399C"/>
    <w:rsid w:val="56F0448F"/>
    <w:rsid w:val="5775155A"/>
    <w:rsid w:val="577801EC"/>
    <w:rsid w:val="58032571"/>
    <w:rsid w:val="58531BED"/>
    <w:rsid w:val="586B652D"/>
    <w:rsid w:val="589864D3"/>
    <w:rsid w:val="589F4FDC"/>
    <w:rsid w:val="58E0039E"/>
    <w:rsid w:val="58E913C0"/>
    <w:rsid w:val="59202BCC"/>
    <w:rsid w:val="594707C9"/>
    <w:rsid w:val="595D282E"/>
    <w:rsid w:val="5962070D"/>
    <w:rsid w:val="597C1B54"/>
    <w:rsid w:val="59F142AE"/>
    <w:rsid w:val="59FF19FA"/>
    <w:rsid w:val="5A966031"/>
    <w:rsid w:val="5AF52884"/>
    <w:rsid w:val="5B12188D"/>
    <w:rsid w:val="5B2F0844"/>
    <w:rsid w:val="5B773D8A"/>
    <w:rsid w:val="5BFD6A95"/>
    <w:rsid w:val="5C2023C1"/>
    <w:rsid w:val="5C4A2849"/>
    <w:rsid w:val="5C4B4BEE"/>
    <w:rsid w:val="5C57291E"/>
    <w:rsid w:val="5CDD3609"/>
    <w:rsid w:val="5D1367C9"/>
    <w:rsid w:val="5D3D0543"/>
    <w:rsid w:val="5D732EB7"/>
    <w:rsid w:val="5E021BE6"/>
    <w:rsid w:val="5E265CEF"/>
    <w:rsid w:val="5E390E24"/>
    <w:rsid w:val="5E7F1777"/>
    <w:rsid w:val="5E854674"/>
    <w:rsid w:val="5E900730"/>
    <w:rsid w:val="5EA655F3"/>
    <w:rsid w:val="5EA94ACC"/>
    <w:rsid w:val="5EB1715A"/>
    <w:rsid w:val="5EB9176F"/>
    <w:rsid w:val="5F107523"/>
    <w:rsid w:val="5F1B2659"/>
    <w:rsid w:val="5F320607"/>
    <w:rsid w:val="5F9C6C3E"/>
    <w:rsid w:val="5FBD71E5"/>
    <w:rsid w:val="60375072"/>
    <w:rsid w:val="60507BE3"/>
    <w:rsid w:val="60984A48"/>
    <w:rsid w:val="61043BE2"/>
    <w:rsid w:val="613502CD"/>
    <w:rsid w:val="615256FE"/>
    <w:rsid w:val="61664963"/>
    <w:rsid w:val="61B719C0"/>
    <w:rsid w:val="61CC110D"/>
    <w:rsid w:val="61D674B2"/>
    <w:rsid w:val="61F236AF"/>
    <w:rsid w:val="627250D3"/>
    <w:rsid w:val="62804139"/>
    <w:rsid w:val="628628EB"/>
    <w:rsid w:val="63147A1A"/>
    <w:rsid w:val="631E0515"/>
    <w:rsid w:val="633E7AFD"/>
    <w:rsid w:val="63822421"/>
    <w:rsid w:val="639F6580"/>
    <w:rsid w:val="63E306CE"/>
    <w:rsid w:val="63FC0C5A"/>
    <w:rsid w:val="6418023D"/>
    <w:rsid w:val="6441492F"/>
    <w:rsid w:val="645E7B38"/>
    <w:rsid w:val="64A9629C"/>
    <w:rsid w:val="64AE04B2"/>
    <w:rsid w:val="64DA276D"/>
    <w:rsid w:val="659D3DF6"/>
    <w:rsid w:val="65E1359C"/>
    <w:rsid w:val="65FA08D1"/>
    <w:rsid w:val="668D0003"/>
    <w:rsid w:val="668F45C7"/>
    <w:rsid w:val="66A01E20"/>
    <w:rsid w:val="66E81480"/>
    <w:rsid w:val="674766D4"/>
    <w:rsid w:val="67B96971"/>
    <w:rsid w:val="6813091A"/>
    <w:rsid w:val="6839042C"/>
    <w:rsid w:val="68592934"/>
    <w:rsid w:val="68A37B52"/>
    <w:rsid w:val="68A84D7C"/>
    <w:rsid w:val="68F656F3"/>
    <w:rsid w:val="690A54C2"/>
    <w:rsid w:val="69C35533"/>
    <w:rsid w:val="6A065370"/>
    <w:rsid w:val="6A091C0C"/>
    <w:rsid w:val="6A1E46FF"/>
    <w:rsid w:val="6A8F3246"/>
    <w:rsid w:val="6ADB076B"/>
    <w:rsid w:val="6B0F46FF"/>
    <w:rsid w:val="6BA35411"/>
    <w:rsid w:val="6BA92E11"/>
    <w:rsid w:val="6C1F5711"/>
    <w:rsid w:val="6C2245E8"/>
    <w:rsid w:val="6C2338E4"/>
    <w:rsid w:val="6C63494D"/>
    <w:rsid w:val="6C88625E"/>
    <w:rsid w:val="6D6956C6"/>
    <w:rsid w:val="6D8E52D6"/>
    <w:rsid w:val="6DB32BC9"/>
    <w:rsid w:val="6E5C2A14"/>
    <w:rsid w:val="6E786E38"/>
    <w:rsid w:val="6E951B2A"/>
    <w:rsid w:val="6EB0339E"/>
    <w:rsid w:val="6F080338"/>
    <w:rsid w:val="6F095BD9"/>
    <w:rsid w:val="6F5631BA"/>
    <w:rsid w:val="6F625E24"/>
    <w:rsid w:val="701B3C2F"/>
    <w:rsid w:val="707130D0"/>
    <w:rsid w:val="70985AED"/>
    <w:rsid w:val="70DE1901"/>
    <w:rsid w:val="711E482D"/>
    <w:rsid w:val="7123350B"/>
    <w:rsid w:val="71C563A6"/>
    <w:rsid w:val="71DA5013"/>
    <w:rsid w:val="72013349"/>
    <w:rsid w:val="722C53C3"/>
    <w:rsid w:val="72E52851"/>
    <w:rsid w:val="739E27B8"/>
    <w:rsid w:val="73A52FFA"/>
    <w:rsid w:val="73C41360"/>
    <w:rsid w:val="740B755E"/>
    <w:rsid w:val="74106863"/>
    <w:rsid w:val="74235B1A"/>
    <w:rsid w:val="747F7121"/>
    <w:rsid w:val="74901609"/>
    <w:rsid w:val="74B0081B"/>
    <w:rsid w:val="74CC21B7"/>
    <w:rsid w:val="74DC1E43"/>
    <w:rsid w:val="74E5669C"/>
    <w:rsid w:val="75327E3D"/>
    <w:rsid w:val="75605AB1"/>
    <w:rsid w:val="759A0CD0"/>
    <w:rsid w:val="759D2D70"/>
    <w:rsid w:val="75C508C4"/>
    <w:rsid w:val="75C50CA9"/>
    <w:rsid w:val="75FE2FD9"/>
    <w:rsid w:val="76152B54"/>
    <w:rsid w:val="764C34AA"/>
    <w:rsid w:val="76B46B35"/>
    <w:rsid w:val="772B7B5F"/>
    <w:rsid w:val="77396138"/>
    <w:rsid w:val="775C3895"/>
    <w:rsid w:val="776E6D20"/>
    <w:rsid w:val="779D37F4"/>
    <w:rsid w:val="77B57177"/>
    <w:rsid w:val="77D32401"/>
    <w:rsid w:val="78063F46"/>
    <w:rsid w:val="783B2EF9"/>
    <w:rsid w:val="78760A16"/>
    <w:rsid w:val="790422E5"/>
    <w:rsid w:val="79612374"/>
    <w:rsid w:val="797C64EB"/>
    <w:rsid w:val="799E363A"/>
    <w:rsid w:val="79A94AC7"/>
    <w:rsid w:val="79C114B3"/>
    <w:rsid w:val="7A1438D0"/>
    <w:rsid w:val="7A3915CB"/>
    <w:rsid w:val="7A450521"/>
    <w:rsid w:val="7A6C595E"/>
    <w:rsid w:val="7A753E54"/>
    <w:rsid w:val="7AE31134"/>
    <w:rsid w:val="7AF44D82"/>
    <w:rsid w:val="7B4B4C6A"/>
    <w:rsid w:val="7BA615E4"/>
    <w:rsid w:val="7BD67AD7"/>
    <w:rsid w:val="7BEB5709"/>
    <w:rsid w:val="7BFD0429"/>
    <w:rsid w:val="7C511CEE"/>
    <w:rsid w:val="7C693193"/>
    <w:rsid w:val="7D1C0DE3"/>
    <w:rsid w:val="7D747DD4"/>
    <w:rsid w:val="7D870A88"/>
    <w:rsid w:val="7D9D7EAF"/>
    <w:rsid w:val="7E1907D6"/>
    <w:rsid w:val="7EBB3516"/>
    <w:rsid w:val="7F0C7E43"/>
    <w:rsid w:val="7F194AC6"/>
    <w:rsid w:val="7F4557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autoRedefine/>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5"/>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unhideWhenUsed/>
    <w:qFormat/>
    <w:locked/>
    <w:uiPriority w:val="0"/>
    <w:pPr>
      <w:keepNext/>
      <w:keepLines/>
      <w:numPr>
        <w:ilvl w:val="2"/>
        <w:numId w:val="1"/>
      </w:numPr>
      <w:ind w:firstLine="880"/>
      <w:outlineLvl w:val="2"/>
    </w:pPr>
    <w:rPr>
      <w:rFonts w:ascii="Calibri" w:hAnsi="Calibri"/>
      <w:b/>
    </w:rPr>
  </w:style>
  <w:style w:type="character" w:default="1" w:styleId="28">
    <w:name w:val="Default Paragraph Font"/>
    <w:autoRedefine/>
    <w:semiHidden/>
    <w:qFormat/>
    <w:uiPriority w:val="99"/>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59"/>
    <w:autoRedefine/>
    <w:qFormat/>
    <w:uiPriority w:val="99"/>
    <w:pPr>
      <w:ind w:firstLine="420"/>
    </w:pPr>
    <w:rPr>
      <w:szCs w:val="21"/>
    </w:rPr>
  </w:style>
  <w:style w:type="paragraph" w:styleId="3">
    <w:name w:val="Body Text Indent"/>
    <w:basedOn w:val="1"/>
    <w:next w:val="1"/>
    <w:link w:val="46"/>
    <w:autoRedefine/>
    <w:qFormat/>
    <w:uiPriority w:val="99"/>
    <w:pPr>
      <w:widowControl/>
      <w:spacing w:before="100" w:beforeAutospacing="1" w:after="100" w:afterAutospacing="1"/>
      <w:jc w:val="left"/>
    </w:pPr>
    <w:rPr>
      <w:rFonts w:ascii="宋体" w:hAnsi="宋体" w:cs="宋体"/>
      <w:kern w:val="0"/>
      <w:sz w:val="24"/>
    </w:rPr>
  </w:style>
  <w:style w:type="paragraph" w:styleId="7">
    <w:name w:val="Normal Indent"/>
    <w:basedOn w:val="1"/>
    <w:link w:val="61"/>
    <w:autoRedefine/>
    <w:qFormat/>
    <w:uiPriority w:val="99"/>
    <w:pPr>
      <w:ind w:firstLine="420"/>
    </w:pPr>
    <w:rPr>
      <w:szCs w:val="20"/>
    </w:rPr>
  </w:style>
  <w:style w:type="paragraph" w:styleId="8">
    <w:name w:val="annotation text"/>
    <w:basedOn w:val="1"/>
    <w:link w:val="47"/>
    <w:autoRedefine/>
    <w:qFormat/>
    <w:uiPriority w:val="99"/>
    <w:pPr>
      <w:jc w:val="left"/>
    </w:pPr>
  </w:style>
  <w:style w:type="paragraph" w:styleId="9">
    <w:name w:val="Body Text"/>
    <w:basedOn w:val="1"/>
    <w:next w:val="10"/>
    <w:link w:val="48"/>
    <w:autoRedefine/>
    <w:qFormat/>
    <w:uiPriority w:val="99"/>
    <w:pPr>
      <w:spacing w:after="120"/>
    </w:pPr>
    <w:rPr>
      <w:sz w:val="28"/>
    </w:rPr>
  </w:style>
  <w:style w:type="paragraph" w:styleId="10">
    <w:name w:val="Body Text First Indent"/>
    <w:basedOn w:val="9"/>
    <w:next w:val="1"/>
    <w:link w:val="49"/>
    <w:autoRedefine/>
    <w:qFormat/>
    <w:uiPriority w:val="99"/>
    <w:pPr>
      <w:spacing w:line="360" w:lineRule="auto"/>
      <w:ind w:firstLine="200" w:firstLineChars="200"/>
      <w:jc w:val="left"/>
    </w:pPr>
    <w:rPr>
      <w:bCs/>
      <w:sz w:val="24"/>
    </w:rPr>
  </w:style>
  <w:style w:type="paragraph" w:styleId="11">
    <w:name w:val="List Number 3"/>
    <w:basedOn w:val="1"/>
    <w:autoRedefine/>
    <w:qFormat/>
    <w:uiPriority w:val="99"/>
    <w:pPr>
      <w:tabs>
        <w:tab w:val="left" w:pos="1200"/>
      </w:tabs>
      <w:ind w:left="1200" w:hanging="360"/>
    </w:pPr>
  </w:style>
  <w:style w:type="paragraph" w:styleId="12">
    <w:name w:val="toc 3"/>
    <w:basedOn w:val="1"/>
    <w:next w:val="1"/>
    <w:autoRedefine/>
    <w:qFormat/>
    <w:uiPriority w:val="99"/>
    <w:pPr>
      <w:ind w:left="840" w:leftChars="400"/>
    </w:pPr>
  </w:style>
  <w:style w:type="paragraph" w:styleId="13">
    <w:name w:val="Plain Text"/>
    <w:basedOn w:val="1"/>
    <w:next w:val="14"/>
    <w:link w:val="50"/>
    <w:autoRedefine/>
    <w:qFormat/>
    <w:uiPriority w:val="99"/>
    <w:pPr>
      <w:widowControl/>
      <w:spacing w:before="100" w:beforeAutospacing="1" w:after="100" w:afterAutospacing="1"/>
      <w:jc w:val="left"/>
    </w:pPr>
    <w:rPr>
      <w:rFonts w:ascii="宋体" w:hAnsi="宋体"/>
      <w:kern w:val="0"/>
      <w:sz w:val="24"/>
    </w:rPr>
  </w:style>
  <w:style w:type="paragraph" w:styleId="14">
    <w:name w:val="toc 2"/>
    <w:basedOn w:val="1"/>
    <w:next w:val="1"/>
    <w:autoRedefine/>
    <w:qFormat/>
    <w:uiPriority w:val="99"/>
    <w:pPr>
      <w:tabs>
        <w:tab w:val="right" w:leader="dot" w:pos="8494"/>
      </w:tabs>
    </w:pPr>
    <w:rPr>
      <w:sz w:val="30"/>
    </w:rPr>
  </w:style>
  <w:style w:type="paragraph" w:styleId="15">
    <w:name w:val="Date"/>
    <w:basedOn w:val="1"/>
    <w:next w:val="1"/>
    <w:link w:val="51"/>
    <w:autoRedefine/>
    <w:qFormat/>
    <w:uiPriority w:val="99"/>
    <w:pPr>
      <w:widowControl/>
      <w:spacing w:before="100" w:beforeAutospacing="1" w:after="100" w:afterAutospacing="1"/>
      <w:jc w:val="left"/>
    </w:pPr>
    <w:rPr>
      <w:rFonts w:ascii="宋体" w:hAnsi="宋体"/>
      <w:kern w:val="0"/>
      <w:sz w:val="24"/>
    </w:rPr>
  </w:style>
  <w:style w:type="paragraph" w:styleId="16">
    <w:name w:val="Body Text Indent 2"/>
    <w:basedOn w:val="1"/>
    <w:link w:val="52"/>
    <w:autoRedefine/>
    <w:qFormat/>
    <w:uiPriority w:val="99"/>
    <w:pPr>
      <w:spacing w:after="120" w:line="480" w:lineRule="auto"/>
      <w:ind w:left="420" w:leftChars="200"/>
    </w:pPr>
  </w:style>
  <w:style w:type="paragraph" w:styleId="17">
    <w:name w:val="Balloon Text"/>
    <w:basedOn w:val="1"/>
    <w:link w:val="53"/>
    <w:autoRedefine/>
    <w:semiHidden/>
    <w:qFormat/>
    <w:uiPriority w:val="99"/>
    <w:rPr>
      <w:sz w:val="18"/>
      <w:szCs w:val="18"/>
    </w:rPr>
  </w:style>
  <w:style w:type="paragraph" w:styleId="18">
    <w:name w:val="footer"/>
    <w:basedOn w:val="1"/>
    <w:link w:val="54"/>
    <w:autoRedefine/>
    <w:qFormat/>
    <w:uiPriority w:val="99"/>
    <w:pPr>
      <w:tabs>
        <w:tab w:val="center" w:pos="4153"/>
        <w:tab w:val="right" w:pos="8306"/>
      </w:tabs>
      <w:snapToGrid w:val="0"/>
      <w:jc w:val="left"/>
    </w:pPr>
    <w:rPr>
      <w:sz w:val="18"/>
      <w:szCs w:val="18"/>
    </w:rPr>
  </w:style>
  <w:style w:type="paragraph" w:styleId="19">
    <w:name w:val="header"/>
    <w:basedOn w:val="1"/>
    <w:link w:val="55"/>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99"/>
    <w:pPr>
      <w:tabs>
        <w:tab w:val="right" w:leader="dot" w:pos="8494"/>
      </w:tabs>
    </w:pPr>
    <w:rPr>
      <w:rFonts w:ascii="宋体" w:hAnsi="宋体"/>
      <w:sz w:val="32"/>
    </w:rPr>
  </w:style>
  <w:style w:type="paragraph" w:styleId="21">
    <w:name w:val="toc 6"/>
    <w:basedOn w:val="1"/>
    <w:next w:val="1"/>
    <w:autoRedefine/>
    <w:qFormat/>
    <w:locked/>
    <w:uiPriority w:val="0"/>
    <w:pPr>
      <w:ind w:left="1050"/>
      <w:jc w:val="left"/>
    </w:pPr>
    <w:rPr>
      <w:sz w:val="18"/>
      <w:szCs w:val="18"/>
    </w:rPr>
  </w:style>
  <w:style w:type="paragraph" w:styleId="22">
    <w:name w:val="Body Text Indent 3"/>
    <w:basedOn w:val="1"/>
    <w:link w:val="56"/>
    <w:autoRedefine/>
    <w:qFormat/>
    <w:uiPriority w:val="99"/>
    <w:pPr>
      <w:spacing w:line="500" w:lineRule="atLeast"/>
      <w:ind w:firstLine="720" w:firstLineChars="300"/>
    </w:pPr>
    <w:rPr>
      <w:sz w:val="24"/>
    </w:rPr>
  </w:style>
  <w:style w:type="paragraph" w:styleId="23">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4">
    <w:name w:val="Title"/>
    <w:basedOn w:val="1"/>
    <w:next w:val="1"/>
    <w:link w:val="57"/>
    <w:autoRedefine/>
    <w:qFormat/>
    <w:uiPriority w:val="99"/>
    <w:pPr>
      <w:widowControl/>
      <w:overflowPunct w:val="0"/>
      <w:autoSpaceDE w:val="0"/>
      <w:autoSpaceDN w:val="0"/>
      <w:adjustRightInd w:val="0"/>
      <w:jc w:val="center"/>
      <w:textAlignment w:val="baseline"/>
    </w:pPr>
    <w:rPr>
      <w:b/>
      <w:kern w:val="0"/>
      <w:sz w:val="24"/>
      <w:szCs w:val="20"/>
      <w:lang w:val="en-GB" w:eastAsia="en-GB"/>
    </w:rPr>
  </w:style>
  <w:style w:type="paragraph" w:styleId="25">
    <w:name w:val="annotation subject"/>
    <w:basedOn w:val="8"/>
    <w:next w:val="8"/>
    <w:link w:val="58"/>
    <w:autoRedefine/>
    <w:qFormat/>
    <w:uiPriority w:val="99"/>
    <w:rPr>
      <w:b/>
      <w:bCs/>
    </w:rPr>
  </w:style>
  <w:style w:type="table" w:styleId="27">
    <w:name w:val="Table Grid"/>
    <w:basedOn w:val="2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99"/>
    <w:rPr>
      <w:rFonts w:cs="Times New Roman"/>
      <w:b/>
    </w:rPr>
  </w:style>
  <w:style w:type="character" w:styleId="30">
    <w:name w:val="page number"/>
    <w:basedOn w:val="28"/>
    <w:autoRedefine/>
    <w:qFormat/>
    <w:uiPriority w:val="99"/>
    <w:rPr>
      <w:rFonts w:cs="Times New Roman"/>
    </w:rPr>
  </w:style>
  <w:style w:type="character" w:styleId="31">
    <w:name w:val="FollowedHyperlink"/>
    <w:basedOn w:val="28"/>
    <w:autoRedefine/>
    <w:semiHidden/>
    <w:unhideWhenUsed/>
    <w:qFormat/>
    <w:locked/>
    <w:uiPriority w:val="99"/>
    <w:rPr>
      <w:color w:val="800080"/>
      <w:u w:val="none"/>
    </w:rPr>
  </w:style>
  <w:style w:type="character" w:styleId="32">
    <w:name w:val="HTML Definition"/>
    <w:basedOn w:val="28"/>
    <w:autoRedefine/>
    <w:semiHidden/>
    <w:unhideWhenUsed/>
    <w:qFormat/>
    <w:locked/>
    <w:uiPriority w:val="99"/>
  </w:style>
  <w:style w:type="character" w:styleId="33">
    <w:name w:val="HTML Typewriter"/>
    <w:basedOn w:val="28"/>
    <w:autoRedefine/>
    <w:semiHidden/>
    <w:unhideWhenUsed/>
    <w:qFormat/>
    <w:locked/>
    <w:uiPriority w:val="99"/>
    <w:rPr>
      <w:rFonts w:hint="default" w:ascii="monospace" w:hAnsi="monospace" w:eastAsia="monospace" w:cs="monospace"/>
      <w:sz w:val="20"/>
    </w:rPr>
  </w:style>
  <w:style w:type="character" w:styleId="34">
    <w:name w:val="HTML Acronym"/>
    <w:basedOn w:val="28"/>
    <w:autoRedefine/>
    <w:semiHidden/>
    <w:unhideWhenUsed/>
    <w:qFormat/>
    <w:locked/>
    <w:uiPriority w:val="99"/>
  </w:style>
  <w:style w:type="character" w:styleId="35">
    <w:name w:val="HTML Variable"/>
    <w:basedOn w:val="28"/>
    <w:autoRedefine/>
    <w:semiHidden/>
    <w:unhideWhenUsed/>
    <w:qFormat/>
    <w:locked/>
    <w:uiPriority w:val="99"/>
  </w:style>
  <w:style w:type="character" w:styleId="36">
    <w:name w:val="Hyperlink"/>
    <w:basedOn w:val="28"/>
    <w:autoRedefine/>
    <w:qFormat/>
    <w:uiPriority w:val="99"/>
    <w:rPr>
      <w:rFonts w:cs="Times New Roman"/>
      <w:color w:val="0000FF"/>
      <w:u w:val="single"/>
    </w:rPr>
  </w:style>
  <w:style w:type="character" w:styleId="37">
    <w:name w:val="HTML Code"/>
    <w:basedOn w:val="28"/>
    <w:autoRedefine/>
    <w:semiHidden/>
    <w:unhideWhenUsed/>
    <w:qFormat/>
    <w:locked/>
    <w:uiPriority w:val="99"/>
    <w:rPr>
      <w:rFonts w:ascii="monospace" w:hAnsi="monospace" w:eastAsia="monospace" w:cs="monospace"/>
      <w:sz w:val="20"/>
    </w:rPr>
  </w:style>
  <w:style w:type="character" w:styleId="38">
    <w:name w:val="annotation reference"/>
    <w:basedOn w:val="28"/>
    <w:autoRedefine/>
    <w:qFormat/>
    <w:uiPriority w:val="99"/>
    <w:rPr>
      <w:rFonts w:cs="Times New Roman"/>
      <w:sz w:val="21"/>
    </w:rPr>
  </w:style>
  <w:style w:type="character" w:styleId="39">
    <w:name w:val="HTML Cite"/>
    <w:basedOn w:val="28"/>
    <w:autoRedefine/>
    <w:semiHidden/>
    <w:unhideWhenUsed/>
    <w:qFormat/>
    <w:locked/>
    <w:uiPriority w:val="99"/>
  </w:style>
  <w:style w:type="character" w:styleId="40">
    <w:name w:val="HTML Keyboard"/>
    <w:basedOn w:val="28"/>
    <w:autoRedefine/>
    <w:semiHidden/>
    <w:unhideWhenUsed/>
    <w:qFormat/>
    <w:locked/>
    <w:uiPriority w:val="99"/>
    <w:rPr>
      <w:rFonts w:hint="default" w:ascii="monospace" w:hAnsi="monospace" w:eastAsia="monospace" w:cs="monospace"/>
      <w:sz w:val="20"/>
    </w:rPr>
  </w:style>
  <w:style w:type="character" w:styleId="41">
    <w:name w:val="HTML Sample"/>
    <w:basedOn w:val="28"/>
    <w:autoRedefine/>
    <w:semiHidden/>
    <w:unhideWhenUsed/>
    <w:qFormat/>
    <w:locked/>
    <w:uiPriority w:val="99"/>
    <w:rPr>
      <w:rFonts w:hint="default" w:ascii="monospace" w:hAnsi="monospace" w:eastAsia="monospace" w:cs="monospace"/>
    </w:rPr>
  </w:style>
  <w:style w:type="paragraph" w:customStyle="1" w:styleId="42">
    <w:name w:val="表格文字"/>
    <w:basedOn w:val="1"/>
    <w:next w:val="9"/>
    <w:autoRedefine/>
    <w:qFormat/>
    <w:uiPriority w:val="99"/>
    <w:pPr>
      <w:adjustRightInd w:val="0"/>
      <w:spacing w:line="420" w:lineRule="atLeast"/>
      <w:jc w:val="left"/>
      <w:textAlignment w:val="baseline"/>
    </w:pPr>
    <w:rPr>
      <w:kern w:val="0"/>
    </w:rPr>
  </w:style>
  <w:style w:type="paragraph" w:customStyle="1" w:styleId="43">
    <w:name w:val="Body Text 3"/>
    <w:basedOn w:val="1"/>
    <w:autoRedefine/>
    <w:qFormat/>
    <w:uiPriority w:val="0"/>
    <w:pPr>
      <w:spacing w:after="120" w:afterLines="0"/>
    </w:pPr>
    <w:rPr>
      <w:sz w:val="16"/>
      <w:szCs w:val="16"/>
    </w:rPr>
  </w:style>
  <w:style w:type="character" w:customStyle="1" w:styleId="44">
    <w:name w:val="Heading 1 Char"/>
    <w:basedOn w:val="28"/>
    <w:link w:val="4"/>
    <w:autoRedefine/>
    <w:qFormat/>
    <w:locked/>
    <w:uiPriority w:val="99"/>
    <w:rPr>
      <w:rFonts w:cs="Times New Roman"/>
      <w:b/>
      <w:kern w:val="44"/>
      <w:sz w:val="44"/>
    </w:rPr>
  </w:style>
  <w:style w:type="character" w:customStyle="1" w:styleId="45">
    <w:name w:val="Heading 2 Char"/>
    <w:basedOn w:val="28"/>
    <w:link w:val="5"/>
    <w:autoRedefine/>
    <w:qFormat/>
    <w:locked/>
    <w:uiPriority w:val="99"/>
    <w:rPr>
      <w:rFonts w:ascii="Arial" w:hAnsi="Arial" w:eastAsia="黑体" w:cs="Times New Roman"/>
      <w:b/>
      <w:kern w:val="2"/>
      <w:sz w:val="32"/>
    </w:rPr>
  </w:style>
  <w:style w:type="character" w:customStyle="1" w:styleId="46">
    <w:name w:val="Body Text Indent Char"/>
    <w:basedOn w:val="28"/>
    <w:link w:val="3"/>
    <w:autoRedefine/>
    <w:semiHidden/>
    <w:qFormat/>
    <w:locked/>
    <w:uiPriority w:val="99"/>
    <w:rPr>
      <w:rFonts w:cs="Times New Roman"/>
      <w:sz w:val="24"/>
      <w:szCs w:val="24"/>
    </w:rPr>
  </w:style>
  <w:style w:type="character" w:customStyle="1" w:styleId="47">
    <w:name w:val="Comment Text Char"/>
    <w:basedOn w:val="28"/>
    <w:link w:val="8"/>
    <w:autoRedefine/>
    <w:qFormat/>
    <w:locked/>
    <w:uiPriority w:val="99"/>
    <w:rPr>
      <w:rFonts w:cs="Times New Roman"/>
      <w:kern w:val="2"/>
      <w:sz w:val="24"/>
    </w:rPr>
  </w:style>
  <w:style w:type="character" w:customStyle="1" w:styleId="48">
    <w:name w:val="Body Text Char"/>
    <w:basedOn w:val="28"/>
    <w:link w:val="9"/>
    <w:autoRedefine/>
    <w:semiHidden/>
    <w:qFormat/>
    <w:locked/>
    <w:uiPriority w:val="99"/>
    <w:rPr>
      <w:rFonts w:cs="Times New Roman"/>
      <w:sz w:val="24"/>
      <w:szCs w:val="24"/>
    </w:rPr>
  </w:style>
  <w:style w:type="character" w:customStyle="1" w:styleId="49">
    <w:name w:val="Body Text First Indent Char"/>
    <w:basedOn w:val="48"/>
    <w:link w:val="10"/>
    <w:autoRedefine/>
    <w:semiHidden/>
    <w:qFormat/>
    <w:locked/>
    <w:uiPriority w:val="99"/>
  </w:style>
  <w:style w:type="character" w:customStyle="1" w:styleId="50">
    <w:name w:val="Plain Text Char"/>
    <w:basedOn w:val="28"/>
    <w:link w:val="13"/>
    <w:autoRedefine/>
    <w:qFormat/>
    <w:locked/>
    <w:uiPriority w:val="99"/>
    <w:rPr>
      <w:rFonts w:ascii="宋体" w:eastAsia="宋体" w:cs="Times New Roman"/>
      <w:sz w:val="24"/>
    </w:rPr>
  </w:style>
  <w:style w:type="character" w:customStyle="1" w:styleId="51">
    <w:name w:val="Date Char"/>
    <w:basedOn w:val="28"/>
    <w:link w:val="15"/>
    <w:autoRedefine/>
    <w:qFormat/>
    <w:locked/>
    <w:uiPriority w:val="99"/>
    <w:rPr>
      <w:rFonts w:ascii="宋体" w:eastAsia="宋体" w:cs="Times New Roman"/>
      <w:sz w:val="24"/>
    </w:rPr>
  </w:style>
  <w:style w:type="character" w:customStyle="1" w:styleId="52">
    <w:name w:val="Body Text Indent 2 Char"/>
    <w:basedOn w:val="28"/>
    <w:link w:val="16"/>
    <w:autoRedefine/>
    <w:qFormat/>
    <w:locked/>
    <w:uiPriority w:val="99"/>
    <w:rPr>
      <w:rFonts w:cs="Times New Roman"/>
      <w:kern w:val="2"/>
      <w:sz w:val="24"/>
    </w:rPr>
  </w:style>
  <w:style w:type="character" w:customStyle="1" w:styleId="53">
    <w:name w:val="Balloon Text Char"/>
    <w:basedOn w:val="28"/>
    <w:link w:val="17"/>
    <w:autoRedefine/>
    <w:semiHidden/>
    <w:qFormat/>
    <w:locked/>
    <w:uiPriority w:val="99"/>
    <w:rPr>
      <w:rFonts w:cs="Times New Roman"/>
      <w:sz w:val="2"/>
    </w:rPr>
  </w:style>
  <w:style w:type="character" w:customStyle="1" w:styleId="54">
    <w:name w:val="Footer Char"/>
    <w:basedOn w:val="28"/>
    <w:link w:val="18"/>
    <w:autoRedefine/>
    <w:qFormat/>
    <w:locked/>
    <w:uiPriority w:val="99"/>
    <w:rPr>
      <w:rFonts w:cs="Times New Roman"/>
      <w:kern w:val="2"/>
      <w:sz w:val="18"/>
    </w:rPr>
  </w:style>
  <w:style w:type="character" w:customStyle="1" w:styleId="55">
    <w:name w:val="Header Char"/>
    <w:basedOn w:val="28"/>
    <w:link w:val="19"/>
    <w:autoRedefine/>
    <w:qFormat/>
    <w:locked/>
    <w:uiPriority w:val="99"/>
    <w:rPr>
      <w:rFonts w:cs="Times New Roman"/>
      <w:kern w:val="2"/>
      <w:sz w:val="18"/>
    </w:rPr>
  </w:style>
  <w:style w:type="character" w:customStyle="1" w:styleId="56">
    <w:name w:val="Body Text Indent 3 Char"/>
    <w:basedOn w:val="28"/>
    <w:link w:val="22"/>
    <w:autoRedefine/>
    <w:semiHidden/>
    <w:qFormat/>
    <w:locked/>
    <w:uiPriority w:val="99"/>
    <w:rPr>
      <w:rFonts w:cs="Times New Roman"/>
      <w:sz w:val="16"/>
      <w:szCs w:val="16"/>
    </w:rPr>
  </w:style>
  <w:style w:type="character" w:customStyle="1" w:styleId="57">
    <w:name w:val="Title Char"/>
    <w:basedOn w:val="28"/>
    <w:link w:val="24"/>
    <w:autoRedefine/>
    <w:qFormat/>
    <w:locked/>
    <w:uiPriority w:val="99"/>
    <w:rPr>
      <w:rFonts w:ascii="Cambria" w:hAnsi="Cambria" w:cs="Times New Roman"/>
      <w:b/>
      <w:bCs/>
      <w:sz w:val="32"/>
      <w:szCs w:val="32"/>
    </w:rPr>
  </w:style>
  <w:style w:type="character" w:customStyle="1" w:styleId="58">
    <w:name w:val="Comment Subject Char"/>
    <w:basedOn w:val="47"/>
    <w:link w:val="25"/>
    <w:autoRedefine/>
    <w:qFormat/>
    <w:locked/>
    <w:uiPriority w:val="99"/>
    <w:rPr>
      <w:b/>
    </w:rPr>
  </w:style>
  <w:style w:type="character" w:customStyle="1" w:styleId="59">
    <w:name w:val="Body Text First Indent 2 Char"/>
    <w:basedOn w:val="46"/>
    <w:link w:val="2"/>
    <w:autoRedefine/>
    <w:semiHidden/>
    <w:qFormat/>
    <w:locked/>
    <w:uiPriority w:val="99"/>
  </w:style>
  <w:style w:type="paragraph" w:customStyle="1" w:styleId="60">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61">
    <w:name w:val="Normal Indent Char"/>
    <w:link w:val="7"/>
    <w:autoRedefine/>
    <w:qFormat/>
    <w:locked/>
    <w:uiPriority w:val="99"/>
    <w:rPr>
      <w:kern w:val="2"/>
      <w:sz w:val="21"/>
    </w:rPr>
  </w:style>
  <w:style w:type="character" w:customStyle="1" w:styleId="62">
    <w:name w:val="纯文本 Char1"/>
    <w:autoRedefine/>
    <w:qFormat/>
    <w:uiPriority w:val="99"/>
    <w:rPr>
      <w:rFonts w:ascii="宋体" w:hAnsi="Courier New" w:eastAsia="宋体"/>
      <w:kern w:val="2"/>
      <w:sz w:val="24"/>
      <w:lang w:val="en-US" w:eastAsia="zh-CN"/>
    </w:rPr>
  </w:style>
  <w:style w:type="character" w:customStyle="1" w:styleId="63">
    <w:name w:val="No Spacing Char"/>
    <w:link w:val="64"/>
    <w:autoRedefine/>
    <w:qFormat/>
    <w:locked/>
    <w:uiPriority w:val="99"/>
    <w:rPr>
      <w:sz w:val="22"/>
      <w:lang w:val="en-US" w:eastAsia="zh-CN"/>
    </w:rPr>
  </w:style>
  <w:style w:type="paragraph" w:styleId="64">
    <w:name w:val="No Spacing"/>
    <w:link w:val="63"/>
    <w:autoRedefine/>
    <w:qFormat/>
    <w:uiPriority w:val="99"/>
    <w:rPr>
      <w:rFonts w:ascii="Times New Roman" w:hAnsi="Times New Roman" w:eastAsia="宋体" w:cs="Times New Roman"/>
      <w:kern w:val="0"/>
      <w:sz w:val="22"/>
      <w:szCs w:val="22"/>
      <w:lang w:val="en-US" w:eastAsia="zh-CN" w:bidi="ar-SA"/>
    </w:rPr>
  </w:style>
  <w:style w:type="character" w:customStyle="1" w:styleId="65">
    <w:name w:val="标题1 Char"/>
    <w:link w:val="66"/>
    <w:autoRedefine/>
    <w:qFormat/>
    <w:locked/>
    <w:uiPriority w:val="99"/>
    <w:rPr>
      <w:rFonts w:ascii="宋体" w:hAnsi="Courier New"/>
      <w:b/>
      <w:sz w:val="21"/>
    </w:rPr>
  </w:style>
  <w:style w:type="paragraph" w:customStyle="1" w:styleId="66">
    <w:name w:val="标题1"/>
    <w:basedOn w:val="1"/>
    <w:link w:val="65"/>
    <w:autoRedefine/>
    <w:qFormat/>
    <w:uiPriority w:val="99"/>
    <w:pPr>
      <w:spacing w:line="360" w:lineRule="auto"/>
    </w:pPr>
    <w:rPr>
      <w:rFonts w:ascii="宋体" w:hAnsi="Courier New"/>
      <w:b/>
      <w:kern w:val="0"/>
      <w:szCs w:val="20"/>
    </w:rPr>
  </w:style>
  <w:style w:type="paragraph" w:customStyle="1" w:styleId="67">
    <w:name w:val="章正文"/>
    <w:basedOn w:val="1"/>
    <w:autoRedefine/>
    <w:qFormat/>
    <w:locked/>
    <w:uiPriority w:val="99"/>
    <w:pPr>
      <w:spacing w:beforeLines="50" w:after="120" w:line="300" w:lineRule="auto"/>
      <w:ind w:firstLine="480"/>
    </w:pPr>
    <w:rPr>
      <w:rFonts w:ascii="Helvetica" w:hAnsi="Helvetica"/>
    </w:rPr>
  </w:style>
  <w:style w:type="paragraph" w:styleId="68">
    <w:name w:val="List Paragraph"/>
    <w:basedOn w:val="1"/>
    <w:autoRedefine/>
    <w:qFormat/>
    <w:uiPriority w:val="99"/>
    <w:pPr>
      <w:ind w:firstLine="420" w:firstLineChars="200"/>
    </w:pPr>
  </w:style>
  <w:style w:type="paragraph" w:customStyle="1" w:styleId="69">
    <w:name w:val="段"/>
    <w:next w:val="1"/>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0">
    <w:name w:val="paragraph"/>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正文_7"/>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Char Char Char"/>
    <w:basedOn w:val="1"/>
    <w:autoRedefine/>
    <w:qFormat/>
    <w:uiPriority w:val="99"/>
    <w:rPr>
      <w:rFonts w:ascii="Tahoma" w:hAnsi="Tahoma"/>
      <w:sz w:val="24"/>
      <w:szCs w:val="20"/>
    </w:rPr>
  </w:style>
  <w:style w:type="paragraph" w:customStyle="1" w:styleId="73">
    <w:name w:val="列出段落1"/>
    <w:basedOn w:val="1"/>
    <w:autoRedefine/>
    <w:qFormat/>
    <w:uiPriority w:val="99"/>
    <w:pPr>
      <w:ind w:firstLine="420" w:firstLineChars="200"/>
    </w:pPr>
    <w:rPr>
      <w:szCs w:val="20"/>
    </w:rPr>
  </w:style>
  <w:style w:type="paragraph" w:customStyle="1" w:styleId="74">
    <w:name w:val="纯文本1"/>
    <w:basedOn w:val="1"/>
    <w:autoRedefine/>
    <w:qFormat/>
    <w:uiPriority w:val="99"/>
    <w:pPr>
      <w:widowControl/>
      <w:adjustRightInd w:val="0"/>
      <w:jc w:val="left"/>
      <w:textAlignment w:val="baseline"/>
    </w:pPr>
    <w:rPr>
      <w:rFonts w:ascii="宋体" w:hAnsi="Courier New" w:eastAsia="楷体_GB2312"/>
      <w:kern w:val="0"/>
      <w:sz w:val="26"/>
      <w:szCs w:val="20"/>
    </w:rPr>
  </w:style>
  <w:style w:type="paragraph" w:customStyle="1" w:styleId="75">
    <w:name w:val="纯文本11"/>
    <w:basedOn w:val="1"/>
    <w:autoRedefine/>
    <w:qFormat/>
    <w:uiPriority w:val="99"/>
    <w:pPr>
      <w:widowControl/>
      <w:adjustRightInd w:val="0"/>
      <w:jc w:val="left"/>
      <w:textAlignment w:val="baseline"/>
    </w:pPr>
    <w:rPr>
      <w:rFonts w:ascii="宋体" w:hAnsi="Courier New" w:eastAsia="楷体_GB2312"/>
      <w:kern w:val="0"/>
      <w:sz w:val="26"/>
      <w:szCs w:val="20"/>
    </w:rPr>
  </w:style>
  <w:style w:type="paragraph" w:customStyle="1" w:styleId="76">
    <w:name w:val="编号正文文本"/>
    <w:basedOn w:val="1"/>
    <w:autoRedefine/>
    <w:qFormat/>
    <w:uiPriority w:val="99"/>
    <w:pPr>
      <w:tabs>
        <w:tab w:val="left" w:pos="238"/>
      </w:tabs>
      <w:spacing w:before="100" w:beforeAutospacing="1" w:after="100" w:afterAutospacing="1" w:line="360" w:lineRule="auto"/>
      <w:ind w:firstLine="476"/>
    </w:pPr>
    <w:rPr>
      <w:rFonts w:ascii="Verdana" w:hAnsi="Verdana" w:eastAsia="微软雅黑" w:cs="Verdana"/>
      <w:sz w:val="24"/>
      <w:lang w:eastAsia="en-US"/>
    </w:rPr>
  </w:style>
  <w:style w:type="paragraph" w:customStyle="1" w:styleId="77">
    <w:name w:val="Table Paragraph"/>
    <w:basedOn w:val="1"/>
    <w:autoRedefine/>
    <w:qFormat/>
    <w:uiPriority w:val="99"/>
    <w:pPr>
      <w:jc w:val="left"/>
    </w:pPr>
    <w:rPr>
      <w:rFonts w:ascii="等线" w:hAnsi="等线" w:eastAsia="等线"/>
      <w:kern w:val="0"/>
      <w:sz w:val="22"/>
      <w:szCs w:val="22"/>
      <w:lang w:eastAsia="en-US"/>
    </w:rPr>
  </w:style>
  <w:style w:type="paragraph" w:customStyle="1" w:styleId="78">
    <w:name w:val="彩色列表1"/>
    <w:basedOn w:val="1"/>
    <w:autoRedefine/>
    <w:qFormat/>
    <w:uiPriority w:val="99"/>
    <w:pPr>
      <w:spacing w:line="360" w:lineRule="auto"/>
      <w:ind w:firstLine="480" w:firstLineChars="200"/>
    </w:pPr>
    <w:rPr>
      <w:sz w:val="24"/>
    </w:rPr>
  </w:style>
  <w:style w:type="paragraph" w:customStyle="1" w:styleId="79">
    <w:name w:val="正文1"/>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80">
    <w:name w:val="_Style 1"/>
    <w:autoRedefine/>
    <w:qFormat/>
    <w:uiPriority w:val="99"/>
    <w:pPr>
      <w:widowControl w:val="0"/>
      <w:jc w:val="both"/>
    </w:pPr>
    <w:rPr>
      <w:rFonts w:ascii="Times New Roman" w:hAnsi="Times New Roman" w:eastAsia="微软雅黑" w:cs="Calibri"/>
      <w:kern w:val="2"/>
      <w:sz w:val="21"/>
      <w:szCs w:val="22"/>
      <w:lang w:val="en-US" w:eastAsia="zh-CN" w:bidi="ar-SA"/>
    </w:rPr>
  </w:style>
  <w:style w:type="paragraph" w:customStyle="1" w:styleId="81">
    <w:name w:val="目录 91"/>
    <w:next w:val="1"/>
    <w:autoRedefine/>
    <w:qFormat/>
    <w:uiPriority w:val="0"/>
    <w:pPr>
      <w:wordWrap w:val="0"/>
      <w:ind w:left="3400"/>
      <w:jc w:val="both"/>
    </w:pPr>
    <w:rPr>
      <w:rFonts w:ascii="宋体" w:hAnsi="宋体" w:eastAsia="Times New Roman" w:cs="Times New Roman"/>
      <w:sz w:val="21"/>
      <w:lang w:val="en-US" w:eastAsia="zh-CN" w:bidi="ar-SA"/>
    </w:rPr>
  </w:style>
  <w:style w:type="character" w:customStyle="1" w:styleId="82">
    <w:name w:val="font21"/>
    <w:basedOn w:val="28"/>
    <w:autoRedefine/>
    <w:qFormat/>
    <w:uiPriority w:val="0"/>
    <w:rPr>
      <w:rFonts w:hint="eastAsia" w:ascii="宋体" w:hAnsi="宋体" w:eastAsia="宋体" w:cs="宋体"/>
      <w:b/>
      <w:color w:val="000000"/>
      <w:sz w:val="21"/>
      <w:szCs w:val="21"/>
      <w:u w:val="none"/>
    </w:rPr>
  </w:style>
  <w:style w:type="paragraph" w:customStyle="1" w:styleId="83">
    <w:name w:val="正文段"/>
    <w:basedOn w:val="1"/>
    <w:autoRedefine/>
    <w:qFormat/>
    <w:uiPriority w:val="0"/>
    <w:pPr>
      <w:widowControl/>
      <w:snapToGrid w:val="0"/>
      <w:spacing w:afterLines="50"/>
      <w:ind w:firstLine="200" w:firstLineChars="200"/>
    </w:pPr>
    <w:rPr>
      <w:kern w:val="0"/>
      <w:sz w:val="24"/>
      <w:szCs w:val="20"/>
    </w:rPr>
  </w:style>
  <w:style w:type="paragraph" w:customStyle="1" w:styleId="84">
    <w:name w:val="正文 A"/>
    <w:autoRedefine/>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character" w:customStyle="1" w:styleId="85">
    <w:name w:val="无"/>
    <w:autoRedefine/>
    <w:qFormat/>
    <w:uiPriority w:val="0"/>
  </w:style>
  <w:style w:type="character" w:customStyle="1" w:styleId="86">
    <w:name w:val="Hyperlink.0"/>
    <w:autoRedefine/>
    <w:qFormat/>
    <w:uiPriority w:val="99"/>
    <w:rPr>
      <w:lang w:val="en-US"/>
    </w:rPr>
  </w:style>
  <w:style w:type="paragraph" w:customStyle="1" w:styleId="87">
    <w:name w:val="列出段落1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102" textRotate="1"/>
    <customShpInfo spid="_x0000_s4101"/>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45</Pages>
  <Words>21818</Words>
  <Characters>22930</Characters>
  <Lines>0</Lines>
  <Paragraphs>0</Paragraphs>
  <TotalTime>79</TotalTime>
  <ScaleCrop>false</ScaleCrop>
  <LinksUpToDate>false</LinksUpToDate>
  <CharactersWithSpaces>24876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2021-04-27T08:09:00Z</dcterms:created>
  <dc:creator>王佳伟3</dc:creator>
  <cp:lastModifiedBy>2017</cp:lastModifiedBy>
  <cp:lastPrinted>2024-01-15T07:25:00Z</cp:lastPrinted>
  <dcterms:modified xsi:type="dcterms:W3CDTF">2024-05-07T06:06:13Z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AA3FA92D4C154E60837B41B670B63E49</vt:lpwstr>
  </property>
</Properties>
</file>