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adjustRightInd/>
        <w:spacing w:line="360" w:lineRule="auto"/>
        <w:rPr>
          <w:rFonts w:ascii="宋体" w:hAnsi="宋体" w:cs="宋体"/>
          <w:b/>
          <w:sz w:val="48"/>
          <w:szCs w:val="48"/>
        </w:rPr>
      </w:pPr>
    </w:p>
    <w:p>
      <w:pPr>
        <w:adjustRightInd/>
        <w:spacing w:line="360" w:lineRule="auto"/>
        <w:jc w:val="center"/>
        <w:rPr>
          <w:rFonts w:hint="eastAsia" w:ascii="宋体" w:hAnsi="宋体" w:eastAsia="宋体" w:cs="宋体"/>
          <w:bCs/>
          <w:sz w:val="44"/>
          <w:szCs w:val="44"/>
          <w:lang w:eastAsia="zh-CN"/>
        </w:rPr>
      </w:pPr>
      <w:r>
        <w:rPr>
          <w:rFonts w:hint="eastAsia" w:ascii="宋体" w:hAnsi="宋体" w:cs="宋体"/>
          <w:bCs/>
          <w:sz w:val="44"/>
          <w:szCs w:val="44"/>
          <w:lang w:eastAsia="zh-CN"/>
        </w:rPr>
        <w:t>杭州市萧山区中医院蛋糕券采购项目</w:t>
      </w:r>
    </w:p>
    <w:p>
      <w:pPr>
        <w:adjustRightInd/>
        <w:spacing w:line="360" w:lineRule="auto"/>
        <w:jc w:val="center"/>
        <w:rPr>
          <w:rFonts w:ascii="宋体" w:hAnsi="宋体" w:cs="宋体"/>
          <w:sz w:val="48"/>
          <w:szCs w:val="48"/>
        </w:rPr>
      </w:pPr>
      <w:r>
        <w:rPr>
          <w:rFonts w:hint="eastAsia" w:ascii="宋体" w:hAnsi="宋体" w:cs="宋体"/>
          <w:sz w:val="48"/>
          <w:szCs w:val="48"/>
        </w:rPr>
        <w:t>交易文件</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 XDCGDL2023-GK-XQY026</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bCs/>
          <w:sz w:val="32"/>
          <w:szCs w:val="32"/>
        </w:rPr>
      </w:pPr>
    </w:p>
    <w:p>
      <w:pPr>
        <w:spacing w:line="360" w:lineRule="auto"/>
        <w:jc w:val="center"/>
        <w:rPr>
          <w:rFonts w:ascii="宋体" w:hAnsi="宋体" w:cs="宋体"/>
          <w:bCs/>
          <w:sz w:val="32"/>
          <w:szCs w:val="32"/>
        </w:rPr>
      </w:pPr>
    </w:p>
    <w:p>
      <w:pPr>
        <w:spacing w:line="360" w:lineRule="auto"/>
        <w:jc w:val="center"/>
        <w:rPr>
          <w:rFonts w:ascii="宋体" w:hAnsi="宋体" w:cs="宋体"/>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杭州市萧山区中医院</w:t>
      </w:r>
    </w:p>
    <w:p>
      <w:pPr>
        <w:snapToGrid w:val="0"/>
        <w:spacing w:line="360" w:lineRule="auto"/>
        <w:jc w:val="center"/>
        <w:rPr>
          <w:rFonts w:ascii="宋体" w:hAnsi="宋体" w:cs="宋体"/>
          <w:bCs/>
          <w:sz w:val="32"/>
          <w:szCs w:val="32"/>
        </w:rPr>
      </w:pPr>
      <w:r>
        <w:rPr>
          <w:rFonts w:hint="eastAsia" w:ascii="宋体" w:hAnsi="宋体" w:cs="宋体"/>
          <w:bCs/>
          <w:sz w:val="32"/>
          <w:szCs w:val="32"/>
        </w:rPr>
        <w:t>杭州信达投资咨询估价监理有限公司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202</w:t>
      </w:r>
      <w:r>
        <w:rPr>
          <w:rFonts w:hint="eastAsia" w:ascii="宋体" w:hAnsi="宋体" w:cs="宋体"/>
          <w:bCs/>
          <w:color w:val="auto"/>
          <w:sz w:val="32"/>
          <w:szCs w:val="32"/>
          <w:lang w:val="en-US" w:eastAsia="zh-CN"/>
        </w:rPr>
        <w:t>3</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3</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17</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交易公告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交易公告</w:t>
      </w:r>
    </w:p>
    <w:p>
      <w:pPr>
        <w:pBdr>
          <w:top w:val="single" w:color="auto" w:sz="4" w:space="1"/>
          <w:left w:val="single" w:color="auto" w:sz="4" w:space="4"/>
          <w:bottom w:val="single" w:color="auto" w:sz="4" w:space="6"/>
          <w:right w:val="single" w:color="auto" w:sz="4" w:space="4"/>
        </w:pBdr>
        <w:ind w:firstLine="480" w:firstLineChars="200"/>
        <w:jc w:val="left"/>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6"/>
          <w:right w:val="single" w:color="auto" w:sz="4" w:space="4"/>
        </w:pBdr>
        <w:ind w:firstLine="480" w:firstLineChars="200"/>
        <w:jc w:val="left"/>
        <w:rPr>
          <w:rFonts w:ascii="宋体" w:hAnsi="宋体" w:cs="宋体"/>
          <w:color w:val="auto"/>
          <w:sz w:val="24"/>
          <w:u w:val="single"/>
        </w:rPr>
      </w:pPr>
      <w:r>
        <w:rPr>
          <w:rFonts w:hint="eastAsia" w:ascii="宋体" w:hAnsi="宋体" w:cs="宋体"/>
          <w:color w:val="auto"/>
          <w:sz w:val="24"/>
          <w:u w:val="single"/>
          <w:lang w:eastAsia="zh-CN"/>
        </w:rPr>
        <w:t>杭州市萧山区中医院蛋糕券采购项目</w:t>
      </w:r>
      <w:r>
        <w:rPr>
          <w:rFonts w:hint="eastAsia" w:ascii="宋体" w:hAnsi="宋体" w:cs="宋体"/>
          <w:color w:val="auto"/>
          <w:sz w:val="24"/>
        </w:rPr>
        <w:t>招标项目的潜在投标人应在政采云平台（乐采云平台）（</w:t>
      </w:r>
      <w:r>
        <w:rPr>
          <w:color w:val="auto"/>
        </w:rPr>
        <w:fldChar w:fldCharType="begin"/>
      </w:r>
      <w:r>
        <w:rPr>
          <w:color w:val="auto"/>
        </w:rPr>
        <w:instrText xml:space="preserve"> HYPERLINK "https://www.zcygov.cn/）获取（下载）招标文件，并于2022年6月%20%20日9点30分00秒"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https://www.zcygov.cn/）获取（下载）交易文件，并于202</w:t>
      </w:r>
      <w:r>
        <w:rPr>
          <w:rStyle w:val="77"/>
          <w:rFonts w:hint="eastAsia" w:ascii="宋体" w:hAnsi="宋体" w:cs="宋体"/>
          <w:snapToGrid/>
          <w:color w:val="auto"/>
          <w:kern w:val="2"/>
          <w:sz w:val="24"/>
          <w:szCs w:val="24"/>
          <w:lang w:val="en-US" w:eastAsia="zh-CN"/>
        </w:rPr>
        <w:t>3</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3</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24</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14</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15</w:t>
      </w:r>
      <w:r>
        <w:rPr>
          <w:rStyle w:val="77"/>
          <w:rFonts w:hint="eastAsia" w:ascii="宋体" w:hAnsi="宋体" w:eastAsia="宋体" w:cs="宋体"/>
          <w:snapToGrid/>
          <w:color w:val="auto"/>
          <w:kern w:val="2"/>
          <w:sz w:val="24"/>
          <w:szCs w:val="24"/>
        </w:rPr>
        <w:t>分</w:t>
      </w:r>
      <w:r>
        <w:rPr>
          <w:rStyle w:val="77"/>
          <w:rFonts w:hint="eastAsia" w:ascii="宋体" w:hAnsi="宋体" w:cs="宋体"/>
          <w:snapToGrid/>
          <w:color w:val="auto"/>
          <w:kern w:val="2"/>
          <w:sz w:val="24"/>
          <w:szCs w:val="24"/>
          <w:lang w:val="en-US" w:eastAsia="zh-CN"/>
        </w:rPr>
        <w:t>00</w:t>
      </w:r>
      <w:r>
        <w:rPr>
          <w:rStyle w:val="77"/>
          <w:rFonts w:hint="eastAsia" w:ascii="宋体" w:hAnsi="宋体" w:eastAsia="宋体" w:cs="宋体"/>
          <w:bCs/>
          <w:snapToGrid/>
          <w:color w:val="auto"/>
          <w:kern w:val="2"/>
          <w:sz w:val="24"/>
          <w:szCs w:val="24"/>
        </w:rPr>
        <w:t>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一、项目基本情况</w:t>
      </w:r>
    </w:p>
    <w:p>
      <w:pPr>
        <w:spacing w:line="360" w:lineRule="auto"/>
        <w:ind w:firstLine="482" w:firstLineChars="200"/>
        <w:rPr>
          <w:rFonts w:hint="default" w:ascii="宋体" w:hAnsi="宋体" w:eastAsia="宋体" w:cs="宋体"/>
          <w:color w:val="auto"/>
          <w:sz w:val="24"/>
          <w:lang w:val="en-US" w:eastAsia="zh-CN"/>
        </w:rPr>
      </w:pPr>
      <w:r>
        <w:rPr>
          <w:rFonts w:hint="eastAsia" w:ascii="宋体" w:hAnsi="宋体" w:cs="宋体"/>
          <w:b/>
          <w:color w:val="auto"/>
          <w:sz w:val="24"/>
        </w:rPr>
        <w:t>交易编号：</w:t>
      </w:r>
      <w:r>
        <w:rPr>
          <w:rFonts w:hint="eastAsia" w:ascii="宋体" w:hAnsi="宋体" w:cs="宋体"/>
          <w:b w:val="0"/>
          <w:bCs/>
          <w:color w:val="auto"/>
          <w:sz w:val="24"/>
        </w:rPr>
        <w:t>XDCGDL2023-GK-XQY026</w:t>
      </w:r>
    </w:p>
    <w:p>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bCs/>
          <w:sz w:val="24"/>
          <w:lang w:eastAsia="zh-CN"/>
        </w:rPr>
        <w:t>杭州市萧山区中医院蛋糕券采购项目</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预算金额（元）：</w:t>
      </w:r>
      <w:r>
        <w:rPr>
          <w:rFonts w:hint="eastAsia" w:ascii="宋体" w:hAnsi="宋体" w:cs="宋体"/>
          <w:bCs/>
          <w:sz w:val="24"/>
          <w:lang w:val="en-US" w:eastAsia="zh-CN"/>
        </w:rPr>
        <w:t>390000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Cs/>
          <w:sz w:val="24"/>
          <w:lang w:val="en-US" w:eastAsia="zh-CN"/>
        </w:rPr>
        <w:t>390000</w:t>
      </w:r>
    </w:p>
    <w:p>
      <w:pPr>
        <w:spacing w:line="360" w:lineRule="auto"/>
        <w:ind w:firstLine="482" w:firstLineChars="200"/>
        <w:rPr>
          <w:rFonts w:ascii="宋体" w:hAnsi="宋体" w:cs="宋体"/>
          <w:b/>
          <w:snapToGrid w:val="0"/>
          <w:kern w:val="28"/>
          <w:sz w:val="24"/>
          <w:szCs w:val="20"/>
        </w:rPr>
      </w:pPr>
      <w:r>
        <w:rPr>
          <w:rFonts w:hint="eastAsia" w:ascii="宋体" w:hAnsi="宋体" w:cs="宋体"/>
          <w:b/>
          <w:snapToGrid w:val="0"/>
          <w:kern w:val="28"/>
          <w:sz w:val="24"/>
          <w:szCs w:val="20"/>
        </w:rPr>
        <w:t>采购需求：</w:t>
      </w:r>
    </w:p>
    <w:p>
      <w:pPr>
        <w:spacing w:line="360" w:lineRule="auto"/>
        <w:rPr>
          <w:rFonts w:hint="eastAsia" w:ascii="宋体" w:hAnsi="宋体" w:eastAsia="宋体" w:cs="宋体"/>
          <w:bCs/>
          <w:snapToGrid w:val="0"/>
          <w:color w:val="auto"/>
          <w:kern w:val="28"/>
          <w:sz w:val="24"/>
          <w:szCs w:val="20"/>
          <w:lang w:eastAsia="zh-CN"/>
        </w:rPr>
      </w:pPr>
      <w:r>
        <w:rPr>
          <w:rFonts w:hint="eastAsia" w:ascii="宋体" w:hAnsi="宋体" w:cs="宋体"/>
          <w:b/>
          <w:snapToGrid w:val="0"/>
          <w:color w:val="auto"/>
          <w:kern w:val="28"/>
          <w:sz w:val="24"/>
          <w:szCs w:val="20"/>
        </w:rPr>
        <w:t xml:space="preserve">    标项名称:</w:t>
      </w:r>
      <w:r>
        <w:rPr>
          <w:rFonts w:hint="eastAsia" w:ascii="宋体" w:hAnsi="宋体" w:cs="宋体"/>
          <w:bCs/>
          <w:snapToGrid w:val="0"/>
          <w:color w:val="auto"/>
          <w:kern w:val="28"/>
          <w:sz w:val="24"/>
          <w:szCs w:val="20"/>
        </w:rPr>
        <w:t xml:space="preserve"> </w:t>
      </w:r>
      <w:r>
        <w:rPr>
          <w:rFonts w:hint="eastAsia" w:ascii="宋体" w:hAnsi="宋体" w:cs="宋体"/>
          <w:bCs/>
          <w:snapToGrid w:val="0"/>
          <w:color w:val="auto"/>
          <w:kern w:val="28"/>
          <w:sz w:val="24"/>
          <w:szCs w:val="20"/>
          <w:lang w:eastAsia="zh-CN"/>
        </w:rPr>
        <w:t>杭州市萧山区中医院蛋糕券采购项目</w:t>
      </w:r>
    </w:p>
    <w:p>
      <w:pPr>
        <w:spacing w:line="360" w:lineRule="auto"/>
        <w:rPr>
          <w:rFonts w:hint="default" w:ascii="宋体" w:hAnsi="宋体" w:eastAsia="宋体" w:cs="宋体"/>
          <w:bCs/>
          <w:snapToGrid w:val="0"/>
          <w:color w:val="auto"/>
          <w:kern w:val="28"/>
          <w:sz w:val="24"/>
          <w:szCs w:val="20"/>
          <w:lang w:val="en-US" w:eastAsia="zh-CN"/>
        </w:rPr>
      </w:pPr>
      <w:r>
        <w:rPr>
          <w:rFonts w:hint="eastAsia" w:ascii="宋体" w:hAnsi="宋体" w:cs="宋体"/>
          <w:b/>
          <w:snapToGrid w:val="0"/>
          <w:color w:val="auto"/>
          <w:kern w:val="28"/>
          <w:sz w:val="24"/>
          <w:szCs w:val="20"/>
        </w:rPr>
        <w:t xml:space="preserve">    数量:</w:t>
      </w:r>
      <w:r>
        <w:rPr>
          <w:rFonts w:hint="eastAsia" w:ascii="宋体" w:hAnsi="宋体" w:cs="宋体"/>
          <w:bCs/>
          <w:snapToGrid w:val="0"/>
          <w:color w:val="auto"/>
          <w:kern w:val="28"/>
          <w:sz w:val="24"/>
          <w:szCs w:val="20"/>
          <w:lang w:val="en-US" w:eastAsia="zh-CN"/>
        </w:rPr>
        <w:t xml:space="preserve"> 1项</w:t>
      </w:r>
    </w:p>
    <w:p>
      <w:pPr>
        <w:spacing w:line="360" w:lineRule="auto"/>
        <w:rPr>
          <w:rFonts w:hint="eastAsia" w:ascii="宋体" w:hAnsi="宋体" w:eastAsia="宋体" w:cs="宋体"/>
          <w:bCs/>
          <w:snapToGrid w:val="0"/>
          <w:kern w:val="28"/>
          <w:sz w:val="24"/>
          <w:szCs w:val="20"/>
          <w:lang w:eastAsia="zh-CN"/>
        </w:rPr>
      </w:pPr>
      <w:r>
        <w:rPr>
          <w:rFonts w:hint="eastAsia" w:ascii="宋体" w:hAnsi="宋体" w:cs="宋体"/>
          <w:b/>
          <w:snapToGrid w:val="0"/>
          <w:color w:val="FF0000"/>
          <w:kern w:val="28"/>
          <w:sz w:val="24"/>
          <w:szCs w:val="20"/>
        </w:rPr>
        <w:t xml:space="preserve">   </w:t>
      </w:r>
      <w:r>
        <w:rPr>
          <w:rFonts w:hint="eastAsia" w:ascii="宋体" w:hAnsi="宋体" w:cs="宋体"/>
          <w:b/>
          <w:snapToGrid w:val="0"/>
          <w:kern w:val="28"/>
          <w:sz w:val="24"/>
          <w:szCs w:val="20"/>
        </w:rPr>
        <w:t xml:space="preserve"> 预算金额（元）：</w:t>
      </w:r>
      <w:r>
        <w:rPr>
          <w:rFonts w:hint="eastAsia" w:ascii="宋体" w:hAnsi="宋体" w:cs="宋体"/>
          <w:bCs/>
          <w:sz w:val="24"/>
          <w:lang w:val="en-US" w:eastAsia="zh-CN"/>
        </w:rPr>
        <w:t>390000</w:t>
      </w:r>
      <w:r>
        <w:rPr>
          <w:rFonts w:hint="eastAsia" w:ascii="宋体" w:hAnsi="宋体" w:cs="宋体"/>
          <w:bCs/>
          <w:snapToGrid w:val="0"/>
          <w:kern w:val="28"/>
          <w:sz w:val="24"/>
          <w:szCs w:val="20"/>
        </w:rPr>
        <w:t xml:space="preserve"> </w:t>
      </w:r>
    </w:p>
    <w:p>
      <w:pPr>
        <w:spacing w:line="360" w:lineRule="auto"/>
        <w:rPr>
          <w:rFonts w:hint="eastAsia" w:ascii="宋体" w:hAnsi="宋体" w:eastAsia="宋体" w:cs="宋体"/>
          <w:bCs/>
          <w:snapToGrid w:val="0"/>
          <w:kern w:val="28"/>
          <w:sz w:val="24"/>
          <w:szCs w:val="20"/>
          <w:lang w:eastAsia="zh-CN"/>
        </w:rPr>
      </w:pPr>
      <w:r>
        <w:rPr>
          <w:rFonts w:hint="eastAsia" w:ascii="宋体" w:hAnsi="宋体" w:cs="宋体"/>
          <w:b/>
          <w:snapToGrid w:val="0"/>
          <w:kern w:val="28"/>
          <w:sz w:val="24"/>
          <w:szCs w:val="20"/>
        </w:rPr>
        <w:t xml:space="preserve">    简要规格描述或项目基本概况介绍、用途：</w:t>
      </w:r>
      <w:r>
        <w:rPr>
          <w:rFonts w:ascii="宋体" w:hAnsi="宋体" w:cs="宋体"/>
          <w:bCs/>
          <w:snapToGrid w:val="0"/>
          <w:kern w:val="28"/>
          <w:sz w:val="24"/>
          <w:szCs w:val="20"/>
        </w:rPr>
        <w:t>详见</w:t>
      </w:r>
      <w:r>
        <w:rPr>
          <w:rFonts w:hint="eastAsia" w:ascii="宋体" w:hAnsi="宋体" w:cs="宋体"/>
          <w:bCs/>
          <w:snapToGrid w:val="0"/>
          <w:kern w:val="28"/>
          <w:sz w:val="24"/>
          <w:szCs w:val="20"/>
        </w:rPr>
        <w:t>交易</w:t>
      </w:r>
      <w:r>
        <w:rPr>
          <w:rFonts w:ascii="宋体" w:hAnsi="宋体" w:cs="宋体"/>
          <w:bCs/>
          <w:snapToGrid w:val="0"/>
          <w:kern w:val="28"/>
          <w:sz w:val="24"/>
          <w:szCs w:val="20"/>
        </w:rPr>
        <w:t>文件。</w:t>
      </w:r>
    </w:p>
    <w:p>
      <w:pPr>
        <w:spacing w:line="360" w:lineRule="auto"/>
        <w:rPr>
          <w:rFonts w:ascii="宋体" w:hAnsi="宋体" w:cs="宋体"/>
          <w:b/>
          <w:snapToGrid w:val="0"/>
          <w:kern w:val="28"/>
          <w:sz w:val="24"/>
          <w:szCs w:val="20"/>
        </w:rPr>
      </w:pPr>
      <w:r>
        <w:rPr>
          <w:rFonts w:hint="eastAsia" w:ascii="宋体" w:hAnsi="宋体" w:cs="宋体"/>
          <w:b/>
          <w:snapToGrid w:val="0"/>
          <w:kern w:val="28"/>
          <w:sz w:val="24"/>
          <w:szCs w:val="20"/>
        </w:rPr>
        <w:t xml:space="preserve">    备注：</w:t>
      </w:r>
      <w:r>
        <w:rPr>
          <w:rFonts w:ascii="宋体" w:hAnsi="宋体" w:cs="宋体"/>
          <w:bCs/>
          <w:snapToGrid w:val="0"/>
          <w:kern w:val="28"/>
          <w:sz w:val="24"/>
          <w:szCs w:val="20"/>
        </w:rPr>
        <w:t>/</w:t>
      </w:r>
    </w:p>
    <w:p>
      <w:pPr>
        <w:spacing w:line="360" w:lineRule="auto"/>
        <w:ind w:firstLine="482" w:firstLineChars="200"/>
        <w:rPr>
          <w:rFonts w:ascii="宋体" w:hAnsi="宋体" w:cs="宋体"/>
          <w:b/>
          <w:snapToGrid w:val="0"/>
          <w:kern w:val="28"/>
          <w:sz w:val="24"/>
          <w:szCs w:val="20"/>
        </w:rPr>
      </w:pPr>
      <w:r>
        <w:rPr>
          <w:rFonts w:hint="eastAsia" w:ascii="宋体" w:hAnsi="宋体" w:cs="宋体"/>
          <w:b/>
          <w:snapToGrid w:val="0"/>
          <w:kern w:val="28"/>
          <w:sz w:val="24"/>
          <w:szCs w:val="20"/>
        </w:rPr>
        <w:t>合同履约期限：</w:t>
      </w:r>
      <w:r>
        <w:rPr>
          <w:rFonts w:ascii="宋体" w:hAnsi="宋体" w:cs="宋体"/>
          <w:bCs/>
          <w:snapToGrid w:val="0"/>
          <w:kern w:val="28"/>
          <w:sz w:val="24"/>
          <w:szCs w:val="20"/>
        </w:rPr>
        <w:t>标项 1，详见交易文件。</w:t>
      </w:r>
    </w:p>
    <w:p>
      <w:pPr>
        <w:spacing w:line="360" w:lineRule="auto"/>
        <w:ind w:firstLine="482" w:firstLineChars="200"/>
        <w:rPr>
          <w:rFonts w:ascii="宋体" w:hAnsi="宋体" w:cs="宋体"/>
          <w:b/>
          <w:snapToGrid w:val="0"/>
          <w:kern w:val="28"/>
          <w:sz w:val="24"/>
          <w:szCs w:val="20"/>
        </w:rPr>
      </w:pPr>
      <w:r>
        <w:rPr>
          <w:rFonts w:hint="eastAsia" w:ascii="宋体" w:hAnsi="宋体" w:cs="宋体"/>
          <w:b/>
          <w:snapToGrid w:val="0"/>
          <w:kern w:val="28"/>
          <w:sz w:val="24"/>
          <w:szCs w:val="20"/>
        </w:rPr>
        <w:t>本项目不接受联合体投标。</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w:t>
      </w:r>
    </w:p>
    <w:p>
      <w:pPr>
        <w:numPr>
          <w:ilvl w:val="0"/>
          <w:numId w:val="0"/>
        </w:num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本项目的特定资格要求：</w:t>
      </w:r>
    </w:p>
    <w:p>
      <w:pPr>
        <w:numPr>
          <w:ilvl w:val="0"/>
          <w:numId w:val="0"/>
        </w:numPr>
        <w:spacing w:line="360" w:lineRule="auto"/>
        <w:ind w:firstLine="480" w:firstLineChars="200"/>
        <w:rPr>
          <w:rFonts w:hint="eastAsia" w:ascii="宋体" w:hAnsi="宋体" w:cs="宋体"/>
          <w:sz w:val="24"/>
        </w:rPr>
      </w:pPr>
      <w:r>
        <w:rPr>
          <w:rFonts w:hint="default" w:ascii="宋体" w:hAnsi="宋体" w:cs="宋体"/>
          <w:sz w:val="24"/>
        </w:rPr>
        <w:t>①</w:t>
      </w:r>
      <w:r>
        <w:rPr>
          <w:rFonts w:hint="eastAsia" w:ascii="宋体" w:hAnsi="宋体" w:cs="宋体"/>
          <w:sz w:val="24"/>
        </w:rPr>
        <w:t>具有工商行政管理部门颁发的食品流通许可证（有效期内）及食品监督管理部门颁发的食品经营许可证。</w:t>
      </w:r>
    </w:p>
    <w:p>
      <w:pPr>
        <w:numPr>
          <w:ilvl w:val="0"/>
          <w:numId w:val="0"/>
        </w:numPr>
        <w:spacing w:line="360" w:lineRule="auto"/>
        <w:ind w:firstLine="480" w:firstLineChars="200"/>
        <w:rPr>
          <w:rFonts w:hint="eastAsia" w:ascii="宋体" w:hAnsi="宋体" w:cs="宋体"/>
          <w:color w:val="auto"/>
          <w:sz w:val="24"/>
          <w:lang w:eastAsia="zh-CN"/>
        </w:rPr>
      </w:pPr>
      <w:r>
        <w:rPr>
          <w:rFonts w:hint="default" w:ascii="宋体" w:hAnsi="宋体" w:cs="宋体"/>
          <w:sz w:val="24"/>
        </w:rPr>
        <w:t>②</w:t>
      </w:r>
      <w:r>
        <w:rPr>
          <w:rFonts w:hint="eastAsia" w:ascii="宋体" w:hAnsi="宋体" w:cs="宋体"/>
          <w:sz w:val="24"/>
        </w:rPr>
        <w:t>依法注</w:t>
      </w:r>
      <w:r>
        <w:rPr>
          <w:rFonts w:hint="eastAsia" w:ascii="宋体" w:hAnsi="宋体" w:cs="宋体"/>
          <w:color w:val="auto"/>
          <w:sz w:val="24"/>
        </w:rPr>
        <w:t>册成立的独立企业法人且具备食品生产经营许可证</w:t>
      </w:r>
      <w:r>
        <w:rPr>
          <w:rFonts w:hint="eastAsia" w:ascii="宋体" w:hAnsi="宋体" w:cs="宋体"/>
          <w:color w:val="auto"/>
          <w:sz w:val="24"/>
          <w:lang w:eastAsia="zh-CN"/>
        </w:rPr>
        <w:t>。</w:t>
      </w:r>
    </w:p>
    <w:p>
      <w:pPr>
        <w:spacing w:line="360" w:lineRule="auto"/>
        <w:rPr>
          <w:rFonts w:ascii="宋体" w:hAnsi="宋体" w:cs="宋体"/>
          <w:b/>
          <w:color w:val="auto"/>
          <w:sz w:val="24"/>
        </w:rPr>
      </w:pPr>
      <w:r>
        <w:rPr>
          <w:rFonts w:hint="eastAsia" w:ascii="宋体" w:hAnsi="宋体" w:cs="宋体"/>
          <w:b/>
          <w:color w:val="auto"/>
          <w:sz w:val="24"/>
        </w:rPr>
        <w:t xml:space="preserve">三、获取交易文件 </w:t>
      </w:r>
    </w:p>
    <w:p>
      <w:pPr>
        <w:spacing w:line="360" w:lineRule="auto"/>
        <w:ind w:firstLine="482" w:firstLineChars="200"/>
        <w:rPr>
          <w:rFonts w:ascii="宋体" w:hAnsi="宋体" w:cs="宋体"/>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w:t>
      </w:r>
      <w:r>
        <w:rPr>
          <w:rFonts w:hint="eastAsia" w:ascii="宋体" w:hAnsi="宋体" w:cs="宋体"/>
          <w:sz w:val="24"/>
        </w:rPr>
        <w:t>，线下获取文件法定节假日除外）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政采云平台（乐采云平台）（https://www.zcygov.cn/）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供应商登录政采云平台（乐采云平台）https://www.zcygov.cn/在线申请获取交易文件（进入“项目采购”应用，在获取交易文件菜单中选择项目，申请获取交易文件）。 </w:t>
      </w:r>
    </w:p>
    <w:p>
      <w:pPr>
        <w:spacing w:line="360" w:lineRule="auto"/>
        <w:ind w:firstLine="482" w:firstLineChars="200"/>
        <w:rPr>
          <w:rFonts w:ascii="宋体" w:hAnsi="宋体" w:cs="宋体"/>
          <w:color w:val="auto"/>
          <w:sz w:val="24"/>
        </w:rPr>
      </w:pPr>
      <w:r>
        <w:rPr>
          <w:rFonts w:hint="eastAsia" w:ascii="宋体" w:hAnsi="宋体" w:cs="宋体"/>
          <w:b/>
          <w:sz w:val="24"/>
        </w:rPr>
        <w:t>售价（</w:t>
      </w:r>
      <w:r>
        <w:rPr>
          <w:rFonts w:hint="eastAsia" w:ascii="宋体" w:hAnsi="宋体" w:cs="宋体"/>
          <w:b/>
          <w:color w:val="auto"/>
          <w:sz w:val="24"/>
        </w:rPr>
        <w:t>元）：</w:t>
      </w:r>
      <w:r>
        <w:rPr>
          <w:rFonts w:hint="eastAsia" w:ascii="宋体" w:hAnsi="宋体" w:cs="宋体"/>
          <w:color w:val="auto"/>
          <w:sz w:val="24"/>
        </w:rPr>
        <w:t xml:space="preserve">0 </w:t>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b/>
          <w:color w:val="auto"/>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15</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政采云平台（乐采云平台）（https://www.zcygov.cn/）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b/>
          <w:color w:val="auto"/>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15</w:t>
      </w:r>
      <w:r>
        <w:rPr>
          <w:rFonts w:hint="eastAsia" w:ascii="宋体" w:hAnsi="宋体" w:cs="宋体"/>
          <w:color w:val="auto"/>
          <w:sz w:val="24"/>
          <w:u w:val="single"/>
        </w:rPr>
        <w:t>分</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政采云平台（乐采云平台）（https://www.zcygov.cn/）</w:t>
      </w:r>
      <w:r>
        <w:rPr>
          <w:rFonts w:hint="eastAsia" w:ascii="宋体" w:hAnsi="宋体" w:cs="宋体"/>
          <w:color w:val="auto"/>
          <w:sz w:val="24"/>
          <w:szCs w:val="28"/>
        </w:rPr>
        <w:t>。</w:t>
      </w:r>
    </w:p>
    <w:p>
      <w:pPr>
        <w:spacing w:line="360" w:lineRule="auto"/>
        <w:rPr>
          <w:rFonts w:ascii="宋体" w:hAnsi="宋体" w:cs="宋体"/>
          <w:b/>
          <w:color w:val="auto"/>
          <w:sz w:val="24"/>
        </w:rPr>
      </w:pPr>
      <w:r>
        <w:rPr>
          <w:rFonts w:hint="eastAsia" w:ascii="宋体" w:hAnsi="宋体" w:cs="宋体"/>
          <w:b/>
          <w:color w:val="auto"/>
          <w:sz w:val="24"/>
        </w:rPr>
        <w:t>五、其他补充事宜</w:t>
      </w:r>
    </w:p>
    <w:p>
      <w:pPr>
        <w:spacing w:line="360" w:lineRule="auto"/>
        <w:ind w:firstLine="480" w:firstLineChars="200"/>
        <w:rPr>
          <w:rFonts w:ascii="宋体" w:hAnsi="宋体" w:cs="宋体"/>
          <w:sz w:val="24"/>
        </w:rPr>
      </w:pPr>
      <w:r>
        <w:rPr>
          <w:rFonts w:hint="eastAsia" w:ascii="宋体" w:hAnsi="宋体" w:cs="宋体"/>
          <w:color w:val="auto"/>
          <w:sz w:val="24"/>
        </w:rPr>
        <w:t>1.供应商认为交易文件使自己的权益受</w:t>
      </w:r>
      <w:r>
        <w:rPr>
          <w:rFonts w:hint="eastAsia" w:ascii="宋体" w:hAnsi="宋体" w:cs="宋体"/>
          <w:sz w:val="24"/>
        </w:rPr>
        <w:t>到损害的，可以自获取交易文件之日起</w:t>
      </w:r>
      <w:r>
        <w:rPr>
          <w:rFonts w:ascii="宋体" w:hAnsi="宋体" w:cs="宋体"/>
          <w:sz w:val="24"/>
        </w:rPr>
        <w:t>3</w:t>
      </w:r>
      <w:r>
        <w:rPr>
          <w:rFonts w:hint="eastAsia" w:ascii="宋体" w:hAnsi="宋体" w:cs="宋体"/>
          <w:sz w:val="24"/>
        </w:rPr>
        <w:t>个工作日内，以书面形式向采购人和采购代理机构提出质疑。质疑函范本请到浙江政府采购网下载专区下载。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其他事项：（1）需要落实的采购政策：包括节约资源、保护环境、支持创新、促进中小企业发展等。详见交易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乐采云平台）；进入“项目采购”应用，在获取交易文件菜单中选择项目，获取交易文件；④投标文件的制作：在“政采云电子交易客户端”中完成“填写基本信息”、“导入投标文件”、“标书关联”、“标书检查”、“电子签名”、“生成电子标书”等操作；⑤采购人、采购机构将依托政采云平台（乐采云平台）完成本项目的电子交易活动，平台不接受未按上述方式获取交易文件的供应商进行投标活动； ⑥对未按上述方式获取交易文件的供应商对该文件提出的质疑，采购人或采购代理机构将不予处理；⑦不提供交易文件纸质版；⑧投标文件的传输递交：投标人在投标截止时间前将加密的投标文件上传至政府采购云平台。备份投标文件（如要求提供的）的制作、存储、密封详见交易文件第二部分第15点—“备份投标文件”；⑨投标文件的解密：投标人按照平台提示和交易文件的规定在半小时内完成在线解密。通过“政府采购云平台”上传递交的投标文件无法按时解密，投标无效；⑩具体操作指南：详见政采云平台（乐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七、对本次采购提出询问、质疑，请按以下方式联系</w:t>
      </w:r>
    </w:p>
    <w:p>
      <w:pPr>
        <w:widowControl/>
        <w:spacing w:line="360" w:lineRule="auto"/>
        <w:jc w:val="left"/>
        <w:rPr>
          <w:rFonts w:ascii="宋体" w:hAnsi="宋体" w:cs="宋体"/>
          <w:sz w:val="24"/>
          <w:szCs w:val="28"/>
        </w:rPr>
      </w:pPr>
      <w:r>
        <w:rPr>
          <w:rFonts w:hint="eastAsia" w:ascii="宋体" w:hAnsi="宋体" w:cs="宋体"/>
          <w:sz w:val="24"/>
          <w:szCs w:val="28"/>
        </w:rPr>
        <w:t>1.采购人信息</w:t>
      </w:r>
    </w:p>
    <w:p>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名 称：</w:t>
      </w:r>
      <w:r>
        <w:rPr>
          <w:rFonts w:hint="eastAsia" w:ascii="宋体" w:hAnsi="宋体" w:cs="宋体"/>
          <w:bCs/>
          <w:snapToGrid w:val="0"/>
          <w:kern w:val="28"/>
          <w:sz w:val="24"/>
          <w:szCs w:val="20"/>
          <w:lang w:eastAsia="zh-CN"/>
        </w:rPr>
        <w:t>杭州市萧山区中医院工会委员会</w:t>
      </w:r>
    </w:p>
    <w:p>
      <w:pPr>
        <w:spacing w:line="360" w:lineRule="auto"/>
        <w:jc w:val="left"/>
        <w:rPr>
          <w:rFonts w:hint="default" w:ascii="宋体" w:hAnsi="宋体" w:eastAsia="宋体" w:cs="宋体"/>
          <w:color w:val="0000FF"/>
          <w:sz w:val="24"/>
          <w:szCs w:val="28"/>
          <w:lang w:val="en-US" w:eastAsia="zh-CN"/>
        </w:rPr>
      </w:pPr>
      <w:r>
        <w:rPr>
          <w:rFonts w:hint="eastAsia" w:ascii="宋体" w:hAnsi="宋体" w:cs="宋体"/>
          <w:sz w:val="24"/>
          <w:szCs w:val="28"/>
        </w:rPr>
        <w:t>地址：杭州市萧山区</w:t>
      </w:r>
      <w:r>
        <w:rPr>
          <w:rFonts w:hint="eastAsia" w:ascii="宋体" w:hAnsi="宋体" w:cs="宋体"/>
          <w:sz w:val="24"/>
          <w:szCs w:val="28"/>
          <w:lang w:val="en-US" w:eastAsia="zh-CN"/>
        </w:rPr>
        <w:t xml:space="preserve">育才路156号  </w:t>
      </w:r>
    </w:p>
    <w:p>
      <w:pPr>
        <w:spacing w:line="360" w:lineRule="auto"/>
        <w:jc w:val="left"/>
        <w:rPr>
          <w:rFonts w:hint="default" w:ascii="宋体" w:hAnsi="宋体" w:eastAsia="宋体" w:cs="宋体"/>
          <w:sz w:val="24"/>
          <w:szCs w:val="28"/>
          <w:lang w:val="en-US" w:eastAsia="zh-CN"/>
        </w:rPr>
      </w:pPr>
      <w:r>
        <w:rPr>
          <w:rFonts w:hint="eastAsia" w:ascii="宋体" w:hAnsi="宋体" w:cs="宋体"/>
          <w:sz w:val="24"/>
          <w:szCs w:val="28"/>
        </w:rPr>
        <w:t>项目联系人（询问）：陈蕾</w:t>
      </w:r>
      <w:r>
        <w:rPr>
          <w:rFonts w:hint="eastAsia" w:ascii="宋体" w:hAnsi="宋体" w:cs="宋体"/>
          <w:sz w:val="24"/>
          <w:szCs w:val="28"/>
          <w:lang w:val="en-US" w:eastAsia="zh-CN"/>
        </w:rPr>
        <w:t xml:space="preserve"> </w:t>
      </w:r>
    </w:p>
    <w:p>
      <w:pPr>
        <w:spacing w:line="360" w:lineRule="auto"/>
        <w:jc w:val="left"/>
        <w:rPr>
          <w:rFonts w:ascii="宋体" w:hAnsi="宋体" w:cs="宋体"/>
          <w:sz w:val="24"/>
          <w:szCs w:val="28"/>
        </w:rPr>
      </w:pPr>
      <w:r>
        <w:rPr>
          <w:rFonts w:hint="eastAsia" w:ascii="宋体" w:hAnsi="宋体" w:cs="宋体"/>
          <w:sz w:val="24"/>
          <w:szCs w:val="28"/>
        </w:rPr>
        <w:t>项目联系方式（询问）：0571-83812007</w:t>
      </w:r>
      <w:r>
        <w:rPr>
          <w:rFonts w:hint="eastAsia" w:ascii="宋体" w:hAnsi="宋体" w:cs="宋体"/>
          <w:sz w:val="24"/>
          <w:szCs w:val="28"/>
          <w:lang w:val="en-US" w:eastAsia="zh-CN"/>
        </w:rPr>
        <w:t xml:space="preserve">  </w:t>
      </w:r>
      <w:r>
        <w:rPr>
          <w:rFonts w:hint="eastAsia" w:ascii="宋体" w:hAnsi="宋体" w:cs="宋体"/>
          <w:sz w:val="24"/>
          <w:szCs w:val="28"/>
        </w:rPr>
        <w:t xml:space="preserve"> </w:t>
      </w:r>
    </w:p>
    <w:p>
      <w:pPr>
        <w:spacing w:line="360" w:lineRule="auto"/>
        <w:jc w:val="left"/>
        <w:rPr>
          <w:rFonts w:ascii="宋体" w:hAnsi="宋体" w:cs="宋体"/>
          <w:sz w:val="24"/>
          <w:szCs w:val="28"/>
        </w:rPr>
      </w:pPr>
      <w:bookmarkStart w:id="11" w:name="_Toc28359086"/>
      <w:bookmarkStart w:id="12" w:name="_Toc28359009"/>
      <w:r>
        <w:rPr>
          <w:rFonts w:hint="eastAsia" w:ascii="宋体" w:hAnsi="宋体" w:cs="宋体"/>
          <w:sz w:val="24"/>
          <w:szCs w:val="28"/>
        </w:rPr>
        <w:t>2.采购代理机构信息</w:t>
      </w:r>
      <w:bookmarkEnd w:id="11"/>
      <w:bookmarkEnd w:id="12"/>
    </w:p>
    <w:p>
      <w:pPr>
        <w:spacing w:line="360" w:lineRule="auto"/>
        <w:jc w:val="left"/>
        <w:rPr>
          <w:rFonts w:ascii="宋体" w:hAnsi="宋体" w:cs="宋体"/>
          <w:sz w:val="24"/>
          <w:szCs w:val="28"/>
        </w:rPr>
      </w:pPr>
      <w:r>
        <w:rPr>
          <w:rFonts w:hint="eastAsia" w:ascii="宋体" w:hAnsi="宋体" w:cs="宋体"/>
          <w:sz w:val="24"/>
          <w:szCs w:val="28"/>
        </w:rPr>
        <w:t>名 称：杭州信达投资咨询估价监理有限公司</w:t>
      </w:r>
    </w:p>
    <w:p>
      <w:pPr>
        <w:spacing w:line="360" w:lineRule="auto"/>
        <w:jc w:val="left"/>
        <w:rPr>
          <w:rFonts w:ascii="宋体" w:hAnsi="宋体" w:cs="宋体"/>
          <w:sz w:val="24"/>
          <w:szCs w:val="28"/>
        </w:rPr>
      </w:pPr>
      <w:r>
        <w:rPr>
          <w:rFonts w:hint="eastAsia" w:ascii="宋体" w:hAnsi="宋体" w:cs="宋体"/>
          <w:sz w:val="24"/>
          <w:szCs w:val="28"/>
        </w:rPr>
        <w:t>地址：杭州市萧山区蜀山街道晨晖路1096号柳桥南和城4幢1单元20楼</w:t>
      </w:r>
    </w:p>
    <w:p>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项目联系人（询问）：</w:t>
      </w:r>
      <w:r>
        <w:rPr>
          <w:rFonts w:hint="eastAsia" w:ascii="宋体" w:hAnsi="宋体" w:cs="宋体"/>
          <w:sz w:val="24"/>
          <w:szCs w:val="28"/>
          <w:lang w:val="en-US" w:eastAsia="zh-CN"/>
        </w:rPr>
        <w:t>高波</w:t>
      </w:r>
    </w:p>
    <w:p>
      <w:pPr>
        <w:spacing w:line="360" w:lineRule="auto"/>
        <w:jc w:val="left"/>
        <w:rPr>
          <w:rFonts w:hint="default" w:ascii="宋体" w:hAnsi="宋体" w:eastAsia="宋体" w:cs="宋体"/>
          <w:sz w:val="24"/>
          <w:szCs w:val="28"/>
          <w:lang w:val="en-US" w:eastAsia="zh-CN"/>
        </w:rPr>
      </w:pPr>
      <w:r>
        <w:rPr>
          <w:rFonts w:hint="eastAsia" w:ascii="宋体" w:hAnsi="宋体" w:cs="宋体"/>
          <w:sz w:val="24"/>
          <w:szCs w:val="28"/>
        </w:rPr>
        <w:t>项目联系方式（询问）：</w:t>
      </w:r>
      <w:r>
        <w:rPr>
          <w:rFonts w:ascii="宋体" w:hAnsi="宋体"/>
          <w:sz w:val="24"/>
          <w:szCs w:val="28"/>
        </w:rPr>
        <w:t>0571-</w:t>
      </w:r>
      <w:r>
        <w:rPr>
          <w:rFonts w:hint="eastAsia" w:ascii="宋体" w:hAnsi="宋体"/>
          <w:sz w:val="24"/>
          <w:szCs w:val="28"/>
        </w:rPr>
        <w:t>561267</w:t>
      </w:r>
      <w:r>
        <w:rPr>
          <w:rFonts w:hint="eastAsia" w:ascii="宋体" w:hAnsi="宋体"/>
          <w:sz w:val="24"/>
          <w:szCs w:val="28"/>
          <w:lang w:val="en-US" w:eastAsia="zh-CN"/>
        </w:rPr>
        <w:t>31</w:t>
      </w:r>
    </w:p>
    <w:p>
      <w:pPr>
        <w:spacing w:line="360" w:lineRule="auto"/>
        <w:jc w:val="left"/>
        <w:rPr>
          <w:rFonts w:ascii="宋体" w:hAnsi="宋体" w:cs="宋体"/>
          <w:sz w:val="24"/>
        </w:rPr>
      </w:pPr>
      <w:r>
        <w:rPr>
          <w:rFonts w:hint="eastAsia" w:ascii="宋体" w:hAnsi="宋体" w:cs="宋体"/>
          <w:color w:val="0000FF"/>
          <w:sz w:val="24"/>
          <w:szCs w:val="28"/>
        </w:rPr>
        <w:t>  </w:t>
      </w: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r>
        <w:rPr>
          <w:rFonts w:hint="eastAsia" w:hAnsi="宋体" w:cs="宋体"/>
          <w:sz w:val="24"/>
        </w:rPr>
        <w:t xml:space="preserve">             </w:t>
      </w:r>
    </w:p>
    <w:p>
      <w:pPr>
        <w:adjustRightInd/>
        <w:jc w:val="center"/>
        <w:outlineLvl w:val="0"/>
        <w:rPr>
          <w:rFonts w:ascii="宋体" w:hAnsi="宋体" w:cs="宋体"/>
          <w:b/>
          <w:sz w:val="36"/>
          <w:szCs w:val="20"/>
        </w:rPr>
      </w:pPr>
    </w:p>
    <w:p>
      <w:pPr>
        <w:adjustRightInd/>
        <w:jc w:val="center"/>
        <w:outlineLvl w:val="0"/>
        <w:rPr>
          <w:rFonts w:hint="eastAsia" w:ascii="宋体" w:hAnsi="宋体" w:cs="宋体"/>
          <w:b/>
          <w:sz w:val="36"/>
          <w:szCs w:val="20"/>
        </w:rPr>
      </w:pPr>
    </w:p>
    <w:p>
      <w:pPr>
        <w:adjustRightInd/>
        <w:jc w:val="center"/>
        <w:outlineLvl w:val="0"/>
        <w:rPr>
          <w:rFonts w:hint="eastAsia" w:ascii="宋体" w:hAnsi="宋体" w:cs="宋体"/>
          <w:b/>
          <w:sz w:val="36"/>
          <w:szCs w:val="20"/>
        </w:rPr>
      </w:pPr>
    </w:p>
    <w:p>
      <w:pPr>
        <w:adjustRightInd/>
        <w:jc w:val="center"/>
        <w:outlineLvl w:val="0"/>
        <w:rPr>
          <w:rFonts w:hint="eastAsia" w:ascii="宋体" w:hAnsi="宋体" w:cs="宋体"/>
          <w:b/>
          <w:sz w:val="36"/>
          <w:szCs w:val="20"/>
        </w:rPr>
      </w:pPr>
    </w:p>
    <w:p>
      <w:pPr>
        <w:adjustRightInd/>
        <w:jc w:val="center"/>
        <w:outlineLvl w:val="0"/>
        <w:rPr>
          <w:rFonts w:hint="eastAsia" w:ascii="宋体" w:hAnsi="宋体" w:cs="宋体"/>
          <w:b/>
          <w:sz w:val="36"/>
          <w:szCs w:val="20"/>
        </w:rPr>
      </w:pPr>
    </w:p>
    <w:p>
      <w:pPr>
        <w:adjustRightInd/>
        <w:jc w:val="center"/>
        <w:outlineLvl w:val="0"/>
        <w:rPr>
          <w:rFonts w:hint="eastAsia" w:ascii="宋体" w:hAnsi="宋体" w:cs="宋体"/>
          <w:b/>
          <w:sz w:val="36"/>
          <w:szCs w:val="20"/>
        </w:rPr>
      </w:pPr>
    </w:p>
    <w:p>
      <w:pPr>
        <w:adjustRightInd/>
        <w:jc w:val="center"/>
        <w:outlineLvl w:val="0"/>
        <w:rPr>
          <w:rFonts w:hint="eastAsia" w:ascii="宋体" w:hAnsi="宋体" w:cs="宋体"/>
          <w:b/>
          <w:sz w:val="36"/>
          <w:szCs w:val="20"/>
        </w:rPr>
      </w:pPr>
    </w:p>
    <w:p>
      <w:pPr>
        <w:adjustRightInd/>
        <w:jc w:val="center"/>
        <w:outlineLvl w:val="0"/>
        <w:rPr>
          <w:rFonts w:hint="eastAsia" w:ascii="宋体" w:hAnsi="宋体" w:cs="宋体"/>
          <w:b/>
          <w:sz w:val="36"/>
          <w:szCs w:val="20"/>
        </w:rPr>
      </w:pPr>
    </w:p>
    <w:p>
      <w:pPr>
        <w:adjustRightInd/>
        <w:jc w:val="center"/>
        <w:outlineLvl w:val="0"/>
        <w:rPr>
          <w:rFonts w:hint="eastAsia" w:ascii="宋体" w:hAnsi="宋体" w:cs="宋体"/>
          <w:b/>
          <w:sz w:val="36"/>
          <w:szCs w:val="20"/>
        </w:rPr>
      </w:pPr>
    </w:p>
    <w:p>
      <w:pPr>
        <w:adjustRightInd/>
        <w:jc w:val="center"/>
        <w:outlineLvl w:val="0"/>
        <w:rPr>
          <w:rFonts w:hint="eastAsia" w:ascii="宋体" w:hAnsi="宋体" w:cs="宋体"/>
          <w:b/>
          <w:sz w:val="36"/>
          <w:szCs w:val="20"/>
        </w:rPr>
      </w:pPr>
    </w:p>
    <w:p>
      <w:pPr>
        <w:adjustRightInd/>
        <w:jc w:val="center"/>
        <w:outlineLvl w:val="0"/>
        <w:rPr>
          <w:rFonts w:hint="eastAsia" w:ascii="宋体" w:hAnsi="宋体" w:cs="宋体"/>
          <w:b/>
          <w:sz w:val="36"/>
          <w:szCs w:val="20"/>
        </w:rPr>
      </w:pPr>
    </w:p>
    <w:p>
      <w:pPr>
        <w:adjustRightInd/>
        <w:jc w:val="center"/>
        <w:outlineLvl w:val="0"/>
        <w:rPr>
          <w:rFonts w:hint="eastAsia" w:ascii="宋体" w:hAnsi="宋体" w:cs="宋体"/>
          <w:b/>
          <w:sz w:val="36"/>
          <w:szCs w:val="20"/>
        </w:rPr>
      </w:pPr>
    </w:p>
    <w:p>
      <w:pPr>
        <w:adjustRightInd/>
        <w:jc w:val="center"/>
        <w:outlineLvl w:val="0"/>
        <w:rPr>
          <w:rFonts w:hint="eastAsia" w:ascii="宋体" w:hAnsi="宋体" w:cs="宋体"/>
          <w:b/>
          <w:sz w:val="36"/>
          <w:szCs w:val="20"/>
        </w:rPr>
      </w:pPr>
    </w:p>
    <w:p>
      <w:pPr>
        <w:adjustRightInd/>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snapToGrid w:val="0"/>
        <w:jc w:val="center"/>
        <w:rPr>
          <w:rFonts w:ascii="宋体" w:hAnsi="宋体" w:cs="宋体"/>
          <w:b/>
          <w:sz w:val="32"/>
          <w:szCs w:val="20"/>
        </w:rPr>
      </w:pPr>
      <w:r>
        <w:rPr>
          <w:rFonts w:hint="eastAsia" w:ascii="宋体" w:hAnsi="宋体" w:cs="宋体"/>
          <w:b/>
          <w:sz w:val="32"/>
          <w:szCs w:val="20"/>
        </w:rPr>
        <w:t>前附表</w:t>
      </w:r>
    </w:p>
    <w:tbl>
      <w:tblPr>
        <w:tblStyle w:val="63"/>
        <w:tblW w:w="935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5"/>
        <w:gridCol w:w="14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tblHeader/>
        </w:trPr>
        <w:tc>
          <w:tcPr>
            <w:tcW w:w="655" w:type="dxa"/>
            <w:vAlign w:val="center"/>
          </w:tcPr>
          <w:p>
            <w:pPr>
              <w:snapToGrid w:val="0"/>
              <w:jc w:val="center"/>
              <w:rPr>
                <w:rFonts w:ascii="宋体" w:hAnsi="宋体" w:cs="宋体"/>
                <w:b/>
                <w:color w:val="auto"/>
                <w:sz w:val="24"/>
              </w:rPr>
            </w:pPr>
            <w:r>
              <w:rPr>
                <w:rFonts w:hint="eastAsia" w:ascii="宋体" w:hAnsi="宋体" w:cs="宋体"/>
                <w:b/>
                <w:color w:val="auto"/>
                <w:sz w:val="24"/>
              </w:rPr>
              <w:t>序号</w:t>
            </w:r>
          </w:p>
        </w:tc>
        <w:tc>
          <w:tcPr>
            <w:tcW w:w="1472" w:type="dxa"/>
            <w:vAlign w:val="center"/>
          </w:tcPr>
          <w:p>
            <w:pPr>
              <w:snapToGrid w:val="0"/>
              <w:jc w:val="center"/>
              <w:rPr>
                <w:rFonts w:ascii="宋体" w:hAnsi="宋体" w:cs="宋体"/>
                <w:b/>
                <w:color w:val="auto"/>
                <w:sz w:val="24"/>
              </w:rPr>
            </w:pPr>
            <w:r>
              <w:rPr>
                <w:rFonts w:hint="eastAsia" w:ascii="宋体" w:hAnsi="宋体" w:cs="宋体"/>
                <w:b/>
                <w:color w:val="auto"/>
                <w:sz w:val="24"/>
              </w:rPr>
              <w:t>事项</w:t>
            </w:r>
          </w:p>
        </w:tc>
        <w:tc>
          <w:tcPr>
            <w:tcW w:w="7229" w:type="dxa"/>
            <w:vAlign w:val="center"/>
          </w:tcPr>
          <w:p>
            <w:pPr>
              <w:snapToGrid w:val="0"/>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9" w:hRule="atLeast"/>
          <w:tblHeader/>
        </w:trPr>
        <w:tc>
          <w:tcPr>
            <w:tcW w:w="655" w:type="dxa"/>
            <w:vAlign w:val="center"/>
          </w:tcPr>
          <w:p>
            <w:pPr>
              <w:snapToGrid w:val="0"/>
              <w:jc w:val="center"/>
              <w:rPr>
                <w:rFonts w:ascii="宋体" w:hAnsi="宋体" w:cs="宋体"/>
                <w:color w:val="auto"/>
                <w:sz w:val="24"/>
              </w:rPr>
            </w:pPr>
            <w:r>
              <w:rPr>
                <w:rFonts w:hint="eastAsia" w:ascii="宋体" w:hAnsi="宋体" w:cs="宋体"/>
                <w:color w:val="auto"/>
                <w:sz w:val="24"/>
              </w:rPr>
              <w:t>1</w:t>
            </w:r>
          </w:p>
        </w:tc>
        <w:tc>
          <w:tcPr>
            <w:tcW w:w="1472" w:type="dxa"/>
            <w:vAlign w:val="center"/>
          </w:tcPr>
          <w:p>
            <w:pPr>
              <w:snapToGrid w:val="0"/>
              <w:jc w:val="center"/>
              <w:rPr>
                <w:rFonts w:ascii="宋体" w:hAnsi="宋体" w:cs="宋体"/>
                <w:b/>
                <w:color w:val="auto"/>
                <w:sz w:val="24"/>
              </w:rPr>
            </w:pPr>
            <w:r>
              <w:rPr>
                <w:rFonts w:hint="eastAsia" w:ascii="宋体" w:hAnsi="宋体" w:cs="宋体"/>
                <w:b/>
                <w:color w:val="auto"/>
                <w:sz w:val="24"/>
              </w:rPr>
              <w:t>项目属性与核心产品</w:t>
            </w:r>
          </w:p>
        </w:tc>
        <w:tc>
          <w:tcPr>
            <w:tcW w:w="7229" w:type="dxa"/>
            <w:vAlign w:val="center"/>
          </w:tcPr>
          <w:p>
            <w:pPr>
              <w:rPr>
                <w:rFonts w:ascii="宋体" w:hAnsi="宋体" w:cs="宋体"/>
                <w:color w:val="auto"/>
                <w:sz w:val="24"/>
              </w:rPr>
            </w:pPr>
            <w:r>
              <w:rPr>
                <w:rFonts w:hint="eastAsia" w:ascii="宋体" w:hAnsi="宋体" w:cs="宋体"/>
                <w:color w:val="auto"/>
                <w:kern w:val="0"/>
                <w:sz w:val="24"/>
              </w:rPr>
              <w:t>(</w:t>
            </w:r>
            <w:r>
              <w:rPr>
                <w:rFonts w:hint="eastAsia" w:ascii="宋体" w:hAnsi="宋体" w:cs="宋体"/>
                <w:bCs/>
                <w:color w:val="auto"/>
                <w:sz w:val="24"/>
              </w:rPr>
              <w:t>√</w:t>
            </w:r>
            <w:r>
              <w:rPr>
                <w:rFonts w:hint="eastAsia" w:ascii="宋体" w:hAnsi="宋体" w:cs="宋体"/>
                <w:color w:val="auto"/>
                <w:kern w:val="0"/>
                <w:sz w:val="24"/>
              </w:rPr>
              <w:t>)A</w:t>
            </w: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 </w:t>
            </w:r>
            <w:r>
              <w:rPr>
                <w:rFonts w:hint="eastAsia" w:ascii="宋体" w:hAnsi="宋体" w:cs="宋体"/>
                <w:color w:val="auto"/>
                <w:sz w:val="24"/>
              </w:rPr>
              <w:t>。</w:t>
            </w:r>
          </w:p>
          <w:p>
            <w:pPr>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55" w:type="dxa"/>
            <w:vAlign w:val="center"/>
          </w:tcPr>
          <w:p>
            <w:pPr>
              <w:snapToGrid w:val="0"/>
              <w:jc w:val="center"/>
              <w:rPr>
                <w:rFonts w:ascii="宋体" w:hAnsi="宋体" w:cs="宋体"/>
                <w:color w:val="auto"/>
                <w:sz w:val="24"/>
              </w:rPr>
            </w:pPr>
            <w:r>
              <w:rPr>
                <w:rFonts w:hint="eastAsia" w:ascii="宋体" w:hAnsi="宋体" w:cs="宋体"/>
                <w:color w:val="auto"/>
                <w:sz w:val="24"/>
              </w:rPr>
              <w:t>2</w:t>
            </w:r>
          </w:p>
        </w:tc>
        <w:tc>
          <w:tcPr>
            <w:tcW w:w="1472" w:type="dxa"/>
            <w:vAlign w:val="center"/>
          </w:tcPr>
          <w:p>
            <w:pPr>
              <w:snapToGrid w:val="0"/>
              <w:jc w:val="center"/>
              <w:rPr>
                <w:rFonts w:ascii="宋体" w:hAnsi="宋体" w:cs="宋体"/>
                <w:b/>
                <w:color w:val="auto"/>
                <w:sz w:val="24"/>
              </w:rPr>
            </w:pPr>
            <w:r>
              <w:rPr>
                <w:rFonts w:hint="eastAsia" w:ascii="宋体" w:hAnsi="宋体" w:cs="宋体"/>
                <w:b/>
                <w:color w:val="auto"/>
                <w:sz w:val="24"/>
              </w:rPr>
              <w:t>是否允许采购进口产品</w:t>
            </w:r>
          </w:p>
        </w:tc>
        <w:tc>
          <w:tcPr>
            <w:tcW w:w="7229" w:type="dxa"/>
            <w:vAlign w:val="center"/>
          </w:tcPr>
          <w:p>
            <w:pPr>
              <w:rPr>
                <w:rFonts w:ascii="宋体" w:hAnsi="宋体" w:cs="宋体"/>
                <w:color w:val="auto"/>
                <w:sz w:val="24"/>
                <w:szCs w:val="32"/>
              </w:rPr>
            </w:pPr>
            <w:r>
              <w:rPr>
                <w:rFonts w:hint="eastAsia" w:ascii="宋体" w:hAnsi="宋体" w:cs="宋体"/>
                <w:color w:val="auto"/>
                <w:kern w:val="0"/>
                <w:sz w:val="24"/>
              </w:rPr>
              <w:t>(</w:t>
            </w:r>
            <w:r>
              <w:rPr>
                <w:rFonts w:hint="eastAsia" w:ascii="宋体" w:hAnsi="宋体" w:cs="宋体"/>
                <w:bCs/>
                <w:color w:val="auto"/>
                <w:sz w:val="24"/>
              </w:rPr>
              <w:t>√</w:t>
            </w:r>
            <w:r>
              <w:rPr>
                <w:rFonts w:hint="eastAsia" w:ascii="宋体" w:hAnsi="宋体" w:cs="宋体"/>
                <w:color w:val="auto"/>
                <w:kern w:val="0"/>
                <w:sz w:val="24"/>
              </w:rPr>
              <w:t>)</w:t>
            </w:r>
            <w:r>
              <w:rPr>
                <w:rFonts w:hint="eastAsia" w:ascii="宋体" w:hAnsi="宋体" w:cs="宋体"/>
                <w:color w:val="auto"/>
                <w:sz w:val="24"/>
                <w:szCs w:val="32"/>
              </w:rPr>
              <w:t>本项目不允许采购进口产品。</w:t>
            </w:r>
          </w:p>
          <w:p>
            <w:pPr>
              <w:rPr>
                <w:rFonts w:ascii="宋体" w:hAnsi="宋体" w:cs="宋体"/>
                <w:color w:val="auto"/>
                <w:sz w:val="24"/>
                <w:szCs w:val="32"/>
              </w:rPr>
            </w:pPr>
            <w:r>
              <w:rPr>
                <w:rFonts w:hint="eastAsia" w:ascii="宋体" w:hAnsi="宋体" w:cs="宋体"/>
                <w:color w:val="auto"/>
                <w:kern w:val="0"/>
                <w:sz w:val="24"/>
              </w:rPr>
              <w:t>(  )</w:t>
            </w:r>
            <w:r>
              <w:rPr>
                <w:rFonts w:hint="eastAsia" w:ascii="宋体" w:hAnsi="宋体" w:cs="宋体"/>
                <w:color w:val="auto"/>
                <w:sz w:val="24"/>
                <w:szCs w:val="32"/>
              </w:rPr>
              <w:t>可以就    采购进口产品。</w:t>
            </w:r>
          </w:p>
          <w:p>
            <w:pPr>
              <w:pStyle w:val="5"/>
              <w:keepNext w:val="0"/>
              <w:keepLines w:val="0"/>
              <w:spacing w:line="240" w:lineRule="auto"/>
              <w:ind w:left="0" w:firstLine="0"/>
              <w:rPr>
                <w:rFonts w:ascii="宋体" w:hAnsi="宋体" w:cs="宋体"/>
                <w:color w:val="auto"/>
                <w:kern w:val="0"/>
                <w:sz w:val="24"/>
              </w:rPr>
            </w:pPr>
            <w:r>
              <w:rPr>
                <w:rFonts w:hint="eastAsia" w:ascii="宋体" w:hAnsi="宋体" w:eastAsia="宋体" w:cs="宋体"/>
                <w:color w:val="auto"/>
                <w:kern w:val="0"/>
                <w:sz w:val="24"/>
                <w:lang w:val="en-US"/>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7" w:hRule="atLeast"/>
          <w:tblHeader/>
        </w:trPr>
        <w:tc>
          <w:tcPr>
            <w:tcW w:w="655" w:type="dxa"/>
            <w:vAlign w:val="center"/>
          </w:tcPr>
          <w:p>
            <w:pPr>
              <w:snapToGrid w:val="0"/>
              <w:jc w:val="center"/>
              <w:rPr>
                <w:rFonts w:ascii="宋体" w:hAnsi="宋体" w:cs="宋体"/>
                <w:color w:val="auto"/>
                <w:sz w:val="24"/>
              </w:rPr>
            </w:pPr>
            <w:r>
              <w:rPr>
                <w:rFonts w:hint="eastAsia" w:ascii="宋体" w:hAnsi="宋体" w:cs="宋体"/>
                <w:color w:val="auto"/>
                <w:sz w:val="24"/>
              </w:rPr>
              <w:t>3</w:t>
            </w:r>
          </w:p>
        </w:tc>
        <w:tc>
          <w:tcPr>
            <w:tcW w:w="1472" w:type="dxa"/>
            <w:vAlign w:val="center"/>
          </w:tcPr>
          <w:p>
            <w:pPr>
              <w:snapToGrid w:val="0"/>
              <w:ind w:firstLine="482" w:firstLineChars="200"/>
              <w:rPr>
                <w:rFonts w:ascii="宋体" w:hAnsi="宋体" w:cs="宋体"/>
                <w:b/>
                <w:color w:val="auto"/>
                <w:sz w:val="24"/>
              </w:rPr>
            </w:pPr>
            <w:r>
              <w:rPr>
                <w:rFonts w:hint="eastAsia" w:ascii="宋体" w:hAnsi="宋体" w:cs="宋体"/>
                <w:b/>
                <w:color w:val="auto"/>
                <w:sz w:val="24"/>
              </w:rPr>
              <w:t>分包</w:t>
            </w:r>
          </w:p>
        </w:tc>
        <w:tc>
          <w:tcPr>
            <w:tcW w:w="7229" w:type="dxa"/>
            <w:vAlign w:val="center"/>
          </w:tcPr>
          <w:p>
            <w:pPr>
              <w:snapToGrid w:val="0"/>
              <w:rPr>
                <w:rFonts w:ascii="宋体" w:hAnsi="宋体" w:cs="宋体"/>
                <w:color w:val="auto"/>
                <w:sz w:val="24"/>
              </w:rPr>
            </w:pPr>
            <w:r>
              <w:rPr>
                <w:rFonts w:hint="eastAsia" w:ascii="宋体" w:hAnsi="宋体" w:cs="宋体"/>
                <w:b/>
                <w:color w:val="auto"/>
                <w:sz w:val="24"/>
              </w:rPr>
              <w:t>（  ）</w:t>
            </w:r>
            <w:r>
              <w:rPr>
                <w:rFonts w:hint="eastAsia" w:ascii="宋体" w:hAnsi="宋体" w:cs="宋体"/>
                <w:color w:val="auto"/>
                <w:kern w:val="0"/>
                <w:sz w:val="24"/>
              </w:rPr>
              <w:t>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pPr>
              <w:rPr>
                <w:rFonts w:ascii="宋体" w:hAnsi="宋体" w:eastAsia="宋体" w:cs="宋体"/>
                <w:color w:val="auto"/>
                <w:lang w:val="en-US"/>
              </w:rPr>
            </w:pPr>
            <w:r>
              <w:rPr>
                <w:rFonts w:hint="eastAsia" w:ascii="宋体" w:hAnsi="宋体" w:cs="宋体"/>
                <w:b/>
                <w:color w:val="auto"/>
                <w:sz w:val="24"/>
              </w:rPr>
              <w:t>（√）</w:t>
            </w:r>
            <w:r>
              <w:rPr>
                <w:rFonts w:hint="eastAsia" w:ascii="宋体" w:hAnsi="宋体" w:cs="宋体"/>
                <w:color w:val="auto"/>
                <w:kern w:val="0"/>
                <w:sz w:val="24"/>
              </w:rPr>
              <w:t>B</w:t>
            </w:r>
            <w:r>
              <w:rPr>
                <w:rFonts w:hint="eastAsia" w:ascii="宋体" w:hAnsi="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tblHeader/>
        </w:trPr>
        <w:tc>
          <w:tcPr>
            <w:tcW w:w="655" w:type="dxa"/>
            <w:vAlign w:val="center"/>
          </w:tcPr>
          <w:p>
            <w:pPr>
              <w:snapToGrid w:val="0"/>
              <w:jc w:val="center"/>
              <w:rPr>
                <w:rFonts w:ascii="宋体" w:hAnsi="宋体" w:cs="宋体"/>
                <w:color w:val="auto"/>
                <w:sz w:val="24"/>
              </w:rPr>
            </w:pPr>
            <w:r>
              <w:rPr>
                <w:rFonts w:hint="eastAsia" w:ascii="宋体" w:hAnsi="宋体" w:cs="宋体"/>
                <w:color w:val="auto"/>
                <w:sz w:val="24"/>
              </w:rPr>
              <w:t>4</w:t>
            </w:r>
          </w:p>
        </w:tc>
        <w:tc>
          <w:tcPr>
            <w:tcW w:w="1472" w:type="dxa"/>
            <w:vAlign w:val="center"/>
          </w:tcPr>
          <w:p>
            <w:pPr>
              <w:snapToGrid w:val="0"/>
              <w:jc w:val="center"/>
              <w:rPr>
                <w:rFonts w:ascii="宋体" w:hAnsi="宋体" w:cs="宋体"/>
                <w:b/>
                <w:color w:val="auto"/>
                <w:sz w:val="24"/>
              </w:rPr>
            </w:pPr>
            <w:r>
              <w:rPr>
                <w:rFonts w:hint="eastAsia" w:ascii="宋体" w:hAnsi="宋体" w:cs="宋体"/>
                <w:b/>
                <w:color w:val="auto"/>
                <w:sz w:val="24"/>
              </w:rPr>
              <w:t>开标前答疑会或现场</w:t>
            </w:r>
          </w:p>
          <w:p>
            <w:pPr>
              <w:snapToGrid w:val="0"/>
              <w:jc w:val="center"/>
              <w:rPr>
                <w:rFonts w:ascii="宋体" w:hAnsi="宋体" w:cs="宋体"/>
                <w:b/>
                <w:color w:val="auto"/>
                <w:sz w:val="24"/>
              </w:rPr>
            </w:pPr>
            <w:r>
              <w:rPr>
                <w:rFonts w:hint="eastAsia" w:ascii="宋体" w:hAnsi="宋体" w:cs="宋体"/>
                <w:b/>
                <w:color w:val="auto"/>
                <w:sz w:val="24"/>
              </w:rPr>
              <w:t>考察</w:t>
            </w:r>
          </w:p>
        </w:tc>
        <w:tc>
          <w:tcPr>
            <w:tcW w:w="7229" w:type="dxa"/>
            <w:vAlign w:val="center"/>
          </w:tcPr>
          <w:p>
            <w:pPr>
              <w:rPr>
                <w:rFonts w:ascii="宋体" w:hAnsi="宋体" w:cs="宋体"/>
                <w:color w:val="auto"/>
                <w:sz w:val="24"/>
              </w:rPr>
            </w:pPr>
            <w:r>
              <w:rPr>
                <w:rFonts w:hint="eastAsia" w:ascii="宋体" w:hAnsi="宋体" w:cs="宋体"/>
                <w:b/>
                <w:color w:val="auto"/>
                <w:sz w:val="24"/>
              </w:rPr>
              <w:t>（√）</w:t>
            </w:r>
            <w:r>
              <w:rPr>
                <w:rFonts w:hint="eastAsia" w:ascii="宋体" w:hAnsi="宋体" w:cs="宋体"/>
                <w:color w:val="auto"/>
                <w:kern w:val="0"/>
                <w:sz w:val="24"/>
              </w:rPr>
              <w:t>A</w:t>
            </w:r>
            <w:r>
              <w:rPr>
                <w:rFonts w:hint="eastAsia" w:ascii="宋体" w:hAnsi="宋体" w:cs="宋体"/>
                <w:color w:val="auto"/>
                <w:sz w:val="24"/>
              </w:rPr>
              <w:t>不组织。</w:t>
            </w:r>
          </w:p>
          <w:p>
            <w:pPr>
              <w:rPr>
                <w:rFonts w:ascii="宋体" w:hAnsi="宋体" w:cs="宋体"/>
                <w:color w:val="auto"/>
                <w:sz w:val="24"/>
              </w:rPr>
            </w:pPr>
            <w:r>
              <w:rPr>
                <w:rFonts w:hint="eastAsia" w:ascii="宋体" w:hAnsi="宋体" w:cs="宋体"/>
                <w:b/>
                <w:color w:val="auto"/>
                <w:sz w:val="24"/>
              </w:rPr>
              <w:t>（  ）</w:t>
            </w:r>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w:t>
            </w:r>
          </w:p>
          <w:p>
            <w:pPr>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2" w:hRule="atLeast"/>
          <w:tblHeader/>
        </w:trPr>
        <w:tc>
          <w:tcPr>
            <w:tcW w:w="655" w:type="dxa"/>
            <w:vAlign w:val="center"/>
          </w:tcPr>
          <w:p>
            <w:pPr>
              <w:snapToGrid w:val="0"/>
              <w:jc w:val="center"/>
              <w:rPr>
                <w:rFonts w:ascii="宋体" w:hAnsi="宋体" w:cs="宋体"/>
                <w:color w:val="auto"/>
                <w:sz w:val="24"/>
              </w:rPr>
            </w:pPr>
            <w:r>
              <w:rPr>
                <w:rFonts w:hint="eastAsia" w:ascii="宋体" w:hAnsi="宋体" w:cs="宋体"/>
                <w:color w:val="auto"/>
                <w:sz w:val="24"/>
              </w:rPr>
              <w:t>5</w:t>
            </w:r>
          </w:p>
        </w:tc>
        <w:tc>
          <w:tcPr>
            <w:tcW w:w="1472" w:type="dxa"/>
            <w:vAlign w:val="center"/>
          </w:tcPr>
          <w:p>
            <w:pPr>
              <w:snapToGrid w:val="0"/>
              <w:jc w:val="center"/>
              <w:rPr>
                <w:rFonts w:ascii="宋体" w:hAnsi="宋体" w:cs="宋体"/>
                <w:b/>
                <w:color w:val="auto"/>
                <w:sz w:val="24"/>
              </w:rPr>
            </w:pPr>
            <w:r>
              <w:rPr>
                <w:rFonts w:hint="eastAsia" w:ascii="宋体" w:hAnsi="宋体" w:cs="宋体"/>
                <w:b/>
                <w:color w:val="auto"/>
                <w:sz w:val="24"/>
              </w:rPr>
              <w:t>样品提供</w:t>
            </w:r>
          </w:p>
        </w:tc>
        <w:tc>
          <w:tcPr>
            <w:tcW w:w="7229" w:type="dxa"/>
            <w:vAlign w:val="center"/>
          </w:tcPr>
          <w:p>
            <w:pPr>
              <w:rPr>
                <w:rFonts w:ascii="宋体" w:hAnsi="宋体" w:cs="宋体"/>
                <w:bCs/>
                <w:color w:val="auto"/>
                <w:sz w:val="24"/>
              </w:rPr>
            </w:pPr>
            <w:r>
              <w:rPr>
                <w:rFonts w:hint="eastAsia" w:ascii="宋体" w:hAnsi="宋体" w:cs="宋体"/>
                <w:bCs/>
                <w:color w:val="auto"/>
                <w:sz w:val="24"/>
              </w:rPr>
              <w:t>（√）A不要求提供。</w:t>
            </w:r>
          </w:p>
          <w:p>
            <w:pPr>
              <w:rPr>
                <w:rFonts w:ascii="宋体" w:hAnsi="宋体" w:cs="宋体"/>
                <w:color w:val="auto"/>
                <w:sz w:val="24"/>
                <w:szCs w:val="20"/>
              </w:rPr>
            </w:pPr>
            <w:r>
              <w:rPr>
                <w:rFonts w:hint="eastAsia" w:ascii="宋体" w:hAnsi="宋体" w:cs="宋体"/>
                <w:bCs/>
                <w:color w:val="auto"/>
                <w:sz w:val="24"/>
              </w:rPr>
              <w:t>▲交易文件要求提供样品，投标人没有提供样品或样品不全的，投标无效。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55" w:type="dxa"/>
            <w:vAlign w:val="center"/>
          </w:tcPr>
          <w:p>
            <w:pPr>
              <w:snapToGrid w:val="0"/>
              <w:jc w:val="center"/>
              <w:rPr>
                <w:rFonts w:ascii="宋体" w:hAnsi="宋体" w:cs="宋体"/>
                <w:color w:val="auto"/>
                <w:sz w:val="24"/>
              </w:rPr>
            </w:pPr>
            <w:r>
              <w:rPr>
                <w:rFonts w:hint="eastAsia" w:ascii="宋体" w:hAnsi="宋体" w:cs="宋体"/>
                <w:color w:val="auto"/>
                <w:sz w:val="24"/>
              </w:rPr>
              <w:t>6</w:t>
            </w:r>
          </w:p>
        </w:tc>
        <w:tc>
          <w:tcPr>
            <w:tcW w:w="1472" w:type="dxa"/>
            <w:vAlign w:val="center"/>
          </w:tcPr>
          <w:p>
            <w:pPr>
              <w:snapToGrid w:val="0"/>
              <w:jc w:val="center"/>
              <w:rPr>
                <w:rFonts w:ascii="宋体" w:hAnsi="宋体" w:cs="宋体"/>
                <w:b/>
                <w:color w:val="auto"/>
                <w:sz w:val="24"/>
              </w:rPr>
            </w:pPr>
            <w:r>
              <w:rPr>
                <w:rFonts w:hint="eastAsia" w:ascii="宋体" w:hAnsi="宋体" w:cs="宋体"/>
                <w:b/>
                <w:color w:val="auto"/>
                <w:sz w:val="24"/>
              </w:rPr>
              <w:t>方案讲解</w:t>
            </w:r>
          </w:p>
          <w:p>
            <w:pPr>
              <w:snapToGrid w:val="0"/>
              <w:jc w:val="center"/>
              <w:rPr>
                <w:rFonts w:ascii="宋体" w:hAnsi="宋体" w:cs="宋体"/>
                <w:b/>
                <w:color w:val="auto"/>
                <w:sz w:val="24"/>
              </w:rPr>
            </w:pPr>
            <w:r>
              <w:rPr>
                <w:rFonts w:hint="eastAsia" w:ascii="宋体" w:hAnsi="宋体" w:cs="宋体"/>
                <w:b/>
                <w:color w:val="auto"/>
                <w:sz w:val="24"/>
              </w:rPr>
              <w:t>演示</w:t>
            </w:r>
          </w:p>
        </w:tc>
        <w:tc>
          <w:tcPr>
            <w:tcW w:w="7229" w:type="dxa"/>
            <w:vAlign w:val="center"/>
          </w:tcPr>
          <w:p>
            <w:pPr>
              <w:rPr>
                <w:rFonts w:ascii="宋体" w:hAnsi="宋体" w:cs="宋体"/>
                <w:b/>
                <w:color w:val="auto"/>
                <w:sz w:val="24"/>
              </w:rPr>
            </w:pPr>
            <w:sdt>
              <w:sdtPr>
                <w:rPr>
                  <w:rFonts w:hint="eastAsia" w:ascii="宋体" w:hAnsi="宋体" w:cs="宋体"/>
                  <w:color w:val="auto"/>
                  <w:kern w:val="0"/>
                  <w:sz w:val="24"/>
                </w:rPr>
                <w:id w:val="-1859348549"/>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0" w:hRule="atLeast"/>
          <w:tblHeader/>
        </w:trPr>
        <w:tc>
          <w:tcPr>
            <w:tcW w:w="655" w:type="dxa"/>
            <w:vMerge w:val="restart"/>
            <w:vAlign w:val="center"/>
          </w:tcPr>
          <w:p>
            <w:pPr>
              <w:snapToGrid w:val="0"/>
              <w:jc w:val="center"/>
              <w:rPr>
                <w:rFonts w:ascii="宋体" w:hAnsi="宋体" w:cs="宋体"/>
                <w:color w:val="auto"/>
                <w:sz w:val="24"/>
              </w:rPr>
            </w:pPr>
            <w:r>
              <w:rPr>
                <w:rFonts w:hint="eastAsia" w:ascii="宋体" w:hAnsi="宋体" w:cs="宋体"/>
                <w:color w:val="auto"/>
                <w:sz w:val="24"/>
              </w:rPr>
              <w:t>7</w:t>
            </w:r>
          </w:p>
        </w:tc>
        <w:tc>
          <w:tcPr>
            <w:tcW w:w="1472" w:type="dxa"/>
            <w:vMerge w:val="restart"/>
            <w:vAlign w:val="center"/>
          </w:tcPr>
          <w:p>
            <w:pPr>
              <w:snapToGrid w:val="0"/>
              <w:jc w:val="center"/>
              <w:rPr>
                <w:rFonts w:ascii="宋体" w:hAnsi="宋体" w:cs="宋体"/>
                <w:bCs/>
                <w:color w:val="auto"/>
                <w:sz w:val="24"/>
              </w:rPr>
            </w:pPr>
            <w:r>
              <w:rPr>
                <w:rFonts w:hint="eastAsia" w:ascii="宋体" w:hAnsi="宋体" w:cs="宋体"/>
                <w:b/>
                <w:color w:val="auto"/>
                <w:sz w:val="24"/>
              </w:rPr>
              <w:t>投标人应当提供的资格、资信证明文件</w:t>
            </w:r>
          </w:p>
        </w:tc>
        <w:tc>
          <w:tcPr>
            <w:tcW w:w="7229" w:type="dxa"/>
            <w:vAlign w:val="center"/>
          </w:tcPr>
          <w:p>
            <w:pPr>
              <w:rPr>
                <w:rFonts w:ascii="宋体" w:hAnsi="宋体" w:cs="宋体"/>
                <w:color w:val="auto"/>
                <w:sz w:val="24"/>
              </w:rPr>
            </w:pPr>
            <w:r>
              <w:rPr>
                <w:rFonts w:hint="eastAsia" w:ascii="宋体" w:hAnsi="宋体" w:cs="宋体"/>
                <w:color w:val="auto"/>
                <w:sz w:val="24"/>
              </w:rPr>
              <w:t>（1）资格证明文件：见交易文件第二部分11.1。</w:t>
            </w:r>
          </w:p>
          <w:p>
            <w:pPr>
              <w:rPr>
                <w:rFonts w:ascii="宋体" w:hAnsi="宋体" w:cs="宋体"/>
                <w:b/>
                <w:color w:val="auto"/>
                <w:kern w:val="0"/>
                <w:sz w:val="24"/>
                <w:lang w:val="zh-CN"/>
              </w:rPr>
            </w:pPr>
            <w:r>
              <w:rPr>
                <w:rFonts w:hint="eastAsia" w:ascii="宋体" w:hAnsi="宋体" w:cs="宋体"/>
                <w:color w:val="auto"/>
                <w:kern w:val="0"/>
                <w:sz w:val="24"/>
                <w:lang w:val="zh-CN"/>
              </w:rPr>
              <w:t>投标人未提供有效的资格证明文件的，视为投标人不具备交易文件中规定的资格要求，投标无效。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tblHeader/>
        </w:trPr>
        <w:tc>
          <w:tcPr>
            <w:tcW w:w="655" w:type="dxa"/>
            <w:vMerge w:val="continue"/>
            <w:vAlign w:val="center"/>
          </w:tcPr>
          <w:p>
            <w:pPr>
              <w:rPr>
                <w:color w:val="auto"/>
              </w:rPr>
            </w:pPr>
          </w:p>
        </w:tc>
        <w:tc>
          <w:tcPr>
            <w:tcW w:w="1472" w:type="dxa"/>
            <w:vMerge w:val="continue"/>
            <w:vAlign w:val="center"/>
          </w:tcPr>
          <w:p>
            <w:pPr>
              <w:rPr>
                <w:color w:val="auto"/>
              </w:rPr>
            </w:pPr>
          </w:p>
        </w:tc>
        <w:tc>
          <w:tcPr>
            <w:tcW w:w="7229" w:type="dxa"/>
            <w:vAlign w:val="center"/>
          </w:tcPr>
          <w:p>
            <w:pPr>
              <w:rPr>
                <w:rFonts w:hint="eastAsia" w:ascii="宋体" w:hAnsi="宋体" w:cs="宋体"/>
                <w:color w:val="auto"/>
                <w:kern w:val="0"/>
                <w:sz w:val="24"/>
                <w:lang w:val="zh-CN"/>
              </w:rPr>
            </w:pPr>
            <w:r>
              <w:rPr>
                <w:rFonts w:hint="eastAsia" w:ascii="宋体" w:hAnsi="宋体" w:cs="宋体"/>
                <w:color w:val="auto"/>
                <w:sz w:val="24"/>
              </w:rPr>
              <w:t>（2）资信证明文件：根据交易文件第四部分评标标准提供。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4" w:hRule="atLeast"/>
          <w:tblHeader/>
        </w:trPr>
        <w:tc>
          <w:tcPr>
            <w:tcW w:w="655" w:type="dxa"/>
            <w:vAlign w:val="center"/>
          </w:tcPr>
          <w:p>
            <w:pPr>
              <w:snapToGrid w:val="0"/>
              <w:jc w:val="center"/>
              <w:rPr>
                <w:rFonts w:ascii="宋体" w:hAnsi="宋体" w:cs="宋体"/>
                <w:color w:val="auto"/>
                <w:sz w:val="24"/>
              </w:rPr>
            </w:pPr>
            <w:r>
              <w:rPr>
                <w:rFonts w:hint="eastAsia" w:ascii="宋体" w:hAnsi="宋体" w:cs="宋体"/>
                <w:color w:val="auto"/>
                <w:sz w:val="24"/>
              </w:rPr>
              <w:t>8</w:t>
            </w:r>
          </w:p>
        </w:tc>
        <w:tc>
          <w:tcPr>
            <w:tcW w:w="1472" w:type="dxa"/>
            <w:vAlign w:val="center"/>
          </w:tcPr>
          <w:p>
            <w:pPr>
              <w:snapToGrid w:val="0"/>
              <w:jc w:val="center"/>
              <w:rPr>
                <w:rFonts w:ascii="宋体" w:hAnsi="宋体" w:cs="宋体"/>
                <w:b/>
                <w:color w:val="auto"/>
                <w:sz w:val="24"/>
              </w:rPr>
            </w:pPr>
            <w:r>
              <w:rPr>
                <w:rFonts w:hint="eastAsia" w:ascii="宋体" w:hAnsi="宋体" w:cs="宋体"/>
                <w:b/>
                <w:color w:val="auto"/>
                <w:sz w:val="24"/>
              </w:rPr>
              <w:t>节能产品、环境标志产品</w:t>
            </w:r>
          </w:p>
        </w:tc>
        <w:tc>
          <w:tcPr>
            <w:tcW w:w="7229" w:type="dxa"/>
            <w:vAlign w:val="center"/>
          </w:tcPr>
          <w:p>
            <w:pPr>
              <w:snapToGrid w:val="0"/>
              <w:rPr>
                <w:rFonts w:ascii="宋体" w:hAnsi="宋体" w:cs="宋体"/>
                <w:color w:val="auto"/>
                <w:sz w:val="24"/>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55" w:type="dxa"/>
            <w:vAlign w:val="center"/>
          </w:tcPr>
          <w:p>
            <w:pPr>
              <w:snapToGrid w:val="0"/>
              <w:jc w:val="center"/>
              <w:rPr>
                <w:rFonts w:ascii="宋体" w:hAnsi="宋体" w:cs="宋体"/>
                <w:color w:val="auto"/>
                <w:sz w:val="24"/>
              </w:rPr>
            </w:pPr>
            <w:r>
              <w:rPr>
                <w:rFonts w:hint="eastAsia" w:ascii="宋体" w:hAnsi="宋体" w:cs="宋体"/>
                <w:color w:val="auto"/>
                <w:sz w:val="24"/>
              </w:rPr>
              <w:t>9</w:t>
            </w:r>
          </w:p>
        </w:tc>
        <w:tc>
          <w:tcPr>
            <w:tcW w:w="1472" w:type="dxa"/>
            <w:vAlign w:val="center"/>
          </w:tcPr>
          <w:p>
            <w:pPr>
              <w:snapToGrid w:val="0"/>
              <w:jc w:val="center"/>
              <w:rPr>
                <w:rFonts w:ascii="宋体" w:hAnsi="宋体" w:cs="宋体"/>
                <w:b/>
                <w:color w:val="auto"/>
                <w:sz w:val="24"/>
              </w:rPr>
            </w:pPr>
            <w:r>
              <w:rPr>
                <w:rFonts w:hint="eastAsia" w:ascii="宋体" w:hAnsi="宋体" w:cs="宋体"/>
                <w:b/>
                <w:color w:val="auto"/>
                <w:sz w:val="24"/>
              </w:rPr>
              <w:t>报价要求</w:t>
            </w:r>
          </w:p>
        </w:tc>
        <w:tc>
          <w:tcPr>
            <w:tcW w:w="7229" w:type="dxa"/>
            <w:vAlign w:val="center"/>
          </w:tcPr>
          <w:p>
            <w:pPr>
              <w:ind w:firstLine="480" w:firstLineChars="200"/>
              <w:rPr>
                <w:rFonts w:ascii="宋体" w:hAnsi="宋体" w:cs="宋体"/>
                <w:bCs/>
                <w:color w:val="auto"/>
                <w:kern w:val="0"/>
                <w:sz w:val="24"/>
                <w:lang w:val="zh-CN"/>
              </w:rPr>
            </w:pPr>
            <w:r>
              <w:rPr>
                <w:rFonts w:hint="eastAsia" w:ascii="宋体" w:hAnsi="宋体" w:cs="宋体"/>
                <w:bCs/>
                <w:color w:val="auto"/>
                <w:kern w:val="0"/>
                <w:sz w:val="24"/>
                <w:lang w:val="zh-CN"/>
              </w:rPr>
              <w:t>有关本项目实施所需的所有费用（含税费）均计入报价。</w:t>
            </w:r>
            <w:r>
              <w:rPr>
                <w:rFonts w:hint="eastAsia" w:ascii="宋体" w:hAnsi="宋体" w:cs="宋体"/>
                <w:bCs/>
                <w:color w:val="auto"/>
                <w:kern w:val="0"/>
                <w:sz w:val="24"/>
              </w:rPr>
              <w:t>开标一览表（报价表）是报价的唯一载体</w:t>
            </w:r>
            <w:r>
              <w:rPr>
                <w:rFonts w:hint="eastAsia" w:ascii="宋体" w:hAnsi="宋体" w:cs="宋体"/>
                <w:bCs/>
                <w:color w:val="auto"/>
                <w:kern w:val="0"/>
                <w:sz w:val="24"/>
                <w:lang w:val="zh-CN"/>
              </w:rPr>
              <w:t>。投标文件中价格全部采用人民币报价。交易文件未列明，而投标人认为必需的费用也需列入报价。提醒：验收时检测费用由采购人承担，不包含在投标总价中。</w:t>
            </w:r>
          </w:p>
          <w:p>
            <w:pPr>
              <w:rPr>
                <w:rFonts w:ascii="宋体" w:hAnsi="宋体" w:cs="宋体"/>
                <w:bCs/>
                <w:color w:val="auto"/>
                <w:kern w:val="0"/>
                <w:sz w:val="24"/>
                <w:lang w:val="zh-CN"/>
              </w:rPr>
            </w:pPr>
            <w:r>
              <w:rPr>
                <w:rFonts w:hint="eastAsia" w:ascii="宋体" w:hAnsi="宋体" w:cs="宋体"/>
                <w:bCs/>
                <w:color w:val="auto"/>
                <w:kern w:val="0"/>
                <w:sz w:val="24"/>
                <w:lang w:val="zh-CN"/>
              </w:rPr>
              <w:t>投标报价出现下列情形的，投标无效：</w:t>
            </w:r>
          </w:p>
          <w:p>
            <w:pPr>
              <w:ind w:firstLine="480" w:firstLineChars="200"/>
              <w:rPr>
                <w:rFonts w:ascii="宋体" w:hAnsi="宋体" w:cs="宋体"/>
                <w:bCs/>
                <w:color w:val="auto"/>
                <w:kern w:val="0"/>
                <w:sz w:val="24"/>
                <w:lang w:val="zh-CN"/>
              </w:rPr>
            </w:pPr>
            <w:r>
              <w:rPr>
                <w:rFonts w:hint="eastAsia" w:ascii="宋体" w:hAnsi="宋体" w:cs="宋体"/>
                <w:bCs/>
                <w:color w:val="auto"/>
                <w:kern w:val="0"/>
                <w:sz w:val="24"/>
                <w:lang w:val="zh-CN"/>
              </w:rPr>
              <w:t>投标文件出现不是唯一的、有选择性投标报价的；</w:t>
            </w:r>
          </w:p>
          <w:p>
            <w:pPr>
              <w:ind w:firstLine="480" w:firstLineChars="200"/>
              <w:rPr>
                <w:rFonts w:ascii="宋体" w:hAnsi="宋体" w:cs="宋体"/>
                <w:bCs/>
                <w:color w:val="auto"/>
                <w:kern w:val="0"/>
                <w:sz w:val="24"/>
                <w:lang w:val="zh-CN"/>
              </w:rPr>
            </w:pPr>
            <w:r>
              <w:rPr>
                <w:rFonts w:hint="eastAsia" w:ascii="宋体" w:hAnsi="宋体" w:cs="宋体"/>
                <w:bCs/>
                <w:color w:val="auto"/>
                <w:kern w:val="0"/>
                <w:sz w:val="24"/>
                <w:lang w:val="zh-CN"/>
              </w:rPr>
              <w:t>投标报价超过交易文件中规定的预算金额或者最高限价的；</w:t>
            </w:r>
          </w:p>
          <w:p>
            <w:pPr>
              <w:ind w:firstLine="480" w:firstLineChars="200"/>
              <w:rPr>
                <w:rFonts w:ascii="宋体" w:hAnsi="宋体" w:cs="宋体"/>
                <w:bCs/>
                <w:color w:val="auto"/>
                <w:kern w:val="0"/>
                <w:sz w:val="24"/>
              </w:rPr>
            </w:pPr>
            <w:r>
              <w:rPr>
                <w:rFonts w:hint="eastAsia" w:ascii="宋体" w:hAnsi="宋体" w:cs="宋体"/>
                <w:bCs/>
                <w:color w:val="auto"/>
                <w:kern w:val="0"/>
                <w:sz w:val="24"/>
              </w:rPr>
              <w:t>报价明显低于其他通过符合性审查投标人的报价，有可能影响产品质量或者不能诚信履约的，未能按要求提供书面说明或者提交相关证明材料证明其报价合理性的；</w:t>
            </w:r>
          </w:p>
          <w:p>
            <w:pPr>
              <w:ind w:firstLine="480" w:firstLineChars="200"/>
              <w:rPr>
                <w:rFonts w:ascii="宋体" w:hAnsi="宋体" w:cs="宋体"/>
                <w:bCs/>
                <w:color w:val="auto"/>
                <w:kern w:val="0"/>
                <w:sz w:val="24"/>
              </w:rPr>
            </w:pPr>
            <w:r>
              <w:rPr>
                <w:rFonts w:hint="eastAsia" w:ascii="宋体" w:hAnsi="宋体" w:cs="宋体"/>
                <w:bCs/>
                <w:color w:val="auto"/>
                <w:kern w:val="0"/>
                <w:sz w:val="24"/>
              </w:rPr>
              <w:t>投标人对根据修正原则修正后的报价不确认的。</w:t>
            </w:r>
          </w:p>
          <w:p>
            <w:pPr>
              <w:ind w:firstLine="480" w:firstLineChars="200"/>
              <w:rPr>
                <w:rFonts w:ascii="宋体" w:hAnsi="宋体" w:cs="宋体"/>
                <w:color w:val="auto"/>
              </w:rPr>
            </w:pPr>
            <w:r>
              <w:rPr>
                <w:rFonts w:hint="eastAsia" w:ascii="宋体" w:hAnsi="宋体" w:cs="宋体"/>
                <w:bCs/>
                <w:color w:val="auto"/>
                <w:kern w:val="0"/>
                <w:sz w:val="24"/>
              </w:rPr>
              <w:t>资格文件、商务技术文件与报价文件未分开制作</w:t>
            </w:r>
            <w:r>
              <w:rPr>
                <w:rFonts w:hint="eastAsia" w:ascii="宋体" w:hAnsi="宋体" w:cs="宋体"/>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6" w:hRule="atLeast"/>
          <w:tblHeader/>
        </w:trPr>
        <w:tc>
          <w:tcPr>
            <w:tcW w:w="655" w:type="dxa"/>
            <w:vAlign w:val="center"/>
          </w:tcPr>
          <w:p>
            <w:pPr>
              <w:snapToGrid w:val="0"/>
              <w:jc w:val="center"/>
              <w:rPr>
                <w:rFonts w:ascii="宋体" w:hAnsi="宋体" w:cs="宋体"/>
                <w:color w:val="auto"/>
                <w:sz w:val="24"/>
              </w:rPr>
            </w:pPr>
            <w:r>
              <w:rPr>
                <w:rFonts w:hint="eastAsia" w:ascii="宋体" w:hAnsi="宋体" w:cs="宋体"/>
                <w:color w:val="auto"/>
                <w:sz w:val="24"/>
              </w:rPr>
              <w:t>10</w:t>
            </w:r>
          </w:p>
        </w:tc>
        <w:tc>
          <w:tcPr>
            <w:tcW w:w="1472" w:type="dxa"/>
            <w:vAlign w:val="center"/>
          </w:tcPr>
          <w:p>
            <w:pPr>
              <w:snapToGrid w:val="0"/>
              <w:jc w:val="center"/>
              <w:rPr>
                <w:rFonts w:ascii="宋体" w:hAnsi="宋体" w:cs="宋体"/>
                <w:b/>
                <w:color w:val="auto"/>
                <w:sz w:val="24"/>
              </w:rPr>
            </w:pPr>
            <w:r>
              <w:rPr>
                <w:rFonts w:hint="eastAsia" w:ascii="宋体" w:hAnsi="宋体" w:cs="宋体"/>
                <w:b/>
                <w:color w:val="auto"/>
                <w:sz w:val="24"/>
              </w:rPr>
              <w:t>备份投标</w:t>
            </w:r>
          </w:p>
          <w:p>
            <w:pPr>
              <w:snapToGrid w:val="0"/>
              <w:jc w:val="center"/>
              <w:rPr>
                <w:rFonts w:ascii="宋体" w:hAnsi="宋体" w:cs="宋体"/>
                <w:bCs/>
                <w:color w:val="auto"/>
                <w:sz w:val="24"/>
              </w:rPr>
            </w:pPr>
            <w:r>
              <w:rPr>
                <w:rFonts w:hint="eastAsia" w:ascii="宋体" w:hAnsi="宋体" w:cs="宋体"/>
                <w:b/>
                <w:color w:val="auto"/>
                <w:sz w:val="24"/>
              </w:rPr>
              <w:t>文件</w:t>
            </w:r>
          </w:p>
        </w:tc>
        <w:tc>
          <w:tcPr>
            <w:tcW w:w="7229" w:type="dxa"/>
            <w:vAlign w:val="center"/>
          </w:tcPr>
          <w:p>
            <w:pPr>
              <w:pStyle w:val="33"/>
              <w:rPr>
                <w:rFonts w:hAnsi="宋体" w:cs="宋体"/>
                <w:color w:val="auto"/>
                <w:kern w:val="28"/>
                <w:sz w:val="24"/>
                <w:szCs w:val="24"/>
              </w:rPr>
            </w:pPr>
            <w:r>
              <w:rPr>
                <w:rFonts w:hint="eastAsia" w:hAnsi="宋体" w:cs="宋体"/>
                <w:color w:val="auto"/>
                <w:kern w:val="28"/>
                <w:sz w:val="24"/>
                <w:szCs w:val="24"/>
              </w:rPr>
              <w:t>备份文件是否收取：不收取</w:t>
            </w:r>
            <w:r>
              <w:rPr>
                <w:rFonts w:hint="eastAsia" w:hAnsi="宋体" w:cs="宋体"/>
                <w:bCs/>
                <w:color w:val="auto"/>
                <w:sz w:val="24"/>
              </w:rPr>
              <w:t>。</w:t>
            </w:r>
          </w:p>
          <w:p>
            <w:pPr>
              <w:pStyle w:val="33"/>
              <w:ind w:hanging="4"/>
              <w:rPr>
                <w:rFonts w:ascii="宋体" w:hAnsi="宋体" w:cs="宋体"/>
                <w:bCs/>
                <w:color w:val="auto"/>
              </w:rPr>
            </w:pPr>
            <w:r>
              <w:rPr>
                <w:rFonts w:hint="eastAsia" w:hAnsi="宋体" w:cs="宋体"/>
                <w:b/>
                <w:color w:val="auto"/>
                <w:sz w:val="24"/>
                <w:szCs w:val="24"/>
              </w:rPr>
              <w:t>采购人、采购机构不强制或变相强制投标人提交备份文件。提交的备份文件格式无效（.bfbs格式）或其他因投标人自身制作不当导致的无法使用的情况由采购人自行负责。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6" w:hRule="atLeast"/>
          <w:tblHeader/>
        </w:trPr>
        <w:tc>
          <w:tcPr>
            <w:tcW w:w="655" w:type="dxa"/>
            <w:vAlign w:val="center"/>
          </w:tcPr>
          <w:p>
            <w:pPr>
              <w:snapToGrid w:val="0"/>
              <w:jc w:val="center"/>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w:t>
            </w:r>
          </w:p>
        </w:tc>
        <w:tc>
          <w:tcPr>
            <w:tcW w:w="1472" w:type="dxa"/>
            <w:vAlign w:val="center"/>
          </w:tcPr>
          <w:p>
            <w:pPr>
              <w:snapToGrid w:val="0"/>
              <w:jc w:val="center"/>
              <w:rPr>
                <w:rFonts w:ascii="宋体" w:hAnsi="宋体" w:cs="宋体"/>
                <w:b/>
                <w:color w:val="auto"/>
                <w:sz w:val="24"/>
              </w:rPr>
            </w:pPr>
            <w:r>
              <w:rPr>
                <w:rFonts w:hint="eastAsia" w:ascii="宋体" w:hAnsi="宋体" w:cs="宋体"/>
                <w:b/>
                <w:color w:val="auto"/>
                <w:sz w:val="24"/>
              </w:rPr>
              <w:t>采购机构代理费用</w:t>
            </w:r>
          </w:p>
        </w:tc>
        <w:tc>
          <w:tcPr>
            <w:tcW w:w="7229" w:type="dxa"/>
            <w:vAlign w:val="center"/>
          </w:tcPr>
          <w:p>
            <w:pPr>
              <w:spacing w:line="240" w:lineRule="auto"/>
              <w:rPr>
                <w:rFonts w:hAnsi="宋体" w:cs="宋体"/>
                <w:color w:val="auto"/>
                <w:kern w:val="28"/>
                <w:sz w:val="24"/>
              </w:rPr>
            </w:pPr>
            <w:r>
              <w:rPr>
                <w:rFonts w:hint="default" w:ascii="宋体" w:hAnsi="宋体" w:eastAsia="宋体" w:cs="仿宋"/>
                <w:i w:val="0"/>
                <w:iCs w:val="0"/>
                <w:color w:val="auto"/>
                <w:sz w:val="24"/>
                <w:lang w:val="en-US" w:eastAsia="zh-CN"/>
              </w:rPr>
              <w:t>本项目采购代理费由</w:t>
            </w:r>
            <w:r>
              <w:rPr>
                <w:rFonts w:hint="eastAsia" w:ascii="宋体" w:hAnsi="宋体" w:cs="仿宋"/>
                <w:i w:val="0"/>
                <w:iCs w:val="0"/>
                <w:color w:val="auto"/>
                <w:sz w:val="24"/>
                <w:lang w:val="en-US" w:eastAsia="zh-CN"/>
              </w:rPr>
              <w:t>采购人</w:t>
            </w:r>
            <w:r>
              <w:rPr>
                <w:rFonts w:hint="default" w:ascii="宋体" w:hAnsi="宋体" w:eastAsia="宋体" w:cs="仿宋"/>
                <w:i w:val="0"/>
                <w:iCs w:val="0"/>
                <w:color w:val="auto"/>
                <w:sz w:val="24"/>
                <w:lang w:val="en-US" w:eastAsia="zh-CN"/>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2" w:hRule="atLeast"/>
          <w:tblHeader/>
        </w:trPr>
        <w:tc>
          <w:tcPr>
            <w:tcW w:w="655" w:type="dxa"/>
            <w:vAlign w:val="center"/>
          </w:tcPr>
          <w:p>
            <w:pPr>
              <w:snapToGrid w:val="0"/>
              <w:jc w:val="center"/>
              <w:rPr>
                <w:rFonts w:ascii="宋体" w:hAnsi="宋体" w:cs="宋体"/>
                <w:color w:val="auto"/>
                <w:sz w:val="24"/>
              </w:rPr>
            </w:pPr>
            <w:r>
              <w:rPr>
                <w:rFonts w:hint="eastAsia" w:ascii="宋体" w:hAnsi="宋体" w:cs="宋体"/>
                <w:color w:val="auto"/>
                <w:sz w:val="24"/>
              </w:rPr>
              <w:t>13</w:t>
            </w:r>
          </w:p>
        </w:tc>
        <w:tc>
          <w:tcPr>
            <w:tcW w:w="1472" w:type="dxa"/>
            <w:vAlign w:val="center"/>
          </w:tcPr>
          <w:p>
            <w:pPr>
              <w:snapToGrid w:val="0"/>
              <w:jc w:val="center"/>
              <w:rPr>
                <w:rFonts w:ascii="宋体" w:hAnsi="宋体" w:cs="宋体"/>
                <w:b/>
                <w:color w:val="auto"/>
                <w:sz w:val="24"/>
              </w:rPr>
            </w:pPr>
            <w:r>
              <w:rPr>
                <w:rFonts w:hint="eastAsia" w:ascii="宋体" w:hAnsi="宋体" w:cs="宋体"/>
                <w:b/>
                <w:color w:val="auto"/>
                <w:sz w:val="24"/>
              </w:rPr>
              <w:t>履约保证金</w:t>
            </w:r>
          </w:p>
        </w:tc>
        <w:tc>
          <w:tcPr>
            <w:tcW w:w="7229" w:type="dxa"/>
            <w:vAlign w:val="center"/>
          </w:tcPr>
          <w:p>
            <w:pPr>
              <w:pStyle w:val="33"/>
              <w:ind w:hanging="4"/>
              <w:rPr>
                <w:rFonts w:hAnsi="宋体" w:cs="宋体"/>
                <w:color w:val="auto"/>
                <w:sz w:val="24"/>
              </w:rPr>
            </w:pPr>
            <w:r>
              <w:rPr>
                <w:rFonts w:hint="eastAsia" w:hAnsi="宋体" w:cs="宋体"/>
                <w:color w:val="auto"/>
                <w:sz w:val="24"/>
              </w:rPr>
              <w:t>履约保证金：</w:t>
            </w:r>
            <w:r>
              <w:rPr>
                <w:rFonts w:hint="eastAsia" w:hAnsi="宋体" w:cs="宋体"/>
                <w:color w:val="auto"/>
                <w:sz w:val="24"/>
                <w:lang w:val="en-US" w:eastAsia="zh-CN"/>
              </w:rPr>
              <w:t>3900元</w:t>
            </w:r>
            <w:r>
              <w:rPr>
                <w:rFonts w:hint="eastAsia" w:hAnsi="宋体" w:cs="宋体"/>
                <w:color w:val="auto"/>
                <w:sz w:val="24"/>
              </w:rPr>
              <w:t>。</w:t>
            </w:r>
          </w:p>
          <w:p>
            <w:pPr>
              <w:pStyle w:val="17"/>
              <w:spacing w:line="240" w:lineRule="auto"/>
              <w:ind w:firstLine="0"/>
              <w:rPr>
                <w:rFonts w:hAnsi="宋体" w:cs="宋体"/>
                <w:color w:val="auto"/>
                <w:sz w:val="24"/>
              </w:rPr>
            </w:pPr>
            <w:r>
              <w:rPr>
                <w:rFonts w:hint="eastAsia" w:hAnsi="宋体" w:cs="宋体"/>
                <w:color w:val="auto"/>
                <w:sz w:val="24"/>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4" w:hRule="atLeast"/>
          <w:tblHeader/>
        </w:trPr>
        <w:tc>
          <w:tcPr>
            <w:tcW w:w="655" w:type="dxa"/>
            <w:vAlign w:val="center"/>
          </w:tcPr>
          <w:p>
            <w:pPr>
              <w:snapToGrid w:val="0"/>
              <w:jc w:val="center"/>
              <w:rPr>
                <w:rFonts w:ascii="宋体" w:hAnsi="宋体" w:cs="宋体"/>
                <w:b/>
                <w:color w:val="auto"/>
                <w:sz w:val="24"/>
              </w:rPr>
            </w:pPr>
            <w:r>
              <w:rPr>
                <w:rFonts w:hint="eastAsia" w:ascii="宋体" w:hAnsi="宋体" w:cs="宋体"/>
                <w:bCs/>
                <w:color w:val="auto"/>
                <w:sz w:val="24"/>
              </w:rPr>
              <w:t>14</w:t>
            </w:r>
          </w:p>
        </w:tc>
        <w:tc>
          <w:tcPr>
            <w:tcW w:w="1472" w:type="dxa"/>
            <w:vAlign w:val="center"/>
          </w:tcPr>
          <w:p>
            <w:pPr>
              <w:snapToGrid w:val="0"/>
              <w:jc w:val="center"/>
              <w:rPr>
                <w:rFonts w:ascii="宋体" w:hAnsi="宋体" w:cs="宋体"/>
                <w:b/>
                <w:color w:val="auto"/>
                <w:sz w:val="24"/>
              </w:rPr>
            </w:pPr>
            <w:r>
              <w:rPr>
                <w:rFonts w:hint="eastAsia" w:ascii="宋体" w:hAnsi="宋体" w:cs="宋体"/>
                <w:b/>
                <w:color w:val="auto"/>
                <w:sz w:val="24"/>
              </w:rPr>
              <w:t>资格审查和信用信息审查</w:t>
            </w:r>
          </w:p>
        </w:tc>
        <w:tc>
          <w:tcPr>
            <w:tcW w:w="7229" w:type="dxa"/>
            <w:vAlign w:val="center"/>
          </w:tcPr>
          <w:p>
            <w:pPr>
              <w:pStyle w:val="33"/>
              <w:ind w:hanging="4"/>
              <w:rPr>
                <w:rFonts w:hAnsi="宋体" w:cs="宋体"/>
                <w:color w:val="auto"/>
                <w:sz w:val="24"/>
              </w:rPr>
            </w:pPr>
            <w:r>
              <w:rPr>
                <w:rFonts w:hint="eastAsia" w:hAnsi="宋体" w:cs="宋体"/>
                <w:color w:val="auto"/>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7" w:hRule="atLeast"/>
          <w:tblHeader/>
        </w:trPr>
        <w:tc>
          <w:tcPr>
            <w:tcW w:w="655" w:type="dxa"/>
            <w:vAlign w:val="center"/>
          </w:tcPr>
          <w:p>
            <w:pPr>
              <w:snapToGrid w:val="0"/>
              <w:jc w:val="center"/>
              <w:rPr>
                <w:rFonts w:ascii="宋体" w:hAnsi="宋体" w:cs="宋体"/>
                <w:bCs/>
                <w:color w:val="auto"/>
                <w:sz w:val="24"/>
              </w:rPr>
            </w:pPr>
            <w:r>
              <w:rPr>
                <w:rFonts w:hint="eastAsia" w:ascii="宋体" w:hAnsi="宋体" w:cs="宋体"/>
                <w:bCs/>
                <w:color w:val="auto"/>
                <w:sz w:val="24"/>
              </w:rPr>
              <w:t>15</w:t>
            </w:r>
          </w:p>
        </w:tc>
        <w:tc>
          <w:tcPr>
            <w:tcW w:w="1472" w:type="dxa"/>
            <w:vAlign w:val="center"/>
          </w:tcPr>
          <w:p>
            <w:pPr>
              <w:snapToGrid w:val="0"/>
              <w:jc w:val="center"/>
              <w:rPr>
                <w:rFonts w:ascii="宋体" w:hAnsi="宋体" w:cs="宋体"/>
                <w:b/>
                <w:color w:val="auto"/>
                <w:sz w:val="24"/>
              </w:rPr>
            </w:pPr>
            <w:r>
              <w:rPr>
                <w:rFonts w:hint="eastAsia" w:ascii="宋体" w:hAnsi="宋体" w:cs="宋体"/>
                <w:b/>
                <w:color w:val="auto"/>
                <w:sz w:val="24"/>
              </w:rPr>
              <w:t>质疑接收人及答复</w:t>
            </w:r>
          </w:p>
        </w:tc>
        <w:tc>
          <w:tcPr>
            <w:tcW w:w="7229" w:type="dxa"/>
            <w:vAlign w:val="center"/>
          </w:tcPr>
          <w:p>
            <w:pPr>
              <w:snapToGrid w:val="0"/>
              <w:rPr>
                <w:rFonts w:hint="default" w:ascii="宋体" w:hAnsi="宋体" w:eastAsia="宋体" w:cs="宋体"/>
                <w:color w:val="auto"/>
                <w:sz w:val="24"/>
                <w:u w:val="single"/>
                <w:lang w:val="en-US" w:eastAsia="zh-CN"/>
              </w:rPr>
            </w:pPr>
            <w:r>
              <w:rPr>
                <w:rFonts w:hint="eastAsia" w:ascii="宋体" w:hAnsi="宋体" w:cs="宋体"/>
                <w:color w:val="auto"/>
                <w:sz w:val="24"/>
              </w:rPr>
              <w:t>采购人质疑接收人：</w:t>
            </w:r>
            <w:r>
              <w:rPr>
                <w:rFonts w:hint="eastAsia" w:ascii="宋体" w:hAnsi="宋体" w:cs="宋体"/>
                <w:color w:val="auto"/>
                <w:sz w:val="24"/>
                <w:u w:val="single"/>
                <w:lang w:val="en-US" w:eastAsia="zh-CN"/>
              </w:rPr>
              <w:t xml:space="preserve"> 裴静波 </w:t>
            </w:r>
            <w:r>
              <w:rPr>
                <w:rFonts w:hint="eastAsia" w:ascii="宋体" w:hAnsi="宋体" w:cs="宋体"/>
                <w:color w:val="auto"/>
                <w:sz w:val="24"/>
              </w:rPr>
              <w:t xml:space="preserve">  联系方式：</w:t>
            </w:r>
            <w:r>
              <w:rPr>
                <w:rFonts w:hint="eastAsia" w:ascii="宋体" w:hAnsi="宋体"/>
                <w:bCs/>
                <w:color w:val="auto"/>
                <w:sz w:val="24"/>
                <w:u w:val="single"/>
                <w:lang w:val="en-US" w:eastAsia="zh-CN"/>
              </w:rPr>
              <w:t xml:space="preserve"> 0571-83812007    </w:t>
            </w:r>
          </w:p>
          <w:p>
            <w:pPr>
              <w:snapToGrid w:val="0"/>
              <w:rPr>
                <w:rFonts w:hint="default" w:ascii="宋体" w:hAnsi="宋体" w:eastAsia="宋体" w:cs="宋体"/>
                <w:color w:val="auto"/>
                <w:sz w:val="24"/>
                <w:lang w:val="en-US" w:eastAsia="zh-CN"/>
              </w:rPr>
            </w:pPr>
            <w:r>
              <w:rPr>
                <w:rFonts w:hint="eastAsia" w:ascii="宋体" w:hAnsi="宋体" w:cs="宋体"/>
                <w:color w:val="auto"/>
                <w:sz w:val="24"/>
              </w:rPr>
              <w:t>地址：</w:t>
            </w:r>
            <w:r>
              <w:rPr>
                <w:rFonts w:hint="eastAsia" w:ascii="宋体" w:hAnsi="宋体" w:cs="宋体"/>
                <w:color w:val="auto"/>
                <w:sz w:val="24"/>
                <w:u w:val="single"/>
              </w:rPr>
              <w:t>杭州市萧山区育才路156号</w:t>
            </w:r>
            <w:r>
              <w:rPr>
                <w:rFonts w:hint="eastAsia" w:ascii="宋体" w:hAnsi="宋体" w:cs="宋体"/>
                <w:color w:val="auto"/>
                <w:sz w:val="24"/>
                <w:lang w:val="en-US" w:eastAsia="zh-CN"/>
              </w:rPr>
              <w:t xml:space="preserve">     </w:t>
            </w:r>
          </w:p>
          <w:p>
            <w:pPr>
              <w:snapToGrid w:val="0"/>
              <w:rPr>
                <w:rFonts w:hint="eastAsia" w:ascii="宋体" w:hAnsi="宋体" w:eastAsia="宋体" w:cs="宋体"/>
                <w:color w:val="auto"/>
                <w:sz w:val="24"/>
                <w:u w:val="single"/>
                <w:lang w:eastAsia="zh-CN"/>
              </w:rPr>
            </w:pPr>
            <w:r>
              <w:rPr>
                <w:rFonts w:hint="eastAsia" w:ascii="宋体" w:hAnsi="宋体" w:cs="宋体"/>
                <w:color w:val="auto"/>
                <w:sz w:val="24"/>
              </w:rPr>
              <w:t>采购机构质疑接收人：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谢婷雯</w:t>
            </w:r>
            <w:r>
              <w:rPr>
                <w:rFonts w:hint="eastAsia" w:ascii="宋体" w:hAnsi="宋体" w:cs="宋体"/>
                <w:color w:val="auto"/>
                <w:sz w:val="24"/>
                <w:u w:val="single"/>
              </w:rPr>
              <w:t xml:space="preserve">  </w:t>
            </w:r>
            <w:r>
              <w:rPr>
                <w:rFonts w:hint="eastAsia" w:ascii="宋体" w:hAnsi="宋体" w:cs="宋体"/>
                <w:color w:val="auto"/>
                <w:sz w:val="24"/>
              </w:rPr>
              <w:t>联系方式：</w:t>
            </w:r>
            <w:r>
              <w:rPr>
                <w:rFonts w:ascii="宋体" w:hAnsi="宋体" w:cs="宋体"/>
                <w:color w:val="auto"/>
                <w:sz w:val="24"/>
                <w:u w:val="single"/>
              </w:rPr>
              <w:t>0571-</w:t>
            </w:r>
            <w:r>
              <w:rPr>
                <w:rFonts w:hint="eastAsia" w:ascii="宋体" w:hAnsi="宋体" w:cs="宋体"/>
                <w:color w:val="auto"/>
                <w:sz w:val="24"/>
                <w:u w:val="single"/>
              </w:rPr>
              <w:t>5612673</w:t>
            </w:r>
            <w:r>
              <w:rPr>
                <w:rFonts w:hint="eastAsia" w:ascii="宋体" w:hAnsi="宋体" w:cs="宋体"/>
                <w:color w:val="auto"/>
                <w:sz w:val="24"/>
                <w:u w:val="single"/>
                <w:lang w:val="en-US" w:eastAsia="zh-CN"/>
              </w:rPr>
              <w:t>0</w:t>
            </w:r>
            <w:bookmarkStart w:id="389" w:name="_GoBack"/>
            <w:bookmarkEnd w:id="389"/>
          </w:p>
          <w:p>
            <w:pPr>
              <w:snapToGrid w:val="0"/>
              <w:jc w:val="left"/>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萧山区蜀山街道晨晖路1096号柳桥南和城4幢1单元20楼</w:t>
            </w:r>
            <w:r>
              <w:rPr>
                <w:rFonts w:hint="eastAsia" w:ascii="宋体" w:hAnsi="宋体" w:cs="宋体"/>
                <w:color w:val="auto"/>
                <w:sz w:val="24"/>
              </w:rPr>
              <w:t xml:space="preserve"> </w:t>
            </w:r>
          </w:p>
          <w:p>
            <w:pPr>
              <w:snapToGrid w:val="0"/>
              <w:jc w:val="left"/>
              <w:rPr>
                <w:rFonts w:ascii="宋体" w:hAnsi="宋体" w:cs="宋体"/>
                <w:color w:val="auto"/>
                <w:sz w:val="24"/>
                <w:u w:val="single"/>
              </w:rPr>
            </w:pPr>
            <w:r>
              <w:rPr>
                <w:rFonts w:hint="eastAsia" w:ascii="宋体" w:hAnsi="宋体" w:cs="宋体"/>
                <w:color w:val="auto"/>
                <w:sz w:val="24"/>
              </w:rPr>
              <w:t>邮箱：</w:t>
            </w:r>
            <w:r>
              <w:rPr>
                <w:rFonts w:hint="eastAsia" w:ascii="宋体" w:hAnsi="宋体" w:cs="宋体"/>
                <w:color w:val="auto"/>
                <w:sz w:val="24"/>
                <w:u w:val="single"/>
              </w:rPr>
              <w:t xml:space="preserve">609746294@qq.com </w:t>
            </w:r>
          </w:p>
          <w:p>
            <w:pPr>
              <w:snapToGrid w:val="0"/>
              <w:rPr>
                <w:rFonts w:ascii="宋体" w:hAnsi="宋体" w:cs="宋体"/>
                <w:b/>
                <w:color w:val="auto"/>
                <w:sz w:val="24"/>
              </w:rPr>
            </w:pPr>
            <w:r>
              <w:rPr>
                <w:rFonts w:hint="eastAsia" w:ascii="宋体" w:hAnsi="宋体" w:cs="宋体"/>
                <w:b/>
                <w:color w:val="auto"/>
                <w:sz w:val="24"/>
              </w:rPr>
              <w:t>如通过邮箱方式发送质疑，须提交符合法规及交易文件要求的质疑文件（参考附件2），盖章扫描后发送，质疑的受理按答复主体划分以采购人或采购机构邮箱回复确认受理为准。</w:t>
            </w:r>
          </w:p>
          <w:p>
            <w:pPr>
              <w:snapToGrid w:val="0"/>
              <w:rPr>
                <w:rFonts w:ascii="宋体" w:hAnsi="宋体" w:cs="宋体"/>
                <w:color w:val="auto"/>
                <w:sz w:val="24"/>
              </w:rPr>
            </w:pPr>
            <w:r>
              <w:rPr>
                <w:rFonts w:hint="eastAsia" w:ascii="宋体" w:hAnsi="宋体" w:cs="宋体"/>
                <w:color w:val="auto"/>
                <w:sz w:val="24"/>
              </w:rPr>
              <w:t>本项目涉及资格条件、采购需求、评分办法及采购过程中有关现场考察或开标前答疑会事项由采购人进行答复。</w:t>
            </w:r>
          </w:p>
          <w:p>
            <w:pPr>
              <w:pStyle w:val="33"/>
              <w:ind w:hanging="4"/>
              <w:rPr>
                <w:rFonts w:hAnsi="宋体" w:cs="宋体"/>
                <w:color w:val="auto"/>
                <w:sz w:val="24"/>
              </w:rPr>
            </w:pPr>
            <w:r>
              <w:rPr>
                <w:rFonts w:hint="eastAsia" w:hAnsi="宋体" w:cs="宋体"/>
                <w:color w:val="auto"/>
                <w:sz w:val="24"/>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1" w:hRule="atLeast"/>
          <w:tblHeader/>
        </w:trPr>
        <w:tc>
          <w:tcPr>
            <w:tcW w:w="655" w:type="dxa"/>
            <w:vAlign w:val="center"/>
          </w:tcPr>
          <w:p>
            <w:pPr>
              <w:snapToGrid w:val="0"/>
              <w:jc w:val="center"/>
              <w:rPr>
                <w:rFonts w:ascii="宋体" w:hAnsi="宋体" w:cs="宋体"/>
                <w:bCs/>
                <w:color w:val="auto"/>
                <w:sz w:val="24"/>
              </w:rPr>
            </w:pPr>
            <w:r>
              <w:rPr>
                <w:rFonts w:hint="eastAsia" w:ascii="宋体" w:hAnsi="宋体" w:cs="宋体"/>
                <w:bCs/>
                <w:color w:val="auto"/>
                <w:sz w:val="24"/>
              </w:rPr>
              <w:t>16</w:t>
            </w:r>
          </w:p>
        </w:tc>
        <w:tc>
          <w:tcPr>
            <w:tcW w:w="1472" w:type="dxa"/>
            <w:vAlign w:val="center"/>
          </w:tcPr>
          <w:p>
            <w:pPr>
              <w:snapToGrid w:val="0"/>
              <w:jc w:val="center"/>
              <w:rPr>
                <w:rFonts w:ascii="宋体" w:hAnsi="宋体" w:cs="宋体"/>
                <w:b/>
                <w:color w:val="auto"/>
                <w:sz w:val="24"/>
              </w:rPr>
            </w:pPr>
            <w:r>
              <w:rPr>
                <w:rFonts w:hint="eastAsia" w:ascii="宋体" w:hAnsi="宋体" w:cs="宋体"/>
                <w:b/>
                <w:color w:val="auto"/>
                <w:sz w:val="24"/>
              </w:rPr>
              <w:t>特别说明</w:t>
            </w:r>
          </w:p>
        </w:tc>
        <w:tc>
          <w:tcPr>
            <w:tcW w:w="7229" w:type="dxa"/>
            <w:vAlign w:val="center"/>
          </w:tcPr>
          <w:p>
            <w:pPr>
              <w:rPr>
                <w:rFonts w:hAnsi="宋体" w:cs="宋体"/>
                <w:color w:val="auto"/>
                <w:sz w:val="24"/>
              </w:rPr>
            </w:pPr>
            <w:r>
              <w:rPr>
                <w:rFonts w:hint="eastAsia" w:ascii="宋体" w:hAnsi="宋体" w:cs="宋体"/>
                <w:b/>
                <w:color w:val="auto"/>
                <w:sz w:val="24"/>
              </w:rPr>
              <w:t>本项目通用总则条款与前附表等专用特别规定有冲突之处，以专用条款（特别规定）为准</w:t>
            </w:r>
            <w:r>
              <w:rPr>
                <w:rFonts w:hint="eastAsia" w:hAnsi="宋体" w:cs="宋体"/>
                <w:color w:val="auto"/>
                <w:sz w:val="24"/>
              </w:rPr>
              <w:t>。</w:t>
            </w:r>
          </w:p>
        </w:tc>
      </w:tr>
      <w:bookmarkEnd w:id="10"/>
    </w:tbl>
    <w:p>
      <w:pPr>
        <w:rPr>
          <w:rFonts w:hint="eastAsia"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本交易文件适用于该项目的招标、投标、开标、资格审查及信用信息查询、评标、定标、合同、验收等行为（法律、法规另有规定的，从其规定）。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“采购人”系指交易公告中载明的本项目的采购人。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“采购机构”系指交易公告中载明的本项目的采购机构。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3）。</w:t>
      </w:r>
    </w:p>
    <w:p>
      <w:pPr>
        <w:spacing w:line="360" w:lineRule="auto"/>
        <w:ind w:firstLine="480" w:firstLineChars="200"/>
        <w:rPr>
          <w:rFonts w:ascii="宋体" w:hAnsi="宋体" w:cs="宋体"/>
          <w:sz w:val="24"/>
        </w:rPr>
      </w:pPr>
      <w:r>
        <w:rPr>
          <w:rFonts w:hint="eastAsia" w:ascii="宋体" w:hAnsi="宋体" w:cs="宋体"/>
          <w:sz w:val="24"/>
        </w:rPr>
        <w:t>2.6“电子交易平台”是指本项目采购活动所依托的政府采购云平台（https://www.zcygov.cn/）。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pPr>
        <w:spacing w:line="360" w:lineRule="auto"/>
        <w:ind w:firstLine="241" w:firstLineChars="100"/>
        <w:rPr>
          <w:rFonts w:hint="default" w:ascii="宋体" w:hAnsi="宋体" w:eastAsia="宋体" w:cs="宋体"/>
          <w:b/>
          <w:sz w:val="24"/>
          <w:lang w:val="en-US" w:eastAsia="zh-CN"/>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采购项目需要落实的采购政策</w:t>
      </w:r>
      <w:r>
        <w:rPr>
          <w:rFonts w:hint="eastAsia" w:ascii="宋体" w:hAnsi="宋体" w:cs="宋体"/>
          <w:b/>
          <w:sz w:val="24"/>
          <w:lang w:eastAsia="zh-CN"/>
        </w:rPr>
        <w:t>：</w:t>
      </w:r>
      <w:r>
        <w:rPr>
          <w:rFonts w:hint="eastAsia" w:ascii="宋体" w:hAnsi="宋体" w:cs="宋体"/>
          <w:b/>
          <w:sz w:val="24"/>
          <w:lang w:val="en-US" w:eastAsia="zh-CN"/>
        </w:rPr>
        <w:t>无。</w:t>
      </w:r>
    </w:p>
    <w:p>
      <w:pPr>
        <w:spacing w:line="360" w:lineRule="auto"/>
        <w:rPr>
          <w:rFonts w:ascii="宋体" w:hAnsi="宋体" w:cs="宋体"/>
          <w:b/>
          <w:sz w:val="24"/>
        </w:rPr>
      </w:pPr>
      <w:r>
        <w:rPr>
          <w:rFonts w:hint="eastAsia" w:ascii="宋体" w:hAnsi="宋体" w:cs="宋体"/>
          <w:b/>
          <w:sz w:val="24"/>
        </w:rPr>
        <w:t xml:space="preserve">  4. 询问、质疑</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.1提出质疑的供应商应当是参与所质疑项目采购活动的供应商。潜在供应商已依法获取其可质疑的交易文件的，可以对该文件提出质疑。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交易文件、采购过程和中标结果使自己的权益受到损害的，可以在知道或者应知其权益受到损害之日起三个工作日内，以书面形式向采购人或者采购机构提出质疑，否则，采购人或者采购机构不予受理：</w:t>
      </w:r>
    </w:p>
    <w:p>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4.2.2.1对交易文件提出质疑的，质疑期限为供应商获得交易文件之日或者交易文件公告期限届满之日起计算。</w:t>
      </w:r>
    </w:p>
    <w:p>
      <w:pPr>
        <w:pStyle w:val="33"/>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887"/>
        <w:shd w:val="clear" w:color="auto" w:fill="FFFFFF"/>
        <w:snapToGrid w:val="0"/>
        <w:spacing w:before="0" w:beforeAutospacing="0" w:after="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.4采购人或者采购机构应当在收到供应商的书面质疑后七个工作日内作出答复，并以书面形式通知质疑供应商和其他与质疑处理结果有利害关系的采购当事人，但答复的内容不得涉及商业秘密。</w:t>
      </w:r>
    </w:p>
    <w:p>
      <w:pPr>
        <w:pStyle w:val="887"/>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二、交易文件的构成、澄清、修改</w:t>
      </w:r>
    </w:p>
    <w:p>
      <w:pPr>
        <w:pStyle w:val="33"/>
        <w:spacing w:line="360" w:lineRule="auto"/>
        <w:rPr>
          <w:rFonts w:hAnsi="宋体" w:cs="宋体"/>
          <w:b/>
          <w:sz w:val="24"/>
          <w:szCs w:val="24"/>
        </w:rPr>
      </w:pPr>
      <w:r>
        <w:rPr>
          <w:rFonts w:hint="eastAsia" w:hAnsi="宋体" w:cs="宋体"/>
          <w:b/>
          <w:sz w:val="24"/>
          <w:szCs w:val="24"/>
        </w:rPr>
        <w:t>5．交易文件的构成</w:t>
      </w:r>
    </w:p>
    <w:p>
      <w:pPr>
        <w:pStyle w:val="33"/>
        <w:spacing w:line="360" w:lineRule="auto"/>
        <w:ind w:firstLine="480" w:firstLineChars="200"/>
        <w:rPr>
          <w:rFonts w:hAnsi="宋体" w:cs="宋体"/>
          <w:sz w:val="24"/>
          <w:szCs w:val="24"/>
        </w:rPr>
      </w:pPr>
      <w:r>
        <w:rPr>
          <w:rFonts w:hint="eastAsia" w:hAnsi="宋体" w:cs="宋体"/>
          <w:sz w:val="24"/>
          <w:szCs w:val="24"/>
        </w:rPr>
        <w:t>5.1 交易文件包括下列文件及附件：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5.1.1交易公告；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澄清或者修改的内容为交易文件的组成部分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交易文件的澄清、修改</w:t>
      </w:r>
    </w:p>
    <w:p>
      <w:pPr>
        <w:pStyle w:val="130"/>
        <w:snapToGrid w:val="0"/>
        <w:spacing w:before="0"/>
        <w:ind w:firstLine="480"/>
        <w:rPr>
          <w:rFonts w:ascii="宋体" w:hAnsi="宋体" w:cs="宋体"/>
        </w:rPr>
      </w:pPr>
      <w:r>
        <w:rPr>
          <w:rFonts w:hint="eastAsia" w:ascii="宋体" w:hAnsi="宋体" w:cs="宋体"/>
        </w:rPr>
        <w:t>6.1已获取交易文件的潜在投标人，若有问题需要澄清，应于投标截止时间前，以书面形式向采购机构提出。</w:t>
      </w:r>
    </w:p>
    <w:p>
      <w:pPr>
        <w:pStyle w:val="130"/>
        <w:snapToGrid w:val="0"/>
        <w:spacing w:before="0"/>
        <w:ind w:firstLine="480"/>
        <w:rPr>
          <w:rFonts w:ascii="宋体" w:hAnsi="宋体" w:cs="宋体"/>
          <w:sz w:val="18"/>
          <w:szCs w:val="18"/>
        </w:rPr>
      </w:pPr>
      <w:r>
        <w:rPr>
          <w:rFonts w:hint="eastAsia" w:ascii="宋体" w:hAnsi="宋体" w:cs="宋体"/>
        </w:rPr>
        <w:t>6.2 采购机构对交易文件进行澄清或修改的，将同时通过电子交易平台通知已获取交易文件的潜在投标人。依法应当公告的，将按规定公告，同时视情况延长投标截止时间和开标时间。该澄清或者修改的内容为交易文件的组成部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交易文件的获取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详见交易公告中获取交易文件的时间期限、地点、方式及交易文件售价。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2</w:t>
      </w:r>
      <w:r>
        <w:rPr>
          <w:rFonts w:hint="eastAsia" w:ascii="宋体" w:hAnsi="宋体" w:cs="宋体"/>
          <w:sz w:val="24"/>
        </w:rPr>
        <w:t>本项目的特定资格要求。</w:t>
      </w:r>
    </w:p>
    <w:p>
      <w:pPr>
        <w:snapToGrid w:val="0"/>
        <w:spacing w:line="360" w:lineRule="auto"/>
        <w:ind w:firstLine="482" w:firstLineChars="200"/>
        <w:rPr>
          <w:rFonts w:ascii="宋体" w:hAnsi="宋体" w:cs="宋体"/>
          <w:b/>
          <w:sz w:val="24"/>
          <w:lang w:val="zh-CN"/>
        </w:rPr>
      </w:pPr>
      <w:r>
        <w:rPr>
          <w:rFonts w:hint="eastAsia" w:ascii="宋体" w:hAnsi="宋体" w:cs="宋体"/>
          <w:b/>
          <w:sz w:val="24"/>
          <w:lang w:val="zh-CN"/>
        </w:rPr>
        <w:t>11.</w:t>
      </w:r>
      <w:r>
        <w:rPr>
          <w:rFonts w:hint="eastAsia" w:ascii="宋体" w:hAnsi="宋体" w:cs="宋体"/>
          <w:b/>
          <w:sz w:val="24"/>
        </w:rPr>
        <w:t>2</w:t>
      </w:r>
      <w:r>
        <w:rPr>
          <w:rFonts w:hint="eastAsia" w:ascii="宋体" w:hAnsi="宋体" w:cs="宋体"/>
          <w:b/>
          <w:sz w:val="24"/>
          <w:lang w:val="zh-CN"/>
        </w:rPr>
        <w:t xml:space="preserve">  </w:t>
      </w:r>
      <w:r>
        <w:rPr>
          <w:rFonts w:hint="eastAsia" w:ascii="宋体" w:hAnsi="宋体" w:cs="宋体"/>
          <w:b/>
          <w:sz w:val="24"/>
        </w:rPr>
        <w:t>商务技术</w:t>
      </w:r>
      <w:r>
        <w:rPr>
          <w:rFonts w:hint="eastAsia" w:ascii="宋体" w:hAnsi="宋体" w:cs="宋体"/>
          <w:b/>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11.2.3联合协议；</w:t>
      </w:r>
    </w:p>
    <w:p>
      <w:pPr>
        <w:snapToGrid w:val="0"/>
        <w:spacing w:line="360" w:lineRule="auto"/>
        <w:ind w:firstLine="960" w:firstLineChars="400"/>
        <w:rPr>
          <w:rFonts w:ascii="宋体" w:hAnsi="宋体" w:cs="宋体"/>
          <w:sz w:val="24"/>
        </w:rPr>
      </w:pPr>
      <w:r>
        <w:rPr>
          <w:rFonts w:hint="eastAsia" w:ascii="宋体" w:hAnsi="宋体" w:cs="宋体"/>
          <w:sz w:val="24"/>
        </w:rPr>
        <w:t>11.2.4分包意向协议；</w:t>
      </w:r>
    </w:p>
    <w:p>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sz w:val="24"/>
        </w:rPr>
      </w:pPr>
      <w:r>
        <w:rPr>
          <w:rFonts w:hint="eastAsia" w:ascii="宋体" w:hAnsi="宋体" w:cs="宋体"/>
          <w:sz w:val="24"/>
        </w:rPr>
        <w:t>11.2.6评标标准相应的商务技术资料；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FF0000"/>
          <w:sz w:val="24"/>
        </w:rPr>
      </w:pPr>
      <w:r>
        <w:rPr>
          <w:rFonts w:hint="eastAsia" w:ascii="宋体" w:hAnsi="宋体" w:cs="宋体"/>
          <w:sz w:val="24"/>
        </w:rPr>
        <w:t>11.2.7投标标的清单；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11.2.8商务技术偏离表；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交易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12.2投标人进行电子投标应安装客户端软件—“政采云电子交易客户端”，并按照交易文件和电子交易平台的要求编制并加密投标文件。投标人未按规定加密的投标文件，电子交易平台将拒收并提示。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rPr>
      </w:pPr>
      <w:r>
        <w:rPr>
          <w:rFonts w:hint="eastAsia" w:ascii="宋体" w:hAnsi="宋体" w:cs="宋体"/>
          <w:szCs w:val="24"/>
        </w:rPr>
        <w:t>13.1投标文件按照交易文件第六部分格式要</w:t>
      </w:r>
      <w:r>
        <w:rPr>
          <w:rFonts w:hint="eastAsia" w:ascii="宋体" w:hAnsi="宋体" w:cs="宋体"/>
        </w:rPr>
        <w:t>求进行签署、盖章。</w:t>
      </w:r>
      <w:r>
        <w:rPr>
          <w:rFonts w:hint="eastAsia" w:ascii="宋体" w:hAnsi="宋体" w:cs="宋体"/>
          <w:b/>
        </w:rPr>
        <w:t>▲投标人的投标文件未按照交易文件要求签署、盖章的，其投标无效</w:t>
      </w:r>
      <w:r>
        <w:rPr>
          <w:rFonts w:hint="eastAsia" w:ascii="宋体" w:hAnsi="宋体" w:cs="宋体"/>
          <w:szCs w:val="24"/>
        </w:rPr>
        <w:t>。</w:t>
      </w:r>
    </w:p>
    <w:p>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rPr>
        <w:t>13.3交易文件对投标文件签署、盖章的要求适用于电子签名。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15.备份投标文件（本项目不接收备份文件，本条不适用。）</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15.3直接提交备份投标文件的，投标人应于投标截止时间前在交易公告中载明的开标地点将备份投标文件提交给采购机构，采购机构将拒绝接受逾期送达的备份投标文件。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交易文件第二部分投标人须知前附表规定的备份投标文件送达地点；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有交易文件第四部分</w:t>
      </w:r>
      <w:r>
        <w:rPr>
          <w:rFonts w:hint="eastAsia" w:cs="宋体"/>
        </w:rPr>
        <w:t>4.2规定</w:t>
      </w:r>
      <w:r>
        <w:rPr>
          <w:rFonts w:hint="eastAsia" w:cs="宋体"/>
          <w:szCs w:val="21"/>
        </w:rPr>
        <w:t>的情形之一的，投标无效</w:t>
      </w:r>
      <w:r>
        <w:rPr>
          <w:rFonts w:hint="eastAsia" w:cs="宋体"/>
        </w:rPr>
        <w:t>。</w:t>
      </w:r>
    </w:p>
    <w:p>
      <w:pPr>
        <w:pStyle w:val="1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诺的投标有效期少于交易文件中载明的投标有效期的，投标无效。</w:t>
      </w:r>
    </w:p>
    <w:p>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0"/>
        <w:spacing w:before="0"/>
        <w:ind w:firstLine="480"/>
        <w:rPr>
          <w:rFonts w:ascii="宋体" w:hAnsi="宋体" w:cs="宋体"/>
          <w:b/>
          <w:sz w:val="32"/>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0" w:firstLineChars="0"/>
        <w:jc w:val="center"/>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18.1采购机构按照交易文件规定的时间通过电子交易平台组织开标，所有投标人均应当准时在线参加。投标人不足3家的，不得开标。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18.2开标时，电子交易平台按开标时间自动提取所有投标文件。采购机构依托电子交易平台发起开始解密指令，投标人按照平台提示和交易文件的规定在半小时内完成在线解密。</w:t>
      </w:r>
    </w:p>
    <w:p>
      <w:pPr>
        <w:widowControl/>
        <w:spacing w:line="360" w:lineRule="auto"/>
        <w:jc w:val="left"/>
        <w:rPr>
          <w:rFonts w:ascii="宋体" w:hAnsi="宋体" w:cs="宋体"/>
          <w:b/>
          <w:sz w:val="24"/>
          <w:szCs w:val="20"/>
        </w:rPr>
      </w:pPr>
      <w:r>
        <w:rPr>
          <w:rFonts w:hint="eastAsia" w:ascii="宋体" w:hAnsi="宋体" w:cs="宋体"/>
          <w:b/>
          <w:sz w:val="24"/>
          <w:szCs w:val="20"/>
        </w:rPr>
        <w:t>　19、资格审查</w:t>
      </w:r>
    </w:p>
    <w:p>
      <w:pPr>
        <w:pStyle w:val="130"/>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采购人或采购机构依据法律法规和交易文件的规定，对投标人的基本资格条件、特定资格条件进行审查。</w:t>
      </w:r>
    </w:p>
    <w:p>
      <w:pPr>
        <w:pStyle w:val="130"/>
        <w:spacing w:before="0"/>
        <w:ind w:firstLine="480"/>
        <w:rPr>
          <w:rFonts w:ascii="宋体" w:hAnsi="宋体" w:cs="宋体"/>
        </w:rPr>
      </w:pPr>
      <w:r>
        <w:rPr>
          <w:rFonts w:hint="eastAsia" w:ascii="宋体" w:hAnsi="宋体" w:cs="宋体"/>
          <w:kern w:val="0"/>
          <w:szCs w:val="24"/>
        </w:rPr>
        <w:t>19.3投标人未按照交易文件要求提供与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投标人不具备交易文件中规定的资格要求，其投标无效。</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20、信用信息查询</w:t>
      </w:r>
    </w:p>
    <w:p>
      <w:pPr>
        <w:spacing w:line="360" w:lineRule="auto"/>
        <w:ind w:firstLine="480" w:firstLineChars="200"/>
        <w:rPr>
          <w:rFonts w:ascii="宋体" w:hAnsi="宋体"/>
          <w:sz w:val="24"/>
        </w:rPr>
      </w:pPr>
      <w:r>
        <w:rPr>
          <w:rFonts w:ascii="宋体" w:hAnsi="宋体"/>
          <w:sz w:val="24"/>
        </w:rPr>
        <w:t>20.1信用信息查询渠道及截止时间：采购机构将通过“信用中国”网站(www.creditchina.gov.cn)、中国政府采购网(www.ccgp.gov.cn)渠道查询投标人投标截止时间当天的信用记录。</w:t>
      </w:r>
    </w:p>
    <w:p>
      <w:pPr>
        <w:spacing w:line="360" w:lineRule="auto"/>
        <w:ind w:firstLine="480" w:firstLineChars="200"/>
        <w:rPr>
          <w:rFonts w:ascii="宋体" w:hAnsi="宋体"/>
          <w:sz w:val="24"/>
        </w:rPr>
      </w:pPr>
      <w:r>
        <w:rPr>
          <w:rFonts w:ascii="宋体" w:hAnsi="宋体"/>
          <w:sz w:val="24"/>
        </w:rPr>
        <w:t>20.2信用信息查询记录和证据留存的具体方式：现场查询的投标人的信用记录、查询结果经确认后将与采购文件一起存档。</w:t>
      </w:r>
    </w:p>
    <w:p>
      <w:pPr>
        <w:spacing w:line="360" w:lineRule="auto"/>
        <w:ind w:firstLine="480" w:firstLineChars="200"/>
        <w:rPr>
          <w:rFonts w:ascii="宋体" w:hAnsi="宋体"/>
          <w:sz w:val="24"/>
        </w:rPr>
      </w:pPr>
      <w:r>
        <w:rPr>
          <w:rFonts w:ascii="宋体" w:hAnsi="宋体"/>
          <w:sz w:val="24"/>
        </w:rPr>
        <w:t>20.3信用信息的使用规则：经查询列入失信被执行人名单、重大税收违法案件当事人名单（税收违法黑名单）、政府采购严重违法失信行为记录名单的投标人将被拒绝参与政府采购活动。</w:t>
      </w:r>
    </w:p>
    <w:p>
      <w:pPr>
        <w:spacing w:line="360" w:lineRule="auto"/>
        <w:ind w:firstLine="480" w:firstLineChars="200"/>
        <w:rPr>
          <w:rFonts w:ascii="宋体" w:hAnsi="宋体"/>
          <w:sz w:val="24"/>
        </w:rPr>
      </w:pPr>
      <w:r>
        <w:rPr>
          <w:rFonts w:ascii="宋体" w:hAnsi="宋体"/>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交易文件和有关规定，履行评标工作职责，并按照评标方法及评分标准，全面衡量各投标人对交易文件的响应情况。对实质上响应交易文件的投标人，按照评审因素的量化指标排出推荐中标的投标人的先后顺序，并按顺序提出授标建议。详见交易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30"/>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交易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采购人与中标人应当通过电子交易平台在中标通知书发出之日起十日内，按照交易文件确定的事项签订采购合同，并在合同签订之日起2个工作日内依法发布合同公告。</w:t>
      </w:r>
    </w:p>
    <w:p>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25.4中标供应商拒绝与采购人签订合同的，采购人可以按照评审报告推荐的中标或者成交候选人名单排序，确定下一候选人为中标供应商，也可以重新开展采购活动。</w:t>
      </w:r>
    </w:p>
    <w:p>
      <w:pPr>
        <w:pStyle w:val="130"/>
        <w:snapToGrid w:val="0"/>
        <w:spacing w:before="0" w:after="120"/>
        <w:ind w:firstLine="480"/>
        <w:rPr>
          <w:rFonts w:ascii="宋体" w:hAnsi="宋体" w:cs="宋体"/>
        </w:rPr>
      </w:pPr>
      <w:r>
        <w:rPr>
          <w:rFonts w:hint="eastAsia" w:ascii="宋体" w:hAnsi="宋体" w:cs="宋体"/>
        </w:rPr>
        <w:t>25.5采购合同由采购人与中标供应商根据交易文件、投标文件等内容通过政府采购电子交易平台在线签订，自动备案。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%。鼓励和支持供应商以银行、保险公司出具的保函形式提供履约保证金。</w:t>
      </w:r>
      <w:r>
        <w:rPr>
          <w:rFonts w:hint="eastAsia" w:ascii="宋体" w:hAnsi="宋体" w:cs="宋体"/>
          <w:b/>
          <w:sz w:val="24"/>
        </w:rPr>
        <w:t>采购人不得拒收履约保函，项目验收结束后应及时退还。</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30"/>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30"/>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30"/>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30"/>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30"/>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30"/>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bookmarkEnd w:id="13"/>
    <w:bookmarkEnd w:id="14"/>
    <w:bookmarkEnd w:id="15"/>
    <w:p>
      <w:pPr>
        <w:spacing w:line="360" w:lineRule="auto"/>
        <w:jc w:val="center"/>
        <w:outlineLvl w:val="0"/>
        <w:rPr>
          <w:rFonts w:ascii="宋体" w:hAnsi="宋体" w:cs="宋体"/>
          <w:b/>
          <w:sz w:val="36"/>
          <w:szCs w:val="36"/>
        </w:rPr>
      </w:pPr>
      <w:bookmarkStart w:id="16" w:name="第四部分"/>
    </w:p>
    <w:p>
      <w:pPr>
        <w:spacing w:line="360" w:lineRule="auto"/>
        <w:jc w:val="center"/>
        <w:outlineLvl w:val="0"/>
        <w:rPr>
          <w:rFonts w:ascii="宋体" w:hAnsi="宋体" w:cs="宋体"/>
          <w:b/>
          <w:sz w:val="36"/>
          <w:szCs w:val="36"/>
        </w:rPr>
      </w:pPr>
    </w:p>
    <w:p>
      <w:pPr>
        <w:spacing w:line="360" w:lineRule="auto"/>
        <w:jc w:val="center"/>
        <w:outlineLvl w:val="0"/>
        <w:rPr>
          <w:rFonts w:ascii="宋体" w:hAnsi="宋体" w:cs="宋体"/>
          <w:b/>
          <w:sz w:val="36"/>
          <w:szCs w:val="36"/>
        </w:rPr>
      </w:pPr>
    </w:p>
    <w:p>
      <w:pPr>
        <w:spacing w:line="360" w:lineRule="auto"/>
        <w:jc w:val="center"/>
        <w:outlineLvl w:val="0"/>
        <w:rPr>
          <w:rFonts w:ascii="宋体" w:hAnsi="宋体" w:cs="宋体"/>
          <w:b/>
          <w:sz w:val="36"/>
          <w:szCs w:val="36"/>
        </w:rPr>
        <w:sectPr>
          <w:headerReference r:id="rId3" w:type="default"/>
          <w:footerReference r:id="rId4" w:type="default"/>
          <w:pgSz w:w="11907" w:h="16840"/>
          <w:pgMar w:top="1440" w:right="1440" w:bottom="1440" w:left="1440" w:header="851" w:footer="851" w:gutter="0"/>
          <w:cols w:space="720" w:num="1"/>
        </w:sectPr>
      </w:pPr>
    </w:p>
    <w:p>
      <w:pPr>
        <w:jc w:val="center"/>
        <w:outlineLvl w:val="0"/>
        <w:rPr>
          <w:rFonts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pPr>
        <w:snapToGrid w:val="0"/>
        <w:spacing w:line="360" w:lineRule="auto"/>
        <w:jc w:val="center"/>
        <w:rPr>
          <w:rFonts w:ascii="宋体" w:hAnsi="宋体" w:cs="宋体"/>
          <w:color w:val="000000"/>
          <w:sz w:val="24"/>
        </w:rPr>
      </w:pPr>
      <w:r>
        <w:rPr>
          <w:rFonts w:hint="eastAsia" w:ascii="宋体" w:hAnsi="宋体" w:cs="宋体"/>
          <w:color w:val="000000"/>
          <w:sz w:val="24"/>
        </w:rPr>
        <w:t>属于实质性要求条款的，请用符号“▲”标明，否则属于非实质性要求。</w:t>
      </w:r>
    </w:p>
    <w:p>
      <w:pPr>
        <w:snapToGrid w:val="0"/>
        <w:spacing w:line="360" w:lineRule="auto"/>
        <w:jc w:val="center"/>
        <w:rPr>
          <w:rFonts w:ascii="宋体" w:hAnsi="宋体" w:cs="宋体"/>
          <w:color w:val="000000"/>
          <w:sz w:val="24"/>
        </w:rPr>
      </w:pPr>
      <w:r>
        <w:rPr>
          <w:rFonts w:hint="eastAsia" w:ascii="宋体" w:hAnsi="宋体" w:cs="宋体"/>
          <w:color w:val="000000"/>
          <w:sz w:val="24"/>
        </w:rPr>
        <w:t>“★”系产品采购项目中单一产品或核心产品。</w:t>
      </w:r>
    </w:p>
    <w:p>
      <w:pPr>
        <w:pStyle w:val="6"/>
        <w:adjustRightInd/>
        <w:spacing w:line="240" w:lineRule="auto"/>
        <w:ind w:left="0" w:firstLine="0"/>
        <w:jc w:val="center"/>
        <w:rPr>
          <w:rFonts w:ascii="宋体" w:hAnsi="宋体" w:cs="Arial"/>
          <w:b w:val="0"/>
          <w:bCs w:val="0"/>
          <w:snapToGrid w:val="0"/>
          <w:kern w:val="0"/>
        </w:rPr>
      </w:pPr>
      <w:r>
        <w:rPr>
          <w:rFonts w:hint="eastAsia" w:ascii="宋体" w:hAnsi="宋体" w:cs="Arial"/>
          <w:b w:val="0"/>
          <w:bCs w:val="0"/>
          <w:snapToGrid w:val="0"/>
          <w:kern w:val="0"/>
        </w:rPr>
        <w:t xml:space="preserve">  一、招标一览表</w:t>
      </w:r>
    </w:p>
    <w:p>
      <w:pPr>
        <w:spacing w:line="360" w:lineRule="auto"/>
        <w:jc w:val="left"/>
        <w:rPr>
          <w:rFonts w:ascii="宋体" w:hAnsi="宋体"/>
          <w:sz w:val="24"/>
        </w:rPr>
      </w:pPr>
      <w:r>
        <w:rPr>
          <w:rFonts w:hint="eastAsia" w:ascii="宋体" w:hAnsi="宋体"/>
          <w:sz w:val="24"/>
        </w:rPr>
        <w:t xml:space="preserve">  标项：</w:t>
      </w:r>
    </w:p>
    <w:tbl>
      <w:tblPr>
        <w:tblStyle w:val="63"/>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2"/>
        <w:gridCol w:w="3969"/>
        <w:gridCol w:w="1985"/>
        <w:gridCol w:w="823"/>
        <w:gridCol w:w="823"/>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atLeast"/>
          <w:jc w:val="center"/>
        </w:trPr>
        <w:tc>
          <w:tcPr>
            <w:tcW w:w="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标项号</w:t>
            </w:r>
          </w:p>
        </w:tc>
        <w:tc>
          <w:tcPr>
            <w:tcW w:w="39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名称</w:t>
            </w:r>
          </w:p>
        </w:tc>
        <w:tc>
          <w:tcPr>
            <w:tcW w:w="19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规格型号与参数</w:t>
            </w:r>
          </w:p>
        </w:tc>
        <w:tc>
          <w:tcPr>
            <w:tcW w:w="8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单位</w:t>
            </w:r>
          </w:p>
        </w:tc>
        <w:tc>
          <w:tcPr>
            <w:tcW w:w="8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数量</w:t>
            </w: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0" w:hRule="atLeast"/>
          <w:jc w:val="center"/>
        </w:trPr>
        <w:tc>
          <w:tcPr>
            <w:tcW w:w="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1</w:t>
            </w:r>
          </w:p>
        </w:tc>
        <w:tc>
          <w:tcPr>
            <w:tcW w:w="39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spacing w:before="75" w:after="75"/>
              <w:jc w:val="center"/>
              <w:rPr>
                <w:rFonts w:hint="eastAsia" w:ascii="宋体" w:hAnsi="宋体" w:eastAsia="宋体"/>
                <w:sz w:val="24"/>
                <w:lang w:eastAsia="zh-CN"/>
              </w:rPr>
            </w:pPr>
            <w:r>
              <w:rPr>
                <w:rFonts w:hint="eastAsia" w:ascii="宋体" w:hAnsi="宋体"/>
                <w:bCs/>
                <w:sz w:val="24"/>
                <w:lang w:eastAsia="zh-CN"/>
              </w:rPr>
              <w:t>杭州市萧山区中医院蛋糕券采购项目</w:t>
            </w:r>
          </w:p>
        </w:tc>
        <w:tc>
          <w:tcPr>
            <w:tcW w:w="19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详见招标需求</w:t>
            </w:r>
          </w:p>
        </w:tc>
        <w:tc>
          <w:tcPr>
            <w:tcW w:w="8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项</w:t>
            </w:r>
          </w:p>
        </w:tc>
        <w:tc>
          <w:tcPr>
            <w:tcW w:w="8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1</w:t>
            </w: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spacing w:line="360" w:lineRule="auto"/>
        <w:jc w:val="center"/>
        <w:rPr>
          <w:rFonts w:ascii="宋体" w:hAnsi="宋体" w:cs="仿宋_GB2312"/>
          <w:sz w:val="24"/>
        </w:rPr>
      </w:pPr>
    </w:p>
    <w:p>
      <w:pPr>
        <w:spacing w:line="360" w:lineRule="auto"/>
        <w:jc w:val="center"/>
        <w:rPr>
          <w:rFonts w:ascii="宋体" w:hAnsi="宋体" w:cs="Arial"/>
          <w:snapToGrid w:val="0"/>
          <w:kern w:val="0"/>
          <w:sz w:val="32"/>
          <w:szCs w:val="32"/>
        </w:rPr>
      </w:pPr>
      <w:r>
        <w:rPr>
          <w:rFonts w:hint="eastAsia" w:ascii="宋体" w:hAnsi="宋体" w:cs="Arial"/>
          <w:snapToGrid w:val="0"/>
          <w:kern w:val="0"/>
          <w:sz w:val="32"/>
          <w:szCs w:val="32"/>
        </w:rPr>
        <w:t>二、招标需求</w:t>
      </w:r>
    </w:p>
    <w:p>
      <w:pPr>
        <w:spacing w:line="360" w:lineRule="auto"/>
        <w:rPr>
          <w:rFonts w:hint="eastAsia" w:ascii="宋体" w:hAnsi="宋体" w:cs="仿宋"/>
          <w:b/>
          <w:i w:val="0"/>
          <w:iCs w:val="0"/>
          <w:sz w:val="24"/>
        </w:rPr>
      </w:pPr>
      <w:r>
        <w:rPr>
          <w:rFonts w:hint="eastAsia" w:ascii="宋体" w:hAnsi="宋体" w:cs="仿宋"/>
          <w:b/>
          <w:i w:val="0"/>
          <w:iCs w:val="0"/>
          <w:sz w:val="24"/>
        </w:rPr>
        <w:t>一、招标内容及要求</w:t>
      </w:r>
    </w:p>
    <w:p>
      <w:pPr>
        <w:spacing w:line="360" w:lineRule="auto"/>
        <w:ind w:firstLine="480" w:firstLineChars="200"/>
        <w:rPr>
          <w:rFonts w:hint="eastAsia" w:ascii="宋体" w:hAnsi="宋体" w:cs="仿宋"/>
          <w:i w:val="0"/>
          <w:iCs w:val="0"/>
          <w:sz w:val="24"/>
        </w:rPr>
      </w:pPr>
      <w:r>
        <w:rPr>
          <w:rFonts w:hint="eastAsia" w:ascii="宋体" w:hAnsi="宋体" w:cs="仿宋"/>
          <w:i w:val="0"/>
          <w:iCs w:val="0"/>
          <w:sz w:val="24"/>
        </w:rPr>
        <w:t>1、招标确定医院员工（约</w:t>
      </w:r>
      <w:r>
        <w:rPr>
          <w:rFonts w:hint="eastAsia" w:ascii="宋体" w:hAnsi="宋体" w:cs="仿宋"/>
          <w:i w:val="0"/>
          <w:iCs w:val="0"/>
          <w:sz w:val="24"/>
          <w:lang w:val="en-US" w:eastAsia="zh-CN"/>
        </w:rPr>
        <w:t>1300</w:t>
      </w:r>
      <w:r>
        <w:rPr>
          <w:rFonts w:hint="eastAsia" w:ascii="宋体" w:hAnsi="宋体" w:cs="仿宋"/>
          <w:i w:val="0"/>
          <w:iCs w:val="0"/>
          <w:sz w:val="24"/>
        </w:rPr>
        <w:t xml:space="preserve">人）生日蛋糕定点供应商1家。 </w:t>
      </w:r>
    </w:p>
    <w:p>
      <w:pPr>
        <w:spacing w:line="360" w:lineRule="auto"/>
        <w:ind w:firstLine="480" w:firstLineChars="200"/>
        <w:rPr>
          <w:rFonts w:hint="eastAsia" w:ascii="宋体" w:hAnsi="宋体" w:cs="仿宋"/>
          <w:i w:val="0"/>
          <w:iCs w:val="0"/>
          <w:color w:val="auto"/>
          <w:sz w:val="24"/>
        </w:rPr>
      </w:pPr>
      <w:r>
        <w:rPr>
          <w:rFonts w:hint="eastAsia" w:ascii="宋体" w:hAnsi="宋体" w:cs="仿宋"/>
          <w:i w:val="0"/>
          <w:iCs w:val="0"/>
          <w:sz w:val="24"/>
        </w:rPr>
        <w:t>2、供货形式至少有生日蛋糕实物、可在各连锁门店通用的蛋糕券2种形式</w:t>
      </w:r>
      <w:r>
        <w:rPr>
          <w:rFonts w:hint="eastAsia" w:ascii="宋体" w:hAnsi="宋体" w:cs="仿宋"/>
          <w:i w:val="0"/>
          <w:iCs w:val="0"/>
          <w:color w:val="auto"/>
          <w:sz w:val="24"/>
          <w:lang w:eastAsia="zh-CN"/>
        </w:rPr>
        <w:t>。</w:t>
      </w:r>
      <w:r>
        <w:rPr>
          <w:rFonts w:hint="eastAsia" w:ascii="宋体" w:hAnsi="宋体" w:cs="仿宋"/>
          <w:i w:val="0"/>
          <w:iCs w:val="0"/>
          <w:color w:val="auto"/>
          <w:sz w:val="24"/>
          <w:lang w:val="en-US" w:eastAsia="zh-CN"/>
        </w:rPr>
        <w:t>员工可凭蛋糕券自行选择领取物品，价格按门店物品标价（如生日蛋糕及其他品类甜品、面包等）</w:t>
      </w:r>
      <w:r>
        <w:rPr>
          <w:rFonts w:hint="eastAsia" w:ascii="宋体" w:hAnsi="宋体" w:cs="仿宋"/>
          <w:i w:val="0"/>
          <w:iCs w:val="0"/>
          <w:color w:val="auto"/>
          <w:sz w:val="24"/>
        </w:rPr>
        <w:t>。</w:t>
      </w:r>
    </w:p>
    <w:p>
      <w:pPr>
        <w:spacing w:line="360" w:lineRule="auto"/>
        <w:ind w:firstLine="480" w:firstLineChars="200"/>
        <w:rPr>
          <w:rFonts w:hint="eastAsia" w:ascii="宋体" w:hAnsi="宋体" w:cs="仿宋"/>
          <w:i w:val="0"/>
          <w:iCs w:val="0"/>
          <w:color w:val="auto"/>
          <w:sz w:val="24"/>
        </w:rPr>
      </w:pPr>
      <w:r>
        <w:rPr>
          <w:rFonts w:hint="eastAsia" w:ascii="宋体" w:hAnsi="宋体" w:cs="仿宋"/>
          <w:i w:val="0"/>
          <w:iCs w:val="0"/>
          <w:color w:val="auto"/>
          <w:sz w:val="24"/>
        </w:rPr>
        <w:t>3、蛋糕券使用便利且没有有效期限制。</w:t>
      </w:r>
    </w:p>
    <w:p>
      <w:pPr>
        <w:spacing w:line="360" w:lineRule="auto"/>
        <w:ind w:firstLine="480" w:firstLineChars="200"/>
        <w:rPr>
          <w:rFonts w:hint="eastAsia" w:ascii="宋体" w:hAnsi="宋体" w:cs="仿宋"/>
          <w:i w:val="0"/>
          <w:iCs w:val="0"/>
          <w:color w:val="auto"/>
          <w:sz w:val="24"/>
        </w:rPr>
      </w:pPr>
      <w:r>
        <w:rPr>
          <w:rFonts w:hint="eastAsia" w:ascii="宋体" w:hAnsi="宋体" w:cs="仿宋"/>
          <w:i w:val="0"/>
          <w:iCs w:val="0"/>
          <w:color w:val="auto"/>
          <w:sz w:val="24"/>
        </w:rPr>
        <w:t>4、员工凭蛋糕票可到</w:t>
      </w:r>
      <w:r>
        <w:rPr>
          <w:rFonts w:hint="eastAsia" w:ascii="宋体" w:hAnsi="宋体" w:cs="仿宋"/>
          <w:i w:val="0"/>
          <w:iCs w:val="0"/>
          <w:color w:val="auto"/>
          <w:sz w:val="24"/>
          <w:lang w:val="en-US" w:eastAsia="zh-CN"/>
        </w:rPr>
        <w:t>中标人</w:t>
      </w:r>
      <w:r>
        <w:rPr>
          <w:rFonts w:hint="eastAsia" w:ascii="宋体" w:hAnsi="宋体" w:cs="仿宋"/>
          <w:i w:val="0"/>
          <w:iCs w:val="0"/>
          <w:color w:val="auto"/>
          <w:sz w:val="24"/>
        </w:rPr>
        <w:t>的各连锁门店领取</w:t>
      </w:r>
      <w:r>
        <w:rPr>
          <w:rFonts w:hint="eastAsia" w:ascii="宋体" w:hAnsi="宋体" w:cs="仿宋"/>
          <w:i w:val="0"/>
          <w:iCs w:val="0"/>
          <w:color w:val="auto"/>
          <w:sz w:val="24"/>
          <w:lang w:val="en-US" w:eastAsia="zh-CN"/>
        </w:rPr>
        <w:t>物品</w:t>
      </w:r>
      <w:r>
        <w:rPr>
          <w:rFonts w:hint="eastAsia" w:ascii="宋体" w:hAnsi="宋体" w:cs="仿宋"/>
          <w:i w:val="0"/>
          <w:iCs w:val="0"/>
          <w:color w:val="auto"/>
          <w:sz w:val="24"/>
        </w:rPr>
        <w:t>。在职工要求领取</w:t>
      </w:r>
      <w:r>
        <w:rPr>
          <w:rFonts w:hint="eastAsia" w:ascii="宋体" w:hAnsi="宋体" w:cs="仿宋"/>
          <w:i w:val="0"/>
          <w:iCs w:val="0"/>
          <w:color w:val="auto"/>
          <w:sz w:val="24"/>
          <w:lang w:val="en-US" w:eastAsia="zh-CN"/>
        </w:rPr>
        <w:t>物品</w:t>
      </w:r>
      <w:r>
        <w:rPr>
          <w:rFonts w:hint="eastAsia" w:ascii="宋体" w:hAnsi="宋体" w:cs="仿宋"/>
          <w:i w:val="0"/>
          <w:iCs w:val="0"/>
          <w:color w:val="auto"/>
          <w:sz w:val="24"/>
        </w:rPr>
        <w:t>时，</w:t>
      </w:r>
      <w:r>
        <w:rPr>
          <w:rFonts w:hint="eastAsia" w:ascii="宋体" w:hAnsi="宋体" w:cs="仿宋"/>
          <w:i w:val="0"/>
          <w:iCs w:val="0"/>
          <w:color w:val="auto"/>
          <w:sz w:val="24"/>
          <w:lang w:val="en-US" w:eastAsia="zh-CN"/>
        </w:rPr>
        <w:t>中标人</w:t>
      </w:r>
      <w:r>
        <w:rPr>
          <w:rFonts w:hint="eastAsia" w:ascii="宋体" w:hAnsi="宋体" w:cs="仿宋"/>
          <w:i w:val="0"/>
          <w:iCs w:val="0"/>
          <w:color w:val="auto"/>
          <w:sz w:val="24"/>
        </w:rPr>
        <w:t>必须在规定时间内提供</w:t>
      </w:r>
      <w:r>
        <w:rPr>
          <w:rFonts w:hint="eastAsia" w:ascii="宋体" w:hAnsi="宋体" w:cs="仿宋"/>
          <w:i w:val="0"/>
          <w:iCs w:val="0"/>
          <w:color w:val="auto"/>
          <w:sz w:val="24"/>
          <w:lang w:val="en-US" w:eastAsia="zh-CN"/>
        </w:rPr>
        <w:t>物品</w:t>
      </w:r>
      <w:r>
        <w:rPr>
          <w:rFonts w:hint="eastAsia" w:ascii="宋体" w:hAnsi="宋体" w:cs="仿宋"/>
          <w:i w:val="0"/>
          <w:iCs w:val="0"/>
          <w:color w:val="auto"/>
          <w:sz w:val="24"/>
        </w:rPr>
        <w:t xml:space="preserve">。员工现场提货时价格按门店实时售价结算。 </w:t>
      </w:r>
    </w:p>
    <w:p>
      <w:pPr>
        <w:spacing w:line="360" w:lineRule="auto"/>
        <w:ind w:firstLine="480" w:firstLineChars="200"/>
        <w:rPr>
          <w:rFonts w:hint="eastAsia" w:ascii="宋体" w:hAnsi="宋体" w:cs="仿宋"/>
          <w:i w:val="0"/>
          <w:iCs w:val="0"/>
          <w:color w:val="auto"/>
          <w:sz w:val="24"/>
        </w:rPr>
      </w:pPr>
      <w:r>
        <w:rPr>
          <w:rFonts w:hint="eastAsia" w:ascii="宋体" w:hAnsi="宋体" w:cs="仿宋"/>
          <w:i w:val="0"/>
          <w:iCs w:val="0"/>
          <w:color w:val="auto"/>
          <w:sz w:val="24"/>
        </w:rPr>
        <w:t>5、</w:t>
      </w:r>
      <w:r>
        <w:rPr>
          <w:rFonts w:hint="eastAsia" w:ascii="宋体" w:hAnsi="宋体" w:cs="仿宋"/>
          <w:i w:val="0"/>
          <w:iCs w:val="0"/>
          <w:color w:val="auto"/>
          <w:sz w:val="24"/>
          <w:lang w:eastAsia="zh-CN"/>
        </w:rPr>
        <w:t>投标人</w:t>
      </w:r>
      <w:r>
        <w:rPr>
          <w:rFonts w:hint="eastAsia" w:ascii="宋体" w:hAnsi="宋体" w:cs="仿宋"/>
          <w:i w:val="0"/>
          <w:iCs w:val="0"/>
          <w:color w:val="auto"/>
          <w:sz w:val="24"/>
        </w:rPr>
        <w:t>提供的产品质量符合国家食品卫生和行业相关标准，因</w:t>
      </w:r>
      <w:r>
        <w:rPr>
          <w:rFonts w:hint="eastAsia" w:ascii="宋体" w:hAnsi="宋体" w:cs="仿宋"/>
          <w:i w:val="0"/>
          <w:iCs w:val="0"/>
          <w:color w:val="auto"/>
          <w:sz w:val="24"/>
          <w:lang w:val="en-US" w:eastAsia="zh-CN"/>
        </w:rPr>
        <w:t>中标人</w:t>
      </w:r>
      <w:r>
        <w:rPr>
          <w:rFonts w:hint="eastAsia" w:ascii="宋体" w:hAnsi="宋体" w:cs="仿宋"/>
          <w:i w:val="0"/>
          <w:iCs w:val="0"/>
          <w:color w:val="auto"/>
          <w:sz w:val="24"/>
        </w:rPr>
        <w:t>提供产品质量问题造成</w:t>
      </w:r>
      <w:r>
        <w:rPr>
          <w:rFonts w:hint="eastAsia" w:ascii="宋体" w:hAnsi="宋体" w:cs="仿宋"/>
          <w:i w:val="0"/>
          <w:iCs w:val="0"/>
          <w:color w:val="auto"/>
          <w:sz w:val="24"/>
          <w:lang w:eastAsia="zh-CN"/>
        </w:rPr>
        <w:t>采购人</w:t>
      </w:r>
      <w:r>
        <w:rPr>
          <w:rFonts w:hint="eastAsia" w:ascii="宋体" w:hAnsi="宋体" w:cs="仿宋"/>
          <w:i w:val="0"/>
          <w:iCs w:val="0"/>
          <w:color w:val="auto"/>
          <w:sz w:val="24"/>
        </w:rPr>
        <w:t>职工食物中毒等安全问题，</w:t>
      </w:r>
      <w:r>
        <w:rPr>
          <w:rFonts w:hint="eastAsia" w:ascii="宋体" w:hAnsi="宋体" w:cs="仿宋"/>
          <w:i w:val="0"/>
          <w:iCs w:val="0"/>
          <w:color w:val="auto"/>
          <w:sz w:val="24"/>
          <w:lang w:val="en-US" w:eastAsia="zh-CN"/>
        </w:rPr>
        <w:t>中标人</w:t>
      </w:r>
      <w:r>
        <w:rPr>
          <w:rFonts w:hint="eastAsia" w:ascii="宋体" w:hAnsi="宋体" w:cs="仿宋"/>
          <w:i w:val="0"/>
          <w:iCs w:val="0"/>
          <w:color w:val="auto"/>
          <w:sz w:val="24"/>
        </w:rPr>
        <w:t>须负全责。</w:t>
      </w:r>
    </w:p>
    <w:p>
      <w:pPr>
        <w:spacing w:line="360" w:lineRule="auto"/>
        <w:ind w:firstLine="480" w:firstLineChars="200"/>
        <w:rPr>
          <w:rFonts w:hint="eastAsia" w:ascii="宋体" w:hAnsi="宋体" w:eastAsia="宋体" w:cs="仿宋"/>
          <w:i w:val="0"/>
          <w:iCs w:val="0"/>
          <w:color w:val="auto"/>
          <w:sz w:val="24"/>
        </w:rPr>
      </w:pPr>
      <w:r>
        <w:rPr>
          <w:rFonts w:hint="eastAsia" w:ascii="宋体" w:hAnsi="宋体" w:eastAsia="宋体" w:cs="仿宋"/>
          <w:i w:val="0"/>
          <w:iCs w:val="0"/>
          <w:color w:val="auto"/>
          <w:sz w:val="24"/>
        </w:rPr>
        <w:t>6、本项目合同期暂定为</w:t>
      </w:r>
      <w:r>
        <w:rPr>
          <w:rFonts w:hint="eastAsia" w:ascii="宋体" w:hAnsi="宋体" w:cs="仿宋"/>
          <w:i w:val="0"/>
          <w:iCs w:val="0"/>
          <w:color w:val="auto"/>
          <w:sz w:val="24"/>
          <w:lang w:val="en-US" w:eastAsia="zh-CN"/>
        </w:rPr>
        <w:t>2023</w:t>
      </w:r>
      <w:r>
        <w:rPr>
          <w:rFonts w:hint="eastAsia" w:ascii="宋体" w:hAnsi="宋体" w:eastAsia="宋体" w:cs="仿宋"/>
          <w:i w:val="0"/>
          <w:iCs w:val="0"/>
          <w:color w:val="auto"/>
          <w:sz w:val="24"/>
        </w:rPr>
        <w:t>年度。</w:t>
      </w:r>
    </w:p>
    <w:p>
      <w:pPr>
        <w:spacing w:line="360" w:lineRule="auto"/>
        <w:ind w:firstLine="480" w:firstLineChars="200"/>
        <w:rPr>
          <w:rFonts w:hint="default" w:ascii="宋体" w:hAnsi="宋体" w:eastAsia="宋体" w:cs="仿宋"/>
          <w:i w:val="0"/>
          <w:iCs w:val="0"/>
          <w:color w:val="auto"/>
          <w:sz w:val="24"/>
          <w:lang w:val="en-US" w:eastAsia="zh-CN"/>
        </w:rPr>
      </w:pPr>
      <w:r>
        <w:rPr>
          <w:rFonts w:hint="eastAsia" w:ascii="宋体" w:hAnsi="宋体"/>
          <w:color w:val="auto"/>
          <w:sz w:val="24"/>
        </w:rPr>
        <w:t>▲</w:t>
      </w:r>
      <w:r>
        <w:rPr>
          <w:rFonts w:hint="eastAsia" w:ascii="宋体" w:hAnsi="宋体" w:eastAsia="宋体" w:cs="仿宋"/>
          <w:i w:val="0"/>
          <w:iCs w:val="0"/>
          <w:color w:val="auto"/>
          <w:sz w:val="24"/>
          <w:lang w:val="en-US" w:eastAsia="zh-CN"/>
        </w:rPr>
        <w:t>7</w:t>
      </w:r>
      <w:r>
        <w:rPr>
          <w:rFonts w:hint="eastAsia" w:ascii="宋体" w:hAnsi="宋体" w:eastAsia="宋体" w:cs="仿宋"/>
          <w:i w:val="0"/>
          <w:iCs w:val="0"/>
          <w:color w:val="auto"/>
          <w:sz w:val="24"/>
        </w:rPr>
        <w:t>、</w:t>
      </w:r>
      <w:r>
        <w:rPr>
          <w:rFonts w:hint="eastAsia" w:ascii="宋体" w:hAnsi="宋体" w:eastAsia="宋体" w:cs="仿宋"/>
          <w:i w:val="0"/>
          <w:iCs w:val="0"/>
          <w:color w:val="auto"/>
          <w:sz w:val="24"/>
          <w:lang w:val="en-US" w:eastAsia="zh-CN"/>
        </w:rPr>
        <w:t>在萧山城区范围内</w:t>
      </w:r>
      <w:r>
        <w:rPr>
          <w:rFonts w:hint="eastAsia" w:ascii="宋体" w:hAnsi="宋体" w:cs="仿宋"/>
          <w:b/>
          <w:color w:val="auto"/>
          <w:sz w:val="24"/>
        </w:rPr>
        <w:t>有主营蛋糕的直营实体门店</w:t>
      </w:r>
      <w:r>
        <w:rPr>
          <w:rFonts w:hint="eastAsia" w:ascii="宋体" w:hAnsi="宋体" w:eastAsia="宋体" w:cs="仿宋"/>
          <w:i w:val="0"/>
          <w:iCs w:val="0"/>
          <w:color w:val="auto"/>
          <w:sz w:val="24"/>
          <w:lang w:val="en-US" w:eastAsia="zh-CN"/>
        </w:rPr>
        <w:t>，方便职工提取。</w:t>
      </w:r>
    </w:p>
    <w:p>
      <w:pPr>
        <w:spacing w:line="360" w:lineRule="auto"/>
        <w:rPr>
          <w:rFonts w:hint="eastAsia" w:ascii="宋体" w:hAnsi="宋体" w:cs="仿宋"/>
          <w:b/>
          <w:i w:val="0"/>
          <w:iCs w:val="0"/>
          <w:sz w:val="24"/>
        </w:rPr>
      </w:pPr>
      <w:r>
        <w:rPr>
          <w:rFonts w:hint="eastAsia" w:ascii="宋体" w:hAnsi="宋体" w:cs="仿宋"/>
          <w:b/>
          <w:i w:val="0"/>
          <w:iCs w:val="0"/>
          <w:sz w:val="24"/>
        </w:rPr>
        <w:t>二、报价方式</w:t>
      </w:r>
    </w:p>
    <w:p>
      <w:pPr>
        <w:spacing w:line="360" w:lineRule="auto"/>
        <w:ind w:firstLine="480" w:firstLineChars="200"/>
        <w:rPr>
          <w:rFonts w:hint="eastAsia" w:ascii="宋体" w:hAnsi="宋体" w:cs="仿宋"/>
          <w:i w:val="0"/>
          <w:iCs w:val="0"/>
          <w:sz w:val="24"/>
        </w:rPr>
      </w:pPr>
      <w:r>
        <w:rPr>
          <w:rFonts w:hint="eastAsia" w:ascii="宋体" w:hAnsi="宋体" w:cs="仿宋"/>
          <w:i w:val="0"/>
          <w:iCs w:val="0"/>
          <w:sz w:val="24"/>
          <w:lang w:eastAsia="zh-CN"/>
        </w:rPr>
        <w:t>投标人</w:t>
      </w:r>
      <w:r>
        <w:rPr>
          <w:rFonts w:hint="eastAsia" w:ascii="宋体" w:hAnsi="宋体" w:cs="仿宋"/>
          <w:i w:val="0"/>
          <w:iCs w:val="0"/>
          <w:sz w:val="24"/>
        </w:rPr>
        <w:t>报价方式以蛋糕券上浮率的形式：即每张蛋糕券以300元为基准数报</w:t>
      </w:r>
      <w:bookmarkStart w:id="17" w:name="_Hlk37695359"/>
      <w:r>
        <w:rPr>
          <w:rFonts w:hint="eastAsia" w:ascii="宋体" w:hAnsi="宋体" w:cs="仿宋"/>
          <w:i w:val="0"/>
          <w:iCs w:val="0"/>
          <w:sz w:val="24"/>
        </w:rPr>
        <w:t>上浮率</w:t>
      </w:r>
      <w:bookmarkEnd w:id="17"/>
      <w:r>
        <w:rPr>
          <w:rFonts w:hint="eastAsia" w:ascii="宋体" w:hAnsi="宋体" w:cs="仿宋"/>
          <w:i w:val="0"/>
          <w:iCs w:val="0"/>
          <w:sz w:val="24"/>
        </w:rPr>
        <w:t>。</w:t>
      </w:r>
      <w:r>
        <w:rPr>
          <w:rFonts w:hint="eastAsia" w:ascii="宋体" w:hAnsi="宋体" w:cs="仿宋"/>
          <w:i w:val="0"/>
          <w:iCs w:val="0"/>
          <w:sz w:val="24"/>
          <w:lang w:eastAsia="zh-CN"/>
        </w:rPr>
        <w:t>采购人</w:t>
      </w:r>
      <w:r>
        <w:rPr>
          <w:rFonts w:hint="eastAsia" w:ascii="宋体" w:hAnsi="宋体" w:cs="仿宋"/>
          <w:i w:val="0"/>
          <w:iCs w:val="0"/>
          <w:sz w:val="24"/>
        </w:rPr>
        <w:t>实付300元/张，各</w:t>
      </w:r>
      <w:r>
        <w:rPr>
          <w:rFonts w:hint="eastAsia" w:ascii="宋体" w:hAnsi="宋体" w:cs="仿宋"/>
          <w:i w:val="0"/>
          <w:iCs w:val="0"/>
          <w:sz w:val="24"/>
          <w:lang w:eastAsia="zh-CN"/>
        </w:rPr>
        <w:t>投标人</w:t>
      </w:r>
      <w:r>
        <w:rPr>
          <w:rFonts w:hint="eastAsia" w:ascii="宋体" w:hAnsi="宋体" w:cs="仿宋"/>
          <w:i w:val="0"/>
          <w:iCs w:val="0"/>
          <w:sz w:val="24"/>
        </w:rPr>
        <w:t>报上浮率为</w:t>
      </w:r>
      <w:r>
        <w:rPr>
          <w:rFonts w:hint="eastAsia" w:ascii="宋体" w:hAnsi="宋体" w:cs="仿宋"/>
          <w:i w:val="0"/>
          <w:iCs w:val="0"/>
          <w:sz w:val="24"/>
          <w:lang w:eastAsia="zh-CN"/>
        </w:rPr>
        <w:t>采购人</w:t>
      </w:r>
      <w:r>
        <w:rPr>
          <w:rFonts w:hint="eastAsia" w:ascii="宋体" w:hAnsi="宋体" w:cs="仿宋"/>
          <w:i w:val="0"/>
          <w:iCs w:val="0"/>
          <w:sz w:val="24"/>
        </w:rPr>
        <w:t>最终每张蛋糕券实际可使用金额。</w:t>
      </w:r>
    </w:p>
    <w:p>
      <w:pPr>
        <w:spacing w:line="360" w:lineRule="auto"/>
        <w:rPr>
          <w:rFonts w:ascii="宋体" w:hAnsi="宋体" w:cs="仿宋"/>
          <w:b/>
          <w:i w:val="0"/>
          <w:iCs w:val="0"/>
          <w:sz w:val="24"/>
        </w:rPr>
      </w:pPr>
      <w:r>
        <w:rPr>
          <w:rFonts w:hint="eastAsia" w:ascii="宋体" w:hAnsi="宋体" w:cs="仿宋"/>
          <w:b/>
          <w:i w:val="0"/>
          <w:iCs w:val="0"/>
          <w:sz w:val="24"/>
        </w:rPr>
        <w:t>三、其他说明</w:t>
      </w:r>
    </w:p>
    <w:p>
      <w:pPr>
        <w:spacing w:line="360" w:lineRule="auto"/>
        <w:ind w:firstLine="480"/>
        <w:rPr>
          <w:rFonts w:hint="default" w:ascii="宋体" w:hAnsi="宋体" w:eastAsia="宋体" w:cs="仿宋"/>
          <w:i w:val="0"/>
          <w:iCs w:val="0"/>
          <w:sz w:val="24"/>
          <w:lang w:val="en-US" w:eastAsia="zh-CN"/>
        </w:rPr>
      </w:pPr>
      <w:r>
        <w:rPr>
          <w:rFonts w:hint="eastAsia" w:ascii="宋体" w:hAnsi="宋体"/>
          <w:i w:val="0"/>
          <w:iCs w:val="0"/>
          <w:color w:val="000000"/>
          <w:sz w:val="24"/>
        </w:rPr>
        <w:t>▲</w:t>
      </w:r>
      <w:r>
        <w:rPr>
          <w:rFonts w:hint="eastAsia" w:ascii="宋体" w:hAnsi="宋体" w:cs="仿宋"/>
          <w:i w:val="0"/>
          <w:iCs w:val="0"/>
          <w:sz w:val="24"/>
        </w:rPr>
        <w:t>服务期：</w:t>
      </w:r>
      <w:r>
        <w:rPr>
          <w:rFonts w:hint="eastAsia" w:ascii="宋体" w:hAnsi="宋体" w:cs="仿宋"/>
          <w:i w:val="0"/>
          <w:iCs w:val="0"/>
          <w:sz w:val="24"/>
          <w:lang w:val="en-US" w:eastAsia="zh-CN"/>
        </w:rPr>
        <w:t>2023年度。</w:t>
      </w:r>
    </w:p>
    <w:p>
      <w:pPr>
        <w:spacing w:line="360" w:lineRule="auto"/>
        <w:ind w:firstLine="480"/>
        <w:rPr>
          <w:rFonts w:hint="eastAsia" w:ascii="宋体" w:hAnsi="宋体" w:cs="仿宋"/>
          <w:i w:val="0"/>
          <w:iCs w:val="0"/>
          <w:sz w:val="24"/>
        </w:rPr>
      </w:pPr>
      <w:r>
        <w:rPr>
          <w:rFonts w:hint="eastAsia" w:ascii="宋体" w:hAnsi="宋体" w:cs="仿宋"/>
          <w:i w:val="0"/>
          <w:iCs w:val="0"/>
          <w:sz w:val="24"/>
        </w:rPr>
        <w:t>合同履行完毕后，在未找到接替</w:t>
      </w:r>
      <w:r>
        <w:rPr>
          <w:rFonts w:hint="eastAsia" w:ascii="宋体" w:hAnsi="宋体" w:cs="仿宋"/>
          <w:i w:val="0"/>
          <w:iCs w:val="0"/>
          <w:sz w:val="24"/>
          <w:lang w:val="en-US" w:eastAsia="zh-CN"/>
        </w:rPr>
        <w:t>中标人</w:t>
      </w:r>
      <w:r>
        <w:rPr>
          <w:rFonts w:hint="eastAsia" w:ascii="宋体" w:hAnsi="宋体" w:cs="仿宋"/>
          <w:i w:val="0"/>
          <w:iCs w:val="0"/>
          <w:sz w:val="24"/>
        </w:rPr>
        <w:t>前，</w:t>
      </w:r>
      <w:r>
        <w:rPr>
          <w:rFonts w:hint="eastAsia" w:ascii="宋体" w:hAnsi="宋体" w:cs="仿宋"/>
          <w:i w:val="0"/>
          <w:iCs w:val="0"/>
          <w:sz w:val="24"/>
          <w:lang w:val="en-US" w:eastAsia="zh-CN"/>
        </w:rPr>
        <w:t>中标人</w:t>
      </w:r>
      <w:r>
        <w:rPr>
          <w:rFonts w:hint="eastAsia" w:ascii="宋体" w:hAnsi="宋体" w:cs="仿宋"/>
          <w:i w:val="0"/>
          <w:iCs w:val="0"/>
          <w:sz w:val="24"/>
        </w:rPr>
        <w:t>应延续1-2个月的服务，费用按原合同签订的费用标准支付。</w:t>
      </w:r>
    </w:p>
    <w:p>
      <w:pPr>
        <w:spacing w:line="360" w:lineRule="auto"/>
        <w:ind w:firstLine="480"/>
        <w:rPr>
          <w:rFonts w:hint="eastAsia" w:ascii="宋体" w:hAnsi="宋体" w:cs="仿宋"/>
          <w:i w:val="0"/>
          <w:iCs w:val="0"/>
          <w:sz w:val="24"/>
          <w:lang w:eastAsia="zh-CN"/>
        </w:rPr>
      </w:pPr>
      <w:r>
        <w:rPr>
          <w:rFonts w:hint="eastAsia" w:ascii="宋体" w:hAnsi="宋体"/>
          <w:i w:val="0"/>
          <w:iCs w:val="0"/>
          <w:color w:val="000000"/>
          <w:sz w:val="24"/>
        </w:rPr>
        <w:t>▲</w:t>
      </w:r>
      <w:r>
        <w:rPr>
          <w:rFonts w:hint="eastAsia" w:ascii="宋体" w:hAnsi="宋体" w:cs="仿宋"/>
          <w:i w:val="0"/>
          <w:iCs w:val="0"/>
          <w:sz w:val="24"/>
        </w:rPr>
        <w:t>付款方式：根据采购人要求每月提供数量，按季度支付</w:t>
      </w:r>
      <w:r>
        <w:rPr>
          <w:rFonts w:hint="eastAsia" w:ascii="宋体" w:hAnsi="宋体" w:cs="仿宋"/>
          <w:i w:val="0"/>
          <w:iCs w:val="0"/>
          <w:sz w:val="24"/>
          <w:lang w:eastAsia="zh-CN"/>
        </w:rPr>
        <w:t>。</w:t>
      </w:r>
    </w:p>
    <w:p>
      <w:pPr>
        <w:pStyle w:val="2"/>
        <w:ind w:firstLine="480" w:firstLineChars="200"/>
        <w:rPr>
          <w:rFonts w:hint="eastAsia" w:ascii="宋体" w:hAnsi="宋体" w:cs="仿宋"/>
          <w:i w:val="0"/>
          <w:iCs w:val="0"/>
          <w:color w:val="auto"/>
          <w:sz w:val="24"/>
          <w:lang w:val="en-US" w:eastAsia="zh-CN"/>
        </w:rPr>
      </w:pPr>
      <w:r>
        <w:rPr>
          <w:rFonts w:hint="eastAsia" w:ascii="宋体" w:hAnsi="宋体"/>
          <w:i w:val="0"/>
          <w:iCs w:val="0"/>
          <w:color w:val="000000"/>
          <w:sz w:val="24"/>
        </w:rPr>
        <w:t>▲</w:t>
      </w:r>
      <w:r>
        <w:rPr>
          <w:rFonts w:hint="eastAsia" w:ascii="宋体" w:hAnsi="宋体" w:cs="仿宋"/>
          <w:i w:val="0"/>
          <w:iCs w:val="0"/>
          <w:color w:val="auto"/>
          <w:sz w:val="24"/>
          <w:lang w:val="en-US" w:eastAsia="zh-CN"/>
        </w:rPr>
        <w:t>投标人必须具有自有品牌的实体门店。</w:t>
      </w:r>
    </w:p>
    <w:p>
      <w:pPr>
        <w:pStyle w:val="2"/>
        <w:ind w:firstLine="480" w:firstLineChars="200"/>
        <w:rPr>
          <w:rFonts w:hint="default" w:ascii="宋体" w:hAnsi="宋体" w:eastAsia="宋体" w:cs="Times New Roman"/>
          <w:snapToGrid/>
          <w:kern w:val="0"/>
          <w:sz w:val="24"/>
          <w:szCs w:val="24"/>
          <w:lang w:val="en-US" w:eastAsia="zh-CN" w:bidi="ar-SA"/>
        </w:rPr>
      </w:pPr>
      <w:r>
        <w:rPr>
          <w:rFonts w:hint="eastAsia" w:ascii="宋体" w:hAnsi="宋体" w:eastAsia="宋体" w:cs="Times New Roman"/>
          <w:snapToGrid/>
          <w:kern w:val="0"/>
          <w:sz w:val="24"/>
          <w:szCs w:val="24"/>
          <w:lang w:val="en-US" w:eastAsia="zh-CN" w:bidi="ar-SA"/>
        </w:rPr>
        <w:t>本项目最终由</w:t>
      </w:r>
      <w:r>
        <w:rPr>
          <w:rFonts w:hint="eastAsia" w:ascii="宋体" w:hAnsi="宋体" w:eastAsia="宋体" w:cs="Times New Roman"/>
          <w:snapToGrid/>
          <w:kern w:val="0"/>
          <w:sz w:val="24"/>
          <w:szCs w:val="24"/>
          <w:lang w:val="zh-CN" w:eastAsia="zh-CN" w:bidi="ar-SA"/>
        </w:rPr>
        <w:t>杭州市萧山区中医院工会委员会</w:t>
      </w:r>
      <w:r>
        <w:rPr>
          <w:rFonts w:hint="eastAsia" w:ascii="宋体" w:hAnsi="宋体" w:eastAsia="宋体" w:cs="Times New Roman"/>
          <w:snapToGrid/>
          <w:kern w:val="0"/>
          <w:sz w:val="24"/>
          <w:szCs w:val="24"/>
          <w:lang w:val="en-US" w:eastAsia="zh-CN" w:bidi="ar-SA"/>
        </w:rPr>
        <w:t>与中标单位签订合同，结算也由</w:t>
      </w:r>
      <w:r>
        <w:rPr>
          <w:rFonts w:hint="eastAsia" w:ascii="宋体" w:hAnsi="宋体" w:eastAsia="宋体" w:cs="Times New Roman"/>
          <w:snapToGrid/>
          <w:kern w:val="0"/>
          <w:sz w:val="24"/>
          <w:szCs w:val="24"/>
          <w:lang w:val="zh-CN" w:eastAsia="zh-CN" w:bidi="ar-SA"/>
        </w:rPr>
        <w:t>杭州市萧山区中医院工会委员会</w:t>
      </w:r>
      <w:r>
        <w:rPr>
          <w:rFonts w:hint="eastAsia" w:ascii="宋体" w:hAnsi="宋体" w:eastAsia="宋体" w:cs="Times New Roman"/>
          <w:snapToGrid/>
          <w:kern w:val="0"/>
          <w:sz w:val="24"/>
          <w:szCs w:val="24"/>
          <w:lang w:val="en-US" w:eastAsia="zh-CN" w:bidi="ar-SA"/>
        </w:rPr>
        <w:t>与中标单位进行结算，</w:t>
      </w:r>
      <w:r>
        <w:rPr>
          <w:rFonts w:hint="eastAsia" w:ascii="宋体" w:hAnsi="宋体" w:eastAsia="宋体" w:cs="Times New Roman"/>
          <w:snapToGrid/>
          <w:kern w:val="0"/>
          <w:sz w:val="24"/>
          <w:szCs w:val="24"/>
          <w:lang w:val="zh-CN" w:eastAsia="zh-CN" w:bidi="ar-SA"/>
        </w:rPr>
        <w:t>中标人</w:t>
      </w:r>
      <w:r>
        <w:rPr>
          <w:rFonts w:hint="eastAsia" w:hAnsi="宋体" w:cs="Times New Roman"/>
          <w:snapToGrid/>
          <w:kern w:val="0"/>
          <w:sz w:val="24"/>
          <w:szCs w:val="24"/>
          <w:lang w:val="en-US" w:eastAsia="zh-CN" w:bidi="ar-SA"/>
        </w:rPr>
        <w:t>须</w:t>
      </w:r>
      <w:r>
        <w:rPr>
          <w:rFonts w:hint="eastAsia" w:ascii="宋体" w:hAnsi="宋体" w:eastAsia="宋体" w:cs="Times New Roman"/>
          <w:snapToGrid/>
          <w:kern w:val="0"/>
          <w:sz w:val="24"/>
          <w:szCs w:val="24"/>
          <w:lang w:val="zh-CN" w:eastAsia="zh-CN" w:bidi="ar-SA"/>
        </w:rPr>
        <w:t>无条件配合。</w:t>
      </w:r>
    </w:p>
    <w:p>
      <w:pPr>
        <w:pStyle w:val="3"/>
        <w:rPr>
          <w:rFonts w:hint="eastAsia"/>
          <w:lang w:eastAsia="zh-CN"/>
        </w:rPr>
      </w:pPr>
    </w:p>
    <w:p>
      <w:pPr>
        <w:spacing w:line="360" w:lineRule="auto"/>
        <w:ind w:firstLine="480" w:firstLineChars="200"/>
        <w:rPr>
          <w:rFonts w:ascii="宋体" w:hAnsi="宋体"/>
          <w:sz w:val="24"/>
        </w:rPr>
      </w:pPr>
      <w:r>
        <w:rPr>
          <w:rFonts w:hint="eastAsia" w:ascii="宋体" w:hAnsi="宋体"/>
          <w:sz w:val="24"/>
        </w:rPr>
        <w:t>注：</w:t>
      </w:r>
    </w:p>
    <w:p>
      <w:pPr>
        <w:spacing w:line="360" w:lineRule="auto"/>
        <w:ind w:firstLine="482" w:firstLineChars="200"/>
        <w:rPr>
          <w:rFonts w:ascii="宋体" w:hAnsi="宋体"/>
          <w:b/>
          <w:sz w:val="24"/>
        </w:rPr>
      </w:pPr>
      <w:r>
        <w:rPr>
          <w:rFonts w:hint="eastAsia" w:ascii="宋体" w:hAnsi="宋体"/>
          <w:b/>
          <w:sz w:val="24"/>
        </w:rPr>
        <w:t>1.除交易文件标注的参考品牌外，欢迎其它能满足本项目技术需求且性能与所注品牌相当的产品参与。</w:t>
      </w:r>
    </w:p>
    <w:p>
      <w:pPr>
        <w:spacing w:line="360" w:lineRule="auto"/>
        <w:ind w:firstLine="480" w:firstLineChars="200"/>
        <w:rPr>
          <w:rFonts w:ascii="宋体" w:hAnsi="宋体"/>
          <w:sz w:val="24"/>
        </w:rPr>
      </w:pPr>
      <w:r>
        <w:rPr>
          <w:rFonts w:hint="eastAsia" w:ascii="宋体" w:hAnsi="宋体"/>
          <w:sz w:val="24"/>
        </w:rPr>
        <w:t>2.如有附图，仅作参考。</w:t>
      </w:r>
    </w:p>
    <w:p>
      <w:pPr>
        <w:spacing w:line="360" w:lineRule="auto"/>
        <w:ind w:firstLine="480" w:firstLineChars="200"/>
        <w:rPr>
          <w:rFonts w:ascii="宋体" w:hAnsi="宋体"/>
          <w:sz w:val="24"/>
        </w:rPr>
      </w:pPr>
      <w:r>
        <w:rPr>
          <w:rFonts w:hint="eastAsia" w:ascii="宋体" w:hAnsi="宋体"/>
          <w:sz w:val="24"/>
        </w:rPr>
        <w:t>3.交易文件中打▲内容为实质性要求，不允许有负偏离，否则将以涉及无效投标条款作无效投标。</w:t>
      </w:r>
    </w:p>
    <w:p>
      <w:pPr>
        <w:spacing w:line="360" w:lineRule="auto"/>
        <w:ind w:firstLine="480" w:firstLineChars="200"/>
        <w:rPr>
          <w:rFonts w:ascii="宋体" w:hAnsi="宋体"/>
          <w:sz w:val="24"/>
        </w:rPr>
      </w:pPr>
      <w:r>
        <w:rPr>
          <w:rFonts w:hint="eastAsia" w:ascii="宋体" w:hAnsi="宋体"/>
          <w:sz w:val="24"/>
        </w:rPr>
        <w:t>4、中标供应商所提供的货物、服务须与投标承诺一致，不得以次充好、偷工减料，若在项目验收中发现有上述情况，将向有关部门举报，根据相关规定进行处理。</w:t>
      </w:r>
    </w:p>
    <w:p>
      <w:pPr>
        <w:jc w:val="center"/>
        <w:rPr>
          <w:rFonts w:ascii="宋体" w:hAnsi="宋体" w:cs="宋体"/>
          <w:b/>
          <w:sz w:val="36"/>
          <w:szCs w:val="36"/>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jc w:val="center"/>
        <w:rPr>
          <w:rFonts w:ascii="宋体" w:hAnsi="宋体" w:cs="宋体"/>
          <w:bCs/>
          <w:sz w:val="24"/>
        </w:rPr>
      </w:pPr>
      <w:r>
        <w:rPr>
          <w:rFonts w:hint="eastAsia" w:ascii="宋体" w:hAnsi="宋体" w:cs="宋体"/>
          <w:b/>
          <w:sz w:val="36"/>
          <w:szCs w:val="36"/>
        </w:rPr>
        <w:t xml:space="preserve">第四部分   </w:t>
      </w:r>
      <w:bookmarkStart w:id="18" w:name="_Toc184312113"/>
      <w:bookmarkEnd w:id="18"/>
      <w:bookmarkStart w:id="19" w:name="_Toc184313243"/>
      <w:bookmarkEnd w:id="19"/>
      <w:bookmarkStart w:id="20" w:name="_Toc184310290"/>
      <w:bookmarkEnd w:id="20"/>
      <w:bookmarkStart w:id="21" w:name="_Toc184313256"/>
      <w:bookmarkEnd w:id="21"/>
      <w:bookmarkStart w:id="22" w:name="_Toc184312128"/>
      <w:bookmarkEnd w:id="22"/>
      <w:bookmarkStart w:id="23" w:name="_Toc184314476"/>
      <w:bookmarkEnd w:id="23"/>
      <w:bookmarkStart w:id="24" w:name="_Toc184308077"/>
      <w:bookmarkEnd w:id="24"/>
      <w:bookmarkStart w:id="25" w:name="_Toc184308048"/>
      <w:bookmarkEnd w:id="25"/>
      <w:bookmarkStart w:id="26" w:name="_Toc184312093"/>
      <w:bookmarkEnd w:id="26"/>
      <w:bookmarkStart w:id="27" w:name="_Toc184310335"/>
      <w:bookmarkEnd w:id="27"/>
      <w:bookmarkStart w:id="28" w:name="_Toc184308082"/>
      <w:bookmarkEnd w:id="28"/>
      <w:bookmarkStart w:id="29" w:name="_Toc184312083"/>
      <w:bookmarkEnd w:id="29"/>
      <w:bookmarkStart w:id="30" w:name="_Toc184308101"/>
      <w:bookmarkEnd w:id="30"/>
      <w:bookmarkStart w:id="31" w:name="_Toc184310303"/>
      <w:bookmarkEnd w:id="31"/>
      <w:bookmarkStart w:id="32" w:name="_Toc184310278"/>
      <w:bookmarkEnd w:id="32"/>
      <w:bookmarkStart w:id="33" w:name="_Toc184312138"/>
      <w:bookmarkEnd w:id="33"/>
      <w:bookmarkStart w:id="34" w:name="_Toc184310336"/>
      <w:bookmarkEnd w:id="34"/>
      <w:bookmarkStart w:id="35" w:name="_Toc184310298"/>
      <w:bookmarkEnd w:id="35"/>
      <w:bookmarkStart w:id="36" w:name="_Toc184308060"/>
      <w:bookmarkEnd w:id="36"/>
      <w:bookmarkStart w:id="37" w:name="_Toc184313257"/>
      <w:bookmarkEnd w:id="37"/>
      <w:bookmarkStart w:id="38" w:name="_Toc184310311"/>
      <w:bookmarkEnd w:id="38"/>
      <w:bookmarkStart w:id="39" w:name="_Toc184308053"/>
      <w:bookmarkEnd w:id="39"/>
      <w:bookmarkStart w:id="40" w:name="_Toc184314463"/>
      <w:bookmarkEnd w:id="40"/>
      <w:bookmarkStart w:id="41" w:name="_Toc184308104"/>
      <w:bookmarkEnd w:id="41"/>
      <w:bookmarkStart w:id="42" w:name="_Toc184314425"/>
      <w:bookmarkEnd w:id="42"/>
      <w:bookmarkStart w:id="43" w:name="_Toc184310296"/>
      <w:bookmarkEnd w:id="43"/>
      <w:bookmarkStart w:id="44" w:name="_Toc184314475"/>
      <w:bookmarkEnd w:id="44"/>
      <w:bookmarkStart w:id="45" w:name="_Toc184310320"/>
      <w:bookmarkEnd w:id="45"/>
      <w:bookmarkStart w:id="46" w:name="_Toc184313239"/>
      <w:bookmarkEnd w:id="46"/>
      <w:bookmarkStart w:id="47" w:name="_Toc184308044"/>
      <w:bookmarkEnd w:id="47"/>
      <w:bookmarkStart w:id="48" w:name="_Toc184308071"/>
      <w:bookmarkEnd w:id="48"/>
      <w:bookmarkStart w:id="49" w:name="_Toc184312134"/>
      <w:bookmarkEnd w:id="49"/>
      <w:bookmarkStart w:id="50" w:name="_Toc184312082"/>
      <w:bookmarkEnd w:id="50"/>
      <w:bookmarkStart w:id="51" w:name="_Toc184312107"/>
      <w:bookmarkEnd w:id="51"/>
      <w:bookmarkStart w:id="52" w:name="_Toc184310344"/>
      <w:bookmarkEnd w:id="52"/>
      <w:bookmarkStart w:id="53" w:name="_Toc184308069"/>
      <w:bookmarkEnd w:id="53"/>
      <w:bookmarkStart w:id="54" w:name="_Toc184314430"/>
      <w:bookmarkEnd w:id="54"/>
      <w:bookmarkStart w:id="55" w:name="_Toc184313290"/>
      <w:bookmarkEnd w:id="55"/>
      <w:bookmarkStart w:id="56" w:name="_Toc184314480"/>
      <w:bookmarkEnd w:id="56"/>
      <w:bookmarkStart w:id="57" w:name="_Toc184310334"/>
      <w:bookmarkEnd w:id="57"/>
      <w:bookmarkStart w:id="58" w:name="_Toc184313261"/>
      <w:bookmarkEnd w:id="58"/>
      <w:bookmarkStart w:id="59" w:name="_Toc184310273"/>
      <w:bookmarkEnd w:id="59"/>
      <w:bookmarkStart w:id="60" w:name="_Toc184310308"/>
      <w:bookmarkEnd w:id="60"/>
      <w:bookmarkStart w:id="61" w:name="_Toc184312136"/>
      <w:bookmarkEnd w:id="61"/>
      <w:bookmarkStart w:id="62" w:name="_Toc184310329"/>
      <w:bookmarkEnd w:id="62"/>
      <w:bookmarkStart w:id="63" w:name="_Toc184308087"/>
      <w:bookmarkEnd w:id="63"/>
      <w:bookmarkStart w:id="64" w:name="_Toc184314421"/>
      <w:bookmarkEnd w:id="64"/>
      <w:bookmarkStart w:id="65" w:name="_Toc184314434"/>
      <w:bookmarkEnd w:id="65"/>
      <w:bookmarkStart w:id="66" w:name="_Toc184310285"/>
      <w:bookmarkEnd w:id="66"/>
      <w:bookmarkStart w:id="67" w:name="_Toc184310275"/>
      <w:bookmarkEnd w:id="67"/>
      <w:bookmarkStart w:id="68" w:name="_Toc184308051"/>
      <w:bookmarkEnd w:id="68"/>
      <w:bookmarkStart w:id="69" w:name="_Toc184312095"/>
      <w:bookmarkEnd w:id="69"/>
      <w:bookmarkStart w:id="70" w:name="_Toc184312139"/>
      <w:bookmarkEnd w:id="70"/>
      <w:bookmarkStart w:id="71" w:name="_Toc184312125"/>
      <w:bookmarkEnd w:id="71"/>
      <w:bookmarkStart w:id="72" w:name="_Toc184314469"/>
      <w:bookmarkEnd w:id="72"/>
      <w:bookmarkStart w:id="73" w:name="_Toc184308103"/>
      <w:bookmarkEnd w:id="73"/>
      <w:bookmarkStart w:id="74" w:name="_Toc184312123"/>
      <w:bookmarkEnd w:id="74"/>
      <w:bookmarkStart w:id="75" w:name="_Toc184310272"/>
      <w:bookmarkEnd w:id="75"/>
      <w:bookmarkStart w:id="76" w:name="_Toc184313252"/>
      <w:bookmarkEnd w:id="76"/>
      <w:bookmarkStart w:id="77" w:name="_Toc184314462"/>
      <w:bookmarkEnd w:id="77"/>
      <w:bookmarkStart w:id="78" w:name="_Toc184312067"/>
      <w:bookmarkEnd w:id="78"/>
      <w:bookmarkStart w:id="79" w:name="_Toc184310297"/>
      <w:bookmarkEnd w:id="79"/>
      <w:bookmarkStart w:id="80" w:name="_Toc184312091"/>
      <w:bookmarkEnd w:id="80"/>
      <w:bookmarkStart w:id="81" w:name="_Toc184314435"/>
      <w:bookmarkEnd w:id="81"/>
      <w:bookmarkStart w:id="82" w:name="_Toc184314481"/>
      <w:bookmarkEnd w:id="82"/>
      <w:bookmarkStart w:id="83" w:name="_Toc184313263"/>
      <w:bookmarkEnd w:id="83"/>
      <w:bookmarkStart w:id="84" w:name="_Toc184308041"/>
      <w:bookmarkEnd w:id="84"/>
      <w:bookmarkStart w:id="85" w:name="_Toc184313268"/>
      <w:bookmarkEnd w:id="85"/>
      <w:bookmarkStart w:id="86" w:name="_Toc184312098"/>
      <w:bookmarkEnd w:id="86"/>
      <w:bookmarkStart w:id="87" w:name="_Toc184308091"/>
      <w:bookmarkEnd w:id="87"/>
      <w:bookmarkStart w:id="88" w:name="_Toc184314441"/>
      <w:bookmarkEnd w:id="88"/>
      <w:bookmarkStart w:id="89" w:name="_Toc184314472"/>
      <w:bookmarkEnd w:id="89"/>
      <w:bookmarkStart w:id="90" w:name="_Toc184313249"/>
      <w:bookmarkEnd w:id="90"/>
      <w:bookmarkStart w:id="91" w:name="_Toc184313259"/>
      <w:bookmarkEnd w:id="91"/>
      <w:bookmarkStart w:id="92" w:name="_Toc184314459"/>
      <w:bookmarkEnd w:id="92"/>
      <w:bookmarkStart w:id="93" w:name="_Toc184312121"/>
      <w:bookmarkEnd w:id="93"/>
      <w:bookmarkStart w:id="94" w:name="_Toc184313285"/>
      <w:bookmarkEnd w:id="94"/>
      <w:bookmarkStart w:id="95" w:name="_Toc184310277"/>
      <w:bookmarkEnd w:id="95"/>
      <w:bookmarkStart w:id="96" w:name="_Toc184308052"/>
      <w:bookmarkEnd w:id="96"/>
      <w:bookmarkStart w:id="97" w:name="_Toc184314451"/>
      <w:bookmarkEnd w:id="97"/>
      <w:bookmarkStart w:id="98" w:name="_Toc184310339"/>
      <w:bookmarkEnd w:id="98"/>
      <w:bookmarkStart w:id="99" w:name="_Toc184314444"/>
      <w:bookmarkEnd w:id="99"/>
      <w:bookmarkStart w:id="100" w:name="_Toc184312069"/>
      <w:bookmarkEnd w:id="100"/>
      <w:bookmarkStart w:id="101" w:name="_Toc184312097"/>
      <w:bookmarkEnd w:id="101"/>
      <w:bookmarkStart w:id="102" w:name="_Toc184313247"/>
      <w:bookmarkEnd w:id="102"/>
      <w:bookmarkStart w:id="103" w:name="_Toc184314457"/>
      <w:bookmarkEnd w:id="103"/>
      <w:bookmarkStart w:id="104" w:name="_Toc184308092"/>
      <w:bookmarkEnd w:id="104"/>
      <w:bookmarkStart w:id="105" w:name="_Toc184310293"/>
      <w:bookmarkEnd w:id="105"/>
      <w:bookmarkStart w:id="106" w:name="_Toc184313286"/>
      <w:bookmarkEnd w:id="106"/>
      <w:bookmarkStart w:id="107" w:name="_Toc184312070"/>
      <w:bookmarkEnd w:id="107"/>
      <w:bookmarkStart w:id="108" w:name="_Toc184308080"/>
      <w:bookmarkEnd w:id="108"/>
      <w:bookmarkStart w:id="109" w:name="_Toc184314458"/>
      <w:bookmarkEnd w:id="109"/>
      <w:bookmarkStart w:id="110" w:name="_Toc184313274"/>
      <w:bookmarkEnd w:id="110"/>
      <w:bookmarkStart w:id="111" w:name="_Toc184308075"/>
      <w:bookmarkEnd w:id="111"/>
      <w:bookmarkStart w:id="112" w:name="_Toc184308100"/>
      <w:bookmarkEnd w:id="112"/>
      <w:bookmarkStart w:id="113" w:name="_Toc184314420"/>
      <w:bookmarkEnd w:id="113"/>
      <w:bookmarkStart w:id="114" w:name="_Toc184312072"/>
      <w:bookmarkEnd w:id="114"/>
      <w:bookmarkStart w:id="115" w:name="_Toc184314452"/>
      <w:bookmarkEnd w:id="115"/>
      <w:bookmarkStart w:id="116" w:name="_Toc184308054"/>
      <w:bookmarkEnd w:id="116"/>
      <w:bookmarkStart w:id="117" w:name="_Toc184308049"/>
      <w:bookmarkEnd w:id="117"/>
      <w:bookmarkStart w:id="118" w:name="_Toc184310280"/>
      <w:bookmarkEnd w:id="118"/>
      <w:bookmarkStart w:id="119" w:name="_Toc184313272"/>
      <w:bookmarkEnd w:id="119"/>
      <w:bookmarkStart w:id="120" w:name="_Toc184310312"/>
      <w:bookmarkEnd w:id="120"/>
      <w:bookmarkStart w:id="121" w:name="_Toc184313295"/>
      <w:bookmarkEnd w:id="121"/>
      <w:bookmarkStart w:id="122" w:name="_Toc184314479"/>
      <w:bookmarkEnd w:id="122"/>
      <w:bookmarkStart w:id="123" w:name="_Toc184312135"/>
      <w:bookmarkEnd w:id="123"/>
      <w:bookmarkStart w:id="124" w:name="_Toc184310291"/>
      <w:bookmarkEnd w:id="124"/>
      <w:bookmarkStart w:id="125" w:name="_Toc184312117"/>
      <w:bookmarkEnd w:id="125"/>
      <w:bookmarkStart w:id="126" w:name="_Toc184314422"/>
      <w:bookmarkEnd w:id="126"/>
      <w:bookmarkStart w:id="127" w:name="_Toc184312077"/>
      <w:bookmarkEnd w:id="127"/>
      <w:bookmarkStart w:id="128" w:name="_Toc184312089"/>
      <w:bookmarkEnd w:id="128"/>
      <w:bookmarkStart w:id="129" w:name="_Toc184308105"/>
      <w:bookmarkEnd w:id="129"/>
      <w:bookmarkStart w:id="130" w:name="_Toc184314464"/>
      <w:bookmarkEnd w:id="130"/>
      <w:bookmarkStart w:id="131" w:name="_Toc184314454"/>
      <w:bookmarkEnd w:id="131"/>
      <w:bookmarkStart w:id="132" w:name="_Toc184313305"/>
      <w:bookmarkEnd w:id="132"/>
      <w:bookmarkStart w:id="133" w:name="_Toc184312110"/>
      <w:bookmarkEnd w:id="133"/>
      <w:bookmarkStart w:id="134" w:name="_Toc184314455"/>
      <w:bookmarkEnd w:id="134"/>
      <w:bookmarkStart w:id="135" w:name="_Toc184310274"/>
      <w:bookmarkEnd w:id="135"/>
      <w:bookmarkStart w:id="136" w:name="_Toc184310327"/>
      <w:bookmarkEnd w:id="136"/>
      <w:bookmarkStart w:id="137" w:name="_Toc184314467"/>
      <w:bookmarkEnd w:id="137"/>
      <w:bookmarkStart w:id="138" w:name="_Toc184310302"/>
      <w:bookmarkEnd w:id="138"/>
      <w:bookmarkStart w:id="139" w:name="_Toc184312094"/>
      <w:bookmarkEnd w:id="139"/>
      <w:bookmarkStart w:id="140" w:name="_Toc184314448"/>
      <w:bookmarkEnd w:id="140"/>
      <w:bookmarkStart w:id="141" w:name="_Toc184314429"/>
      <w:bookmarkEnd w:id="141"/>
      <w:bookmarkStart w:id="142" w:name="_Toc184312084"/>
      <w:bookmarkEnd w:id="142"/>
      <w:bookmarkStart w:id="143" w:name="_Toc184310330"/>
      <w:bookmarkEnd w:id="143"/>
      <w:bookmarkStart w:id="144" w:name="_Toc184313244"/>
      <w:bookmarkEnd w:id="144"/>
      <w:bookmarkStart w:id="145" w:name="_Toc184310282"/>
      <w:bookmarkEnd w:id="145"/>
      <w:bookmarkStart w:id="146" w:name="_Toc184310324"/>
      <w:bookmarkEnd w:id="146"/>
      <w:bookmarkStart w:id="147" w:name="_Toc184308102"/>
      <w:bookmarkEnd w:id="147"/>
      <w:bookmarkStart w:id="148" w:name="_Toc184313297"/>
      <w:bookmarkEnd w:id="148"/>
      <w:bookmarkStart w:id="149" w:name="_Toc184313273"/>
      <w:bookmarkEnd w:id="149"/>
      <w:bookmarkStart w:id="150" w:name="_Toc184308042"/>
      <w:bookmarkEnd w:id="150"/>
      <w:bookmarkStart w:id="151" w:name="_Toc184312081"/>
      <w:bookmarkEnd w:id="151"/>
      <w:bookmarkStart w:id="152" w:name="_Toc184313291"/>
      <w:bookmarkEnd w:id="152"/>
      <w:bookmarkStart w:id="153" w:name="_Toc184314433"/>
      <w:bookmarkEnd w:id="153"/>
      <w:bookmarkStart w:id="154" w:name="_Toc184313303"/>
      <w:bookmarkEnd w:id="154"/>
      <w:bookmarkStart w:id="155" w:name="_Toc184308046"/>
      <w:bookmarkEnd w:id="155"/>
      <w:bookmarkStart w:id="156" w:name="_Toc184310343"/>
      <w:bookmarkEnd w:id="156"/>
      <w:bookmarkStart w:id="157" w:name="_Toc184313281"/>
      <w:bookmarkEnd w:id="157"/>
      <w:bookmarkStart w:id="158" w:name="_Toc184312073"/>
      <w:bookmarkEnd w:id="158"/>
      <w:bookmarkStart w:id="159" w:name="_Toc184314468"/>
      <w:bookmarkEnd w:id="159"/>
      <w:bookmarkStart w:id="160" w:name="_Toc184312074"/>
      <w:bookmarkEnd w:id="160"/>
      <w:bookmarkStart w:id="161" w:name="_Toc184313262"/>
      <w:bookmarkEnd w:id="161"/>
      <w:bookmarkStart w:id="162" w:name="_Toc184313306"/>
      <w:bookmarkEnd w:id="162"/>
      <w:bookmarkStart w:id="163" w:name="_Toc184312068"/>
      <w:bookmarkEnd w:id="163"/>
      <w:bookmarkStart w:id="164" w:name="_Toc184313264"/>
      <w:bookmarkEnd w:id="164"/>
      <w:bookmarkStart w:id="165" w:name="_Toc184314461"/>
      <w:bookmarkEnd w:id="165"/>
      <w:bookmarkStart w:id="166" w:name="_Toc184308039"/>
      <w:bookmarkEnd w:id="166"/>
      <w:bookmarkStart w:id="167" w:name="_Toc184312131"/>
      <w:bookmarkEnd w:id="167"/>
      <w:bookmarkStart w:id="168" w:name="_Toc184310318"/>
      <w:bookmarkEnd w:id="168"/>
      <w:bookmarkStart w:id="169" w:name="_Toc184314414"/>
      <w:bookmarkEnd w:id="169"/>
      <w:bookmarkStart w:id="170" w:name="_Toc184314474"/>
      <w:bookmarkEnd w:id="170"/>
      <w:bookmarkStart w:id="171" w:name="_Toc184314437"/>
      <w:bookmarkEnd w:id="171"/>
      <w:bookmarkStart w:id="172" w:name="_Toc184308078"/>
      <w:bookmarkEnd w:id="172"/>
      <w:bookmarkStart w:id="173" w:name="_Toc184310319"/>
      <w:bookmarkEnd w:id="173"/>
      <w:bookmarkStart w:id="174" w:name="_Toc184312108"/>
      <w:bookmarkEnd w:id="174"/>
      <w:bookmarkStart w:id="175" w:name="_Toc184314419"/>
      <w:bookmarkEnd w:id="175"/>
      <w:bookmarkStart w:id="176" w:name="_Toc184312130"/>
      <w:bookmarkEnd w:id="176"/>
      <w:bookmarkStart w:id="177" w:name="_Toc184313250"/>
      <w:bookmarkEnd w:id="177"/>
      <w:bookmarkStart w:id="178" w:name="_Toc184310333"/>
      <w:bookmarkEnd w:id="178"/>
      <w:bookmarkStart w:id="179" w:name="_Toc184308096"/>
      <w:bookmarkEnd w:id="179"/>
      <w:bookmarkStart w:id="180" w:name="_Toc184314471"/>
      <w:bookmarkEnd w:id="180"/>
      <w:bookmarkStart w:id="181" w:name="_Toc184312114"/>
      <w:bookmarkEnd w:id="181"/>
      <w:bookmarkStart w:id="182" w:name="_Toc184313271"/>
      <w:bookmarkEnd w:id="182"/>
      <w:bookmarkStart w:id="183" w:name="_Toc184314418"/>
      <w:bookmarkEnd w:id="183"/>
      <w:bookmarkStart w:id="184" w:name="_Toc184313292"/>
      <w:bookmarkEnd w:id="184"/>
      <w:bookmarkStart w:id="185" w:name="_Toc184312100"/>
      <w:bookmarkEnd w:id="185"/>
      <w:bookmarkStart w:id="186" w:name="_Toc184312132"/>
      <w:bookmarkEnd w:id="186"/>
      <w:bookmarkStart w:id="187" w:name="_Toc184308076"/>
      <w:bookmarkEnd w:id="187"/>
      <w:bookmarkStart w:id="188" w:name="_Toc184308074"/>
      <w:bookmarkEnd w:id="188"/>
      <w:bookmarkStart w:id="189" w:name="_Toc184314431"/>
      <w:bookmarkEnd w:id="189"/>
      <w:bookmarkStart w:id="190" w:name="_Toc184312116"/>
      <w:bookmarkEnd w:id="190"/>
      <w:bookmarkStart w:id="191" w:name="_Toc184314410"/>
      <w:bookmarkEnd w:id="191"/>
      <w:bookmarkStart w:id="192" w:name="_Toc184310276"/>
      <w:bookmarkEnd w:id="192"/>
      <w:bookmarkStart w:id="193" w:name="_Toc184314446"/>
      <w:bookmarkEnd w:id="193"/>
      <w:bookmarkStart w:id="194" w:name="_Toc184308095"/>
      <w:bookmarkEnd w:id="194"/>
      <w:bookmarkStart w:id="195" w:name="_Toc184308058"/>
      <w:bookmarkEnd w:id="195"/>
      <w:bookmarkStart w:id="196" w:name="_Toc184314439"/>
      <w:bookmarkEnd w:id="196"/>
      <w:bookmarkStart w:id="197" w:name="_Toc184310316"/>
      <w:bookmarkEnd w:id="197"/>
      <w:bookmarkStart w:id="198" w:name="_Toc184312103"/>
      <w:bookmarkEnd w:id="198"/>
      <w:bookmarkStart w:id="199" w:name="_Toc184308084"/>
      <w:bookmarkEnd w:id="199"/>
      <w:bookmarkStart w:id="200" w:name="_Toc184308062"/>
      <w:bookmarkEnd w:id="200"/>
      <w:bookmarkStart w:id="201" w:name="_Toc184313269"/>
      <w:bookmarkEnd w:id="201"/>
      <w:bookmarkStart w:id="202" w:name="_Toc184310307"/>
      <w:bookmarkEnd w:id="202"/>
      <w:bookmarkStart w:id="203" w:name="_Toc184314482"/>
      <w:bookmarkEnd w:id="203"/>
      <w:bookmarkStart w:id="204" w:name="_Toc184313254"/>
      <w:bookmarkEnd w:id="204"/>
      <w:bookmarkStart w:id="205" w:name="_Toc184308086"/>
      <w:bookmarkEnd w:id="205"/>
      <w:bookmarkStart w:id="206" w:name="_Toc184312086"/>
      <w:bookmarkEnd w:id="206"/>
      <w:bookmarkStart w:id="207" w:name="_Toc184312096"/>
      <w:bookmarkEnd w:id="207"/>
      <w:bookmarkStart w:id="208" w:name="_Toc184310305"/>
      <w:bookmarkEnd w:id="208"/>
      <w:bookmarkStart w:id="209" w:name="_Toc184313289"/>
      <w:bookmarkEnd w:id="209"/>
      <w:bookmarkStart w:id="210" w:name="_Toc184308056"/>
      <w:bookmarkEnd w:id="210"/>
      <w:bookmarkStart w:id="211" w:name="_Toc184310295"/>
      <w:bookmarkEnd w:id="211"/>
      <w:bookmarkStart w:id="212" w:name="_Toc184310306"/>
      <w:bookmarkEnd w:id="212"/>
      <w:bookmarkStart w:id="213" w:name="_Toc184313270"/>
      <w:bookmarkEnd w:id="213"/>
      <w:bookmarkStart w:id="214" w:name="_Toc184313253"/>
      <w:bookmarkEnd w:id="214"/>
      <w:bookmarkStart w:id="215" w:name="_Toc184308038"/>
      <w:bookmarkEnd w:id="215"/>
      <w:bookmarkStart w:id="216" w:name="_Toc184310317"/>
      <w:bookmarkEnd w:id="216"/>
      <w:bookmarkStart w:id="217" w:name="_Toc184312087"/>
      <w:bookmarkEnd w:id="217"/>
      <w:bookmarkStart w:id="218" w:name="_Toc184308037"/>
      <w:bookmarkEnd w:id="218"/>
      <w:bookmarkStart w:id="219" w:name="_Toc184308057"/>
      <w:bookmarkEnd w:id="219"/>
      <w:bookmarkStart w:id="220" w:name="_Toc184308055"/>
      <w:bookmarkEnd w:id="220"/>
      <w:bookmarkStart w:id="221" w:name="_Toc184313299"/>
      <w:bookmarkEnd w:id="221"/>
      <w:bookmarkStart w:id="222" w:name="_Toc184312076"/>
      <w:bookmarkEnd w:id="222"/>
      <w:bookmarkStart w:id="223" w:name="_Toc184310340"/>
      <w:bookmarkEnd w:id="223"/>
      <w:bookmarkStart w:id="224" w:name="_Toc184312080"/>
      <w:bookmarkEnd w:id="224"/>
      <w:bookmarkStart w:id="225" w:name="_Toc184313279"/>
      <w:bookmarkEnd w:id="225"/>
      <w:bookmarkStart w:id="226" w:name="_Toc184310323"/>
      <w:bookmarkEnd w:id="226"/>
      <w:bookmarkStart w:id="227" w:name="_Toc184314426"/>
      <w:bookmarkEnd w:id="227"/>
      <w:bookmarkStart w:id="228" w:name="_Toc184310321"/>
      <w:bookmarkEnd w:id="228"/>
      <w:bookmarkStart w:id="229" w:name="_Toc184312088"/>
      <w:bookmarkEnd w:id="229"/>
      <w:bookmarkStart w:id="230" w:name="_Toc184308066"/>
      <w:bookmarkEnd w:id="230"/>
      <w:bookmarkStart w:id="231" w:name="_Toc184312115"/>
      <w:bookmarkEnd w:id="231"/>
      <w:bookmarkStart w:id="232" w:name="_Toc184314477"/>
      <w:bookmarkEnd w:id="232"/>
      <w:bookmarkStart w:id="233" w:name="_Toc184310283"/>
      <w:bookmarkEnd w:id="233"/>
      <w:bookmarkStart w:id="234" w:name="_Toc184310341"/>
      <w:bookmarkEnd w:id="234"/>
      <w:bookmarkStart w:id="235" w:name="_Toc184308081"/>
      <w:bookmarkEnd w:id="235"/>
      <w:bookmarkStart w:id="236" w:name="_Toc184308050"/>
      <w:bookmarkEnd w:id="236"/>
      <w:bookmarkStart w:id="237" w:name="_Toc184314445"/>
      <w:bookmarkEnd w:id="237"/>
      <w:bookmarkStart w:id="238" w:name="_Toc184310288"/>
      <w:bookmarkEnd w:id="238"/>
      <w:bookmarkStart w:id="239" w:name="_Toc184313280"/>
      <w:bookmarkEnd w:id="239"/>
      <w:bookmarkStart w:id="240" w:name="_Toc184310315"/>
      <w:bookmarkEnd w:id="240"/>
      <w:bookmarkStart w:id="241" w:name="_Toc184314478"/>
      <w:bookmarkEnd w:id="241"/>
      <w:bookmarkStart w:id="242" w:name="_Toc184312120"/>
      <w:bookmarkEnd w:id="242"/>
      <w:bookmarkStart w:id="243" w:name="_Toc184314470"/>
      <w:bookmarkEnd w:id="243"/>
      <w:bookmarkStart w:id="244" w:name="_Toc184308088"/>
      <w:bookmarkEnd w:id="244"/>
      <w:bookmarkStart w:id="245" w:name="_Toc184313275"/>
      <w:bookmarkEnd w:id="245"/>
      <w:bookmarkStart w:id="246" w:name="_Toc184310292"/>
      <w:bookmarkEnd w:id="246"/>
      <w:bookmarkStart w:id="247" w:name="_Toc184308063"/>
      <w:bookmarkEnd w:id="247"/>
      <w:bookmarkStart w:id="248" w:name="_Toc184310326"/>
      <w:bookmarkEnd w:id="248"/>
      <w:bookmarkStart w:id="249" w:name="_Toc184312104"/>
      <w:bookmarkEnd w:id="249"/>
      <w:bookmarkStart w:id="250" w:name="_Toc184312119"/>
      <w:bookmarkEnd w:id="250"/>
      <w:bookmarkStart w:id="251" w:name="_Toc184308099"/>
      <w:bookmarkEnd w:id="251"/>
      <w:bookmarkStart w:id="252" w:name="_Toc184313298"/>
      <w:bookmarkEnd w:id="252"/>
      <w:bookmarkStart w:id="253" w:name="_Toc184308093"/>
      <w:bookmarkEnd w:id="253"/>
      <w:bookmarkStart w:id="254" w:name="_Toc184313307"/>
      <w:bookmarkEnd w:id="254"/>
      <w:bookmarkStart w:id="255" w:name="_Toc184313238"/>
      <w:bookmarkEnd w:id="255"/>
      <w:bookmarkStart w:id="256" w:name="_Toc184308089"/>
      <w:bookmarkEnd w:id="256"/>
      <w:bookmarkStart w:id="257" w:name="_Toc184312106"/>
      <w:bookmarkEnd w:id="257"/>
      <w:bookmarkStart w:id="258" w:name="_Toc184314416"/>
      <w:bookmarkEnd w:id="258"/>
      <w:bookmarkStart w:id="259" w:name="_Toc184313267"/>
      <w:bookmarkEnd w:id="259"/>
      <w:bookmarkStart w:id="260" w:name="_Toc184310309"/>
      <w:bookmarkEnd w:id="260"/>
      <w:bookmarkStart w:id="261" w:name="_Toc184312127"/>
      <w:bookmarkEnd w:id="261"/>
      <w:bookmarkStart w:id="262" w:name="_Toc184308098"/>
      <w:bookmarkEnd w:id="262"/>
      <w:bookmarkStart w:id="263" w:name="_Toc184308064"/>
      <w:bookmarkEnd w:id="263"/>
      <w:bookmarkStart w:id="264" w:name="_Toc184313284"/>
      <w:bookmarkEnd w:id="264"/>
      <w:bookmarkStart w:id="265" w:name="_Toc184312071"/>
      <w:bookmarkEnd w:id="265"/>
      <w:bookmarkStart w:id="266" w:name="_Toc184313283"/>
      <w:bookmarkEnd w:id="266"/>
      <w:bookmarkStart w:id="267" w:name="_Toc184312112"/>
      <w:bookmarkEnd w:id="267"/>
      <w:bookmarkStart w:id="268" w:name="_Toc184310279"/>
      <w:bookmarkEnd w:id="268"/>
      <w:bookmarkStart w:id="269" w:name="_Toc184310314"/>
      <w:bookmarkEnd w:id="269"/>
      <w:bookmarkStart w:id="270" w:name="_Toc184310313"/>
      <w:bookmarkEnd w:id="270"/>
      <w:bookmarkStart w:id="271" w:name="_Toc184308106"/>
      <w:bookmarkEnd w:id="271"/>
      <w:bookmarkStart w:id="272" w:name="_Toc184313276"/>
      <w:bookmarkEnd w:id="272"/>
      <w:bookmarkStart w:id="273" w:name="_Toc184312109"/>
      <w:bookmarkEnd w:id="273"/>
      <w:bookmarkStart w:id="274" w:name="_Toc184310332"/>
      <w:bookmarkEnd w:id="274"/>
      <w:bookmarkStart w:id="275" w:name="_Toc184312102"/>
      <w:bookmarkEnd w:id="275"/>
      <w:bookmarkStart w:id="276" w:name="_Toc184310281"/>
      <w:bookmarkEnd w:id="276"/>
      <w:bookmarkStart w:id="277" w:name="_Toc184310322"/>
      <w:bookmarkEnd w:id="277"/>
      <w:bookmarkStart w:id="278" w:name="_Toc184310338"/>
      <w:bookmarkEnd w:id="278"/>
      <w:bookmarkStart w:id="279" w:name="_Toc184308097"/>
      <w:bookmarkEnd w:id="279"/>
      <w:bookmarkStart w:id="280" w:name="_Toc184308040"/>
      <w:bookmarkEnd w:id="280"/>
      <w:bookmarkStart w:id="281" w:name="_Toc184312118"/>
      <w:bookmarkEnd w:id="281"/>
      <w:bookmarkStart w:id="282" w:name="_Toc184313241"/>
      <w:bookmarkEnd w:id="282"/>
      <w:bookmarkStart w:id="283" w:name="_Toc184313266"/>
      <w:bookmarkEnd w:id="283"/>
      <w:bookmarkStart w:id="284" w:name="_Toc184313245"/>
      <w:bookmarkEnd w:id="284"/>
      <w:bookmarkStart w:id="285" w:name="_Toc184313242"/>
      <w:bookmarkEnd w:id="285"/>
      <w:bookmarkStart w:id="286" w:name="_Toc184312124"/>
      <w:bookmarkEnd w:id="286"/>
      <w:bookmarkStart w:id="287" w:name="_Toc184308085"/>
      <w:bookmarkEnd w:id="287"/>
      <w:bookmarkStart w:id="288" w:name="_Toc184314412"/>
      <w:bookmarkEnd w:id="288"/>
      <w:bookmarkStart w:id="289" w:name="_Toc184314436"/>
      <w:bookmarkEnd w:id="289"/>
      <w:bookmarkStart w:id="290" w:name="_Toc184313301"/>
      <w:bookmarkEnd w:id="290"/>
      <w:bookmarkStart w:id="291" w:name="_Toc184314447"/>
      <w:bookmarkEnd w:id="291"/>
      <w:bookmarkStart w:id="292" w:name="_Toc184312075"/>
      <w:bookmarkEnd w:id="292"/>
      <w:bookmarkStart w:id="293" w:name="_Toc184312126"/>
      <w:bookmarkEnd w:id="293"/>
      <w:bookmarkStart w:id="294" w:name="_Toc184313260"/>
      <w:bookmarkEnd w:id="294"/>
      <w:bookmarkStart w:id="295" w:name="_Toc184313294"/>
      <w:bookmarkEnd w:id="295"/>
      <w:bookmarkStart w:id="296" w:name="_Toc184310294"/>
      <w:bookmarkEnd w:id="296"/>
      <w:bookmarkStart w:id="297" w:name="_Toc184312090"/>
      <w:bookmarkEnd w:id="297"/>
      <w:bookmarkStart w:id="298" w:name="_Toc184314460"/>
      <w:bookmarkEnd w:id="298"/>
      <w:bookmarkStart w:id="299" w:name="_Toc184308036"/>
      <w:bookmarkEnd w:id="299"/>
      <w:bookmarkStart w:id="300" w:name="_Toc184310286"/>
      <w:bookmarkEnd w:id="300"/>
      <w:bookmarkStart w:id="301" w:name="_Toc184314428"/>
      <w:bookmarkEnd w:id="301"/>
      <w:bookmarkStart w:id="302" w:name="_Toc184310328"/>
      <w:bookmarkEnd w:id="302"/>
      <w:bookmarkStart w:id="303" w:name="_Toc184313255"/>
      <w:bookmarkEnd w:id="303"/>
      <w:bookmarkStart w:id="304" w:name="_Toc184312092"/>
      <w:bookmarkEnd w:id="304"/>
      <w:bookmarkStart w:id="305" w:name="_Toc184313287"/>
      <w:bookmarkEnd w:id="305"/>
      <w:bookmarkStart w:id="306" w:name="_Toc184310301"/>
      <w:bookmarkEnd w:id="306"/>
      <w:bookmarkStart w:id="307" w:name="_Toc184312085"/>
      <w:bookmarkEnd w:id="307"/>
      <w:bookmarkStart w:id="308" w:name="_Toc184308083"/>
      <w:bookmarkEnd w:id="308"/>
      <w:bookmarkStart w:id="309" w:name="_Toc184310331"/>
      <w:bookmarkEnd w:id="309"/>
      <w:bookmarkStart w:id="310" w:name="_Toc184310325"/>
      <w:bookmarkEnd w:id="310"/>
      <w:bookmarkStart w:id="311" w:name="_Toc184308047"/>
      <w:bookmarkEnd w:id="311"/>
      <w:bookmarkStart w:id="312" w:name="_Toc184310287"/>
      <w:bookmarkEnd w:id="312"/>
      <w:bookmarkStart w:id="313" w:name="_Toc184308068"/>
      <w:bookmarkEnd w:id="313"/>
      <w:bookmarkStart w:id="314" w:name="_Toc184314423"/>
      <w:bookmarkEnd w:id="314"/>
      <w:bookmarkStart w:id="315" w:name="_Toc184308061"/>
      <w:bookmarkEnd w:id="315"/>
      <w:bookmarkStart w:id="316" w:name="_Toc184313288"/>
      <w:bookmarkEnd w:id="316"/>
      <w:bookmarkStart w:id="317" w:name="_Toc184313240"/>
      <w:bookmarkEnd w:id="317"/>
      <w:bookmarkStart w:id="318" w:name="_Toc184312079"/>
      <w:bookmarkEnd w:id="318"/>
      <w:bookmarkStart w:id="319" w:name="_Toc184314413"/>
      <w:bookmarkEnd w:id="319"/>
      <w:bookmarkStart w:id="320" w:name="_Toc184313308"/>
      <w:bookmarkEnd w:id="320"/>
      <w:bookmarkStart w:id="321" w:name="_Toc184308059"/>
      <w:bookmarkEnd w:id="321"/>
      <w:bookmarkStart w:id="322" w:name="_Toc184310337"/>
      <w:bookmarkEnd w:id="322"/>
      <w:bookmarkStart w:id="323" w:name="_Toc184314449"/>
      <w:bookmarkEnd w:id="323"/>
      <w:bookmarkStart w:id="324" w:name="_Toc184314424"/>
      <w:bookmarkEnd w:id="324"/>
      <w:bookmarkStart w:id="325" w:name="_Toc184314466"/>
      <w:bookmarkEnd w:id="325"/>
      <w:bookmarkStart w:id="326" w:name="_Toc184312137"/>
      <w:bookmarkEnd w:id="326"/>
      <w:bookmarkStart w:id="327" w:name="_Toc184314415"/>
      <w:bookmarkEnd w:id="327"/>
      <w:bookmarkStart w:id="328" w:name="_Toc184308072"/>
      <w:bookmarkEnd w:id="328"/>
      <w:bookmarkStart w:id="329" w:name="_Toc184308090"/>
      <w:bookmarkEnd w:id="329"/>
      <w:bookmarkStart w:id="330" w:name="_Toc184314417"/>
      <w:bookmarkEnd w:id="330"/>
      <w:bookmarkStart w:id="331" w:name="_Toc184313258"/>
      <w:bookmarkEnd w:id="331"/>
      <w:bookmarkStart w:id="332" w:name="_Toc184313300"/>
      <w:bookmarkEnd w:id="332"/>
      <w:bookmarkStart w:id="333" w:name="_Toc184313304"/>
      <w:bookmarkEnd w:id="333"/>
      <w:bookmarkStart w:id="334" w:name="_Toc184313310"/>
      <w:bookmarkEnd w:id="334"/>
      <w:bookmarkStart w:id="335" w:name="_Toc184312133"/>
      <w:bookmarkEnd w:id="335"/>
      <w:bookmarkStart w:id="336" w:name="_Toc184314438"/>
      <w:bookmarkEnd w:id="336"/>
      <w:bookmarkStart w:id="337" w:name="_Toc184312078"/>
      <w:bookmarkEnd w:id="337"/>
      <w:bookmarkStart w:id="338" w:name="_Toc184312111"/>
      <w:bookmarkEnd w:id="338"/>
      <w:bookmarkStart w:id="339" w:name="_Toc184313277"/>
      <w:bookmarkEnd w:id="339"/>
      <w:bookmarkStart w:id="340" w:name="_Toc184314411"/>
      <w:bookmarkEnd w:id="340"/>
      <w:bookmarkStart w:id="341" w:name="_Toc184310284"/>
      <w:bookmarkEnd w:id="341"/>
      <w:bookmarkStart w:id="342" w:name="_Toc184314432"/>
      <w:bookmarkEnd w:id="342"/>
      <w:bookmarkStart w:id="343" w:name="_Toc184308065"/>
      <w:bookmarkEnd w:id="343"/>
      <w:bookmarkStart w:id="344" w:name="_Toc184308045"/>
      <w:bookmarkEnd w:id="344"/>
      <w:bookmarkStart w:id="345" w:name="_Toc184314427"/>
      <w:bookmarkEnd w:id="345"/>
      <w:bookmarkStart w:id="346" w:name="_Toc184314456"/>
      <w:bookmarkEnd w:id="346"/>
      <w:bookmarkStart w:id="347" w:name="_Toc184310300"/>
      <w:bookmarkEnd w:id="347"/>
      <w:bookmarkStart w:id="348" w:name="_Toc184308107"/>
      <w:bookmarkEnd w:id="348"/>
      <w:bookmarkStart w:id="349" w:name="_Toc184313309"/>
      <w:bookmarkEnd w:id="349"/>
      <w:bookmarkStart w:id="350" w:name="_Toc184313302"/>
      <w:bookmarkEnd w:id="350"/>
      <w:bookmarkStart w:id="351" w:name="_Toc184313251"/>
      <w:bookmarkEnd w:id="351"/>
      <w:bookmarkStart w:id="352" w:name="_Toc184310299"/>
      <w:bookmarkEnd w:id="352"/>
      <w:bookmarkStart w:id="353" w:name="_Toc184310304"/>
      <w:bookmarkEnd w:id="353"/>
      <w:bookmarkStart w:id="354" w:name="_Toc184314453"/>
      <w:bookmarkEnd w:id="354"/>
      <w:bookmarkStart w:id="355" w:name="_Toc184313278"/>
      <w:bookmarkEnd w:id="355"/>
      <w:bookmarkStart w:id="356" w:name="_Toc184308094"/>
      <w:bookmarkEnd w:id="356"/>
      <w:bookmarkStart w:id="357" w:name="_Toc184308079"/>
      <w:bookmarkEnd w:id="357"/>
      <w:bookmarkStart w:id="358" w:name="_Toc184308070"/>
      <w:bookmarkEnd w:id="358"/>
      <w:bookmarkStart w:id="359" w:name="_Toc184312101"/>
      <w:bookmarkEnd w:id="359"/>
      <w:bookmarkStart w:id="360" w:name="_Toc184312099"/>
      <w:bookmarkEnd w:id="360"/>
      <w:bookmarkStart w:id="361" w:name="_Toc184308043"/>
      <w:bookmarkEnd w:id="361"/>
      <w:bookmarkStart w:id="362" w:name="_Toc184313265"/>
      <w:bookmarkEnd w:id="362"/>
      <w:bookmarkStart w:id="363" w:name="_Toc184314465"/>
      <w:bookmarkEnd w:id="363"/>
      <w:bookmarkStart w:id="364" w:name="_Toc184313296"/>
      <w:bookmarkEnd w:id="364"/>
      <w:bookmarkStart w:id="365" w:name="_Toc184314443"/>
      <w:bookmarkEnd w:id="365"/>
      <w:bookmarkStart w:id="366" w:name="_Toc184312122"/>
      <w:bookmarkEnd w:id="366"/>
      <w:bookmarkStart w:id="367" w:name="_Toc184313248"/>
      <w:bookmarkEnd w:id="367"/>
      <w:bookmarkStart w:id="368" w:name="_Toc184308073"/>
      <w:bookmarkEnd w:id="368"/>
      <w:bookmarkStart w:id="369" w:name="_Toc184314442"/>
      <w:bookmarkEnd w:id="369"/>
      <w:bookmarkStart w:id="370" w:name="_Toc184310342"/>
      <w:bookmarkEnd w:id="370"/>
      <w:bookmarkStart w:id="371" w:name="_Toc184313293"/>
      <w:bookmarkEnd w:id="371"/>
      <w:bookmarkStart w:id="372" w:name="_Toc184314450"/>
      <w:bookmarkEnd w:id="372"/>
      <w:bookmarkStart w:id="373" w:name="_Toc184310310"/>
      <w:bookmarkEnd w:id="373"/>
      <w:bookmarkStart w:id="374" w:name="_Toc184314473"/>
      <w:bookmarkEnd w:id="374"/>
      <w:bookmarkStart w:id="375" w:name="_Toc184313282"/>
      <w:bookmarkEnd w:id="375"/>
      <w:bookmarkStart w:id="376" w:name="_Toc184312105"/>
      <w:bookmarkEnd w:id="376"/>
      <w:bookmarkStart w:id="377" w:name="_Toc184314440"/>
      <w:bookmarkEnd w:id="377"/>
      <w:bookmarkStart w:id="378" w:name="_Toc184312129"/>
      <w:bookmarkEnd w:id="378"/>
      <w:bookmarkStart w:id="379" w:name="_Toc184308067"/>
      <w:bookmarkEnd w:id="379"/>
      <w:bookmarkStart w:id="380" w:name="_Toc184310289"/>
      <w:bookmarkEnd w:id="380"/>
      <w:bookmarkStart w:id="381" w:name="_Toc184308108"/>
      <w:bookmarkEnd w:id="381"/>
      <w:bookmarkStart w:id="382" w:name="_Toc184313246"/>
      <w:bookmarkEnd w:id="38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widowControl/>
        <w:spacing w:line="360" w:lineRule="auto"/>
        <w:ind w:firstLine="480" w:firstLineChars="200"/>
        <w:rPr>
          <w:rFonts w:ascii="宋体" w:hAnsi="宋体" w:cs="仿宋"/>
          <w:sz w:val="24"/>
        </w:rPr>
      </w:pPr>
      <w:r>
        <w:rPr>
          <w:rFonts w:hint="eastAsia" w:ascii="宋体" w:hAnsi="宋体" w:cs="仿宋"/>
          <w:sz w:val="24"/>
        </w:rPr>
        <w:t>1、商务资信（</w:t>
      </w:r>
      <w:r>
        <w:rPr>
          <w:rFonts w:hint="eastAsia" w:ascii="宋体" w:hAnsi="宋体" w:cs="仿宋"/>
          <w:sz w:val="24"/>
          <w:lang w:val="en-US" w:eastAsia="zh-CN"/>
        </w:rPr>
        <w:t>8</w:t>
      </w:r>
      <w:r>
        <w:rPr>
          <w:rFonts w:hint="eastAsia" w:ascii="宋体" w:hAnsi="宋体" w:cs="仿宋"/>
          <w:sz w:val="24"/>
        </w:rPr>
        <w:t>分）</w:t>
      </w:r>
    </w:p>
    <w:tbl>
      <w:tblPr>
        <w:tblStyle w:val="63"/>
        <w:tblW w:w="9498" w:type="dxa"/>
        <w:tblInd w:w="-176" w:type="dxa"/>
        <w:tblLayout w:type="autofit"/>
        <w:tblCellMar>
          <w:top w:w="0" w:type="dxa"/>
          <w:left w:w="108" w:type="dxa"/>
          <w:bottom w:w="0" w:type="dxa"/>
          <w:right w:w="108" w:type="dxa"/>
        </w:tblCellMar>
      </w:tblPr>
      <w:tblGrid>
        <w:gridCol w:w="826"/>
        <w:gridCol w:w="579"/>
        <w:gridCol w:w="6109"/>
        <w:gridCol w:w="850"/>
        <w:gridCol w:w="1134"/>
      </w:tblGrid>
      <w:tr>
        <w:trPr>
          <w:trHeight w:val="702" w:hRule="atLeast"/>
        </w:trPr>
        <w:tc>
          <w:tcPr>
            <w:tcW w:w="82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序号</w:t>
            </w:r>
          </w:p>
        </w:tc>
        <w:tc>
          <w:tcPr>
            <w:tcW w:w="6688" w:type="dxa"/>
            <w:gridSpan w:val="2"/>
            <w:tcBorders>
              <w:top w:val="single" w:color="auto" w:sz="8"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评分内容和标准</w:t>
            </w:r>
          </w:p>
        </w:tc>
        <w:tc>
          <w:tcPr>
            <w:tcW w:w="850" w:type="dxa"/>
            <w:tcBorders>
              <w:top w:val="single" w:color="auto" w:sz="8"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权重</w:t>
            </w:r>
          </w:p>
        </w:tc>
        <w:tc>
          <w:tcPr>
            <w:tcW w:w="1134" w:type="dxa"/>
            <w:tcBorders>
              <w:top w:val="single" w:color="auto" w:sz="8" w:space="0"/>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打分</w:t>
            </w:r>
          </w:p>
          <w:p>
            <w:pPr>
              <w:widowControl/>
              <w:jc w:val="center"/>
              <w:rPr>
                <w:rFonts w:ascii="宋体" w:hAnsi="宋体"/>
                <w:kern w:val="0"/>
                <w:sz w:val="24"/>
              </w:rPr>
            </w:pPr>
            <w:r>
              <w:rPr>
                <w:rFonts w:hint="eastAsia" w:ascii="宋体" w:hAnsi="宋体"/>
                <w:kern w:val="0"/>
                <w:sz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6" w:type="dxa"/>
            <w:vMerge w:val="restart"/>
            <w:vAlign w:val="center"/>
          </w:tcPr>
          <w:p>
            <w:pPr>
              <w:pStyle w:val="25"/>
              <w:snapToGrid w:val="0"/>
              <w:spacing w:line="240" w:lineRule="atLeast"/>
              <w:ind w:firstLine="0" w:firstLineChars="0"/>
              <w:jc w:val="center"/>
              <w:rPr>
                <w:rFonts w:cs="仿宋_GB2312"/>
              </w:rPr>
            </w:pPr>
            <w:r>
              <w:rPr>
                <w:rFonts w:hint="eastAsia" w:cs="仿宋_GB2312"/>
              </w:rPr>
              <w:t>商务资信分</w:t>
            </w:r>
          </w:p>
          <w:p>
            <w:pPr>
              <w:pStyle w:val="25"/>
              <w:snapToGrid w:val="0"/>
              <w:spacing w:line="240" w:lineRule="atLeast"/>
              <w:ind w:firstLine="0" w:firstLineChars="0"/>
              <w:jc w:val="center"/>
              <w:rPr>
                <w:rFonts w:cs="宋体"/>
                <w:kern w:val="0"/>
              </w:rPr>
            </w:pPr>
            <w:r>
              <w:rPr>
                <w:rFonts w:hint="eastAsia" w:cs="仿宋_GB2312"/>
              </w:rPr>
              <w:t>（</w:t>
            </w:r>
            <w:r>
              <w:rPr>
                <w:rFonts w:hint="eastAsia" w:cs="仿宋_GB2312"/>
                <w:lang w:val="en-US" w:eastAsia="zh-CN"/>
              </w:rPr>
              <w:t>8</w:t>
            </w:r>
            <w:r>
              <w:rPr>
                <w:rFonts w:hint="eastAsia" w:cs="仿宋_GB2312"/>
              </w:rPr>
              <w:t>分）</w:t>
            </w:r>
          </w:p>
        </w:tc>
        <w:tc>
          <w:tcPr>
            <w:tcW w:w="579" w:type="dxa"/>
            <w:vAlign w:val="center"/>
          </w:tcPr>
          <w:p>
            <w:pPr>
              <w:snapToGrid w:val="0"/>
              <w:spacing w:line="240" w:lineRule="atLeast"/>
              <w:jc w:val="center"/>
              <w:rPr>
                <w:rFonts w:ascii="宋体" w:hAnsi="宋体"/>
                <w:kern w:val="0"/>
                <w:sz w:val="24"/>
              </w:rPr>
            </w:pPr>
            <w:r>
              <w:rPr>
                <w:rFonts w:hint="eastAsia" w:ascii="宋体" w:hAnsi="宋体"/>
                <w:kern w:val="0"/>
                <w:sz w:val="24"/>
              </w:rPr>
              <w:t>1</w:t>
            </w:r>
          </w:p>
        </w:tc>
        <w:tc>
          <w:tcPr>
            <w:tcW w:w="6109"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color w:val="000000" w:themeColor="text1"/>
                <w:sz w:val="24"/>
                <w:lang w:val="en-US" w:eastAsia="zh-CN"/>
                <w14:textFill>
                  <w14:solidFill>
                    <w14:schemeClr w14:val="tx1"/>
                  </w14:solidFill>
                </w14:textFill>
              </w:rPr>
              <w:t>投标人</w:t>
            </w:r>
            <w:r>
              <w:rPr>
                <w:rFonts w:hint="eastAsia" w:ascii="宋体" w:hAnsi="宋体"/>
                <w:color w:val="000000" w:themeColor="text1"/>
                <w:sz w:val="24"/>
                <w14:textFill>
                  <w14:solidFill>
                    <w14:schemeClr w14:val="tx1"/>
                  </w14:solidFill>
                </w14:textFill>
              </w:rPr>
              <w:t>近三年（20</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color w:val="000000" w:themeColor="text1"/>
                <w:sz w:val="24"/>
                <w14:textFill>
                  <w14:solidFill>
                    <w14:schemeClr w14:val="tx1"/>
                  </w14:solidFill>
                </w14:textFill>
              </w:rPr>
              <w:t>年1月以来）具有类似业绩（以合同为准，合同签署单位必须与</w:t>
            </w:r>
            <w:r>
              <w:rPr>
                <w:rFonts w:hint="eastAsia" w:ascii="宋体" w:hAnsi="宋体"/>
                <w:color w:val="000000" w:themeColor="text1"/>
                <w:sz w:val="24"/>
                <w:lang w:val="en-US" w:eastAsia="zh-CN"/>
                <w14:textFill>
                  <w14:solidFill>
                    <w14:schemeClr w14:val="tx1"/>
                  </w14:solidFill>
                </w14:textFill>
              </w:rPr>
              <w:t>投标人</w:t>
            </w:r>
            <w:r>
              <w:rPr>
                <w:rFonts w:hint="eastAsia" w:ascii="宋体" w:hAnsi="宋体"/>
                <w:color w:val="000000" w:themeColor="text1"/>
                <w:sz w:val="24"/>
                <w14:textFill>
                  <w14:solidFill>
                    <w14:schemeClr w14:val="tx1"/>
                  </w14:solidFill>
                </w14:textFill>
              </w:rPr>
              <w:t>名称一致），每提供一个得1分，最高3分。（提供合同的复印件并加盖供应商公章）</w:t>
            </w:r>
          </w:p>
        </w:tc>
        <w:tc>
          <w:tcPr>
            <w:tcW w:w="850" w:type="dxa"/>
            <w:vAlign w:val="center"/>
          </w:tcPr>
          <w:p>
            <w:pPr>
              <w:snapToGrid w:val="0"/>
              <w:spacing w:line="240" w:lineRule="atLeast"/>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3分</w:t>
            </w:r>
          </w:p>
        </w:tc>
        <w:tc>
          <w:tcPr>
            <w:tcW w:w="1134" w:type="dxa"/>
            <w:vAlign w:val="center"/>
          </w:tcPr>
          <w:p>
            <w:pPr>
              <w:snapToGrid w:val="0"/>
              <w:spacing w:line="240" w:lineRule="atLeast"/>
              <w:jc w:val="center"/>
              <w:rPr>
                <w:rFonts w:hint="eastAsia" w:ascii="宋体" w:hAnsi="宋体" w:eastAsia="宋体" w:cs="Times New Roman"/>
                <w:kern w:val="2"/>
                <w:sz w:val="24"/>
                <w:szCs w:val="24"/>
                <w:lang w:val="en-US" w:eastAsia="zh-CN" w:bidi="ar-SA"/>
              </w:rPr>
            </w:pPr>
            <w:r>
              <w:rPr>
                <w:rFonts w:hint="eastAsia" w:ascii="宋体" w:hAnsi="宋体"/>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6" w:type="dxa"/>
            <w:vMerge w:val="continue"/>
            <w:vAlign w:val="center"/>
          </w:tcPr>
          <w:p>
            <w:pPr>
              <w:pStyle w:val="25"/>
              <w:snapToGrid w:val="0"/>
              <w:spacing w:line="240" w:lineRule="atLeast"/>
              <w:ind w:firstLine="0" w:firstLineChars="0"/>
              <w:jc w:val="center"/>
              <w:rPr>
                <w:rFonts w:cs="仿宋_GB2312"/>
              </w:rPr>
            </w:pPr>
          </w:p>
        </w:tc>
        <w:tc>
          <w:tcPr>
            <w:tcW w:w="579" w:type="dxa"/>
            <w:vAlign w:val="center"/>
          </w:tcPr>
          <w:p>
            <w:pPr>
              <w:widowControl/>
              <w:snapToGrid w:val="0"/>
              <w:spacing w:line="240" w:lineRule="atLeast"/>
              <w:jc w:val="center"/>
              <w:rPr>
                <w:rFonts w:ascii="宋体" w:hAnsi="宋体"/>
                <w:kern w:val="0"/>
                <w:sz w:val="24"/>
              </w:rPr>
            </w:pPr>
            <w:r>
              <w:rPr>
                <w:rFonts w:hint="eastAsia" w:ascii="宋体" w:hAnsi="宋体"/>
                <w:kern w:val="0"/>
                <w:sz w:val="24"/>
              </w:rPr>
              <w:t>2</w:t>
            </w:r>
          </w:p>
        </w:tc>
        <w:tc>
          <w:tcPr>
            <w:tcW w:w="6109" w:type="dxa"/>
            <w:vAlign w:val="center"/>
          </w:tcPr>
          <w:p>
            <w:pPr>
              <w:widowControl/>
              <w:jc w:val="left"/>
              <w:rPr>
                <w:rFonts w:ascii="宋体" w:hAnsi="宋体" w:eastAsia="宋体" w:cs="Times New Roman"/>
                <w:kern w:val="0"/>
                <w:sz w:val="24"/>
                <w:szCs w:val="24"/>
                <w:lang w:val="en-US" w:eastAsia="zh-CN" w:bidi="ar-SA"/>
              </w:rPr>
            </w:pPr>
            <w:r>
              <w:rPr>
                <w:rFonts w:hint="eastAsia" w:ascii="宋体" w:hAnsi="宋体"/>
                <w:color w:val="000000" w:themeColor="text1"/>
                <w:sz w:val="24"/>
                <w:lang w:val="en-US" w:eastAsia="zh-CN"/>
                <w14:textFill>
                  <w14:solidFill>
                    <w14:schemeClr w14:val="tx1"/>
                  </w14:solidFill>
                </w14:textFill>
              </w:rPr>
              <w:t>直营</w:t>
            </w:r>
            <w:r>
              <w:rPr>
                <w:rFonts w:hint="eastAsia" w:ascii="宋体" w:hAnsi="宋体"/>
                <w:color w:val="000000" w:themeColor="text1"/>
                <w:sz w:val="24"/>
                <w14:textFill>
                  <w14:solidFill>
                    <w14:schemeClr w14:val="tx1"/>
                  </w14:solidFill>
                </w14:textFill>
              </w:rPr>
              <w:t>门店覆盖率：在</w:t>
            </w:r>
            <w:r>
              <w:rPr>
                <w:rFonts w:hint="eastAsia" w:ascii="宋体" w:hAnsi="宋体"/>
                <w:color w:val="000000" w:themeColor="text1"/>
                <w:sz w:val="24"/>
                <w:lang w:val="en-US" w:eastAsia="zh-CN"/>
                <w14:textFill>
                  <w14:solidFill>
                    <w14:schemeClr w14:val="tx1"/>
                  </w14:solidFill>
                </w14:textFill>
              </w:rPr>
              <w:t>萧山城区</w:t>
            </w:r>
            <w:r>
              <w:rPr>
                <w:rFonts w:hint="eastAsia" w:ascii="宋体" w:hAnsi="宋体"/>
                <w:color w:val="000000" w:themeColor="text1"/>
                <w:sz w:val="24"/>
                <w14:textFill>
                  <w14:solidFill>
                    <w14:schemeClr w14:val="tx1"/>
                  </w14:solidFill>
                </w14:textFill>
              </w:rPr>
              <w:t>内门店数量最多的得5分，根据门店数量依次得</w:t>
            </w:r>
            <w:r>
              <w:rPr>
                <w:rFonts w:hint="eastAsia" w:ascii="宋体" w:hAnsi="宋体"/>
                <w:color w:val="000000" w:themeColor="text1"/>
                <w:sz w:val="24"/>
                <w:lang w:val="en-US" w:eastAsia="zh-CN"/>
                <w14:textFill>
                  <w14:solidFill>
                    <w14:schemeClr w14:val="tx1"/>
                  </w14:solidFill>
                </w14:textFill>
              </w:rPr>
              <w:t>5分、</w:t>
            </w:r>
            <w:r>
              <w:rPr>
                <w:rFonts w:hint="eastAsia" w:ascii="宋体" w:hAnsi="宋体"/>
                <w:color w:val="000000" w:themeColor="text1"/>
                <w:sz w:val="24"/>
                <w14:textFill>
                  <w14:solidFill>
                    <w14:schemeClr w14:val="tx1"/>
                  </w14:solidFill>
                </w14:textFill>
              </w:rPr>
              <w:t>4分、3分、2分、1分。</w:t>
            </w:r>
          </w:p>
        </w:tc>
        <w:tc>
          <w:tcPr>
            <w:tcW w:w="850" w:type="dxa"/>
            <w:vAlign w:val="center"/>
          </w:tcPr>
          <w:p>
            <w:pPr>
              <w:snapToGrid w:val="0"/>
              <w:spacing w:line="240" w:lineRule="atLeast"/>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5分</w:t>
            </w:r>
          </w:p>
        </w:tc>
        <w:tc>
          <w:tcPr>
            <w:tcW w:w="1134" w:type="dxa"/>
            <w:vAlign w:val="center"/>
          </w:tcPr>
          <w:p>
            <w:pPr>
              <w:snapToGrid w:val="0"/>
              <w:spacing w:line="240" w:lineRule="atLeast"/>
              <w:jc w:val="center"/>
              <w:rPr>
                <w:rFonts w:ascii="宋体" w:hAnsi="宋体" w:eastAsia="宋体" w:cs="Times New Roman"/>
                <w:kern w:val="2"/>
                <w:sz w:val="24"/>
                <w:szCs w:val="24"/>
                <w:lang w:val="en-US" w:eastAsia="zh-CN" w:bidi="ar-SA"/>
              </w:rPr>
            </w:pPr>
            <w:r>
              <w:rPr>
                <w:rFonts w:hint="eastAsia" w:ascii="宋体" w:hAnsi="宋体"/>
                <w:sz w:val="24"/>
              </w:rPr>
              <w:t>客观分</w:t>
            </w:r>
          </w:p>
        </w:tc>
      </w:tr>
    </w:tbl>
    <w:p>
      <w:pPr>
        <w:widowControl/>
        <w:spacing w:line="360" w:lineRule="auto"/>
        <w:ind w:firstLine="480" w:firstLineChars="200"/>
        <w:rPr>
          <w:rFonts w:ascii="宋体" w:hAnsi="宋体" w:cs="仿宋"/>
          <w:sz w:val="24"/>
        </w:rPr>
      </w:pPr>
    </w:p>
    <w:p>
      <w:pPr>
        <w:widowControl/>
        <w:spacing w:line="360" w:lineRule="auto"/>
        <w:ind w:firstLine="480" w:firstLineChars="200"/>
        <w:rPr>
          <w:rFonts w:ascii="宋体" w:hAnsi="宋体" w:cs="仿宋_GB2312"/>
          <w:sz w:val="24"/>
        </w:rPr>
      </w:pPr>
      <w:r>
        <w:rPr>
          <w:rFonts w:hint="eastAsia" w:ascii="宋体" w:hAnsi="宋体" w:cs="仿宋"/>
          <w:sz w:val="24"/>
        </w:rPr>
        <w:t>2、</w:t>
      </w:r>
      <w:r>
        <w:rPr>
          <w:rFonts w:hint="eastAsia" w:ascii="宋体" w:hAnsi="宋体" w:cs="宋体"/>
          <w:sz w:val="24"/>
        </w:rPr>
        <w:t>技术和服务方案</w:t>
      </w:r>
      <w:r>
        <w:rPr>
          <w:rFonts w:hint="eastAsia" w:ascii="宋体" w:hAnsi="宋体" w:cs="仿宋"/>
          <w:sz w:val="24"/>
        </w:rPr>
        <w:t>（</w:t>
      </w:r>
      <w:r>
        <w:rPr>
          <w:rFonts w:hint="eastAsia" w:ascii="宋体" w:hAnsi="宋体" w:cs="仿宋"/>
          <w:sz w:val="24"/>
          <w:lang w:val="en-US" w:eastAsia="zh-CN"/>
        </w:rPr>
        <w:t>62</w:t>
      </w:r>
      <w:r>
        <w:rPr>
          <w:rFonts w:hint="eastAsia" w:ascii="宋体" w:hAnsi="宋体" w:cs="仿宋"/>
          <w:sz w:val="24"/>
        </w:rPr>
        <w:t>分）</w:t>
      </w:r>
    </w:p>
    <w:tbl>
      <w:tblPr>
        <w:tblStyle w:val="63"/>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450"/>
        <w:gridCol w:w="6459"/>
        <w:gridCol w:w="779"/>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36" w:type="dxa"/>
            <w:vAlign w:val="center"/>
          </w:tcPr>
          <w:p>
            <w:pPr>
              <w:widowControl/>
              <w:snapToGrid w:val="0"/>
              <w:spacing w:line="240" w:lineRule="atLeast"/>
              <w:jc w:val="center"/>
              <w:rPr>
                <w:rFonts w:ascii="宋体" w:hAnsi="宋体"/>
                <w:kern w:val="0"/>
                <w:sz w:val="24"/>
              </w:rPr>
            </w:pPr>
            <w:r>
              <w:rPr>
                <w:rFonts w:hint="eastAsia" w:ascii="宋体" w:hAnsi="宋体"/>
                <w:kern w:val="0"/>
                <w:sz w:val="24"/>
              </w:rPr>
              <w:t>序号</w:t>
            </w:r>
          </w:p>
        </w:tc>
        <w:tc>
          <w:tcPr>
            <w:tcW w:w="6909" w:type="dxa"/>
            <w:gridSpan w:val="2"/>
            <w:vAlign w:val="center"/>
          </w:tcPr>
          <w:p>
            <w:pPr>
              <w:widowControl/>
              <w:snapToGrid w:val="0"/>
              <w:spacing w:line="240" w:lineRule="atLeast"/>
              <w:jc w:val="center"/>
              <w:rPr>
                <w:rFonts w:ascii="宋体" w:hAnsi="宋体"/>
                <w:kern w:val="0"/>
                <w:sz w:val="24"/>
              </w:rPr>
            </w:pPr>
            <w:r>
              <w:rPr>
                <w:rFonts w:hint="eastAsia" w:ascii="宋体" w:hAnsi="宋体"/>
                <w:kern w:val="0"/>
                <w:sz w:val="24"/>
              </w:rPr>
              <w:t>评分内容和标准</w:t>
            </w:r>
          </w:p>
        </w:tc>
        <w:tc>
          <w:tcPr>
            <w:tcW w:w="779" w:type="dxa"/>
            <w:vAlign w:val="center"/>
          </w:tcPr>
          <w:p>
            <w:pPr>
              <w:widowControl/>
              <w:snapToGrid w:val="0"/>
              <w:spacing w:line="240" w:lineRule="atLeast"/>
              <w:jc w:val="center"/>
              <w:rPr>
                <w:rFonts w:ascii="宋体" w:hAnsi="宋体"/>
                <w:kern w:val="0"/>
                <w:sz w:val="24"/>
              </w:rPr>
            </w:pPr>
            <w:r>
              <w:rPr>
                <w:rFonts w:hint="eastAsia" w:ascii="宋体" w:hAnsi="宋体"/>
                <w:kern w:val="0"/>
                <w:sz w:val="24"/>
              </w:rPr>
              <w:t>权重</w:t>
            </w:r>
          </w:p>
        </w:tc>
        <w:tc>
          <w:tcPr>
            <w:tcW w:w="1010" w:type="dxa"/>
            <w:vAlign w:val="center"/>
          </w:tcPr>
          <w:p>
            <w:pPr>
              <w:widowControl/>
              <w:snapToGrid w:val="0"/>
              <w:spacing w:line="240" w:lineRule="atLeast"/>
              <w:jc w:val="center"/>
              <w:rPr>
                <w:rFonts w:ascii="宋体" w:hAnsi="宋体"/>
                <w:kern w:val="0"/>
                <w:sz w:val="24"/>
              </w:rPr>
            </w:pPr>
            <w:r>
              <w:rPr>
                <w:rFonts w:hint="eastAsia" w:ascii="宋体" w:hAnsi="宋体"/>
                <w:kern w:val="0"/>
                <w:sz w:val="24"/>
              </w:rPr>
              <w:t>打分</w:t>
            </w:r>
          </w:p>
          <w:p>
            <w:pPr>
              <w:widowControl/>
              <w:snapToGrid w:val="0"/>
              <w:spacing w:line="240" w:lineRule="atLeast"/>
              <w:jc w:val="center"/>
              <w:rPr>
                <w:rFonts w:ascii="宋体" w:hAnsi="宋体"/>
                <w:kern w:val="0"/>
                <w:sz w:val="24"/>
              </w:rPr>
            </w:pPr>
            <w:r>
              <w:rPr>
                <w:rFonts w:hint="eastAsia" w:ascii="宋体" w:hAnsi="宋体"/>
                <w:kern w:val="0"/>
                <w:sz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36" w:type="dxa"/>
            <w:vMerge w:val="restart"/>
            <w:vAlign w:val="center"/>
          </w:tcPr>
          <w:p>
            <w:pPr>
              <w:snapToGrid w:val="0"/>
              <w:spacing w:line="240" w:lineRule="atLeast"/>
              <w:jc w:val="center"/>
              <w:rPr>
                <w:rFonts w:ascii="宋体" w:hAnsi="宋体" w:cs="仿宋_GB2312"/>
                <w:sz w:val="24"/>
              </w:rPr>
            </w:pPr>
            <w:r>
              <w:rPr>
                <w:rFonts w:hint="eastAsia" w:ascii="宋体" w:hAnsi="宋体" w:cs="宋体"/>
                <w:sz w:val="24"/>
              </w:rPr>
              <w:t>技术和服务方案</w:t>
            </w:r>
            <w:r>
              <w:rPr>
                <w:rFonts w:hint="eastAsia" w:ascii="宋体" w:hAnsi="宋体" w:cs="仿宋_GB2312"/>
                <w:sz w:val="24"/>
              </w:rPr>
              <w:t>分（</w:t>
            </w:r>
            <w:r>
              <w:rPr>
                <w:rFonts w:hint="eastAsia" w:ascii="宋体" w:hAnsi="宋体" w:cs="仿宋_GB2312"/>
                <w:sz w:val="24"/>
                <w:lang w:val="en-US" w:eastAsia="zh-CN"/>
              </w:rPr>
              <w:t>62</w:t>
            </w:r>
            <w:r>
              <w:rPr>
                <w:rFonts w:hint="eastAsia" w:ascii="宋体" w:hAnsi="宋体" w:cs="仿宋_GB2312"/>
                <w:sz w:val="24"/>
              </w:rPr>
              <w:t>分）</w:t>
            </w:r>
          </w:p>
        </w:tc>
        <w:tc>
          <w:tcPr>
            <w:tcW w:w="450" w:type="dxa"/>
            <w:vAlign w:val="center"/>
          </w:tcPr>
          <w:p>
            <w:pPr>
              <w:snapToGrid w:val="0"/>
              <w:spacing w:line="240" w:lineRule="atLeast"/>
              <w:jc w:val="center"/>
              <w:rPr>
                <w:rFonts w:ascii="宋体" w:hAnsi="宋体"/>
                <w:kern w:val="0"/>
                <w:sz w:val="24"/>
              </w:rPr>
            </w:pPr>
            <w:r>
              <w:rPr>
                <w:rFonts w:hint="eastAsia" w:ascii="宋体" w:hAnsi="宋体"/>
                <w:kern w:val="0"/>
                <w:sz w:val="24"/>
              </w:rPr>
              <w:t>1</w:t>
            </w:r>
          </w:p>
        </w:tc>
        <w:tc>
          <w:tcPr>
            <w:tcW w:w="6459" w:type="dxa"/>
            <w:vAlign w:val="center"/>
          </w:tcPr>
          <w:p>
            <w:pPr>
              <w:widowControl/>
              <w:jc w:val="left"/>
              <w:rPr>
                <w:rFonts w:ascii="宋体" w:hAnsi="宋体"/>
                <w:kern w:val="0"/>
                <w:sz w:val="24"/>
              </w:rPr>
            </w:pPr>
            <w:r>
              <w:rPr>
                <w:rFonts w:hint="eastAsia" w:ascii="宋体" w:hAnsi="宋体"/>
                <w:color w:val="000000" w:themeColor="text1"/>
                <w:sz w:val="24"/>
                <w14:textFill>
                  <w14:solidFill>
                    <w14:schemeClr w14:val="tx1"/>
                  </w14:solidFill>
                </w14:textFill>
              </w:rPr>
              <w:t>蛋糕等食品的生产、加工、保鲜等工艺及质量保证措施情况详细、完整 、科学</w:t>
            </w:r>
            <w:r>
              <w:rPr>
                <w:rFonts w:hint="eastAsia" w:ascii="宋体" w:hAnsi="宋体"/>
                <w:color w:val="000000" w:themeColor="text1"/>
                <w:sz w:val="24"/>
                <w:lang w:val="en-US" w:eastAsia="zh-CN"/>
                <w14:textFill>
                  <w14:solidFill>
                    <w14:schemeClr w14:val="tx1"/>
                  </w14:solidFill>
                </w14:textFill>
              </w:rPr>
              <w:t>性综合评定</w:t>
            </w:r>
            <w:r>
              <w:rPr>
                <w:rFonts w:hint="eastAsia" w:ascii="宋体" w:hAnsi="宋体"/>
                <w:color w:val="000000" w:themeColor="text1"/>
                <w:sz w:val="24"/>
                <w14:textFill>
                  <w14:solidFill>
                    <w14:schemeClr w14:val="tx1"/>
                  </w14:solidFill>
                </w14:textFill>
              </w:rPr>
              <w:t>（完善的得4-6分，较完善的得2-</w:t>
            </w:r>
            <w:r>
              <w:rPr>
                <w:rFonts w:hint="eastAsia" w:ascii="宋体" w:hAnsi="宋体"/>
                <w:color w:val="000000" w:themeColor="text1"/>
                <w:sz w:val="24"/>
                <w:lang w:val="en-US" w:eastAsia="zh-CN"/>
                <w14:textFill>
                  <w14:solidFill>
                    <w14:schemeClr w14:val="tx1"/>
                  </w14:solidFill>
                </w14:textFill>
              </w:rPr>
              <w:t>3.9</w:t>
            </w:r>
            <w:r>
              <w:rPr>
                <w:rFonts w:hint="eastAsia" w:ascii="宋体" w:hAnsi="宋体"/>
                <w:color w:val="000000" w:themeColor="text1"/>
                <w:sz w:val="24"/>
                <w14:textFill>
                  <w14:solidFill>
                    <w14:schemeClr w14:val="tx1"/>
                  </w14:solidFill>
                </w14:textFill>
              </w:rPr>
              <w:t>分，不够完善的得</w:t>
            </w:r>
            <w:r>
              <w:rPr>
                <w:rFonts w:hint="eastAsia" w:ascii="宋体" w:hAnsi="宋体"/>
                <w:color w:val="000000" w:themeColor="text1"/>
                <w:sz w:val="24"/>
                <w:lang w:val="en-US" w:eastAsia="zh-CN"/>
                <w14:textFill>
                  <w14:solidFill>
                    <w14:schemeClr w14:val="tx1"/>
                  </w14:solidFill>
                </w14:textFill>
              </w:rPr>
              <w:t>0</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1.9</w:t>
            </w:r>
            <w:r>
              <w:rPr>
                <w:rFonts w:hint="eastAsia" w:ascii="宋体" w:hAnsi="宋体"/>
                <w:color w:val="000000" w:themeColor="text1"/>
                <w:sz w:val="24"/>
                <w14:textFill>
                  <w14:solidFill>
                    <w14:schemeClr w14:val="tx1"/>
                  </w14:solidFill>
                </w14:textFill>
              </w:rPr>
              <w:t>分。）</w:t>
            </w:r>
          </w:p>
        </w:tc>
        <w:tc>
          <w:tcPr>
            <w:tcW w:w="779" w:type="dxa"/>
            <w:vAlign w:val="center"/>
          </w:tcPr>
          <w:p>
            <w:pPr>
              <w:snapToGrid w:val="0"/>
              <w:spacing w:line="240" w:lineRule="atLeast"/>
              <w:jc w:val="center"/>
              <w:rPr>
                <w:rFonts w:ascii="宋体" w:hAnsi="宋体"/>
                <w:kern w:val="0"/>
                <w:sz w:val="24"/>
              </w:rPr>
            </w:pPr>
            <w:r>
              <w:rPr>
                <w:rFonts w:hint="eastAsia" w:ascii="宋体" w:hAnsi="宋体"/>
                <w:kern w:val="0"/>
                <w:sz w:val="24"/>
              </w:rPr>
              <w:t>6</w:t>
            </w:r>
            <w:r>
              <w:rPr>
                <w:rFonts w:hint="eastAsia" w:ascii="宋体" w:hAnsi="宋体"/>
                <w:sz w:val="24"/>
              </w:rPr>
              <w:t>分</w:t>
            </w:r>
          </w:p>
        </w:tc>
        <w:tc>
          <w:tcPr>
            <w:tcW w:w="1010" w:type="dxa"/>
            <w:vAlign w:val="center"/>
          </w:tcPr>
          <w:p>
            <w:pPr>
              <w:snapToGrid w:val="0"/>
              <w:spacing w:line="240" w:lineRule="atLeast"/>
              <w:jc w:val="center"/>
              <w:rPr>
                <w:rFonts w:ascii="宋体" w:hAnsi="宋体" w:cs="宋体"/>
                <w:kern w:val="0"/>
                <w:sz w:val="24"/>
              </w:rPr>
            </w:pPr>
            <w:r>
              <w:rPr>
                <w:rFonts w:hint="eastAsia" w:ascii="宋体" w:hAnsi="宋体" w:cs="宋体"/>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836" w:type="dxa"/>
            <w:vMerge w:val="continue"/>
          </w:tcPr>
          <w:p>
            <w:pPr>
              <w:snapToGrid w:val="0"/>
              <w:spacing w:line="240" w:lineRule="atLeast"/>
              <w:jc w:val="center"/>
              <w:rPr>
                <w:rFonts w:ascii="宋体" w:hAnsi="宋体" w:cs="仿宋"/>
                <w:sz w:val="24"/>
              </w:rPr>
            </w:pPr>
          </w:p>
        </w:tc>
        <w:tc>
          <w:tcPr>
            <w:tcW w:w="450" w:type="dxa"/>
            <w:vAlign w:val="center"/>
          </w:tcPr>
          <w:p>
            <w:pPr>
              <w:snapToGrid w:val="0"/>
              <w:spacing w:line="240" w:lineRule="atLeast"/>
              <w:jc w:val="center"/>
              <w:rPr>
                <w:rFonts w:ascii="宋体" w:hAnsi="宋体"/>
                <w:kern w:val="0"/>
                <w:sz w:val="24"/>
              </w:rPr>
            </w:pPr>
            <w:r>
              <w:rPr>
                <w:rFonts w:hint="eastAsia" w:ascii="宋体" w:hAnsi="宋体"/>
                <w:kern w:val="0"/>
                <w:sz w:val="24"/>
              </w:rPr>
              <w:t>2</w:t>
            </w:r>
          </w:p>
        </w:tc>
        <w:tc>
          <w:tcPr>
            <w:tcW w:w="6459" w:type="dxa"/>
            <w:vAlign w:val="center"/>
          </w:tcPr>
          <w:p>
            <w:pPr>
              <w:widowControl/>
              <w:numPr>
                <w:ilvl w:val="0"/>
                <w:numId w:val="1"/>
              </w:numPr>
              <w:rPr>
                <w:sz w:val="24"/>
              </w:rPr>
            </w:pPr>
            <w:r>
              <w:rPr>
                <w:rFonts w:hint="eastAsia"/>
                <w:sz w:val="24"/>
              </w:rPr>
              <w:t>承诺可以购买店内任意产品的得4</w:t>
            </w:r>
            <w:r>
              <w:rPr>
                <w:sz w:val="24"/>
              </w:rPr>
              <w:t>分</w:t>
            </w:r>
            <w:r>
              <w:rPr>
                <w:rFonts w:hint="eastAsia"/>
                <w:sz w:val="24"/>
              </w:rPr>
              <w:t>，只满足需求的得2分。</w:t>
            </w:r>
          </w:p>
          <w:p>
            <w:pPr>
              <w:widowControl/>
              <w:numPr>
                <w:ilvl w:val="0"/>
                <w:numId w:val="1"/>
              </w:numPr>
              <w:rPr>
                <w:sz w:val="24"/>
              </w:rPr>
            </w:pPr>
            <w:r>
              <w:rPr>
                <w:rFonts w:hint="eastAsia"/>
                <w:sz w:val="24"/>
              </w:rPr>
              <w:t>承诺按照行业标准提供最佳食用期商品的得4分，提供最后保质期商品的得2分。</w:t>
            </w:r>
          </w:p>
          <w:p>
            <w:pPr>
              <w:widowControl/>
              <w:numPr>
                <w:ilvl w:val="0"/>
                <w:numId w:val="1"/>
              </w:numPr>
              <w:rPr>
                <w:sz w:val="24"/>
              </w:rPr>
            </w:pPr>
            <w:r>
              <w:rPr>
                <w:rFonts w:hint="eastAsia"/>
                <w:sz w:val="24"/>
              </w:rPr>
              <w:t>承诺能够提供网上订购功能，满足电子会员服务的得1分，不承诺者不得分。</w:t>
            </w:r>
          </w:p>
          <w:p>
            <w:pPr>
              <w:widowControl/>
              <w:rPr>
                <w:sz w:val="24"/>
              </w:rPr>
            </w:pPr>
            <w:r>
              <w:rPr>
                <w:rFonts w:hint="eastAsia"/>
                <w:sz w:val="24"/>
              </w:rPr>
              <w:t>（4）能够提供食品安全承诺书的得2</w:t>
            </w:r>
            <w:r>
              <w:rPr>
                <w:sz w:val="24"/>
              </w:rPr>
              <w:t>分</w:t>
            </w:r>
            <w:r>
              <w:rPr>
                <w:rFonts w:hint="eastAsia"/>
                <w:sz w:val="24"/>
              </w:rPr>
              <w:t>，不承诺不得分。</w:t>
            </w:r>
          </w:p>
          <w:p>
            <w:pPr>
              <w:widowControl/>
              <w:jc w:val="left"/>
              <w:rPr>
                <w:rFonts w:ascii="宋体" w:hAnsi="宋体"/>
                <w:kern w:val="0"/>
                <w:sz w:val="24"/>
              </w:rPr>
            </w:pPr>
            <w:r>
              <w:rPr>
                <w:sz w:val="24"/>
              </w:rPr>
              <w:t>（</w:t>
            </w:r>
            <w:r>
              <w:rPr>
                <w:rFonts w:hint="eastAsia"/>
                <w:sz w:val="24"/>
              </w:rPr>
              <w:t>5</w:t>
            </w:r>
            <w:r>
              <w:rPr>
                <w:sz w:val="24"/>
              </w:rPr>
              <w:t>）</w:t>
            </w:r>
            <w:r>
              <w:rPr>
                <w:rFonts w:hint="eastAsia"/>
                <w:sz w:val="24"/>
              </w:rPr>
              <w:t>承诺提供送券上门服务者得1分，不承诺不得分。</w:t>
            </w:r>
          </w:p>
        </w:tc>
        <w:tc>
          <w:tcPr>
            <w:tcW w:w="779" w:type="dxa"/>
            <w:vAlign w:val="center"/>
          </w:tcPr>
          <w:p>
            <w:pPr>
              <w:snapToGrid w:val="0"/>
              <w:spacing w:line="240" w:lineRule="atLeast"/>
              <w:jc w:val="center"/>
              <w:rPr>
                <w:rFonts w:ascii="宋体" w:hAnsi="宋体"/>
                <w:kern w:val="0"/>
                <w:sz w:val="24"/>
              </w:rPr>
            </w:pPr>
            <w:r>
              <w:rPr>
                <w:rFonts w:hint="eastAsia" w:ascii="宋体" w:hAnsi="宋体"/>
                <w:kern w:val="0"/>
                <w:sz w:val="24"/>
                <w:lang w:val="en-US" w:eastAsia="zh-CN"/>
              </w:rPr>
              <w:t>12</w:t>
            </w:r>
            <w:r>
              <w:rPr>
                <w:rFonts w:hint="eastAsia" w:ascii="宋体" w:hAnsi="宋体"/>
                <w:sz w:val="24"/>
              </w:rPr>
              <w:t>分</w:t>
            </w:r>
          </w:p>
        </w:tc>
        <w:tc>
          <w:tcPr>
            <w:tcW w:w="1010" w:type="dxa"/>
            <w:vAlign w:val="center"/>
          </w:tcPr>
          <w:p>
            <w:pPr>
              <w:snapToGrid w:val="0"/>
              <w:spacing w:line="240" w:lineRule="atLeast"/>
              <w:jc w:val="center"/>
              <w:rPr>
                <w:rFonts w:ascii="宋体" w:hAnsi="宋体" w:cs="宋体"/>
                <w:kern w:val="0"/>
                <w:sz w:val="24"/>
              </w:rPr>
            </w:pPr>
            <w:r>
              <w:rPr>
                <w:rFonts w:hint="eastAsia" w:ascii="宋体" w:hAnsi="宋体" w:cs="宋体"/>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36" w:type="dxa"/>
            <w:vMerge w:val="continue"/>
          </w:tcPr>
          <w:p>
            <w:pPr>
              <w:snapToGrid w:val="0"/>
              <w:spacing w:line="240" w:lineRule="atLeast"/>
              <w:jc w:val="center"/>
              <w:rPr>
                <w:rFonts w:ascii="宋体" w:hAnsi="宋体" w:cs="仿宋"/>
                <w:sz w:val="24"/>
              </w:rPr>
            </w:pPr>
          </w:p>
        </w:tc>
        <w:tc>
          <w:tcPr>
            <w:tcW w:w="450" w:type="dxa"/>
            <w:vAlign w:val="center"/>
          </w:tcPr>
          <w:p>
            <w:pPr>
              <w:snapToGrid w:val="0"/>
              <w:spacing w:line="240" w:lineRule="atLeast"/>
              <w:jc w:val="center"/>
              <w:rPr>
                <w:rFonts w:ascii="宋体" w:hAnsi="宋体"/>
                <w:kern w:val="0"/>
                <w:sz w:val="24"/>
              </w:rPr>
            </w:pPr>
            <w:r>
              <w:rPr>
                <w:rFonts w:hint="eastAsia" w:ascii="宋体" w:hAnsi="宋体"/>
                <w:kern w:val="0"/>
                <w:sz w:val="24"/>
              </w:rPr>
              <w:t>3</w:t>
            </w:r>
          </w:p>
        </w:tc>
        <w:tc>
          <w:tcPr>
            <w:tcW w:w="6459" w:type="dxa"/>
            <w:vAlign w:val="center"/>
          </w:tcPr>
          <w:p>
            <w:pPr>
              <w:widowControl/>
              <w:jc w:val="left"/>
              <w:rPr>
                <w:rFonts w:ascii="宋体" w:hAnsi="宋体"/>
                <w:kern w:val="0"/>
                <w:sz w:val="24"/>
              </w:rPr>
            </w:pPr>
            <w:r>
              <w:rPr>
                <w:rFonts w:hint="eastAsia" w:ascii="宋体" w:hAnsi="宋体" w:cs="宋体"/>
                <w:color w:val="000000"/>
                <w:kern w:val="0"/>
                <w:sz w:val="24"/>
              </w:rPr>
              <w:t>保证进度和项目完成的方案和措施等综合评定</w:t>
            </w:r>
            <w:r>
              <w:rPr>
                <w:rFonts w:hint="eastAsia" w:ascii="宋体" w:hAnsi="宋体"/>
                <w:color w:val="000000" w:themeColor="text1"/>
                <w:sz w:val="24"/>
                <w14:textFill>
                  <w14:solidFill>
                    <w14:schemeClr w14:val="tx1"/>
                  </w14:solidFill>
                </w14:textFill>
              </w:rPr>
              <w:t>（完善的得</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分，较完善的得2-</w:t>
            </w:r>
            <w:r>
              <w:rPr>
                <w:rFonts w:hint="eastAsia" w:ascii="宋体" w:hAnsi="宋体"/>
                <w:color w:val="000000" w:themeColor="text1"/>
                <w:sz w:val="24"/>
                <w:lang w:val="en-US" w:eastAsia="zh-CN"/>
                <w14:textFill>
                  <w14:solidFill>
                    <w14:schemeClr w14:val="tx1"/>
                  </w14:solidFill>
                </w14:textFill>
              </w:rPr>
              <w:t>3.9</w:t>
            </w:r>
            <w:r>
              <w:rPr>
                <w:rFonts w:hint="eastAsia" w:ascii="宋体" w:hAnsi="宋体"/>
                <w:color w:val="000000" w:themeColor="text1"/>
                <w:sz w:val="24"/>
                <w14:textFill>
                  <w14:solidFill>
                    <w14:schemeClr w14:val="tx1"/>
                  </w14:solidFill>
                </w14:textFill>
              </w:rPr>
              <w:t>分，不够完善的得</w:t>
            </w:r>
            <w:r>
              <w:rPr>
                <w:rFonts w:hint="eastAsia" w:ascii="宋体" w:hAnsi="宋体"/>
                <w:color w:val="000000" w:themeColor="text1"/>
                <w:sz w:val="24"/>
                <w:lang w:val="en-US" w:eastAsia="zh-CN"/>
                <w14:textFill>
                  <w14:solidFill>
                    <w14:schemeClr w14:val="tx1"/>
                  </w14:solidFill>
                </w14:textFill>
              </w:rPr>
              <w:t>0-1.9</w:t>
            </w:r>
            <w:r>
              <w:rPr>
                <w:rFonts w:hint="eastAsia" w:ascii="宋体" w:hAnsi="宋体"/>
                <w:color w:val="000000" w:themeColor="text1"/>
                <w:sz w:val="24"/>
                <w14:textFill>
                  <w14:solidFill>
                    <w14:schemeClr w14:val="tx1"/>
                  </w14:solidFill>
                </w14:textFill>
              </w:rPr>
              <w:t>分。）</w:t>
            </w:r>
          </w:p>
        </w:tc>
        <w:tc>
          <w:tcPr>
            <w:tcW w:w="779" w:type="dxa"/>
            <w:vAlign w:val="center"/>
          </w:tcPr>
          <w:p>
            <w:pPr>
              <w:snapToGrid w:val="0"/>
              <w:spacing w:line="240" w:lineRule="atLeast"/>
              <w:jc w:val="center"/>
              <w:rPr>
                <w:rFonts w:ascii="宋体" w:hAnsi="宋体"/>
                <w:kern w:val="0"/>
                <w:sz w:val="24"/>
              </w:rPr>
            </w:pPr>
            <w:r>
              <w:rPr>
                <w:rFonts w:hint="eastAsia" w:ascii="宋体" w:hAnsi="宋体"/>
                <w:kern w:val="0"/>
                <w:sz w:val="24"/>
              </w:rPr>
              <w:t>6</w:t>
            </w:r>
            <w:r>
              <w:rPr>
                <w:rFonts w:hint="eastAsia" w:ascii="宋体" w:hAnsi="宋体"/>
                <w:sz w:val="24"/>
              </w:rPr>
              <w:t>分</w:t>
            </w:r>
          </w:p>
        </w:tc>
        <w:tc>
          <w:tcPr>
            <w:tcW w:w="1010" w:type="dxa"/>
            <w:vAlign w:val="center"/>
          </w:tcPr>
          <w:p>
            <w:pPr>
              <w:snapToGrid w:val="0"/>
              <w:spacing w:line="240" w:lineRule="atLeast"/>
              <w:jc w:val="center"/>
              <w:rPr>
                <w:rFonts w:ascii="宋体" w:hAnsi="宋体" w:cs="宋体"/>
                <w:kern w:val="0"/>
                <w:sz w:val="24"/>
              </w:rPr>
            </w:pPr>
            <w:r>
              <w:rPr>
                <w:rFonts w:hint="eastAsia" w:ascii="宋体" w:hAnsi="宋体" w:cs="宋体"/>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36" w:type="dxa"/>
            <w:vMerge w:val="continue"/>
          </w:tcPr>
          <w:p>
            <w:pPr>
              <w:snapToGrid w:val="0"/>
              <w:spacing w:line="240" w:lineRule="atLeast"/>
              <w:jc w:val="center"/>
              <w:rPr>
                <w:rFonts w:ascii="宋体" w:hAnsi="宋体" w:cs="仿宋"/>
                <w:sz w:val="24"/>
              </w:rPr>
            </w:pPr>
          </w:p>
        </w:tc>
        <w:tc>
          <w:tcPr>
            <w:tcW w:w="450" w:type="dxa"/>
            <w:vAlign w:val="center"/>
          </w:tcPr>
          <w:p>
            <w:pPr>
              <w:snapToGrid w:val="0"/>
              <w:spacing w:line="240" w:lineRule="atLeast"/>
              <w:jc w:val="center"/>
              <w:rPr>
                <w:rFonts w:ascii="宋体" w:hAnsi="宋体"/>
                <w:kern w:val="0"/>
                <w:sz w:val="24"/>
              </w:rPr>
            </w:pPr>
            <w:r>
              <w:rPr>
                <w:rFonts w:hint="eastAsia" w:ascii="宋体" w:hAnsi="宋体"/>
                <w:kern w:val="0"/>
                <w:sz w:val="24"/>
              </w:rPr>
              <w:t>4</w:t>
            </w:r>
          </w:p>
        </w:tc>
        <w:tc>
          <w:tcPr>
            <w:tcW w:w="6459" w:type="dxa"/>
            <w:vAlign w:val="center"/>
          </w:tcPr>
          <w:p>
            <w:pPr>
              <w:widowControl/>
              <w:jc w:val="left"/>
              <w:rPr>
                <w:rFonts w:ascii="宋体" w:hAnsi="宋体"/>
                <w:kern w:val="0"/>
                <w:sz w:val="24"/>
              </w:rPr>
            </w:pPr>
            <w:r>
              <w:rPr>
                <w:rFonts w:hint="eastAsia" w:ascii="宋体" w:hAnsi="宋体" w:cs="宋体"/>
                <w:color w:val="000000"/>
                <w:kern w:val="0"/>
                <w:sz w:val="24"/>
              </w:rPr>
              <w:t>项目负责人及技术力量安排等综合评定</w:t>
            </w:r>
            <w:r>
              <w:rPr>
                <w:rFonts w:hint="eastAsia" w:ascii="宋体" w:hAnsi="宋体"/>
                <w:color w:val="000000" w:themeColor="text1"/>
                <w:sz w:val="24"/>
                <w14:textFill>
                  <w14:solidFill>
                    <w14:schemeClr w14:val="tx1"/>
                  </w14:solidFill>
                </w14:textFill>
              </w:rPr>
              <w:t>（完善的得</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分，较完善的得2-</w:t>
            </w:r>
            <w:r>
              <w:rPr>
                <w:rFonts w:hint="eastAsia" w:ascii="宋体" w:hAnsi="宋体"/>
                <w:color w:val="000000" w:themeColor="text1"/>
                <w:sz w:val="24"/>
                <w:lang w:val="en-US" w:eastAsia="zh-CN"/>
                <w14:textFill>
                  <w14:solidFill>
                    <w14:schemeClr w14:val="tx1"/>
                  </w14:solidFill>
                </w14:textFill>
              </w:rPr>
              <w:t>3.9</w:t>
            </w:r>
            <w:r>
              <w:rPr>
                <w:rFonts w:hint="eastAsia" w:ascii="宋体" w:hAnsi="宋体"/>
                <w:color w:val="000000" w:themeColor="text1"/>
                <w:sz w:val="24"/>
                <w14:textFill>
                  <w14:solidFill>
                    <w14:schemeClr w14:val="tx1"/>
                  </w14:solidFill>
                </w14:textFill>
              </w:rPr>
              <w:t>分，不够完善的得</w:t>
            </w:r>
            <w:r>
              <w:rPr>
                <w:rFonts w:hint="eastAsia" w:ascii="宋体" w:hAnsi="宋体"/>
                <w:color w:val="000000" w:themeColor="text1"/>
                <w:sz w:val="24"/>
                <w:lang w:val="en-US" w:eastAsia="zh-CN"/>
                <w14:textFill>
                  <w14:solidFill>
                    <w14:schemeClr w14:val="tx1"/>
                  </w14:solidFill>
                </w14:textFill>
              </w:rPr>
              <w:t>0-1.9</w:t>
            </w:r>
            <w:r>
              <w:rPr>
                <w:rFonts w:hint="eastAsia" w:ascii="宋体" w:hAnsi="宋体"/>
                <w:color w:val="000000" w:themeColor="text1"/>
                <w:sz w:val="24"/>
                <w14:textFill>
                  <w14:solidFill>
                    <w14:schemeClr w14:val="tx1"/>
                  </w14:solidFill>
                </w14:textFill>
              </w:rPr>
              <w:t>分。）</w:t>
            </w:r>
          </w:p>
        </w:tc>
        <w:tc>
          <w:tcPr>
            <w:tcW w:w="779" w:type="dxa"/>
            <w:vAlign w:val="center"/>
          </w:tcPr>
          <w:p>
            <w:pPr>
              <w:snapToGrid w:val="0"/>
              <w:spacing w:line="240" w:lineRule="atLeast"/>
              <w:jc w:val="center"/>
              <w:rPr>
                <w:rFonts w:ascii="宋体" w:hAnsi="宋体"/>
                <w:kern w:val="0"/>
                <w:sz w:val="24"/>
              </w:rPr>
            </w:pPr>
            <w:r>
              <w:rPr>
                <w:rFonts w:hint="eastAsia" w:ascii="宋体" w:hAnsi="宋体"/>
                <w:kern w:val="0"/>
                <w:sz w:val="24"/>
              </w:rPr>
              <w:t>6</w:t>
            </w:r>
            <w:r>
              <w:rPr>
                <w:rFonts w:hint="eastAsia" w:ascii="宋体" w:hAnsi="宋体"/>
                <w:sz w:val="24"/>
              </w:rPr>
              <w:t>分</w:t>
            </w:r>
          </w:p>
        </w:tc>
        <w:tc>
          <w:tcPr>
            <w:tcW w:w="1010" w:type="dxa"/>
            <w:vAlign w:val="center"/>
          </w:tcPr>
          <w:p>
            <w:pPr>
              <w:snapToGrid w:val="0"/>
              <w:spacing w:line="240" w:lineRule="atLeast"/>
              <w:jc w:val="center"/>
              <w:rPr>
                <w:rFonts w:ascii="宋体" w:hAnsi="宋体" w:cs="宋体"/>
                <w:kern w:val="0"/>
                <w:sz w:val="24"/>
              </w:rPr>
            </w:pPr>
            <w:r>
              <w:rPr>
                <w:rFonts w:hint="eastAsia" w:ascii="宋体" w:hAnsi="宋体" w:cs="宋体"/>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36" w:type="dxa"/>
            <w:vMerge w:val="continue"/>
          </w:tcPr>
          <w:p>
            <w:pPr>
              <w:snapToGrid w:val="0"/>
              <w:spacing w:line="240" w:lineRule="atLeast"/>
              <w:jc w:val="center"/>
              <w:rPr>
                <w:rFonts w:ascii="宋体" w:hAnsi="宋体"/>
              </w:rPr>
            </w:pPr>
          </w:p>
        </w:tc>
        <w:tc>
          <w:tcPr>
            <w:tcW w:w="450" w:type="dxa"/>
            <w:vAlign w:val="center"/>
          </w:tcPr>
          <w:p>
            <w:pPr>
              <w:snapToGrid w:val="0"/>
              <w:spacing w:line="240" w:lineRule="atLeast"/>
              <w:jc w:val="center"/>
              <w:rPr>
                <w:rFonts w:ascii="宋体" w:hAnsi="宋体"/>
                <w:kern w:val="0"/>
                <w:sz w:val="24"/>
              </w:rPr>
            </w:pPr>
            <w:r>
              <w:rPr>
                <w:rFonts w:hint="eastAsia" w:ascii="宋体" w:hAnsi="宋体"/>
                <w:kern w:val="0"/>
                <w:sz w:val="24"/>
              </w:rPr>
              <w:t>5</w:t>
            </w:r>
          </w:p>
        </w:tc>
        <w:tc>
          <w:tcPr>
            <w:tcW w:w="6459" w:type="dxa"/>
            <w:vAlign w:val="center"/>
          </w:tcPr>
          <w:p>
            <w:pPr>
              <w:widowControl/>
              <w:jc w:val="left"/>
              <w:rPr>
                <w:rFonts w:ascii="宋体" w:hAnsi="宋体"/>
                <w:kern w:val="0"/>
                <w:sz w:val="24"/>
              </w:rPr>
            </w:pPr>
            <w:r>
              <w:rPr>
                <w:rFonts w:hint="eastAsia" w:ascii="宋体" w:hAnsi="宋体" w:cs="宋体"/>
                <w:color w:val="000000"/>
                <w:kern w:val="0"/>
                <w:sz w:val="24"/>
              </w:rPr>
              <w:t>对本项目的合理化建议综合评定</w:t>
            </w:r>
            <w:r>
              <w:rPr>
                <w:rFonts w:hint="eastAsia" w:ascii="宋体" w:hAnsi="宋体"/>
                <w:color w:val="000000" w:themeColor="text1"/>
                <w:sz w:val="24"/>
                <w14:textFill>
                  <w14:solidFill>
                    <w14:schemeClr w14:val="tx1"/>
                  </w14:solidFill>
                </w14:textFill>
              </w:rPr>
              <w:t>（完善的得</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分，较完善的得2-</w:t>
            </w:r>
            <w:r>
              <w:rPr>
                <w:rFonts w:hint="eastAsia" w:ascii="宋体" w:hAnsi="宋体"/>
                <w:color w:val="000000" w:themeColor="text1"/>
                <w:sz w:val="24"/>
                <w:lang w:val="en-US" w:eastAsia="zh-CN"/>
                <w14:textFill>
                  <w14:solidFill>
                    <w14:schemeClr w14:val="tx1"/>
                  </w14:solidFill>
                </w14:textFill>
              </w:rPr>
              <w:t>3.9</w:t>
            </w:r>
            <w:r>
              <w:rPr>
                <w:rFonts w:hint="eastAsia" w:ascii="宋体" w:hAnsi="宋体"/>
                <w:color w:val="000000" w:themeColor="text1"/>
                <w:sz w:val="24"/>
                <w14:textFill>
                  <w14:solidFill>
                    <w14:schemeClr w14:val="tx1"/>
                  </w14:solidFill>
                </w14:textFill>
              </w:rPr>
              <w:t>分，不够完善的得</w:t>
            </w:r>
            <w:r>
              <w:rPr>
                <w:rFonts w:hint="eastAsia" w:ascii="宋体" w:hAnsi="宋体"/>
                <w:color w:val="000000" w:themeColor="text1"/>
                <w:sz w:val="24"/>
                <w:lang w:val="en-US" w:eastAsia="zh-CN"/>
                <w14:textFill>
                  <w14:solidFill>
                    <w14:schemeClr w14:val="tx1"/>
                  </w14:solidFill>
                </w14:textFill>
              </w:rPr>
              <w:t>0-1.9</w:t>
            </w:r>
            <w:r>
              <w:rPr>
                <w:rFonts w:hint="eastAsia" w:ascii="宋体" w:hAnsi="宋体"/>
                <w:color w:val="000000" w:themeColor="text1"/>
                <w:sz w:val="24"/>
                <w14:textFill>
                  <w14:solidFill>
                    <w14:schemeClr w14:val="tx1"/>
                  </w14:solidFill>
                </w14:textFill>
              </w:rPr>
              <w:t>分。）</w:t>
            </w:r>
          </w:p>
        </w:tc>
        <w:tc>
          <w:tcPr>
            <w:tcW w:w="779" w:type="dxa"/>
            <w:vAlign w:val="center"/>
          </w:tcPr>
          <w:p>
            <w:pPr>
              <w:snapToGrid w:val="0"/>
              <w:spacing w:line="240" w:lineRule="atLeast"/>
              <w:jc w:val="center"/>
              <w:rPr>
                <w:rFonts w:ascii="宋体" w:hAnsi="宋体"/>
                <w:kern w:val="0"/>
                <w:sz w:val="24"/>
              </w:rPr>
            </w:pPr>
            <w:r>
              <w:rPr>
                <w:rFonts w:hint="eastAsia" w:ascii="宋体" w:hAnsi="宋体"/>
                <w:kern w:val="0"/>
                <w:sz w:val="24"/>
              </w:rPr>
              <w:t>6</w:t>
            </w:r>
            <w:r>
              <w:rPr>
                <w:rFonts w:hint="eastAsia" w:ascii="宋体" w:hAnsi="宋体"/>
                <w:sz w:val="24"/>
              </w:rPr>
              <w:t>分</w:t>
            </w:r>
          </w:p>
        </w:tc>
        <w:tc>
          <w:tcPr>
            <w:tcW w:w="1010" w:type="dxa"/>
            <w:vAlign w:val="center"/>
          </w:tcPr>
          <w:p>
            <w:pPr>
              <w:snapToGrid w:val="0"/>
              <w:spacing w:line="240" w:lineRule="atLeast"/>
              <w:jc w:val="center"/>
              <w:rPr>
                <w:rFonts w:ascii="宋体" w:hAnsi="宋体" w:cs="宋体"/>
                <w:kern w:val="0"/>
                <w:sz w:val="24"/>
              </w:rPr>
            </w:pPr>
            <w:r>
              <w:rPr>
                <w:rFonts w:hint="eastAsia" w:ascii="宋体" w:hAnsi="宋体" w:cs="宋体"/>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36" w:type="dxa"/>
            <w:vMerge w:val="continue"/>
          </w:tcPr>
          <w:p>
            <w:pPr>
              <w:snapToGrid w:val="0"/>
              <w:spacing w:line="240" w:lineRule="atLeast"/>
              <w:jc w:val="center"/>
              <w:rPr>
                <w:rFonts w:ascii="宋体" w:hAnsi="宋体"/>
              </w:rPr>
            </w:pPr>
          </w:p>
        </w:tc>
        <w:tc>
          <w:tcPr>
            <w:tcW w:w="450" w:type="dxa"/>
            <w:vAlign w:val="center"/>
          </w:tcPr>
          <w:p>
            <w:pPr>
              <w:snapToGrid w:val="0"/>
              <w:spacing w:line="240" w:lineRule="atLeast"/>
              <w:jc w:val="center"/>
              <w:rPr>
                <w:rFonts w:ascii="宋体" w:hAnsi="宋体"/>
                <w:kern w:val="0"/>
                <w:sz w:val="24"/>
              </w:rPr>
            </w:pPr>
            <w:r>
              <w:rPr>
                <w:rFonts w:hint="eastAsia" w:ascii="宋体" w:hAnsi="宋体"/>
                <w:kern w:val="0"/>
                <w:sz w:val="24"/>
              </w:rPr>
              <w:t>6</w:t>
            </w:r>
          </w:p>
        </w:tc>
        <w:tc>
          <w:tcPr>
            <w:tcW w:w="6459" w:type="dxa"/>
            <w:vAlign w:val="center"/>
          </w:tcPr>
          <w:p>
            <w:pPr>
              <w:widowControl/>
              <w:jc w:val="left"/>
              <w:rPr>
                <w:rFonts w:ascii="宋体" w:hAnsi="宋体"/>
                <w:kern w:val="0"/>
                <w:sz w:val="24"/>
              </w:rPr>
            </w:pPr>
            <w:r>
              <w:rPr>
                <w:rFonts w:hint="eastAsia" w:ascii="宋体" w:hAnsi="宋体" w:cs="宋体"/>
                <w:color w:val="000000"/>
                <w:kern w:val="0"/>
                <w:sz w:val="24"/>
              </w:rPr>
              <w:t>服务质量保证情况（根据质保期限、可实现程度、提供优惠等情况综合评定</w:t>
            </w:r>
            <w:r>
              <w:rPr>
                <w:rFonts w:hint="eastAsia" w:ascii="宋体" w:hAnsi="宋体"/>
                <w:color w:val="000000" w:themeColor="text1"/>
                <w:sz w:val="24"/>
                <w14:textFill>
                  <w14:solidFill>
                    <w14:schemeClr w14:val="tx1"/>
                  </w14:solidFill>
                </w14:textFill>
              </w:rPr>
              <w:t>（完善的得</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分，较完善的得2-</w:t>
            </w:r>
            <w:r>
              <w:rPr>
                <w:rFonts w:hint="eastAsia" w:ascii="宋体" w:hAnsi="宋体"/>
                <w:color w:val="000000" w:themeColor="text1"/>
                <w:sz w:val="24"/>
                <w:lang w:val="en-US" w:eastAsia="zh-CN"/>
                <w14:textFill>
                  <w14:solidFill>
                    <w14:schemeClr w14:val="tx1"/>
                  </w14:solidFill>
                </w14:textFill>
              </w:rPr>
              <w:t>3.9</w:t>
            </w:r>
            <w:r>
              <w:rPr>
                <w:rFonts w:hint="eastAsia" w:ascii="宋体" w:hAnsi="宋体"/>
                <w:color w:val="000000" w:themeColor="text1"/>
                <w:sz w:val="24"/>
                <w14:textFill>
                  <w14:solidFill>
                    <w14:schemeClr w14:val="tx1"/>
                  </w14:solidFill>
                </w14:textFill>
              </w:rPr>
              <w:t>分，不够完善的得</w:t>
            </w:r>
            <w:r>
              <w:rPr>
                <w:rFonts w:hint="eastAsia" w:ascii="宋体" w:hAnsi="宋体"/>
                <w:color w:val="000000" w:themeColor="text1"/>
                <w:sz w:val="24"/>
                <w:lang w:val="en-US" w:eastAsia="zh-CN"/>
                <w14:textFill>
                  <w14:solidFill>
                    <w14:schemeClr w14:val="tx1"/>
                  </w14:solidFill>
                </w14:textFill>
              </w:rPr>
              <w:t>0-1.9</w:t>
            </w:r>
            <w:r>
              <w:rPr>
                <w:rFonts w:hint="eastAsia" w:ascii="宋体" w:hAnsi="宋体"/>
                <w:color w:val="000000" w:themeColor="text1"/>
                <w:sz w:val="24"/>
                <w14:textFill>
                  <w14:solidFill>
                    <w14:schemeClr w14:val="tx1"/>
                  </w14:solidFill>
                </w14:textFill>
              </w:rPr>
              <w:t>分。）</w:t>
            </w:r>
          </w:p>
        </w:tc>
        <w:tc>
          <w:tcPr>
            <w:tcW w:w="779" w:type="dxa"/>
            <w:vAlign w:val="center"/>
          </w:tcPr>
          <w:p>
            <w:pPr>
              <w:snapToGrid w:val="0"/>
              <w:spacing w:line="240" w:lineRule="atLeast"/>
              <w:jc w:val="center"/>
              <w:rPr>
                <w:rFonts w:ascii="宋体" w:hAnsi="宋体"/>
                <w:kern w:val="0"/>
                <w:sz w:val="24"/>
              </w:rPr>
            </w:pPr>
            <w:r>
              <w:rPr>
                <w:rFonts w:hint="eastAsia" w:ascii="宋体" w:hAnsi="宋体"/>
                <w:kern w:val="0"/>
                <w:sz w:val="24"/>
              </w:rPr>
              <w:t>6</w:t>
            </w:r>
            <w:r>
              <w:rPr>
                <w:rFonts w:hint="eastAsia" w:ascii="宋体" w:hAnsi="宋体"/>
                <w:sz w:val="24"/>
              </w:rPr>
              <w:t>分</w:t>
            </w:r>
          </w:p>
        </w:tc>
        <w:tc>
          <w:tcPr>
            <w:tcW w:w="1010" w:type="dxa"/>
            <w:vAlign w:val="center"/>
          </w:tcPr>
          <w:p>
            <w:pPr>
              <w:snapToGrid w:val="0"/>
              <w:spacing w:line="240" w:lineRule="atLeast"/>
              <w:jc w:val="center"/>
              <w:rPr>
                <w:rFonts w:ascii="宋体" w:hAnsi="宋体" w:cs="宋体"/>
                <w:kern w:val="0"/>
                <w:sz w:val="24"/>
              </w:rPr>
            </w:pPr>
            <w:r>
              <w:rPr>
                <w:rFonts w:hint="eastAsia" w:ascii="宋体" w:hAnsi="宋体" w:cs="宋体"/>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36" w:type="dxa"/>
            <w:vMerge w:val="continue"/>
          </w:tcPr>
          <w:p>
            <w:pPr>
              <w:snapToGrid w:val="0"/>
              <w:spacing w:line="240" w:lineRule="atLeast"/>
              <w:jc w:val="center"/>
              <w:rPr>
                <w:rFonts w:ascii="宋体" w:hAnsi="宋体"/>
              </w:rPr>
            </w:pPr>
          </w:p>
        </w:tc>
        <w:tc>
          <w:tcPr>
            <w:tcW w:w="450" w:type="dxa"/>
            <w:vAlign w:val="center"/>
          </w:tcPr>
          <w:p>
            <w:pPr>
              <w:snapToGrid w:val="0"/>
              <w:spacing w:line="240" w:lineRule="atLeast"/>
              <w:jc w:val="center"/>
              <w:rPr>
                <w:rFonts w:hint="eastAsia" w:ascii="宋体" w:hAnsi="宋体" w:eastAsia="宋体" w:cs="Times New Roman"/>
                <w:kern w:val="0"/>
                <w:sz w:val="24"/>
                <w:szCs w:val="24"/>
                <w:lang w:val="en-US" w:eastAsia="zh-CN" w:bidi="ar-SA"/>
              </w:rPr>
            </w:pPr>
            <w:r>
              <w:rPr>
                <w:rFonts w:hint="eastAsia" w:ascii="宋体" w:hAnsi="宋体"/>
                <w:kern w:val="0"/>
                <w:sz w:val="24"/>
              </w:rPr>
              <w:t>7</w:t>
            </w:r>
          </w:p>
        </w:tc>
        <w:tc>
          <w:tcPr>
            <w:tcW w:w="6459" w:type="dxa"/>
            <w:vAlign w:val="center"/>
          </w:tcPr>
          <w:p>
            <w:pPr>
              <w:widowControl/>
              <w:jc w:val="left"/>
              <w:rPr>
                <w:rFonts w:hint="eastAsia" w:ascii="宋体" w:hAnsi="宋体" w:eastAsia="宋体" w:cs="Times New Roman"/>
                <w:kern w:val="0"/>
                <w:sz w:val="24"/>
                <w:szCs w:val="24"/>
                <w:lang w:val="en-US" w:eastAsia="zh-CN" w:bidi="ar-SA"/>
              </w:rPr>
            </w:pPr>
            <w:r>
              <w:rPr>
                <w:rFonts w:hint="eastAsia" w:ascii="宋体" w:hAnsi="宋体" w:cs="宋体"/>
                <w:color w:val="000000"/>
                <w:kern w:val="0"/>
                <w:sz w:val="24"/>
              </w:rPr>
              <w:t>服务承诺（根据本地化服务能力、售后服务方案、措施、响应等情况综合评定）</w:t>
            </w:r>
            <w:r>
              <w:rPr>
                <w:rFonts w:hint="eastAsia" w:ascii="宋体" w:hAnsi="宋体"/>
                <w:color w:val="000000" w:themeColor="text1"/>
                <w:sz w:val="24"/>
                <w14:textFill>
                  <w14:solidFill>
                    <w14:schemeClr w14:val="tx1"/>
                  </w14:solidFill>
                </w14:textFill>
              </w:rPr>
              <w:t>（完善的得</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分，较完善的得2-</w:t>
            </w:r>
            <w:r>
              <w:rPr>
                <w:rFonts w:hint="eastAsia" w:ascii="宋体" w:hAnsi="宋体"/>
                <w:color w:val="000000" w:themeColor="text1"/>
                <w:sz w:val="24"/>
                <w:lang w:val="en-US" w:eastAsia="zh-CN"/>
                <w14:textFill>
                  <w14:solidFill>
                    <w14:schemeClr w14:val="tx1"/>
                  </w14:solidFill>
                </w14:textFill>
              </w:rPr>
              <w:t>3.9</w:t>
            </w:r>
            <w:r>
              <w:rPr>
                <w:rFonts w:hint="eastAsia" w:ascii="宋体" w:hAnsi="宋体"/>
                <w:color w:val="000000" w:themeColor="text1"/>
                <w:sz w:val="24"/>
                <w14:textFill>
                  <w14:solidFill>
                    <w14:schemeClr w14:val="tx1"/>
                  </w14:solidFill>
                </w14:textFill>
              </w:rPr>
              <w:t>分，不够完善的得</w:t>
            </w:r>
            <w:r>
              <w:rPr>
                <w:rFonts w:hint="eastAsia" w:ascii="宋体" w:hAnsi="宋体"/>
                <w:color w:val="000000" w:themeColor="text1"/>
                <w:sz w:val="24"/>
                <w:lang w:val="en-US" w:eastAsia="zh-CN"/>
                <w14:textFill>
                  <w14:solidFill>
                    <w14:schemeClr w14:val="tx1"/>
                  </w14:solidFill>
                </w14:textFill>
              </w:rPr>
              <w:t>0-1.9</w:t>
            </w:r>
            <w:r>
              <w:rPr>
                <w:rFonts w:hint="eastAsia" w:ascii="宋体" w:hAnsi="宋体"/>
                <w:color w:val="000000" w:themeColor="text1"/>
                <w:sz w:val="24"/>
                <w14:textFill>
                  <w14:solidFill>
                    <w14:schemeClr w14:val="tx1"/>
                  </w14:solidFill>
                </w14:textFill>
              </w:rPr>
              <w:t>分。）</w:t>
            </w:r>
          </w:p>
        </w:tc>
        <w:tc>
          <w:tcPr>
            <w:tcW w:w="779" w:type="dxa"/>
            <w:vAlign w:val="center"/>
          </w:tcPr>
          <w:p>
            <w:pPr>
              <w:snapToGrid w:val="0"/>
              <w:spacing w:line="240" w:lineRule="atLeast"/>
              <w:jc w:val="center"/>
              <w:rPr>
                <w:rFonts w:hint="eastAsia" w:ascii="宋体" w:hAnsi="宋体" w:eastAsia="宋体" w:cs="Times New Roman"/>
                <w:kern w:val="0"/>
                <w:sz w:val="24"/>
                <w:szCs w:val="24"/>
                <w:lang w:val="en-US" w:eastAsia="zh-CN" w:bidi="ar-SA"/>
              </w:rPr>
            </w:pPr>
            <w:r>
              <w:rPr>
                <w:rFonts w:hint="eastAsia" w:ascii="宋体" w:hAnsi="宋体"/>
                <w:kern w:val="0"/>
                <w:sz w:val="24"/>
              </w:rPr>
              <w:t>6</w:t>
            </w:r>
            <w:r>
              <w:rPr>
                <w:rFonts w:hint="eastAsia" w:ascii="宋体" w:hAnsi="宋体"/>
                <w:sz w:val="24"/>
              </w:rPr>
              <w:t>分</w:t>
            </w:r>
          </w:p>
        </w:tc>
        <w:tc>
          <w:tcPr>
            <w:tcW w:w="1010" w:type="dxa"/>
            <w:vAlign w:val="center"/>
          </w:tcPr>
          <w:p>
            <w:pPr>
              <w:snapToGrid w:val="0"/>
              <w:spacing w:line="240" w:lineRule="atLeast"/>
              <w:jc w:val="center"/>
              <w:rPr>
                <w:rFonts w:hint="eastAsia" w:ascii="宋体" w:hAnsi="宋体" w:eastAsia="宋体" w:cs="宋体"/>
                <w:kern w:val="0"/>
                <w:sz w:val="24"/>
                <w:szCs w:val="24"/>
                <w:lang w:val="en-US" w:eastAsia="zh-CN" w:bidi="ar-SA"/>
              </w:rPr>
            </w:pPr>
            <w:r>
              <w:rPr>
                <w:rFonts w:hint="eastAsia" w:ascii="宋体" w:hAnsi="宋体" w:cs="宋体"/>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36" w:type="dxa"/>
            <w:vMerge w:val="continue"/>
          </w:tcPr>
          <w:p>
            <w:pPr>
              <w:snapToGrid w:val="0"/>
              <w:spacing w:line="240" w:lineRule="atLeast"/>
              <w:jc w:val="center"/>
              <w:rPr>
                <w:rFonts w:ascii="宋体" w:hAnsi="宋体"/>
              </w:rPr>
            </w:pPr>
          </w:p>
        </w:tc>
        <w:tc>
          <w:tcPr>
            <w:tcW w:w="450" w:type="dxa"/>
            <w:vAlign w:val="center"/>
          </w:tcPr>
          <w:p>
            <w:pPr>
              <w:snapToGrid w:val="0"/>
              <w:spacing w:line="240" w:lineRule="atLeast"/>
              <w:jc w:val="center"/>
              <w:rPr>
                <w:rFonts w:hint="eastAsia" w:ascii="宋体" w:hAnsi="宋体" w:eastAsia="宋体" w:cs="Times New Roman"/>
                <w:kern w:val="0"/>
                <w:sz w:val="24"/>
                <w:szCs w:val="24"/>
                <w:lang w:val="en-US" w:eastAsia="zh-CN" w:bidi="ar-SA"/>
              </w:rPr>
            </w:pPr>
            <w:r>
              <w:rPr>
                <w:rFonts w:hint="eastAsia" w:ascii="宋体" w:hAnsi="宋体"/>
                <w:kern w:val="0"/>
                <w:sz w:val="24"/>
                <w:lang w:val="en-US" w:eastAsia="zh-CN"/>
              </w:rPr>
              <w:t>8</w:t>
            </w:r>
          </w:p>
        </w:tc>
        <w:tc>
          <w:tcPr>
            <w:tcW w:w="6459" w:type="dxa"/>
            <w:vAlign w:val="center"/>
          </w:tcPr>
          <w:p>
            <w:pPr>
              <w:widowControl/>
              <w:jc w:val="left"/>
              <w:rPr>
                <w:rFonts w:hint="eastAsia" w:ascii="宋体" w:hAnsi="宋体" w:eastAsia="宋体" w:cs="Times New Roman"/>
                <w:kern w:val="0"/>
                <w:sz w:val="24"/>
                <w:szCs w:val="24"/>
                <w:lang w:val="en-US" w:eastAsia="zh-CN" w:bidi="ar-SA"/>
              </w:rPr>
            </w:pPr>
            <w:r>
              <w:rPr>
                <w:rFonts w:hint="eastAsia" w:ascii="宋体" w:hAnsi="宋体" w:cs="仿宋"/>
                <w:i w:val="0"/>
                <w:iCs w:val="0"/>
                <w:sz w:val="24"/>
              </w:rPr>
              <w:t>能够提供其它增值服务的，最多的得10分，其余依次酌情打分，最低得分不少于1分。</w:t>
            </w:r>
          </w:p>
        </w:tc>
        <w:tc>
          <w:tcPr>
            <w:tcW w:w="779" w:type="dxa"/>
            <w:vAlign w:val="center"/>
          </w:tcPr>
          <w:p>
            <w:pPr>
              <w:snapToGrid w:val="0"/>
              <w:spacing w:line="240" w:lineRule="atLeast"/>
              <w:jc w:val="center"/>
              <w:rPr>
                <w:rFonts w:hint="eastAsia" w:ascii="宋体" w:hAnsi="宋体" w:eastAsia="宋体" w:cs="Times New Roman"/>
                <w:kern w:val="0"/>
                <w:sz w:val="24"/>
                <w:szCs w:val="24"/>
                <w:lang w:val="en-US" w:eastAsia="zh-CN" w:bidi="ar-SA"/>
              </w:rPr>
            </w:pPr>
            <w:r>
              <w:rPr>
                <w:rFonts w:hint="eastAsia" w:ascii="宋体" w:hAnsi="宋体"/>
                <w:kern w:val="0"/>
                <w:sz w:val="24"/>
                <w:lang w:val="en-US" w:eastAsia="zh-CN"/>
              </w:rPr>
              <w:t>10</w:t>
            </w:r>
            <w:r>
              <w:rPr>
                <w:rFonts w:hint="eastAsia" w:ascii="宋体" w:hAnsi="宋体"/>
                <w:sz w:val="24"/>
              </w:rPr>
              <w:t>分</w:t>
            </w:r>
          </w:p>
        </w:tc>
        <w:tc>
          <w:tcPr>
            <w:tcW w:w="1010" w:type="dxa"/>
            <w:vAlign w:val="center"/>
          </w:tcPr>
          <w:p>
            <w:pPr>
              <w:snapToGrid w:val="0"/>
              <w:spacing w:line="240" w:lineRule="atLeast"/>
              <w:jc w:val="center"/>
              <w:rPr>
                <w:rFonts w:hint="eastAsia" w:ascii="宋体" w:hAnsi="宋体" w:eastAsia="宋体" w:cs="宋体"/>
                <w:kern w:val="0"/>
                <w:sz w:val="24"/>
                <w:szCs w:val="24"/>
                <w:lang w:val="en-US" w:eastAsia="zh-CN" w:bidi="ar-SA"/>
              </w:rPr>
            </w:pPr>
            <w:r>
              <w:rPr>
                <w:rFonts w:hint="eastAsia" w:ascii="宋体" w:hAnsi="宋体" w:cs="宋体"/>
                <w:kern w:val="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836" w:type="dxa"/>
            <w:vMerge w:val="continue"/>
          </w:tcPr>
          <w:p>
            <w:pPr>
              <w:snapToGrid w:val="0"/>
              <w:spacing w:line="240" w:lineRule="atLeast"/>
              <w:jc w:val="center"/>
              <w:rPr>
                <w:rFonts w:ascii="宋体" w:hAnsi="宋体"/>
              </w:rPr>
            </w:pPr>
          </w:p>
        </w:tc>
        <w:tc>
          <w:tcPr>
            <w:tcW w:w="450" w:type="dxa"/>
            <w:vAlign w:val="center"/>
          </w:tcPr>
          <w:p>
            <w:pPr>
              <w:snapToGrid w:val="0"/>
              <w:spacing w:line="240" w:lineRule="atLeast"/>
              <w:jc w:val="center"/>
              <w:rPr>
                <w:rFonts w:hint="default" w:ascii="宋体" w:hAnsi="宋体" w:eastAsia="宋体"/>
                <w:kern w:val="0"/>
                <w:sz w:val="24"/>
                <w:lang w:val="en-US" w:eastAsia="zh-CN"/>
              </w:rPr>
            </w:pPr>
            <w:r>
              <w:rPr>
                <w:rFonts w:hint="eastAsia" w:ascii="宋体" w:hAnsi="宋体"/>
                <w:kern w:val="0"/>
                <w:sz w:val="24"/>
                <w:lang w:val="en-US" w:eastAsia="zh-CN"/>
              </w:rPr>
              <w:t>9</w:t>
            </w:r>
          </w:p>
        </w:tc>
        <w:tc>
          <w:tcPr>
            <w:tcW w:w="6459" w:type="dxa"/>
            <w:vAlign w:val="center"/>
          </w:tcPr>
          <w:p>
            <w:pPr>
              <w:widowControl/>
              <w:jc w:val="left"/>
              <w:rPr>
                <w:rFonts w:hint="default" w:ascii="宋体" w:hAnsi="宋体" w:eastAsia="宋体"/>
                <w:kern w:val="0"/>
                <w:sz w:val="24"/>
                <w:lang w:val="en-US" w:eastAsia="zh-CN"/>
              </w:rPr>
            </w:pPr>
            <w:r>
              <w:rPr>
                <w:rFonts w:hint="eastAsia" w:ascii="宋体" w:hAnsi="宋体"/>
                <w:kern w:val="0"/>
                <w:sz w:val="24"/>
                <w:lang w:val="en-US" w:eastAsia="zh-CN"/>
              </w:rPr>
              <w:t>根据投标人门店日常售卖产品种类的数量多元化等综合评定</w:t>
            </w:r>
          </w:p>
        </w:tc>
        <w:tc>
          <w:tcPr>
            <w:tcW w:w="779" w:type="dxa"/>
            <w:vAlign w:val="center"/>
          </w:tcPr>
          <w:p>
            <w:pPr>
              <w:snapToGrid w:val="0"/>
              <w:spacing w:line="240" w:lineRule="atLeast"/>
              <w:jc w:val="center"/>
              <w:rPr>
                <w:rFonts w:hint="default" w:ascii="宋体" w:hAnsi="宋体" w:eastAsia="宋体"/>
                <w:kern w:val="0"/>
                <w:sz w:val="24"/>
                <w:lang w:val="en-US" w:eastAsia="zh-CN"/>
              </w:rPr>
            </w:pPr>
            <w:r>
              <w:rPr>
                <w:rFonts w:hint="eastAsia" w:ascii="宋体" w:hAnsi="宋体"/>
                <w:kern w:val="0"/>
                <w:sz w:val="24"/>
                <w:lang w:val="en-US" w:eastAsia="zh-CN"/>
              </w:rPr>
              <w:t>4分</w:t>
            </w:r>
          </w:p>
        </w:tc>
        <w:tc>
          <w:tcPr>
            <w:tcW w:w="1010" w:type="dxa"/>
            <w:vAlign w:val="center"/>
          </w:tcPr>
          <w:p>
            <w:pPr>
              <w:snapToGrid w:val="0"/>
              <w:spacing w:line="240" w:lineRule="atLeast"/>
              <w:jc w:val="center"/>
              <w:rPr>
                <w:rFonts w:ascii="宋体" w:hAnsi="宋体" w:cs="宋体"/>
                <w:kern w:val="0"/>
                <w:sz w:val="24"/>
              </w:rPr>
            </w:pPr>
            <w:r>
              <w:rPr>
                <w:rFonts w:hint="eastAsia" w:ascii="宋体" w:hAnsi="宋体" w:cs="宋体"/>
                <w:kern w:val="0"/>
                <w:sz w:val="24"/>
              </w:rPr>
              <w:t>主观分</w:t>
            </w:r>
          </w:p>
        </w:tc>
      </w:tr>
    </w:tbl>
    <w:p>
      <w:pPr>
        <w:widowControl/>
        <w:spacing w:line="360" w:lineRule="auto"/>
        <w:ind w:firstLine="482" w:firstLineChars="200"/>
        <w:rPr>
          <w:rFonts w:ascii="宋体" w:hAnsi="宋体" w:cs="宋体"/>
          <w:b/>
          <w:sz w:val="24"/>
        </w:rPr>
      </w:pPr>
    </w:p>
    <w:p>
      <w:pPr>
        <w:widowControl/>
        <w:spacing w:line="360" w:lineRule="auto"/>
        <w:ind w:firstLine="482" w:firstLineChars="200"/>
        <w:rPr>
          <w:rFonts w:ascii="宋体" w:hAnsi="宋体" w:cs="宋体"/>
          <w:b/>
          <w:sz w:val="24"/>
        </w:rPr>
      </w:pPr>
      <w:r>
        <w:rPr>
          <w:rFonts w:hint="eastAsia" w:ascii="宋体" w:hAnsi="宋体" w:cs="宋体"/>
          <w:b/>
          <w:sz w:val="24"/>
        </w:rPr>
        <w:t>备注：</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1、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投标人编制投标文件（商务技术文件部分）时，建议按此目录（序号和内容）提供评标标准相应的商务技术资料。 </w:t>
      </w:r>
    </w:p>
    <w:p>
      <w:pPr>
        <w:widowControl/>
        <w:spacing w:line="360" w:lineRule="auto"/>
        <w:ind w:firstLine="480" w:firstLineChars="200"/>
        <w:rPr>
          <w:rFonts w:ascii="宋体" w:hAnsi="宋体" w:cs="宋体"/>
          <w:sz w:val="24"/>
        </w:rPr>
      </w:pPr>
      <w:r>
        <w:rPr>
          <w:rFonts w:hint="eastAsia" w:ascii="宋体" w:hAnsi="宋体" w:cs="宋体"/>
          <w:sz w:val="24"/>
        </w:rPr>
        <w:t>价格分（</w:t>
      </w:r>
      <w:r>
        <w:rPr>
          <w:rFonts w:hint="eastAsia" w:ascii="宋体" w:hAnsi="宋体" w:cs="宋体"/>
          <w:sz w:val="24"/>
          <w:lang w:val="en-US" w:eastAsia="zh-CN"/>
        </w:rPr>
        <w:t>30</w:t>
      </w:r>
      <w:r>
        <w:rPr>
          <w:rFonts w:hint="eastAsia" w:ascii="宋体" w:hAnsi="宋体" w:cs="宋体"/>
          <w:sz w:val="24"/>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jc w:val="center"/>
              <w:rPr>
                <w:rFonts w:ascii="宋体" w:hAnsi="宋体" w:cs="宋体"/>
                <w:sz w:val="24"/>
              </w:rPr>
            </w:pPr>
            <w:r>
              <w:rPr>
                <w:rFonts w:hint="eastAsia" w:ascii="宋体" w:hAnsi="宋体" w:cs="宋体"/>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jc w:val="center"/>
              <w:rPr>
                <w:rFonts w:ascii="宋体" w:hAnsi="宋体" w:cs="宋体"/>
                <w:sz w:val="24"/>
              </w:rPr>
            </w:pPr>
            <w:r>
              <w:rPr>
                <w:rFonts w:hint="eastAsia" w:ascii="宋体" w:hAnsi="宋体" w:cs="宋体"/>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24"/>
              </w:rPr>
            </w:pPr>
            <w:r>
              <w:rPr>
                <w:rFonts w:hint="eastAsia" w:ascii="宋体" w:hAnsi="宋体" w:cs="宋体"/>
                <w:sz w:val="24"/>
              </w:rPr>
              <w:t>价格权值=0.</w:t>
            </w:r>
            <w:r>
              <w:rPr>
                <w:rFonts w:hint="eastAsia" w:ascii="宋体" w:hAnsi="宋体" w:cs="宋体"/>
                <w:sz w:val="24"/>
                <w:lang w:val="en-US" w:eastAsia="zh-CN"/>
              </w:rPr>
              <w:t>3</w:t>
            </w:r>
            <w:r>
              <w:rPr>
                <w:rFonts w:hint="eastAsia" w:ascii="宋体" w:hAnsi="宋体" w:cs="宋体"/>
                <w:sz w:val="24"/>
              </w:rPr>
              <w:t>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 w:val="24"/>
              </w:rPr>
            </w:pPr>
            <w:r>
              <w:rPr>
                <w:rFonts w:hint="eastAsia" w:ascii="宋体" w:hAnsi="宋体"/>
                <w:i w:val="0"/>
                <w:iCs w:val="0"/>
                <w:sz w:val="24"/>
              </w:rPr>
              <w:t>以各有效</w:t>
            </w:r>
            <w:r>
              <w:rPr>
                <w:rFonts w:hint="eastAsia" w:ascii="宋体" w:hAnsi="宋体"/>
                <w:i w:val="0"/>
                <w:iCs w:val="0"/>
                <w:sz w:val="24"/>
                <w:lang w:eastAsia="zh-CN"/>
              </w:rPr>
              <w:t>投标人</w:t>
            </w:r>
            <w:r>
              <w:rPr>
                <w:rFonts w:hint="eastAsia" w:ascii="宋体" w:hAnsi="宋体"/>
                <w:i w:val="0"/>
                <w:iCs w:val="0"/>
                <w:sz w:val="24"/>
              </w:rPr>
              <w:t>（以300元为基准数报上浮率）最高上浮率作为基准价，各有效</w:t>
            </w:r>
            <w:r>
              <w:rPr>
                <w:rFonts w:hint="eastAsia" w:ascii="宋体" w:hAnsi="宋体"/>
                <w:i w:val="0"/>
                <w:iCs w:val="0"/>
                <w:sz w:val="24"/>
                <w:lang w:eastAsia="zh-CN"/>
              </w:rPr>
              <w:t>投标人</w:t>
            </w:r>
            <w:r>
              <w:rPr>
                <w:rFonts w:hint="eastAsia" w:ascii="宋体" w:hAnsi="宋体"/>
                <w:i w:val="0"/>
                <w:iCs w:val="0"/>
                <w:sz w:val="24"/>
              </w:rPr>
              <w:t>的</w:t>
            </w:r>
            <w:r>
              <w:rPr>
                <w:rFonts w:hint="eastAsia" w:ascii="宋体" w:hAnsi="宋体"/>
                <w:i w:val="0"/>
                <w:iCs w:val="0"/>
                <w:sz w:val="24"/>
                <w:lang w:val="en-US" w:eastAsia="zh-CN"/>
              </w:rPr>
              <w:t>价格</w:t>
            </w:r>
            <w:r>
              <w:rPr>
                <w:rFonts w:hint="eastAsia" w:ascii="宋体" w:hAnsi="宋体"/>
                <w:i w:val="0"/>
                <w:iCs w:val="0"/>
                <w:sz w:val="24"/>
              </w:rPr>
              <w:t>分统一按照下列公式计算：</w:t>
            </w:r>
            <w:r>
              <w:rPr>
                <w:rFonts w:hint="eastAsia" w:ascii="宋体" w:hAnsi="宋体"/>
                <w:i w:val="0"/>
                <w:iCs w:val="0"/>
                <w:sz w:val="24"/>
                <w:lang w:val="en-US" w:eastAsia="zh-CN"/>
              </w:rPr>
              <w:t>价格</w:t>
            </w:r>
            <w:r>
              <w:rPr>
                <w:rFonts w:hint="eastAsia" w:ascii="宋体" w:hAnsi="宋体"/>
                <w:i w:val="0"/>
                <w:iCs w:val="0"/>
                <w:sz w:val="24"/>
              </w:rPr>
              <w:t>分=（</w:t>
            </w:r>
            <w:r>
              <w:rPr>
                <w:rFonts w:hint="eastAsia" w:ascii="宋体" w:hAnsi="宋体"/>
                <w:i w:val="0"/>
                <w:iCs w:val="0"/>
                <w:sz w:val="24"/>
                <w:lang w:val="en-US" w:eastAsia="zh-CN"/>
              </w:rPr>
              <w:t>投标上浮率</w:t>
            </w:r>
            <w:r>
              <w:rPr>
                <w:rFonts w:hint="eastAsia" w:ascii="宋体" w:hAnsi="宋体"/>
                <w:i w:val="0"/>
                <w:iCs w:val="0"/>
                <w:sz w:val="24"/>
              </w:rPr>
              <w:t>÷基准价）×100×权重。</w:t>
            </w:r>
          </w:p>
        </w:tc>
      </w:tr>
    </w:tbl>
    <w:p>
      <w:pPr>
        <w:widowControl/>
        <w:adjustRightInd/>
        <w:jc w:val="left"/>
        <w:rPr>
          <w:rFonts w:ascii="宋体" w:hAnsi="宋体" w:cs="宋体"/>
          <w:b/>
          <w:sz w:val="32"/>
        </w:rPr>
      </w:pP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（例如：投标上浮率为：</w:t>
      </w:r>
      <w:r>
        <w:rPr>
          <w:rFonts w:hint="eastAsia" w:ascii="宋体" w:hAnsi="宋体" w:cs="宋体"/>
          <w:color w:val="auto"/>
          <w:sz w:val="24"/>
          <w:lang w:val="en-US" w:eastAsia="zh-CN"/>
        </w:rPr>
        <w:t>20%</w:t>
      </w:r>
      <w:r>
        <w:rPr>
          <w:rFonts w:hint="eastAsia" w:ascii="宋体" w:hAnsi="宋体" w:eastAsia="宋体" w:cs="宋体"/>
          <w:color w:val="auto"/>
          <w:sz w:val="24"/>
        </w:rPr>
        <w:t>和</w:t>
      </w:r>
      <w:r>
        <w:rPr>
          <w:rFonts w:hint="eastAsia" w:ascii="宋体" w:hAnsi="宋体" w:cs="宋体"/>
          <w:color w:val="auto"/>
          <w:sz w:val="24"/>
          <w:lang w:val="en-US" w:eastAsia="zh-CN"/>
        </w:rPr>
        <w:t>30%</w:t>
      </w:r>
      <w:r>
        <w:rPr>
          <w:rFonts w:hint="eastAsia" w:ascii="宋体" w:hAnsi="宋体" w:eastAsia="宋体" w:cs="宋体"/>
          <w:color w:val="auto"/>
          <w:sz w:val="24"/>
        </w:rPr>
        <w:t>时，则</w:t>
      </w:r>
      <w:r>
        <w:rPr>
          <w:rFonts w:hint="eastAsia" w:ascii="宋体" w:hAnsi="宋体" w:cs="宋体"/>
          <w:color w:val="auto"/>
          <w:sz w:val="24"/>
          <w:lang w:val="en-US" w:eastAsia="zh-CN"/>
        </w:rPr>
        <w:t>30%</w:t>
      </w:r>
      <w:r>
        <w:rPr>
          <w:rFonts w:hint="eastAsia" w:ascii="宋体" w:hAnsi="宋体" w:eastAsia="宋体" w:cs="宋体"/>
          <w:color w:val="auto"/>
          <w:sz w:val="24"/>
        </w:rPr>
        <w:t>为评标基准价。在政采云平台制作投标文件，录入相应产品的投标上浮率时）：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投标上浮率</w:t>
      </w:r>
      <w:r>
        <w:rPr>
          <w:rFonts w:hint="eastAsia" w:ascii="宋体" w:hAnsi="宋体" w:cs="宋体"/>
          <w:color w:val="auto"/>
          <w:sz w:val="24"/>
          <w:lang w:val="en-US" w:eastAsia="zh-CN"/>
        </w:rPr>
        <w:t>为20%时</w:t>
      </w:r>
      <w:r>
        <w:rPr>
          <w:rFonts w:hint="eastAsia" w:ascii="宋体" w:hAnsi="宋体" w:eastAsia="宋体" w:cs="宋体"/>
          <w:color w:val="auto"/>
          <w:sz w:val="24"/>
        </w:rPr>
        <w:t>，即</w:t>
      </w:r>
      <w:r>
        <w:rPr>
          <w:rFonts w:hint="eastAsia" w:ascii="宋体" w:hAnsi="宋体" w:cs="宋体"/>
          <w:color w:val="auto"/>
          <w:sz w:val="24"/>
          <w:lang w:val="en-US" w:eastAsia="zh-CN"/>
        </w:rPr>
        <w:t>每张蛋糕券的券面价格</w:t>
      </w:r>
      <w:r>
        <w:rPr>
          <w:rFonts w:hint="eastAsia" w:ascii="宋体" w:hAnsi="宋体" w:eastAsia="宋体" w:cs="宋体"/>
          <w:color w:val="auto"/>
          <w:sz w:val="24"/>
        </w:rPr>
        <w:t>=</w:t>
      </w:r>
      <w:r>
        <w:rPr>
          <w:rFonts w:hint="eastAsia" w:ascii="宋体" w:hAnsi="宋体" w:cs="宋体"/>
          <w:color w:val="auto"/>
          <w:sz w:val="24"/>
          <w:lang w:val="en-US" w:eastAsia="zh-CN"/>
        </w:rPr>
        <w:t>300元</w:t>
      </w:r>
      <w:r>
        <w:rPr>
          <w:rFonts w:hint="eastAsia" w:ascii="宋体" w:hAnsi="宋体" w:eastAsia="宋体" w:cs="宋体"/>
          <w:color w:val="auto"/>
          <w:sz w:val="24"/>
        </w:rPr>
        <w:t>×</w:t>
      </w:r>
      <w:r>
        <w:rPr>
          <w:rFonts w:hint="eastAsia" w:ascii="宋体" w:hAnsi="宋体" w:cs="宋体"/>
          <w:color w:val="auto"/>
          <w:sz w:val="24"/>
          <w:lang w:eastAsia="zh-CN"/>
        </w:rPr>
        <w:t>（</w:t>
      </w:r>
      <w:r>
        <w:rPr>
          <w:rFonts w:hint="eastAsia" w:ascii="宋体" w:hAnsi="宋体" w:cs="宋体"/>
          <w:color w:val="auto"/>
          <w:sz w:val="24"/>
          <w:lang w:val="en-US" w:eastAsia="zh-CN"/>
        </w:rPr>
        <w:t>1+20%）</w:t>
      </w:r>
      <w:r>
        <w:rPr>
          <w:rFonts w:hint="eastAsia" w:ascii="宋体" w:hAnsi="宋体" w:eastAsia="宋体" w:cs="宋体"/>
          <w:color w:val="auto"/>
          <w:sz w:val="24"/>
        </w:rPr>
        <w:t>；</w:t>
      </w:r>
    </w:p>
    <w:p>
      <w:pPr>
        <w:snapToGrid w:val="0"/>
        <w:spacing w:line="360" w:lineRule="auto"/>
        <w:ind w:firstLine="480" w:firstLineChars="200"/>
        <w:rPr>
          <w:rFonts w:ascii="宋体" w:hAnsi="宋体" w:cs="宋体"/>
          <w:b/>
          <w:sz w:val="32"/>
        </w:rPr>
      </w:pPr>
      <w:r>
        <w:rPr>
          <w:rFonts w:hint="eastAsia" w:ascii="宋体" w:hAnsi="宋体" w:eastAsia="宋体" w:cs="宋体"/>
          <w:color w:val="auto"/>
          <w:sz w:val="24"/>
        </w:rPr>
        <w:t>投标上浮率</w:t>
      </w:r>
      <w:r>
        <w:rPr>
          <w:rFonts w:hint="eastAsia" w:ascii="宋体" w:hAnsi="宋体" w:cs="宋体"/>
          <w:color w:val="auto"/>
          <w:sz w:val="24"/>
          <w:lang w:val="en-US" w:eastAsia="zh-CN"/>
        </w:rPr>
        <w:t>为30%时</w:t>
      </w:r>
      <w:r>
        <w:rPr>
          <w:rFonts w:hint="eastAsia" w:ascii="宋体" w:hAnsi="宋体" w:eastAsia="宋体" w:cs="宋体"/>
          <w:color w:val="auto"/>
          <w:sz w:val="24"/>
        </w:rPr>
        <w:t>，即</w:t>
      </w:r>
      <w:r>
        <w:rPr>
          <w:rFonts w:hint="eastAsia" w:ascii="宋体" w:hAnsi="宋体" w:cs="宋体"/>
          <w:color w:val="auto"/>
          <w:sz w:val="24"/>
          <w:lang w:val="en-US" w:eastAsia="zh-CN"/>
        </w:rPr>
        <w:t>每张蛋糕券的券面价格</w:t>
      </w:r>
      <w:r>
        <w:rPr>
          <w:rFonts w:hint="eastAsia" w:ascii="宋体" w:hAnsi="宋体" w:eastAsia="宋体" w:cs="宋体"/>
          <w:color w:val="auto"/>
          <w:sz w:val="24"/>
        </w:rPr>
        <w:t>=</w:t>
      </w:r>
      <w:r>
        <w:rPr>
          <w:rFonts w:hint="eastAsia" w:ascii="宋体" w:hAnsi="宋体" w:cs="宋体"/>
          <w:color w:val="auto"/>
          <w:sz w:val="24"/>
          <w:lang w:val="en-US" w:eastAsia="zh-CN"/>
        </w:rPr>
        <w:t>300元</w:t>
      </w:r>
      <w:r>
        <w:rPr>
          <w:rFonts w:hint="eastAsia" w:ascii="宋体" w:hAnsi="宋体" w:eastAsia="宋体" w:cs="宋体"/>
          <w:color w:val="auto"/>
          <w:sz w:val="24"/>
        </w:rPr>
        <w:t>×</w:t>
      </w:r>
      <w:r>
        <w:rPr>
          <w:rFonts w:hint="eastAsia" w:ascii="宋体" w:hAnsi="宋体" w:cs="宋体"/>
          <w:color w:val="auto"/>
          <w:sz w:val="24"/>
          <w:lang w:eastAsia="zh-CN"/>
        </w:rPr>
        <w:t>（</w:t>
      </w:r>
      <w:r>
        <w:rPr>
          <w:rFonts w:hint="eastAsia" w:ascii="宋体" w:hAnsi="宋体" w:cs="宋体"/>
          <w:color w:val="auto"/>
          <w:sz w:val="24"/>
          <w:lang w:val="en-US" w:eastAsia="zh-CN"/>
        </w:rPr>
        <w:t>1+30%）。</w:t>
      </w:r>
    </w:p>
    <w:p>
      <w:pPr>
        <w:snapToGrid w:val="0"/>
        <w:spacing w:line="360" w:lineRule="auto"/>
        <w:rPr>
          <w:rFonts w:ascii="宋体" w:hAnsi="宋体" w:cs="宋体"/>
          <w:b/>
          <w:sz w:val="32"/>
        </w:rPr>
      </w:pPr>
    </w:p>
    <w:p>
      <w:pPr>
        <w:widowControl/>
        <w:adjustRightInd/>
        <w:jc w:val="left"/>
        <w:rPr>
          <w:rFonts w:ascii="宋体" w:hAnsi="宋体" w:cs="宋体"/>
          <w:b/>
          <w:sz w:val="32"/>
        </w:rPr>
      </w:pPr>
      <w:r>
        <w:rPr>
          <w:rFonts w:ascii="宋体" w:hAnsi="宋体" w:cs="宋体"/>
          <w:b/>
          <w:sz w:val="32"/>
        </w:rPr>
        <w:br w:type="page"/>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综合评分法，是指投标文件满足交易文件全部实质性要求，且按照评审因素的量化指标评审得分最高的投标人为中标候选人的评标方法。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评标委员会应当对符合资格的投标人的投标文件进行符合性审查，以确定其是否满足交易文件的实质性要求。不满足交易文件的实质性要求的，投标无效。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评标委员会应当按照交易文件中规定的评标方法和标准，对符合性审查合格的投标文件进行商务和技术评估，综合比较与评价。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3.4.3投标报价超过交易文件中规定的预算金额或者最高限价的，投标无效。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4.2.1投标人不具备交易文件中规定的资格要求的（投标人未提供有效的资格文件的，视为投标人不具备交易文件中规定的资格要求）；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4.2.2投标文件未按照交易文件要求签署、盖章的；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4.2.3采购人拟采购的产品属于政府强制采购的节能产品品目清单范围的，投标人未按交易文件要求提供国家确定的认证机构出具的、处于有效期之内的节能产品认证证书的；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4.2.5投标文件中承诺的投标有效期少于交易文件中载明的投标有效期的；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4.2.7投标报价超过交易文件中规定的预算金额或者最高限价的；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投标文件不满足交易文件的其它实质性要求的；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参照《中华人民共和国政府采购法》第三十六条之规定，在采购中，出现下列情形之一的，应予废标：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5.1符合专业条件的供应商或者对交易文件作实质响应的供应商不足3家的；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6.修改交易文件，重新组织采购活动。</w:t>
      </w:r>
      <w:r>
        <w:rPr>
          <w:rFonts w:hint="eastAsia" w:cs="宋体"/>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pPr>
        <w:pStyle w:val="25"/>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cs="宋体"/>
        </w:rPr>
      </w:pPr>
      <w:r>
        <w:rPr>
          <w:rFonts w:hint="eastAsia" w:cs="宋体"/>
        </w:rPr>
        <w:t>7.1未确定中标或者中标人的，终止本次采购活动，重新开展采购活动。</w:t>
      </w:r>
    </w:p>
    <w:p>
      <w:pPr>
        <w:pStyle w:val="25"/>
        <w:snapToGrid w:val="0"/>
        <w:spacing w:line="360" w:lineRule="auto"/>
        <w:ind w:firstLine="600" w:firstLineChars="250"/>
        <w:rPr>
          <w:rFonts w:cs="宋体"/>
        </w:rPr>
      </w:pPr>
      <w:r>
        <w:rPr>
          <w:rFonts w:hint="eastAsia" w:cs="宋体"/>
        </w:rPr>
        <w:t>7.2已确定中标或者中标人但尚未签订采购合同的，中标或者成交结果无效，从合格的中标或者成交候选人中另行确定中标或者中标人；没有合格的中标或者成交候选人的，重新开展采购活动。</w:t>
      </w:r>
    </w:p>
    <w:p>
      <w:pPr>
        <w:pStyle w:val="25"/>
        <w:snapToGrid w:val="0"/>
        <w:spacing w:line="360" w:lineRule="auto"/>
        <w:ind w:firstLine="600" w:firstLineChars="250"/>
        <w:rPr>
          <w:rFonts w:cs="宋体"/>
        </w:rPr>
      </w:pPr>
      <w:r>
        <w:rPr>
          <w:rFonts w:hint="eastAsia" w:cs="宋体"/>
        </w:rPr>
        <w:t>7.3采购合同已签订但尚未履行的，撤销合同，从合格的中标或者成交候选人中另行确定中标或者中标人；没有合格的中标或者成交候选人的，重新开展采购活动。</w:t>
      </w:r>
    </w:p>
    <w:p>
      <w:pPr>
        <w:pStyle w:val="25"/>
        <w:snapToGrid w:val="0"/>
        <w:spacing w:line="360" w:lineRule="auto"/>
        <w:rPr>
          <w:rFonts w:cs="宋体"/>
        </w:rPr>
      </w:pPr>
      <w:r>
        <w:rPr>
          <w:rFonts w:hint="eastAsia" w:cs="宋体"/>
        </w:rPr>
        <w:t>7.4采购合同已经履行，给采购人、供应商造成损失的，由责任人承担赔偿责任。</w:t>
      </w:r>
    </w:p>
    <w:p>
      <w:pPr>
        <w:pStyle w:val="25"/>
        <w:snapToGrid w:val="0"/>
        <w:spacing w:line="360" w:lineRule="auto"/>
        <w:rPr>
          <w:rFonts w:cs="宋体"/>
        </w:rPr>
      </w:pPr>
      <w:r>
        <w:rPr>
          <w:rFonts w:hint="eastAsia" w:cs="宋体"/>
        </w:rPr>
        <w:t>7.5采购当事人有其他违反采购法</w:t>
      </w:r>
      <w:r>
        <w:rPr>
          <w:rFonts w:hint="eastAsia" w:cs="宋体"/>
          <w:kern w:val="0"/>
        </w:rPr>
        <w:t>或者采购法实施条例等法律法规规定</w:t>
      </w:r>
      <w:r>
        <w:rPr>
          <w:rFonts w:hint="eastAsia" w:cs="宋体"/>
        </w:rPr>
        <w:t>的行为，经改正后仍然影响或者可能影响中标、成交结果或者依法被认定为中标、成交无效的，依照7.1-7.4规定处理。</w:t>
      </w:r>
      <w:bookmarkEnd w:id="16"/>
      <w:bookmarkStart w:id="383" w:name="第五部分"/>
      <w:bookmarkStart w:id="384" w:name="_Toc86217003"/>
    </w:p>
    <w:p>
      <w:pPr>
        <w:rPr>
          <w:rFonts w:ascii="宋体" w:hAnsi="宋体" w:cs="宋体"/>
          <w:b/>
          <w:sz w:val="36"/>
          <w:szCs w:val="36"/>
        </w:rPr>
      </w:pPr>
      <w:r>
        <w:rPr>
          <w:rFonts w:hint="eastAsia" w:ascii="宋体" w:hAnsi="宋体" w:cs="宋体"/>
          <w:b/>
          <w:sz w:val="36"/>
          <w:szCs w:val="36"/>
        </w:rPr>
        <w:br w:type="page"/>
      </w:r>
    </w:p>
    <w:p>
      <w:pPr>
        <w:spacing w:line="360" w:lineRule="auto"/>
        <w:jc w:val="center"/>
        <w:outlineLvl w:val="0"/>
        <w:rPr>
          <w:rFonts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pPr>
        <w:spacing w:line="360" w:lineRule="auto"/>
        <w:ind w:left="-420" w:leftChars="-200" w:right="-420" w:rightChars="-200" w:firstLine="480" w:firstLineChars="200"/>
        <w:rPr>
          <w:rFonts w:ascii="宋体" w:hAnsi="宋体" w:cs="宋体"/>
          <w:sz w:val="24"/>
        </w:rPr>
      </w:pPr>
    </w:p>
    <w:p>
      <w:pPr>
        <w:snapToGrid w:val="0"/>
        <w:spacing w:line="500" w:lineRule="exact"/>
        <w:ind w:firstLine="588" w:firstLineChars="196"/>
        <w:jc w:val="center"/>
        <w:rPr>
          <w:rFonts w:ascii="宋体" w:hAnsi="宋体"/>
          <w:sz w:val="30"/>
          <w:szCs w:val="30"/>
        </w:rPr>
      </w:pPr>
      <w:r>
        <w:rPr>
          <w:rFonts w:hint="eastAsia" w:ascii="宋体" w:hAnsi="宋体"/>
          <w:sz w:val="30"/>
          <w:szCs w:val="30"/>
        </w:rPr>
        <w:t>具体以双方签定的正式合同为准，合同内容不得违背</w:t>
      </w:r>
    </w:p>
    <w:p>
      <w:pPr>
        <w:spacing w:line="360" w:lineRule="auto"/>
        <w:ind w:left="-420" w:leftChars="-200" w:right="-420" w:rightChars="-200" w:firstLine="600" w:firstLineChars="200"/>
        <w:jc w:val="center"/>
        <w:outlineLvl w:val="0"/>
        <w:rPr>
          <w:rFonts w:ascii="宋体" w:hAnsi="宋体" w:cs="宋体"/>
          <w:sz w:val="24"/>
        </w:rPr>
      </w:pPr>
      <w:r>
        <w:rPr>
          <w:rFonts w:hint="eastAsia" w:ascii="宋体" w:hAnsi="宋体"/>
          <w:sz w:val="30"/>
          <w:szCs w:val="30"/>
        </w:rPr>
        <w:t>本交易文件实质性要求。</w:t>
      </w: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p>
    <w:p>
      <w:pPr>
        <w:pStyle w:val="7"/>
      </w:pPr>
      <w:r>
        <w:br w:type="page"/>
      </w:r>
    </w:p>
    <w:p>
      <w:pPr>
        <w:pStyle w:val="7"/>
        <w:ind w:left="0" w:firstLine="0"/>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83"/>
      <w:r>
        <w:rPr>
          <w:rFonts w:hint="eastAsia" w:ascii="宋体" w:hAnsi="宋体" w:cs="宋体"/>
          <w:b/>
          <w:sz w:val="36"/>
          <w:szCs w:val="20"/>
        </w:rPr>
        <w:t xml:space="preserve"> </w:t>
      </w:r>
      <w:bookmarkEnd w:id="38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pPr>
        <w:snapToGrid w:val="0"/>
        <w:spacing w:line="360" w:lineRule="auto"/>
        <w:rPr>
          <w:rFonts w:ascii="宋体" w:hAnsi="宋体" w:cs="宋体"/>
          <w:sz w:val="24"/>
        </w:rPr>
      </w:pPr>
      <w:r>
        <w:rPr>
          <w:rFonts w:hint="eastAsia" w:ascii="宋体" w:hAnsi="宋体" w:cs="宋体"/>
          <w:sz w:val="24"/>
        </w:rPr>
        <w:t>（2）本项目的特定资格要求………………………………………………（页码）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rPr>
          <w:rFonts w:hint="eastAsia" w:ascii="宋体" w:hAnsi="宋体" w:cs="宋体"/>
          <w:b/>
          <w:kern w:val="0"/>
          <w:sz w:val="32"/>
          <w:szCs w:val="32"/>
        </w:rPr>
      </w:pPr>
      <w:r>
        <w:rPr>
          <w:rFonts w:hint="eastAsia" w:ascii="宋体" w:hAnsi="宋体" w:cs="宋体"/>
          <w:b/>
          <w:kern w:val="0"/>
          <w:sz w:val="32"/>
          <w:szCs w:val="32"/>
        </w:rPr>
        <w:br w:type="page"/>
      </w: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（根据交易公告本项目的特定资格要求提供相应的材料；未要求的，无需提供）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jc w:val="center"/>
        <w:rPr>
          <w:rFonts w:ascii="宋体" w:hAnsi="宋体" w:cs="宋体"/>
          <w:b/>
          <w:kern w:val="0"/>
          <w:sz w:val="36"/>
          <w:szCs w:val="36"/>
        </w:rPr>
      </w:pPr>
    </w:p>
    <w:p>
      <w:pPr>
        <w:rPr>
          <w:rFonts w:hint="eastAsia" w:ascii="宋体" w:hAnsi="宋体" w:cs="宋体"/>
          <w:b/>
          <w:kern w:val="0"/>
          <w:sz w:val="36"/>
          <w:szCs w:val="36"/>
        </w:rPr>
      </w:pPr>
      <w:r>
        <w:rPr>
          <w:rFonts w:hint="eastAsia" w:ascii="宋体" w:hAnsi="宋体" w:cs="宋体"/>
          <w:b/>
          <w:kern w:val="0"/>
          <w:sz w:val="36"/>
          <w:szCs w:val="36"/>
        </w:rPr>
        <w:br w:type="page"/>
      </w:r>
    </w:p>
    <w:p>
      <w:pPr>
        <w:spacing w:line="360" w:lineRule="auto"/>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ascii="宋体" w:hAnsi="宋体" w:cs="宋体"/>
          <w:sz w:val="24"/>
        </w:rPr>
      </w:pPr>
      <w:r>
        <w:rPr>
          <w:rFonts w:hint="eastAsia" w:ascii="宋体" w:hAnsi="宋体" w:cs="宋体"/>
          <w:sz w:val="24"/>
        </w:rPr>
        <w:t>（采购人）、（采购代理机构）：</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rPr>
        <w:t>2、我方的投标文件包括以下内容：</w:t>
      </w:r>
    </w:p>
    <w:p>
      <w:pPr>
        <w:keepNext w:val="0"/>
        <w:keepLines w:val="0"/>
        <w:pageBreakBefore w:val="0"/>
        <w:widowControl w:val="0"/>
        <w:kinsoku/>
        <w:wordWrap/>
        <w:overflowPunct/>
        <w:topLinePunct w:val="0"/>
        <w:autoSpaceDE/>
        <w:autoSpaceDN/>
        <w:bidi w:val="0"/>
        <w:adjustRightInd w:val="0"/>
        <w:snapToGrid/>
        <w:spacing w:line="400" w:lineRule="exact"/>
        <w:ind w:left="210" w:leftChars="100" w:firstLine="480" w:firstLineChars="200"/>
        <w:textAlignment w:val="auto"/>
        <w:rPr>
          <w:rFonts w:ascii="宋体" w:hAnsi="宋体" w:cs="宋体"/>
          <w:sz w:val="24"/>
        </w:rPr>
      </w:pPr>
      <w:r>
        <w:rPr>
          <w:rFonts w:hint="eastAsia" w:ascii="宋体" w:hAnsi="宋体" w:cs="宋体"/>
          <w:sz w:val="24"/>
        </w:rPr>
        <w:t>2.1资格文件：</w:t>
      </w:r>
    </w:p>
    <w:p>
      <w:pPr>
        <w:keepNext w:val="0"/>
        <w:keepLines w:val="0"/>
        <w:pageBreakBefore w:val="0"/>
        <w:widowControl w:val="0"/>
        <w:kinsoku/>
        <w:wordWrap/>
        <w:overflowPunct/>
        <w:topLinePunct w:val="0"/>
        <w:autoSpaceDE/>
        <w:autoSpaceDN/>
        <w:bidi w:val="0"/>
        <w:adjustRightInd w:val="0"/>
        <w:snapToGrid/>
        <w:spacing w:line="400" w:lineRule="exact"/>
        <w:ind w:left="420" w:leftChars="200" w:firstLine="480" w:firstLineChars="200"/>
        <w:textAlignment w:val="auto"/>
        <w:rPr>
          <w:rFonts w:ascii="宋体" w:hAnsi="宋体" w:cs="宋体"/>
          <w:sz w:val="24"/>
        </w:rPr>
      </w:pPr>
      <w:r>
        <w:rPr>
          <w:rFonts w:hint="eastAsia" w:ascii="宋体" w:hAnsi="宋体" w:cs="宋体"/>
          <w:sz w:val="24"/>
        </w:rPr>
        <w:t>2.1.1承诺函；</w:t>
      </w:r>
    </w:p>
    <w:p>
      <w:pPr>
        <w:keepNext w:val="0"/>
        <w:keepLines w:val="0"/>
        <w:pageBreakBefore w:val="0"/>
        <w:widowControl w:val="0"/>
        <w:kinsoku/>
        <w:wordWrap/>
        <w:overflowPunct/>
        <w:topLinePunct w:val="0"/>
        <w:autoSpaceDE/>
        <w:autoSpaceDN/>
        <w:bidi w:val="0"/>
        <w:adjustRightInd w:val="0"/>
        <w:snapToGrid/>
        <w:spacing w:line="400" w:lineRule="exact"/>
        <w:ind w:left="420" w:leftChars="200" w:firstLine="480" w:firstLineChars="200"/>
        <w:textAlignment w:val="auto"/>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宋体"/>
          <w:sz w:val="24"/>
        </w:rPr>
        <w:t>本项目的特定资格要求（如果有）。</w:t>
      </w:r>
    </w:p>
    <w:p>
      <w:pPr>
        <w:keepNext w:val="0"/>
        <w:keepLines w:val="0"/>
        <w:pageBreakBefore w:val="0"/>
        <w:widowControl w:val="0"/>
        <w:kinsoku/>
        <w:wordWrap/>
        <w:overflowPunct/>
        <w:topLinePunct w:val="0"/>
        <w:autoSpaceDE/>
        <w:autoSpaceDN/>
        <w:bidi w:val="0"/>
        <w:adjustRightInd w:val="0"/>
        <w:snapToGrid/>
        <w:spacing w:line="400" w:lineRule="exact"/>
        <w:ind w:left="210" w:leftChars="1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keepNext w:val="0"/>
        <w:keepLines w:val="0"/>
        <w:pageBreakBefore w:val="0"/>
        <w:widowControl w:val="0"/>
        <w:kinsoku/>
        <w:wordWrap/>
        <w:overflowPunct/>
        <w:topLinePunct w:val="0"/>
        <w:autoSpaceDE/>
        <w:autoSpaceDN/>
        <w:bidi w:val="0"/>
        <w:adjustRightInd w:val="0"/>
        <w:snapToGrid/>
        <w:spacing w:line="400" w:lineRule="exact"/>
        <w:ind w:left="420" w:leftChars="200" w:firstLine="480" w:firstLineChars="200"/>
        <w:textAlignment w:val="auto"/>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keepNext w:val="0"/>
        <w:keepLines w:val="0"/>
        <w:pageBreakBefore w:val="0"/>
        <w:widowControl w:val="0"/>
        <w:kinsoku/>
        <w:wordWrap/>
        <w:overflowPunct/>
        <w:topLinePunct w:val="0"/>
        <w:autoSpaceDE/>
        <w:autoSpaceDN/>
        <w:bidi w:val="0"/>
        <w:adjustRightInd w:val="0"/>
        <w:snapToGrid/>
        <w:spacing w:line="400" w:lineRule="exact"/>
        <w:ind w:left="420" w:leftChars="200" w:firstLine="480" w:firstLineChars="200"/>
        <w:textAlignment w:val="auto"/>
        <w:rPr>
          <w:rFonts w:ascii="宋体" w:hAnsi="宋体" w:cs="宋体"/>
          <w:sz w:val="24"/>
        </w:rPr>
      </w:pPr>
      <w:r>
        <w:rPr>
          <w:rFonts w:hint="eastAsia" w:ascii="宋体" w:hAnsi="宋体" w:cs="宋体"/>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spacing w:line="40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val="en-US" w:eastAsia="zh-CN"/>
        </w:rPr>
        <w:t>3</w:t>
      </w:r>
      <w:r>
        <w:rPr>
          <w:rFonts w:hint="eastAsia" w:ascii="宋体" w:hAnsi="宋体" w:cs="宋体"/>
          <w:sz w:val="24"/>
        </w:rPr>
        <w:t>符合性审查资料；</w:t>
      </w:r>
    </w:p>
    <w:p>
      <w:pPr>
        <w:keepNext w:val="0"/>
        <w:keepLines w:val="0"/>
        <w:pageBreakBefore w:val="0"/>
        <w:widowControl w:val="0"/>
        <w:kinsoku/>
        <w:wordWrap/>
        <w:overflowPunct/>
        <w:topLinePunct w:val="0"/>
        <w:autoSpaceDE/>
        <w:autoSpaceDN/>
        <w:bidi w:val="0"/>
        <w:adjustRightInd w:val="0"/>
        <w:snapToGrid/>
        <w:spacing w:line="40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val="en-US" w:eastAsia="zh-CN"/>
        </w:rPr>
        <w:t>4</w:t>
      </w:r>
      <w:r>
        <w:rPr>
          <w:rFonts w:hint="eastAsia" w:ascii="宋体" w:hAnsi="宋体" w:cs="宋体"/>
          <w:sz w:val="24"/>
        </w:rPr>
        <w:t>评标标准相应的商务技术资料；</w:t>
      </w:r>
    </w:p>
    <w:p>
      <w:pPr>
        <w:keepNext w:val="0"/>
        <w:keepLines w:val="0"/>
        <w:pageBreakBefore w:val="0"/>
        <w:widowControl w:val="0"/>
        <w:kinsoku/>
        <w:wordWrap/>
        <w:overflowPunct/>
        <w:topLinePunct w:val="0"/>
        <w:autoSpaceDE/>
        <w:autoSpaceDN/>
        <w:bidi w:val="0"/>
        <w:adjustRightInd w:val="0"/>
        <w:snapToGrid/>
        <w:spacing w:line="40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val="en-US" w:eastAsia="zh-CN"/>
        </w:rPr>
        <w:t>5</w:t>
      </w:r>
      <w:r>
        <w:rPr>
          <w:rFonts w:hint="eastAsia" w:ascii="宋体" w:hAnsi="宋体" w:cs="宋体"/>
          <w:sz w:val="24"/>
        </w:rPr>
        <w:t>投标标的清单；</w:t>
      </w:r>
    </w:p>
    <w:p>
      <w:pPr>
        <w:keepNext w:val="0"/>
        <w:keepLines w:val="0"/>
        <w:pageBreakBefore w:val="0"/>
        <w:widowControl w:val="0"/>
        <w:kinsoku/>
        <w:wordWrap/>
        <w:overflowPunct/>
        <w:topLinePunct w:val="0"/>
        <w:autoSpaceDE/>
        <w:autoSpaceDN/>
        <w:bidi w:val="0"/>
        <w:adjustRightInd w:val="0"/>
        <w:snapToGrid/>
        <w:spacing w:line="400" w:lineRule="exact"/>
        <w:ind w:left="420" w:leftChars="200" w:firstLine="480" w:firstLineChars="200"/>
        <w:textAlignment w:val="auto"/>
        <w:rPr>
          <w:rFonts w:ascii="宋体" w:hAnsi="宋体" w:cs="宋体"/>
          <w:sz w:val="24"/>
        </w:rPr>
      </w:pPr>
      <w:r>
        <w:rPr>
          <w:rFonts w:hint="eastAsia" w:ascii="宋体" w:hAnsi="宋体" w:cs="宋体"/>
          <w:sz w:val="24"/>
        </w:rPr>
        <w:t>2.2.</w:t>
      </w:r>
      <w:r>
        <w:rPr>
          <w:rFonts w:hint="eastAsia" w:ascii="宋体" w:hAnsi="宋体" w:cs="宋体"/>
          <w:sz w:val="24"/>
          <w:lang w:val="en-US" w:eastAsia="zh-CN"/>
        </w:rPr>
        <w:t>6</w:t>
      </w:r>
      <w:r>
        <w:rPr>
          <w:rFonts w:hint="eastAsia" w:ascii="宋体" w:hAnsi="宋体" w:cs="宋体"/>
          <w:sz w:val="24"/>
        </w:rPr>
        <w:t>商务技术偏离表；</w:t>
      </w:r>
    </w:p>
    <w:p>
      <w:pPr>
        <w:keepNext w:val="0"/>
        <w:keepLines w:val="0"/>
        <w:pageBreakBefore w:val="0"/>
        <w:widowControl w:val="0"/>
        <w:kinsoku/>
        <w:wordWrap/>
        <w:overflowPunct/>
        <w:topLinePunct w:val="0"/>
        <w:autoSpaceDE/>
        <w:autoSpaceDN/>
        <w:bidi w:val="0"/>
        <w:adjustRightInd w:val="0"/>
        <w:snapToGrid/>
        <w:spacing w:line="400" w:lineRule="exact"/>
        <w:ind w:left="420" w:leftChars="200" w:firstLine="480" w:firstLineChars="200"/>
        <w:textAlignment w:val="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采购供应商廉洁自律承诺书；</w:t>
      </w:r>
    </w:p>
    <w:p>
      <w:pPr>
        <w:keepNext w:val="0"/>
        <w:keepLines w:val="0"/>
        <w:pageBreakBefore w:val="0"/>
        <w:widowControl w:val="0"/>
        <w:kinsoku/>
        <w:wordWrap/>
        <w:overflowPunct/>
        <w:topLinePunct w:val="0"/>
        <w:autoSpaceDE/>
        <w:autoSpaceDN/>
        <w:bidi w:val="0"/>
        <w:adjustRightInd w:val="0"/>
        <w:snapToGrid/>
        <w:spacing w:line="400" w:lineRule="exact"/>
        <w:ind w:left="210" w:leftChars="100"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keepNext w:val="0"/>
        <w:keepLines w:val="0"/>
        <w:pageBreakBefore w:val="0"/>
        <w:widowControl w:val="0"/>
        <w:kinsoku/>
        <w:wordWrap/>
        <w:overflowPunct/>
        <w:topLinePunct w:val="0"/>
        <w:autoSpaceDE/>
        <w:autoSpaceDN/>
        <w:bidi w:val="0"/>
        <w:adjustRightInd w:val="0"/>
        <w:snapToGrid/>
        <w:spacing w:line="400" w:lineRule="exact"/>
        <w:ind w:left="420" w:leftChars="200" w:firstLine="480" w:firstLineChars="200"/>
        <w:textAlignment w:val="auto"/>
        <w:rPr>
          <w:rFonts w:hint="eastAsia" w:ascii="宋体" w:hAnsi="宋体" w:eastAsia="宋体" w:cs="宋体"/>
          <w:sz w:val="24"/>
          <w:lang w:val="en-US" w:eastAsia="zh-CN"/>
        </w:rPr>
      </w:pPr>
      <w:r>
        <w:rPr>
          <w:rFonts w:hint="eastAsia" w:ascii="宋体" w:hAnsi="宋体" w:cs="宋体"/>
          <w:sz w:val="24"/>
        </w:rPr>
        <w:t>2.3.1开标一览表（报价表）</w:t>
      </w:r>
      <w:r>
        <w:rPr>
          <w:rFonts w:hint="eastAsia" w:ascii="宋体" w:hAnsi="宋体" w:cs="宋体"/>
          <w:sz w:val="24"/>
          <w:lang w:val="en-US"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rPr>
        <w:t>3、我方承诺除商务技术偏离表列出的偏离外，我方响应交易文件的全部要求。</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rPr>
        <w:t>4、如我方中标，我方承诺：</w:t>
      </w:r>
    </w:p>
    <w:p>
      <w:pPr>
        <w:keepNext w:val="0"/>
        <w:keepLines w:val="0"/>
        <w:pageBreakBefore w:val="0"/>
        <w:widowControl w:val="0"/>
        <w:kinsoku/>
        <w:wordWrap/>
        <w:overflowPunct/>
        <w:topLinePunct w:val="0"/>
        <w:autoSpaceDE/>
        <w:autoSpaceDN/>
        <w:bidi w:val="0"/>
        <w:adjustRightInd w:val="0"/>
        <w:snapToGrid/>
        <w:spacing w:line="400" w:lineRule="exact"/>
        <w:ind w:left="210" w:leftChars="100" w:firstLine="480" w:firstLineChars="200"/>
        <w:textAlignment w:val="auto"/>
        <w:rPr>
          <w:rFonts w:ascii="宋体" w:hAnsi="宋体" w:cs="宋体"/>
          <w:sz w:val="24"/>
        </w:rPr>
      </w:pPr>
      <w:r>
        <w:rPr>
          <w:rFonts w:hint="eastAsia" w:ascii="宋体" w:hAnsi="宋体" w:cs="宋体"/>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spacing w:line="400" w:lineRule="exact"/>
        <w:ind w:left="210" w:leftChars="100" w:firstLine="480" w:firstLineChars="200"/>
        <w:textAlignment w:val="auto"/>
        <w:rPr>
          <w:rFonts w:ascii="宋体" w:hAnsi="宋体" w:cs="宋体"/>
          <w:sz w:val="24"/>
        </w:rPr>
      </w:pPr>
      <w:r>
        <w:rPr>
          <w:rFonts w:hint="eastAsia" w:ascii="宋体" w:hAnsi="宋体" w:cs="宋体"/>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spacing w:line="400" w:lineRule="exact"/>
        <w:ind w:left="210" w:leftChars="100" w:firstLine="480" w:firstLineChars="200"/>
        <w:textAlignment w:val="auto"/>
        <w:rPr>
          <w:rFonts w:ascii="宋体" w:hAnsi="宋体" w:cs="宋体"/>
          <w:sz w:val="24"/>
        </w:rPr>
      </w:pPr>
      <w:r>
        <w:rPr>
          <w:rFonts w:hint="eastAsia" w:ascii="宋体" w:hAnsi="宋体" w:cs="宋体"/>
          <w:sz w:val="24"/>
        </w:rPr>
        <w:t xml:space="preserve">4.3按照交易文件要求提交履约保证金； </w:t>
      </w:r>
    </w:p>
    <w:p>
      <w:pPr>
        <w:keepNext w:val="0"/>
        <w:keepLines w:val="0"/>
        <w:pageBreakBefore w:val="0"/>
        <w:widowControl w:val="0"/>
        <w:kinsoku/>
        <w:wordWrap/>
        <w:overflowPunct/>
        <w:topLinePunct w:val="0"/>
        <w:autoSpaceDE/>
        <w:autoSpaceDN/>
        <w:bidi w:val="0"/>
        <w:adjustRightInd w:val="0"/>
        <w:snapToGrid/>
        <w:spacing w:line="400" w:lineRule="exact"/>
        <w:ind w:left="210" w:leftChars="100" w:firstLine="480" w:firstLineChars="200"/>
        <w:textAlignment w:val="auto"/>
        <w:rPr>
          <w:rFonts w:ascii="宋体" w:hAnsi="宋体" w:cs="宋体"/>
          <w:sz w:val="24"/>
        </w:rPr>
      </w:pPr>
      <w:r>
        <w:rPr>
          <w:rFonts w:hint="eastAsia" w:ascii="宋体" w:hAnsi="宋体" w:cs="宋体"/>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spacing w:line="400" w:lineRule="exact"/>
        <w:ind w:left="210" w:leftChars="100" w:firstLine="480" w:firstLineChars="200"/>
        <w:textAlignment w:val="auto"/>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spacing w:line="400" w:lineRule="exact"/>
        <w:ind w:firstLine="3600" w:firstLineChars="1500"/>
        <w:textAlignment w:val="auto"/>
        <w:rPr>
          <w:rFonts w:ascii="宋体" w:hAnsi="宋体" w:cs="宋体"/>
          <w:sz w:val="24"/>
        </w:rPr>
      </w:pPr>
      <w:r>
        <w:rPr>
          <w:rFonts w:hint="eastAsia" w:ascii="宋体" w:hAnsi="宋体" w:cs="宋体"/>
          <w:sz w:val="24"/>
        </w:rPr>
        <w:t xml:space="preserve">投标人名称（电子签名）：                          </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宋体"/>
          <w:sz w:val="24"/>
        </w:rPr>
      </w:pPr>
      <w:r>
        <w:rPr>
          <w:rFonts w:hint="eastAsia" w:ascii="宋体" w:hAnsi="宋体" w:cs="宋体"/>
          <w:sz w:val="24"/>
        </w:rPr>
        <w:t xml:space="preserve">     日期：  年   月   日</w:t>
      </w:r>
    </w:p>
    <w:p>
      <w:pPr>
        <w:keepNext w:val="0"/>
        <w:keepLines w:val="0"/>
        <w:pageBreakBefore w:val="0"/>
        <w:widowControl w:val="0"/>
        <w:kinsoku/>
        <w:wordWrap/>
        <w:overflowPunct/>
        <w:topLinePunct w:val="0"/>
        <w:autoSpaceDE/>
        <w:autoSpaceDN/>
        <w:bidi w:val="0"/>
        <w:adjustRightInd w:val="0"/>
        <w:snapToGrid/>
        <w:spacing w:line="400" w:lineRule="exact"/>
        <w:ind w:left="420" w:leftChars="200" w:firstLine="4200" w:firstLineChars="1750"/>
        <w:textAlignment w:val="auto"/>
        <w:rPr>
          <w:rFonts w:ascii="宋体" w:hAnsi="宋体" w:cs="宋体"/>
          <w:kern w:val="0"/>
          <w:sz w:val="24"/>
          <w:u w:val="single"/>
        </w:rPr>
      </w:pPr>
    </w:p>
    <w:p>
      <w:pPr>
        <w:keepNext w:val="0"/>
        <w:keepLines w:val="0"/>
        <w:pageBreakBefore w:val="0"/>
        <w:widowControl w:val="0"/>
        <w:kinsoku/>
        <w:wordWrap/>
        <w:overflowPunct/>
        <w:topLinePunct w:val="0"/>
        <w:autoSpaceDE/>
        <w:autoSpaceDN/>
        <w:bidi w:val="0"/>
        <w:adjustRightInd w:val="0"/>
        <w:snapToGrid/>
        <w:spacing w:line="400" w:lineRule="exact"/>
        <w:ind w:right="420"/>
        <w:textAlignment w:val="auto"/>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w:t>
      </w:r>
    </w:p>
    <w:p>
      <w:pPr>
        <w:jc w:val="center"/>
        <w:rPr>
          <w:rFonts w:ascii="宋体" w:hAnsi="宋体" w:cs="宋体"/>
          <w:b/>
          <w:kern w:val="0"/>
          <w:sz w:val="32"/>
          <w:szCs w:val="32"/>
          <w:lang w:val="zh-CN"/>
        </w:rPr>
      </w:pPr>
      <w:r>
        <w:rPr>
          <w:rFonts w:hint="eastAsia" w:ascii="宋体" w:hAnsi="宋体" w:cs="宋体"/>
          <w:b/>
          <w:kern w:val="0"/>
          <w:sz w:val="32"/>
          <w:szCs w:val="32"/>
          <w:lang w:val="zh-CN"/>
        </w:rPr>
        <w:t>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8"/>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sz w:val="24"/>
              </w:rPr>
            </w:pPr>
            <w:r>
              <w:rPr>
                <w:rFonts w:hint="eastAsia" w:hAnsi="宋体" w:cs="宋体"/>
                <w:bCs/>
                <w:sz w:val="24"/>
              </w:rPr>
              <w:t>正面：                                 反面：</w:t>
            </w:r>
          </w:p>
          <w:p>
            <w:pPr>
              <w:pStyle w:val="14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hint="eastAsia" w:ascii="宋体" w:hAnsi="宋体" w:cs="宋体"/>
          <w:b/>
          <w:kern w:val="0"/>
          <w:sz w:val="32"/>
          <w:szCs w:val="32"/>
        </w:rPr>
      </w:pPr>
      <w:r>
        <w:rPr>
          <w:rFonts w:hint="eastAsia" w:ascii="宋体" w:hAnsi="宋体" w:cs="宋体"/>
          <w:b/>
          <w:kern w:val="0"/>
          <w:sz w:val="32"/>
          <w:szCs w:val="32"/>
        </w:rPr>
        <w:br w:type="page"/>
      </w:r>
    </w:p>
    <w:p>
      <w:pPr>
        <w:jc w:val="center"/>
        <w:rPr>
          <w:rFonts w:hint="eastAsia"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、符合性审查资料</w:t>
      </w:r>
    </w:p>
    <w:tbl>
      <w:tblPr>
        <w:tblStyle w:val="6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07"/>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707"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707" w:type="dxa"/>
            <w:vAlign w:val="center"/>
          </w:tcPr>
          <w:p>
            <w:pPr>
              <w:rPr>
                <w:rFonts w:ascii="宋体" w:hAnsi="宋体" w:cs="宋体"/>
                <w:sz w:val="24"/>
              </w:rPr>
            </w:pPr>
            <w:r>
              <w:rPr>
                <w:rFonts w:hint="eastAsia" w:ascii="宋体" w:hAnsi="宋体" w:cs="宋体"/>
                <w:sz w:val="24"/>
              </w:rPr>
              <w:t>投标文件按照交易文件要求签署、盖章。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pPr>
              <w:jc w:val="center"/>
              <w:rPr>
                <w:rFonts w:ascii="宋体" w:hAnsi="宋体" w:cs="宋体"/>
                <w:sz w:val="24"/>
              </w:rPr>
            </w:pPr>
            <w:r>
              <w:rPr>
                <w:rFonts w:hint="eastAsia" w:ascii="宋体" w:hAnsi="宋体" w:cs="宋体"/>
                <w:sz w:val="24"/>
              </w:rPr>
              <w:t>见投标文件</w:t>
            </w:r>
          </w:p>
          <w:p>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707" w:type="dxa"/>
            <w:vAlign w:val="center"/>
          </w:tcPr>
          <w:p>
            <w:pPr>
              <w:rPr>
                <w:rFonts w:ascii="宋体" w:hAnsi="宋体" w:cs="宋体"/>
                <w:sz w:val="24"/>
              </w:rPr>
            </w:pPr>
            <w:r>
              <w:rPr>
                <w:rFonts w:hint="eastAsia" w:ascii="宋体" w:hAnsi="宋体" w:cs="宋体"/>
                <w:sz w:val="24"/>
              </w:rPr>
              <w:t>采购人拟采购的产品属于政府强制采购的节能产品品目清单范围的，投标人按交易文件要求提供国家确定的认证机构出具的、处于有效期之内的节能产品认证证书。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jc w:val="center"/>
              <w:rPr>
                <w:rFonts w:ascii="宋体" w:hAnsi="宋体" w:cs="宋体"/>
                <w:sz w:val="24"/>
              </w:rPr>
            </w:pPr>
            <w:r>
              <w:rPr>
                <w:rFonts w:hint="eastAsia" w:ascii="宋体" w:hAnsi="宋体" w:cs="宋体"/>
                <w:sz w:val="24"/>
              </w:rPr>
              <w:t>见投标文件</w:t>
            </w:r>
          </w:p>
          <w:p>
            <w:pPr>
              <w:pStyle w:val="5"/>
              <w:jc w:val="center"/>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707" w:type="dxa"/>
            <w:vAlign w:val="center"/>
          </w:tcPr>
          <w:p>
            <w:pPr>
              <w:rPr>
                <w:rFonts w:ascii="宋体" w:hAnsi="宋体" w:cs="宋体"/>
                <w:sz w:val="24"/>
              </w:rPr>
            </w:pPr>
            <w:r>
              <w:rPr>
                <w:rFonts w:hint="eastAsia" w:ascii="宋体" w:hAnsi="宋体" w:cs="宋体"/>
                <w:sz w:val="24"/>
              </w:rPr>
              <w:t>投标文件中承诺的投标有效期不少于交易文件中载明的投标有效期。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center"/>
          </w:tcPr>
          <w:p>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4</w:t>
            </w:r>
          </w:p>
        </w:tc>
        <w:tc>
          <w:tcPr>
            <w:tcW w:w="4707" w:type="dxa"/>
            <w:vAlign w:val="center"/>
          </w:tcPr>
          <w:p>
            <w:pPr>
              <w:rPr>
                <w:rFonts w:ascii="宋体" w:hAnsi="宋体" w:cs="宋体"/>
                <w:sz w:val="24"/>
              </w:rPr>
            </w:pPr>
            <w:r>
              <w:rPr>
                <w:rFonts w:hint="eastAsia" w:ascii="宋体" w:hAnsi="宋体" w:cs="宋体"/>
                <w:sz w:val="24"/>
              </w:rPr>
              <w:t>投标文件满足交易文件的其它实质性要求。</w:t>
            </w:r>
          </w:p>
        </w:tc>
        <w:tc>
          <w:tcPr>
            <w:tcW w:w="2551" w:type="dxa"/>
            <w:vAlign w:val="center"/>
          </w:tcPr>
          <w:p>
            <w:pPr>
              <w:rPr>
                <w:rFonts w:ascii="宋体" w:hAnsi="宋体" w:cs="宋体"/>
                <w:sz w:val="24"/>
              </w:rPr>
            </w:pPr>
            <w:r>
              <w:rPr>
                <w:rFonts w:hint="eastAsia" w:ascii="宋体" w:hAnsi="宋体" w:cs="宋体"/>
                <w:kern w:val="0"/>
                <w:sz w:val="24"/>
              </w:rPr>
              <w:t>交易文件其它实质性要求相应的材料（“▲” 系指实质性要求条款，交易文件无其它实质性要求的，无需提供）</w:t>
            </w:r>
          </w:p>
        </w:tc>
        <w:tc>
          <w:tcPr>
            <w:tcW w:w="1418" w:type="dxa"/>
            <w:vAlign w:val="center"/>
          </w:tcPr>
          <w:p>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lang w:val="en-US" w:eastAsia="zh-CN"/>
        </w:rPr>
        <w:t>四</w:t>
      </w:r>
      <w:r>
        <w:rPr>
          <w:rFonts w:hint="eastAsia" w:ascii="宋体" w:hAnsi="宋体" w:cs="宋体"/>
          <w:b/>
          <w:kern w:val="0"/>
          <w:sz w:val="32"/>
          <w:szCs w:val="32"/>
        </w:rPr>
        <w:t>、评标标准相应的商务技术资料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（按交易文件第四部分评标办法前附表中“投标文件中评标标准相应的商务技术资料目录”提供资料。）</w:t>
      </w:r>
    </w:p>
    <w:p>
      <w:pPr>
        <w:rPr>
          <w:rFonts w:ascii="宋体" w:hAnsi="宋体" w:cs="宋体"/>
          <w:b/>
          <w:kern w:val="0"/>
          <w:sz w:val="32"/>
          <w:szCs w:val="32"/>
        </w:rPr>
      </w:pPr>
    </w:p>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
      <w:pPr>
        <w:jc w:val="center"/>
        <w:rPr>
          <w:rFonts w:ascii="宋体" w:hAnsi="宋体" w:cs="宋体"/>
          <w:b/>
          <w:kern w:val="0"/>
          <w:sz w:val="32"/>
          <w:szCs w:val="32"/>
        </w:rPr>
      </w:pPr>
      <w:r>
        <w:rPr>
          <w:rFonts w:hint="eastAsia" w:ascii="宋体" w:hAnsi="宋体" w:cs="宋体"/>
          <w:b/>
          <w:kern w:val="0"/>
          <w:sz w:val="32"/>
          <w:szCs w:val="32"/>
          <w:lang w:val="en-US" w:eastAsia="zh-CN"/>
        </w:rPr>
        <w:t>六</w:t>
      </w:r>
      <w:r>
        <w:rPr>
          <w:rFonts w:hint="eastAsia" w:ascii="宋体" w:hAnsi="宋体" w:cs="宋体"/>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rFonts w:ascii="宋体" w:hAnsi="宋体" w:cs="宋体"/>
                <w:b/>
                <w:bCs/>
                <w:sz w:val="24"/>
              </w:rPr>
            </w:pPr>
            <w:r>
              <w:rPr>
                <w:rFonts w:hint="eastAsia" w:ascii="宋体" w:hAnsi="宋体" w:cs="宋体"/>
                <w:b/>
                <w:bCs/>
                <w:sz w:val="24"/>
              </w:rPr>
              <w:t>序号</w:t>
            </w:r>
          </w:p>
        </w:tc>
        <w:tc>
          <w:tcPr>
            <w:tcW w:w="3683" w:type="dxa"/>
            <w:vAlign w:val="center"/>
          </w:tcPr>
          <w:p>
            <w:pPr>
              <w:jc w:val="center"/>
              <w:rPr>
                <w:rFonts w:ascii="宋体" w:hAnsi="宋体" w:cs="宋体"/>
                <w:b/>
                <w:bCs/>
                <w:sz w:val="24"/>
              </w:rPr>
            </w:pPr>
            <w:r>
              <w:rPr>
                <w:rFonts w:hint="eastAsia" w:ascii="宋体" w:hAnsi="宋体" w:cs="宋体"/>
                <w:b/>
                <w:bCs/>
                <w:sz w:val="24"/>
              </w:rPr>
              <w:t>交易文件章节及具体内容</w:t>
            </w:r>
          </w:p>
        </w:tc>
        <w:tc>
          <w:tcPr>
            <w:tcW w:w="3546" w:type="dxa"/>
            <w:vAlign w:val="center"/>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rFonts w:ascii="宋体" w:hAnsi="宋体" w:cs="宋体"/>
                <w:kern w:val="0"/>
                <w:sz w:val="24"/>
              </w:rPr>
            </w:pPr>
            <w:r>
              <w:rPr>
                <w:rFonts w:hint="eastAsia" w:ascii="宋体" w:hAnsi="宋体" w:cs="宋体"/>
                <w:kern w:val="0"/>
                <w:sz w:val="24"/>
              </w:rPr>
              <w:t>1</w:t>
            </w:r>
          </w:p>
        </w:tc>
        <w:tc>
          <w:tcPr>
            <w:tcW w:w="3683" w:type="dxa"/>
            <w:vAlign w:val="center"/>
          </w:tcPr>
          <w:p>
            <w:pPr>
              <w:jc w:val="center"/>
              <w:rPr>
                <w:rFonts w:ascii="宋体" w:hAnsi="宋体" w:cs="宋体"/>
                <w:b/>
                <w:kern w:val="0"/>
                <w:sz w:val="32"/>
                <w:szCs w:val="32"/>
              </w:rPr>
            </w:pPr>
          </w:p>
        </w:tc>
        <w:tc>
          <w:tcPr>
            <w:tcW w:w="3546" w:type="dxa"/>
            <w:vAlign w:val="center"/>
          </w:tcPr>
          <w:p>
            <w:pPr>
              <w:jc w:val="center"/>
              <w:rPr>
                <w:rFonts w:ascii="宋体" w:hAnsi="宋体" w:cs="宋体"/>
                <w:b/>
                <w:kern w:val="0"/>
                <w:sz w:val="32"/>
                <w:szCs w:val="32"/>
              </w:rPr>
            </w:pPr>
          </w:p>
        </w:tc>
        <w:tc>
          <w:tcPr>
            <w:tcW w:w="1276" w:type="dxa"/>
            <w:vAlign w:val="center"/>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rFonts w:ascii="宋体" w:hAnsi="宋体" w:cs="宋体"/>
                <w:kern w:val="0"/>
                <w:sz w:val="24"/>
              </w:rPr>
            </w:pPr>
            <w:r>
              <w:rPr>
                <w:rFonts w:hint="eastAsia" w:ascii="宋体" w:hAnsi="宋体" w:cs="宋体"/>
                <w:kern w:val="0"/>
                <w:sz w:val="24"/>
              </w:rPr>
              <w:t>2</w:t>
            </w:r>
          </w:p>
        </w:tc>
        <w:tc>
          <w:tcPr>
            <w:tcW w:w="3683" w:type="dxa"/>
            <w:vAlign w:val="center"/>
          </w:tcPr>
          <w:p>
            <w:pPr>
              <w:jc w:val="center"/>
              <w:rPr>
                <w:rFonts w:ascii="宋体" w:hAnsi="宋体" w:cs="宋体"/>
                <w:b/>
                <w:kern w:val="0"/>
                <w:sz w:val="32"/>
                <w:szCs w:val="32"/>
              </w:rPr>
            </w:pPr>
          </w:p>
        </w:tc>
        <w:tc>
          <w:tcPr>
            <w:tcW w:w="3546" w:type="dxa"/>
            <w:vAlign w:val="center"/>
          </w:tcPr>
          <w:p>
            <w:pPr>
              <w:jc w:val="center"/>
              <w:rPr>
                <w:rFonts w:ascii="宋体" w:hAnsi="宋体" w:cs="宋体"/>
                <w:b/>
                <w:kern w:val="0"/>
                <w:sz w:val="32"/>
                <w:szCs w:val="32"/>
              </w:rPr>
            </w:pPr>
          </w:p>
        </w:tc>
        <w:tc>
          <w:tcPr>
            <w:tcW w:w="1276" w:type="dxa"/>
            <w:vAlign w:val="center"/>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rFonts w:ascii="宋体" w:hAnsi="宋体" w:cs="宋体"/>
                <w:kern w:val="0"/>
                <w:sz w:val="24"/>
              </w:rPr>
            </w:pPr>
            <w:r>
              <w:rPr>
                <w:rFonts w:hint="eastAsia" w:ascii="宋体" w:hAnsi="宋体" w:cs="宋体"/>
                <w:kern w:val="0"/>
                <w:sz w:val="24"/>
              </w:rPr>
              <w:t>……</w:t>
            </w:r>
          </w:p>
        </w:tc>
        <w:tc>
          <w:tcPr>
            <w:tcW w:w="3683" w:type="dxa"/>
            <w:vAlign w:val="center"/>
          </w:tcPr>
          <w:p>
            <w:pPr>
              <w:jc w:val="center"/>
              <w:rPr>
                <w:rFonts w:ascii="宋体" w:hAnsi="宋体" w:cs="宋体"/>
                <w:b/>
                <w:kern w:val="0"/>
                <w:sz w:val="32"/>
                <w:szCs w:val="32"/>
              </w:rPr>
            </w:pPr>
          </w:p>
        </w:tc>
        <w:tc>
          <w:tcPr>
            <w:tcW w:w="3546" w:type="dxa"/>
            <w:vAlign w:val="center"/>
          </w:tcPr>
          <w:p>
            <w:pPr>
              <w:jc w:val="center"/>
              <w:rPr>
                <w:rFonts w:ascii="宋体" w:hAnsi="宋体" w:cs="宋体"/>
                <w:b/>
                <w:kern w:val="0"/>
                <w:sz w:val="32"/>
                <w:szCs w:val="32"/>
              </w:rPr>
            </w:pPr>
          </w:p>
        </w:tc>
        <w:tc>
          <w:tcPr>
            <w:tcW w:w="1276" w:type="dxa"/>
            <w:vAlign w:val="center"/>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投标人保证：除商务技术偏离表列出的偏离外，投标人响应交易文件的全部要求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bCs/>
          <w:sz w:val="32"/>
          <w:szCs w:val="32"/>
        </w:rPr>
      </w:pPr>
    </w:p>
    <w:p>
      <w:pPr>
        <w:ind w:firstLine="1911" w:firstLineChars="595"/>
        <w:rPr>
          <w:rFonts w:ascii="宋体" w:hAnsi="宋体" w:cs="宋体"/>
          <w:b/>
          <w:kern w:val="0"/>
          <w:sz w:val="32"/>
          <w:szCs w:val="32"/>
        </w:rPr>
      </w:pPr>
      <w:r>
        <w:rPr>
          <w:rFonts w:hint="eastAsia" w:ascii="宋体" w:hAnsi="宋体" w:cs="宋体"/>
          <w:b/>
          <w:bCs/>
          <w:sz w:val="32"/>
          <w:szCs w:val="32"/>
          <w:lang w:val="en-US" w:eastAsia="zh-CN"/>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按你方交易文件要求，我们，本投标文件签字方，谨此向你方发出要约如下：如你方接受本投标，我方承诺按照如下开标一览表（报价表）的价格完成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90"/>
        <w:gridCol w:w="2550"/>
        <w:gridCol w:w="2838"/>
        <w:gridCol w:w="2100"/>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17" w:type="dxa"/>
            <w:vAlign w:val="center"/>
          </w:tcPr>
          <w:p>
            <w:pPr>
              <w:jc w:val="center"/>
              <w:rPr>
                <w:rFonts w:ascii="宋体" w:hAnsi="宋体" w:cs="宋体"/>
                <w:b/>
                <w:sz w:val="24"/>
              </w:rPr>
            </w:pPr>
            <w:r>
              <w:rPr>
                <w:rFonts w:hint="eastAsia" w:ascii="宋体" w:hAnsi="宋体" w:cs="宋体"/>
                <w:b/>
                <w:sz w:val="24"/>
              </w:rPr>
              <w:t>序号</w:t>
            </w:r>
          </w:p>
        </w:tc>
        <w:tc>
          <w:tcPr>
            <w:tcW w:w="3490" w:type="dxa"/>
            <w:vAlign w:val="center"/>
          </w:tcPr>
          <w:p>
            <w:pPr>
              <w:jc w:val="center"/>
              <w:rPr>
                <w:rFonts w:ascii="宋体" w:hAnsi="宋体" w:cs="宋体"/>
                <w:b/>
                <w:sz w:val="24"/>
              </w:rPr>
            </w:pPr>
            <w:r>
              <w:rPr>
                <w:rFonts w:hint="eastAsia" w:ascii="宋体" w:hAnsi="宋体" w:cs="宋体"/>
                <w:b/>
                <w:sz w:val="24"/>
              </w:rPr>
              <w:t>名称</w:t>
            </w:r>
          </w:p>
        </w:tc>
        <w:tc>
          <w:tcPr>
            <w:tcW w:w="2550" w:type="dxa"/>
            <w:vAlign w:val="center"/>
          </w:tcPr>
          <w:p>
            <w:pPr>
              <w:jc w:val="center"/>
              <w:rPr>
                <w:rFonts w:ascii="宋体" w:hAnsi="宋体" w:cs="宋体"/>
                <w:b/>
                <w:sz w:val="24"/>
              </w:rPr>
            </w:pPr>
            <w:r>
              <w:rPr>
                <w:rFonts w:hint="eastAsia" w:ascii="宋体" w:hAnsi="宋体" w:cs="宋体"/>
                <w:b/>
                <w:sz w:val="24"/>
              </w:rPr>
              <w:t>品牌（如果有）</w:t>
            </w:r>
          </w:p>
        </w:tc>
        <w:tc>
          <w:tcPr>
            <w:tcW w:w="2838" w:type="dxa"/>
            <w:vAlign w:val="center"/>
          </w:tcPr>
          <w:p>
            <w:pPr>
              <w:jc w:val="center"/>
              <w:rPr>
                <w:rFonts w:ascii="宋体" w:hAnsi="宋体" w:cs="宋体"/>
                <w:b/>
                <w:sz w:val="24"/>
              </w:rPr>
            </w:pPr>
            <w:r>
              <w:rPr>
                <w:rFonts w:hint="eastAsia" w:ascii="宋体" w:hAnsi="宋体" w:cs="宋体"/>
                <w:b/>
                <w:sz w:val="24"/>
              </w:rPr>
              <w:t>规格型号（或具体服务）</w:t>
            </w:r>
          </w:p>
        </w:tc>
        <w:tc>
          <w:tcPr>
            <w:tcW w:w="2100" w:type="dxa"/>
            <w:vAlign w:val="center"/>
          </w:tcPr>
          <w:p>
            <w:pPr>
              <w:jc w:val="center"/>
              <w:rPr>
                <w:rFonts w:hint="default" w:ascii="宋体" w:hAnsi="宋体" w:eastAsia="宋体" w:cs="宋体"/>
                <w:b/>
                <w:sz w:val="24"/>
                <w:lang w:val="en-US" w:eastAsia="zh-CN"/>
              </w:rPr>
            </w:pPr>
            <w:r>
              <w:rPr>
                <w:rFonts w:hint="eastAsia" w:ascii="宋体" w:hAnsi="宋体" w:eastAsia="宋体" w:cs="宋体"/>
                <w:b/>
                <w:color w:val="auto"/>
                <w:sz w:val="24"/>
                <w:lang w:val="en-US" w:eastAsia="zh-CN"/>
              </w:rPr>
              <w:t>投标上浮率</w:t>
            </w:r>
          </w:p>
        </w:tc>
        <w:tc>
          <w:tcPr>
            <w:tcW w:w="2612" w:type="dxa"/>
            <w:vAlign w:val="center"/>
          </w:tcPr>
          <w:p>
            <w:pPr>
              <w:jc w:val="center"/>
              <w:rPr>
                <w:rFonts w:ascii="宋体" w:hAnsi="宋体" w:cs="宋体"/>
                <w:b/>
                <w:sz w:val="24"/>
              </w:rPr>
            </w:pPr>
            <w:r>
              <w:rPr>
                <w:rFonts w:hint="eastAsia" w:ascii="宋体" w:hAnsi="宋体" w:cs="宋体"/>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17" w:type="dxa"/>
            <w:vAlign w:val="center"/>
          </w:tcPr>
          <w:p>
            <w:pPr>
              <w:jc w:val="center"/>
              <w:rPr>
                <w:rFonts w:ascii="宋体" w:hAnsi="宋体" w:cs="宋体"/>
                <w:sz w:val="24"/>
              </w:rPr>
            </w:pPr>
            <w:r>
              <w:rPr>
                <w:rFonts w:hint="eastAsia" w:ascii="宋体" w:hAnsi="宋体" w:cs="宋体"/>
                <w:sz w:val="24"/>
              </w:rPr>
              <w:t>1</w:t>
            </w:r>
          </w:p>
        </w:tc>
        <w:tc>
          <w:tcPr>
            <w:tcW w:w="34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4"/>
              </w:rPr>
            </w:pPr>
            <w:r>
              <w:rPr>
                <w:rFonts w:hint="eastAsia" w:ascii="宋体" w:hAnsi="宋体" w:cs="宋体"/>
                <w:bCs/>
                <w:sz w:val="24"/>
                <w:szCs w:val="24"/>
                <w:lang w:eastAsia="zh-CN"/>
              </w:rPr>
              <w:t>杭州市萧山区中医院蛋糕券采购项目</w:t>
            </w:r>
          </w:p>
        </w:tc>
        <w:tc>
          <w:tcPr>
            <w:tcW w:w="2550" w:type="dxa"/>
            <w:vAlign w:val="center"/>
          </w:tcPr>
          <w:p>
            <w:pPr>
              <w:snapToGrid w:val="0"/>
              <w:jc w:val="center"/>
              <w:rPr>
                <w:rFonts w:ascii="宋体" w:hAnsi="宋体" w:cs="宋体"/>
                <w:sz w:val="24"/>
              </w:rPr>
            </w:pPr>
          </w:p>
        </w:tc>
        <w:tc>
          <w:tcPr>
            <w:tcW w:w="2838" w:type="dxa"/>
            <w:vAlign w:val="center"/>
          </w:tcPr>
          <w:p>
            <w:pPr>
              <w:snapToGrid w:val="0"/>
              <w:jc w:val="center"/>
              <w:rPr>
                <w:rFonts w:ascii="宋体" w:hAnsi="宋体" w:cs="宋体"/>
                <w:sz w:val="24"/>
              </w:rPr>
            </w:pPr>
          </w:p>
        </w:tc>
        <w:tc>
          <w:tcPr>
            <w:tcW w:w="2100" w:type="dxa"/>
            <w:vAlign w:val="center"/>
          </w:tcPr>
          <w:p>
            <w:pPr>
              <w:jc w:val="center"/>
              <w:rPr>
                <w:rFonts w:hint="eastAsia" w:ascii="宋体" w:hAnsi="宋体" w:eastAsia="宋体" w:cs="宋体"/>
                <w:sz w:val="24"/>
                <w:lang w:eastAsia="zh-CN"/>
              </w:rPr>
            </w:pPr>
            <w:r>
              <w:rPr>
                <w:rFonts w:hint="eastAsia" w:ascii="宋体" w:hAnsi="宋体" w:eastAsia="宋体" w:cs="宋体"/>
                <w:color w:val="auto"/>
                <w:sz w:val="24"/>
                <w:szCs w:val="28"/>
              </w:rPr>
              <w:t xml:space="preserve">  </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lang w:val="en-US" w:eastAsia="zh-CN"/>
              </w:rPr>
              <w:t>%</w:t>
            </w:r>
          </w:p>
        </w:tc>
        <w:tc>
          <w:tcPr>
            <w:tcW w:w="2612" w:type="dxa"/>
            <w:vAlign w:val="center"/>
          </w:tcPr>
          <w:p>
            <w:pPr>
              <w:jc w:val="center"/>
              <w:rPr>
                <w:rFonts w:ascii="宋体" w:hAnsi="宋体" w:cs="宋体"/>
                <w:sz w:val="24"/>
              </w:rPr>
            </w:pPr>
          </w:p>
        </w:tc>
      </w:tr>
    </w:tbl>
    <w:p>
      <w:pPr>
        <w:keepNext w:val="0"/>
        <w:keepLines w:val="0"/>
        <w:pageBreakBefore w:val="0"/>
        <w:widowControl w:val="0"/>
        <w:kinsoku/>
        <w:wordWrap/>
        <w:overflowPunct/>
        <w:topLinePunct w:val="0"/>
        <w:bidi w:val="0"/>
        <w:adjustRightInd w:val="0"/>
        <w:snapToGrid w:val="0"/>
        <w:spacing w:line="400" w:lineRule="exact"/>
        <w:ind w:left="480"/>
        <w:textAlignment w:val="auto"/>
        <w:rPr>
          <w:rFonts w:ascii="宋体" w:hAnsi="宋体" w:cs="宋体"/>
          <w:b/>
          <w:kern w:val="0"/>
          <w:sz w:val="24"/>
          <w:lang w:val="zh-CN"/>
        </w:rPr>
      </w:pPr>
      <w:r>
        <w:rPr>
          <w:rFonts w:hint="eastAsia" w:ascii="宋体" w:hAnsi="宋体" w:cs="宋体"/>
          <w:b/>
          <w:kern w:val="0"/>
          <w:sz w:val="24"/>
          <w:lang w:val="zh-CN"/>
        </w:rPr>
        <w:t>注：</w:t>
      </w:r>
    </w:p>
    <w:p>
      <w:pPr>
        <w:keepNext w:val="0"/>
        <w:keepLines w:val="0"/>
        <w:pageBreakBefore w:val="0"/>
        <w:widowControl w:val="0"/>
        <w:kinsoku/>
        <w:wordWrap/>
        <w:overflowPunct/>
        <w:topLinePunct w:val="0"/>
        <w:bidi w:val="0"/>
        <w:adjustRightInd w:val="0"/>
        <w:spacing w:line="400" w:lineRule="exact"/>
        <w:ind w:left="-2" w:leftChars="-1" w:firstLine="480" w:firstLineChars="200"/>
        <w:textAlignment w:val="auto"/>
        <w:rPr>
          <w:rFonts w:ascii="宋体" w:hAnsi="宋体" w:cs="宋体"/>
          <w:kern w:val="0"/>
          <w:sz w:val="24"/>
          <w:lang w:val="zh-CN"/>
        </w:rPr>
      </w:pPr>
      <w:r>
        <w:rPr>
          <w:rFonts w:hint="eastAsia" w:ascii="宋体" w:hAnsi="宋体" w:cs="宋体"/>
          <w:kern w:val="0"/>
          <w:sz w:val="24"/>
          <w:lang w:val="zh-CN"/>
        </w:rPr>
        <w:t>1、投标人需按本表格式填写，不得自行更改。</w:t>
      </w:r>
    </w:p>
    <w:p>
      <w:pPr>
        <w:keepNext w:val="0"/>
        <w:keepLines w:val="0"/>
        <w:pageBreakBefore w:val="0"/>
        <w:widowControl w:val="0"/>
        <w:kinsoku/>
        <w:wordWrap/>
        <w:overflowPunct/>
        <w:topLinePunct w:val="0"/>
        <w:bidi w:val="0"/>
        <w:adjustRightInd w:val="0"/>
        <w:spacing w:line="400" w:lineRule="exact"/>
        <w:ind w:firstLine="480" w:firstLineChars="200"/>
        <w:textAlignment w:val="auto"/>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keepNext w:val="0"/>
        <w:keepLines w:val="0"/>
        <w:pageBreakBefore w:val="0"/>
        <w:widowControl w:val="0"/>
        <w:kinsoku/>
        <w:wordWrap/>
        <w:overflowPunct/>
        <w:topLinePunct w:val="0"/>
        <w:bidi w:val="0"/>
        <w:adjustRightInd w:val="0"/>
        <w:snapToGrid w:val="0"/>
        <w:spacing w:line="400" w:lineRule="exact"/>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keepNext w:val="0"/>
        <w:keepLines w:val="0"/>
        <w:pageBreakBefore w:val="0"/>
        <w:widowControl w:val="0"/>
        <w:kinsoku/>
        <w:wordWrap/>
        <w:overflowPunct/>
        <w:topLinePunct w:val="0"/>
        <w:bidi w:val="0"/>
        <w:adjustRightInd w:val="0"/>
        <w:snapToGrid w:val="0"/>
        <w:spacing w:line="400" w:lineRule="exact"/>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4、特别提示：采购机构将对项目名称和交易编号，中标供应商名称、地址和中标金额，主要中标标的的名称、规格型号、数量、单价、服务要求等予以公示。</w:t>
      </w:r>
    </w:p>
    <w:p>
      <w:pPr>
        <w:keepNext w:val="0"/>
        <w:keepLines w:val="0"/>
        <w:pageBreakBefore w:val="0"/>
        <w:widowControl w:val="0"/>
        <w:kinsoku/>
        <w:wordWrap/>
        <w:overflowPunct/>
        <w:topLinePunct w:val="0"/>
        <w:autoSpaceDE w:val="0"/>
        <w:autoSpaceDN w:val="0"/>
        <w:bidi w:val="0"/>
        <w:adjustRightInd w:val="0"/>
        <w:spacing w:line="400" w:lineRule="exact"/>
        <w:ind w:left="2" w:leftChars="1" w:right="1120" w:firstLine="4560" w:firstLineChars="1900"/>
        <w:jc w:val="right"/>
        <w:textAlignment w:val="auto"/>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 xml:space="preserve">  投标人名称（</w:t>
      </w:r>
      <w:r>
        <w:rPr>
          <w:rFonts w:hint="eastAsia" w:ascii="宋体" w:hAnsi="宋体" w:cs="宋体"/>
          <w:sz w:val="24"/>
        </w:rPr>
        <w:t>电子签名</w:t>
      </w:r>
      <w:r>
        <w:rPr>
          <w:rFonts w:hint="eastAsia" w:ascii="宋体" w:hAnsi="宋体" w:cs="宋体"/>
          <w:kern w:val="0"/>
          <w:sz w:val="24"/>
          <w:lang w:val="zh-CN"/>
        </w:rPr>
        <w:t>）：                                                                                                                                                                                                              日期</w:t>
      </w:r>
      <w:r>
        <w:rPr>
          <w:rFonts w:hint="eastAsia" w:ascii="宋体" w:hAnsi="宋体" w:cs="宋体"/>
          <w:kern w:val="0"/>
          <w:sz w:val="24"/>
        </w:rPr>
        <w:t>：</w:t>
      </w:r>
      <w:r>
        <w:rPr>
          <w:rFonts w:hint="eastAsia" w:ascii="宋体" w:hAnsi="宋体" w:cs="宋体"/>
          <w:kern w:val="0"/>
          <w:sz w:val="24"/>
          <w:lang w:val="zh-CN"/>
        </w:rPr>
        <w:t xml:space="preserve">   年   月   日</w:t>
      </w:r>
    </w:p>
    <w:p>
      <w:pPr>
        <w:widowControl/>
        <w:adjustRightInd/>
        <w:jc w:val="left"/>
        <w:rPr>
          <w:rFonts w:ascii="宋体" w:hAnsi="宋体" w:cs="宋体"/>
          <w:b/>
          <w:sz w:val="32"/>
          <w:szCs w:val="32"/>
        </w:rPr>
      </w:pPr>
      <w:r>
        <w:rPr>
          <w:rFonts w:ascii="宋体" w:hAnsi="宋体" w:cs="宋体"/>
          <w:sz w:val="32"/>
          <w:szCs w:val="32"/>
        </w:rPr>
        <w:br w:type="page"/>
      </w: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交易文件获取日期：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rPr>
          <w:rFonts w:ascii="宋体" w:hAnsi="宋体" w:cs="宋体"/>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bookmarkStart w:id="385" w:name="_Toc91899912"/>
    <w:bookmarkStart w:id="386" w:name="_Toc164085800"/>
    <w:bookmarkStart w:id="387" w:name="_Toc36110187"/>
    <w:bookmarkStart w:id="388" w:name="_Toc131845147"/>
    <w:r>
      <w:rPr>
        <w:rFonts w:hint="eastAsia" w:ascii="仿宋_GB2312" w:eastAsia="仿宋_GB2312"/>
        <w:kern w:val="0"/>
        <w:szCs w:val="21"/>
      </w:rPr>
      <w:t xml:space="preserve"> 页</w:t>
    </w:r>
    <w:bookmarkEnd w:id="385"/>
    <w:bookmarkEnd w:id="386"/>
    <w:bookmarkEnd w:id="387"/>
    <w:bookmarkEnd w:id="38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交易文件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交易</w:t>
    </w:r>
    <w:r>
      <w:t>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交易</w:t>
    </w:r>
    <w:r>
      <w:t>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交易</w:t>
    </w:r>
    <w: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交易</w:t>
    </w:r>
    <w:r>
      <w:t>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交易</w:t>
    </w:r>
    <w: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交易</w:t>
    </w:r>
    <w:r>
      <w:t>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交易</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DDBCD"/>
    <w:multiLevelType w:val="singleLevel"/>
    <w:tmpl w:val="03ADDB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MTkxODVlMzMxODk0ODU0ODJlOWQ3Y2JjMmE1ZDgifQ=="/>
  </w:docVars>
  <w:rsids>
    <w:rsidRoot w:val="00172A27"/>
    <w:rsid w:val="00000451"/>
    <w:rsid w:val="0000108B"/>
    <w:rsid w:val="0000133D"/>
    <w:rsid w:val="00001509"/>
    <w:rsid w:val="00001A3C"/>
    <w:rsid w:val="000032B2"/>
    <w:rsid w:val="0000363B"/>
    <w:rsid w:val="000053C6"/>
    <w:rsid w:val="000058BD"/>
    <w:rsid w:val="00005ED5"/>
    <w:rsid w:val="00006109"/>
    <w:rsid w:val="00006150"/>
    <w:rsid w:val="000063E8"/>
    <w:rsid w:val="00006725"/>
    <w:rsid w:val="0000675E"/>
    <w:rsid w:val="00007CAA"/>
    <w:rsid w:val="00010FE9"/>
    <w:rsid w:val="0001122F"/>
    <w:rsid w:val="00011A4B"/>
    <w:rsid w:val="00012251"/>
    <w:rsid w:val="000124E2"/>
    <w:rsid w:val="0001337C"/>
    <w:rsid w:val="000138C4"/>
    <w:rsid w:val="00013C1F"/>
    <w:rsid w:val="00013F31"/>
    <w:rsid w:val="000140D8"/>
    <w:rsid w:val="00014530"/>
    <w:rsid w:val="00014BBC"/>
    <w:rsid w:val="000150EE"/>
    <w:rsid w:val="000168D8"/>
    <w:rsid w:val="00016FA5"/>
    <w:rsid w:val="000170C8"/>
    <w:rsid w:val="000173F4"/>
    <w:rsid w:val="00020287"/>
    <w:rsid w:val="000202FE"/>
    <w:rsid w:val="00020B5F"/>
    <w:rsid w:val="000211BC"/>
    <w:rsid w:val="000217D9"/>
    <w:rsid w:val="0002207B"/>
    <w:rsid w:val="00023114"/>
    <w:rsid w:val="000232FD"/>
    <w:rsid w:val="00023323"/>
    <w:rsid w:val="000233E4"/>
    <w:rsid w:val="00023495"/>
    <w:rsid w:val="00023777"/>
    <w:rsid w:val="000239BD"/>
    <w:rsid w:val="00024130"/>
    <w:rsid w:val="00024584"/>
    <w:rsid w:val="000247F4"/>
    <w:rsid w:val="00024962"/>
    <w:rsid w:val="000249AA"/>
    <w:rsid w:val="00025350"/>
    <w:rsid w:val="000253E5"/>
    <w:rsid w:val="00025776"/>
    <w:rsid w:val="00026EAC"/>
    <w:rsid w:val="000270F2"/>
    <w:rsid w:val="00027540"/>
    <w:rsid w:val="00030572"/>
    <w:rsid w:val="00030A97"/>
    <w:rsid w:val="00030CB3"/>
    <w:rsid w:val="0003206A"/>
    <w:rsid w:val="000326A7"/>
    <w:rsid w:val="00032A51"/>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84C"/>
    <w:rsid w:val="00043907"/>
    <w:rsid w:val="00044106"/>
    <w:rsid w:val="00044F48"/>
    <w:rsid w:val="00047354"/>
    <w:rsid w:val="00050656"/>
    <w:rsid w:val="00050A19"/>
    <w:rsid w:val="000511B6"/>
    <w:rsid w:val="00051B00"/>
    <w:rsid w:val="00051C72"/>
    <w:rsid w:val="00052192"/>
    <w:rsid w:val="0005238F"/>
    <w:rsid w:val="00052787"/>
    <w:rsid w:val="00052BB8"/>
    <w:rsid w:val="00053332"/>
    <w:rsid w:val="0005417A"/>
    <w:rsid w:val="000542B6"/>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1CBD"/>
    <w:rsid w:val="0006283D"/>
    <w:rsid w:val="00064278"/>
    <w:rsid w:val="000646CA"/>
    <w:rsid w:val="0006497D"/>
    <w:rsid w:val="00064B5D"/>
    <w:rsid w:val="00065B4D"/>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2F6"/>
    <w:rsid w:val="00083E07"/>
    <w:rsid w:val="00083F47"/>
    <w:rsid w:val="00084D27"/>
    <w:rsid w:val="00084ED6"/>
    <w:rsid w:val="0008580E"/>
    <w:rsid w:val="00085A0E"/>
    <w:rsid w:val="00085C4F"/>
    <w:rsid w:val="00086EFD"/>
    <w:rsid w:val="00086F7F"/>
    <w:rsid w:val="00086F8A"/>
    <w:rsid w:val="00087031"/>
    <w:rsid w:val="0008799F"/>
    <w:rsid w:val="0009009C"/>
    <w:rsid w:val="00090243"/>
    <w:rsid w:val="000904F6"/>
    <w:rsid w:val="00090918"/>
    <w:rsid w:val="00090ED8"/>
    <w:rsid w:val="00090F9F"/>
    <w:rsid w:val="0009145F"/>
    <w:rsid w:val="0009184E"/>
    <w:rsid w:val="000918D6"/>
    <w:rsid w:val="00091B4E"/>
    <w:rsid w:val="00092467"/>
    <w:rsid w:val="00092D1E"/>
    <w:rsid w:val="00092FE9"/>
    <w:rsid w:val="000936BF"/>
    <w:rsid w:val="0009382F"/>
    <w:rsid w:val="00093A30"/>
    <w:rsid w:val="00094342"/>
    <w:rsid w:val="000945BA"/>
    <w:rsid w:val="00095954"/>
    <w:rsid w:val="000960BA"/>
    <w:rsid w:val="0009662A"/>
    <w:rsid w:val="0009690D"/>
    <w:rsid w:val="00096DFF"/>
    <w:rsid w:val="000A03F1"/>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A7A12"/>
    <w:rsid w:val="000B04BD"/>
    <w:rsid w:val="000B0C8F"/>
    <w:rsid w:val="000B0E04"/>
    <w:rsid w:val="000B268D"/>
    <w:rsid w:val="000B291B"/>
    <w:rsid w:val="000B2C14"/>
    <w:rsid w:val="000B2DD1"/>
    <w:rsid w:val="000B4124"/>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C7C70"/>
    <w:rsid w:val="000D0124"/>
    <w:rsid w:val="000D11E5"/>
    <w:rsid w:val="000D19E8"/>
    <w:rsid w:val="000D1FA1"/>
    <w:rsid w:val="000D2834"/>
    <w:rsid w:val="000D2B7B"/>
    <w:rsid w:val="000D2CAC"/>
    <w:rsid w:val="000D34C8"/>
    <w:rsid w:val="000D34FD"/>
    <w:rsid w:val="000D3BE5"/>
    <w:rsid w:val="000D3C37"/>
    <w:rsid w:val="000D4031"/>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B30"/>
    <w:rsid w:val="000F1604"/>
    <w:rsid w:val="000F1B69"/>
    <w:rsid w:val="000F287A"/>
    <w:rsid w:val="000F2940"/>
    <w:rsid w:val="000F2AB3"/>
    <w:rsid w:val="000F3D08"/>
    <w:rsid w:val="000F4495"/>
    <w:rsid w:val="000F4A05"/>
    <w:rsid w:val="000F4AA8"/>
    <w:rsid w:val="000F4AEA"/>
    <w:rsid w:val="000F4E67"/>
    <w:rsid w:val="000F4F4C"/>
    <w:rsid w:val="000F505B"/>
    <w:rsid w:val="000F5677"/>
    <w:rsid w:val="000F5DDB"/>
    <w:rsid w:val="000F628E"/>
    <w:rsid w:val="000F68A0"/>
    <w:rsid w:val="000F6CC2"/>
    <w:rsid w:val="000F729C"/>
    <w:rsid w:val="000F7D4B"/>
    <w:rsid w:val="0010118C"/>
    <w:rsid w:val="0010125E"/>
    <w:rsid w:val="001015F8"/>
    <w:rsid w:val="00101967"/>
    <w:rsid w:val="0010322B"/>
    <w:rsid w:val="00103251"/>
    <w:rsid w:val="00103509"/>
    <w:rsid w:val="0010393D"/>
    <w:rsid w:val="00103EBD"/>
    <w:rsid w:val="00104699"/>
    <w:rsid w:val="00104E5B"/>
    <w:rsid w:val="00104EEC"/>
    <w:rsid w:val="001050DC"/>
    <w:rsid w:val="001052AE"/>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453"/>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EB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2AB"/>
    <w:rsid w:val="0014042F"/>
    <w:rsid w:val="00140693"/>
    <w:rsid w:val="00140828"/>
    <w:rsid w:val="00140D7A"/>
    <w:rsid w:val="00141D28"/>
    <w:rsid w:val="00141DFE"/>
    <w:rsid w:val="00142185"/>
    <w:rsid w:val="001422E2"/>
    <w:rsid w:val="0014238B"/>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540"/>
    <w:rsid w:val="00154BBA"/>
    <w:rsid w:val="00155B95"/>
    <w:rsid w:val="00156853"/>
    <w:rsid w:val="00157432"/>
    <w:rsid w:val="00161185"/>
    <w:rsid w:val="001620BA"/>
    <w:rsid w:val="001623AC"/>
    <w:rsid w:val="001627A0"/>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1BB"/>
    <w:rsid w:val="001852A8"/>
    <w:rsid w:val="0018620A"/>
    <w:rsid w:val="00186EB0"/>
    <w:rsid w:val="00187121"/>
    <w:rsid w:val="00187243"/>
    <w:rsid w:val="00187C29"/>
    <w:rsid w:val="001904C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F44"/>
    <w:rsid w:val="0019602C"/>
    <w:rsid w:val="001969F2"/>
    <w:rsid w:val="00196CD6"/>
    <w:rsid w:val="0019756A"/>
    <w:rsid w:val="00197BC1"/>
    <w:rsid w:val="001A06B5"/>
    <w:rsid w:val="001A07F8"/>
    <w:rsid w:val="001A0A23"/>
    <w:rsid w:val="001A0C98"/>
    <w:rsid w:val="001A128B"/>
    <w:rsid w:val="001A1475"/>
    <w:rsid w:val="001A1F0E"/>
    <w:rsid w:val="001A2BD1"/>
    <w:rsid w:val="001A3335"/>
    <w:rsid w:val="001A35D9"/>
    <w:rsid w:val="001A379C"/>
    <w:rsid w:val="001A473A"/>
    <w:rsid w:val="001A4ED9"/>
    <w:rsid w:val="001A5785"/>
    <w:rsid w:val="001A5FD7"/>
    <w:rsid w:val="001A66A6"/>
    <w:rsid w:val="001A68B9"/>
    <w:rsid w:val="001A6BAF"/>
    <w:rsid w:val="001A6BBB"/>
    <w:rsid w:val="001A79A2"/>
    <w:rsid w:val="001B06A6"/>
    <w:rsid w:val="001B078E"/>
    <w:rsid w:val="001B13BF"/>
    <w:rsid w:val="001B16F5"/>
    <w:rsid w:val="001B1C1F"/>
    <w:rsid w:val="001B219B"/>
    <w:rsid w:val="001B2703"/>
    <w:rsid w:val="001B2973"/>
    <w:rsid w:val="001B2CA6"/>
    <w:rsid w:val="001B3DCD"/>
    <w:rsid w:val="001B45B9"/>
    <w:rsid w:val="001B46B2"/>
    <w:rsid w:val="001B4725"/>
    <w:rsid w:val="001B48B2"/>
    <w:rsid w:val="001B49DA"/>
    <w:rsid w:val="001B4CA8"/>
    <w:rsid w:val="001B572D"/>
    <w:rsid w:val="001B576E"/>
    <w:rsid w:val="001B5B10"/>
    <w:rsid w:val="001B6025"/>
    <w:rsid w:val="001B6D58"/>
    <w:rsid w:val="001B6FA7"/>
    <w:rsid w:val="001B70A7"/>
    <w:rsid w:val="001B7A15"/>
    <w:rsid w:val="001B7B69"/>
    <w:rsid w:val="001B7DC1"/>
    <w:rsid w:val="001C08DB"/>
    <w:rsid w:val="001C10BD"/>
    <w:rsid w:val="001C1F01"/>
    <w:rsid w:val="001C2092"/>
    <w:rsid w:val="001C232F"/>
    <w:rsid w:val="001C2544"/>
    <w:rsid w:val="001C2A17"/>
    <w:rsid w:val="001C31F5"/>
    <w:rsid w:val="001C6047"/>
    <w:rsid w:val="001C6698"/>
    <w:rsid w:val="001C6C0D"/>
    <w:rsid w:val="001C6C5B"/>
    <w:rsid w:val="001C7399"/>
    <w:rsid w:val="001C7CE0"/>
    <w:rsid w:val="001D005B"/>
    <w:rsid w:val="001D0947"/>
    <w:rsid w:val="001D16F5"/>
    <w:rsid w:val="001D1970"/>
    <w:rsid w:val="001D1D55"/>
    <w:rsid w:val="001D21EF"/>
    <w:rsid w:val="001D29A4"/>
    <w:rsid w:val="001D2B73"/>
    <w:rsid w:val="001D3136"/>
    <w:rsid w:val="001D330D"/>
    <w:rsid w:val="001D49C7"/>
    <w:rsid w:val="001D4AB6"/>
    <w:rsid w:val="001D4AD3"/>
    <w:rsid w:val="001D5281"/>
    <w:rsid w:val="001E17E3"/>
    <w:rsid w:val="001E2052"/>
    <w:rsid w:val="001E2492"/>
    <w:rsid w:val="001E257C"/>
    <w:rsid w:val="001E286C"/>
    <w:rsid w:val="001E2D6B"/>
    <w:rsid w:val="001E2F34"/>
    <w:rsid w:val="001E35EE"/>
    <w:rsid w:val="001E3B32"/>
    <w:rsid w:val="001E4B2C"/>
    <w:rsid w:val="001E507F"/>
    <w:rsid w:val="001E56C2"/>
    <w:rsid w:val="001E59FB"/>
    <w:rsid w:val="001E68DD"/>
    <w:rsid w:val="001E7F81"/>
    <w:rsid w:val="001F0FD1"/>
    <w:rsid w:val="001F1526"/>
    <w:rsid w:val="001F19D1"/>
    <w:rsid w:val="001F1CB9"/>
    <w:rsid w:val="001F1F18"/>
    <w:rsid w:val="001F2F92"/>
    <w:rsid w:val="001F3D3A"/>
    <w:rsid w:val="001F5DA1"/>
    <w:rsid w:val="001F612E"/>
    <w:rsid w:val="001F6A92"/>
    <w:rsid w:val="001F77E8"/>
    <w:rsid w:val="00201322"/>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810"/>
    <w:rsid w:val="00216E7B"/>
    <w:rsid w:val="002170FF"/>
    <w:rsid w:val="00217E1F"/>
    <w:rsid w:val="002204BC"/>
    <w:rsid w:val="00220F7B"/>
    <w:rsid w:val="00221200"/>
    <w:rsid w:val="002213CE"/>
    <w:rsid w:val="00221AF7"/>
    <w:rsid w:val="00222494"/>
    <w:rsid w:val="00222775"/>
    <w:rsid w:val="00222A31"/>
    <w:rsid w:val="00222CF6"/>
    <w:rsid w:val="00224037"/>
    <w:rsid w:val="002244E4"/>
    <w:rsid w:val="00224D2A"/>
    <w:rsid w:val="00224D8D"/>
    <w:rsid w:val="00225136"/>
    <w:rsid w:val="0022555A"/>
    <w:rsid w:val="00227214"/>
    <w:rsid w:val="00227271"/>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DC1"/>
    <w:rsid w:val="00237EAE"/>
    <w:rsid w:val="00237FA2"/>
    <w:rsid w:val="002403D5"/>
    <w:rsid w:val="00240C1F"/>
    <w:rsid w:val="00240F55"/>
    <w:rsid w:val="00240F67"/>
    <w:rsid w:val="00241144"/>
    <w:rsid w:val="00242510"/>
    <w:rsid w:val="00242F79"/>
    <w:rsid w:val="0024415B"/>
    <w:rsid w:val="00244771"/>
    <w:rsid w:val="00245565"/>
    <w:rsid w:val="002458C1"/>
    <w:rsid w:val="00245E62"/>
    <w:rsid w:val="002460D0"/>
    <w:rsid w:val="00246354"/>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48"/>
    <w:rsid w:val="00256986"/>
    <w:rsid w:val="00256D61"/>
    <w:rsid w:val="00256E23"/>
    <w:rsid w:val="00257246"/>
    <w:rsid w:val="00257438"/>
    <w:rsid w:val="0026044C"/>
    <w:rsid w:val="0026119C"/>
    <w:rsid w:val="00261AFE"/>
    <w:rsid w:val="0026212A"/>
    <w:rsid w:val="002621D7"/>
    <w:rsid w:val="00262996"/>
    <w:rsid w:val="00263044"/>
    <w:rsid w:val="00263759"/>
    <w:rsid w:val="002638BD"/>
    <w:rsid w:val="0026470B"/>
    <w:rsid w:val="0026486D"/>
    <w:rsid w:val="00264C4B"/>
    <w:rsid w:val="00264ED0"/>
    <w:rsid w:val="00265346"/>
    <w:rsid w:val="00265BB6"/>
    <w:rsid w:val="00266045"/>
    <w:rsid w:val="002660C3"/>
    <w:rsid w:val="00266C21"/>
    <w:rsid w:val="00266DE1"/>
    <w:rsid w:val="00266F0A"/>
    <w:rsid w:val="00267A92"/>
    <w:rsid w:val="00267E43"/>
    <w:rsid w:val="00270282"/>
    <w:rsid w:val="00270780"/>
    <w:rsid w:val="00270CF6"/>
    <w:rsid w:val="00271097"/>
    <w:rsid w:val="00271C53"/>
    <w:rsid w:val="00271E81"/>
    <w:rsid w:val="0027244F"/>
    <w:rsid w:val="00273052"/>
    <w:rsid w:val="002739CE"/>
    <w:rsid w:val="00273C5F"/>
    <w:rsid w:val="002741D4"/>
    <w:rsid w:val="002743AC"/>
    <w:rsid w:val="0027499D"/>
    <w:rsid w:val="002751CA"/>
    <w:rsid w:val="0027544D"/>
    <w:rsid w:val="00276F81"/>
    <w:rsid w:val="00276FD9"/>
    <w:rsid w:val="00277196"/>
    <w:rsid w:val="002775ED"/>
    <w:rsid w:val="002778AB"/>
    <w:rsid w:val="002802A5"/>
    <w:rsid w:val="00280CFB"/>
    <w:rsid w:val="00280D24"/>
    <w:rsid w:val="002815C4"/>
    <w:rsid w:val="00281BCB"/>
    <w:rsid w:val="00281C02"/>
    <w:rsid w:val="00281C76"/>
    <w:rsid w:val="0028316D"/>
    <w:rsid w:val="00283296"/>
    <w:rsid w:val="002848A5"/>
    <w:rsid w:val="0028583E"/>
    <w:rsid w:val="00285853"/>
    <w:rsid w:val="00285B1A"/>
    <w:rsid w:val="00285FF3"/>
    <w:rsid w:val="00286348"/>
    <w:rsid w:val="002866EC"/>
    <w:rsid w:val="0028744E"/>
    <w:rsid w:val="002876D2"/>
    <w:rsid w:val="00287936"/>
    <w:rsid w:val="00287BB7"/>
    <w:rsid w:val="002903C5"/>
    <w:rsid w:val="0029041B"/>
    <w:rsid w:val="00290A99"/>
    <w:rsid w:val="00290EAF"/>
    <w:rsid w:val="0029159A"/>
    <w:rsid w:val="00291CF1"/>
    <w:rsid w:val="00292AA1"/>
    <w:rsid w:val="002937C2"/>
    <w:rsid w:val="0029380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260"/>
    <w:rsid w:val="002A4060"/>
    <w:rsid w:val="002A4868"/>
    <w:rsid w:val="002A4A05"/>
    <w:rsid w:val="002A4EB3"/>
    <w:rsid w:val="002A51D9"/>
    <w:rsid w:val="002A525A"/>
    <w:rsid w:val="002A5968"/>
    <w:rsid w:val="002A5CAB"/>
    <w:rsid w:val="002A5D40"/>
    <w:rsid w:val="002A622E"/>
    <w:rsid w:val="002A6424"/>
    <w:rsid w:val="002A64E7"/>
    <w:rsid w:val="002A691A"/>
    <w:rsid w:val="002A7748"/>
    <w:rsid w:val="002A7ED3"/>
    <w:rsid w:val="002A7FB1"/>
    <w:rsid w:val="002A7FC9"/>
    <w:rsid w:val="002B139C"/>
    <w:rsid w:val="002B1881"/>
    <w:rsid w:val="002B1F61"/>
    <w:rsid w:val="002B2070"/>
    <w:rsid w:val="002B2906"/>
    <w:rsid w:val="002B2C66"/>
    <w:rsid w:val="002B2F7B"/>
    <w:rsid w:val="002B34E3"/>
    <w:rsid w:val="002B39A9"/>
    <w:rsid w:val="002B51B6"/>
    <w:rsid w:val="002B5AEE"/>
    <w:rsid w:val="002B6177"/>
    <w:rsid w:val="002B650C"/>
    <w:rsid w:val="002B68E6"/>
    <w:rsid w:val="002B6985"/>
    <w:rsid w:val="002B6BB1"/>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E27"/>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B2C"/>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CE2"/>
    <w:rsid w:val="002E4D50"/>
    <w:rsid w:val="002E55FF"/>
    <w:rsid w:val="002E587E"/>
    <w:rsid w:val="002E672A"/>
    <w:rsid w:val="002E6853"/>
    <w:rsid w:val="002E7EC1"/>
    <w:rsid w:val="002E7EE5"/>
    <w:rsid w:val="002F0323"/>
    <w:rsid w:val="002F0829"/>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55C"/>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5FE"/>
    <w:rsid w:val="00310EDB"/>
    <w:rsid w:val="00311C51"/>
    <w:rsid w:val="00311D56"/>
    <w:rsid w:val="00312016"/>
    <w:rsid w:val="0031231F"/>
    <w:rsid w:val="00312340"/>
    <w:rsid w:val="00312DFC"/>
    <w:rsid w:val="0031318C"/>
    <w:rsid w:val="00313C9D"/>
    <w:rsid w:val="0031430C"/>
    <w:rsid w:val="0031476B"/>
    <w:rsid w:val="00314919"/>
    <w:rsid w:val="00314C5A"/>
    <w:rsid w:val="0031531A"/>
    <w:rsid w:val="00315394"/>
    <w:rsid w:val="00315D77"/>
    <w:rsid w:val="00315D8E"/>
    <w:rsid w:val="00316002"/>
    <w:rsid w:val="00316CDE"/>
    <w:rsid w:val="0031752D"/>
    <w:rsid w:val="00317709"/>
    <w:rsid w:val="003179C1"/>
    <w:rsid w:val="00320688"/>
    <w:rsid w:val="00320B75"/>
    <w:rsid w:val="00321DB7"/>
    <w:rsid w:val="00321E7A"/>
    <w:rsid w:val="0032226D"/>
    <w:rsid w:val="003235E6"/>
    <w:rsid w:val="003239ED"/>
    <w:rsid w:val="00324038"/>
    <w:rsid w:val="003240C6"/>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6A8"/>
    <w:rsid w:val="003369C7"/>
    <w:rsid w:val="00336AD2"/>
    <w:rsid w:val="003373A6"/>
    <w:rsid w:val="00337409"/>
    <w:rsid w:val="00337E18"/>
    <w:rsid w:val="003405AF"/>
    <w:rsid w:val="0034088F"/>
    <w:rsid w:val="00340971"/>
    <w:rsid w:val="00340B3E"/>
    <w:rsid w:val="00340C6F"/>
    <w:rsid w:val="003413D2"/>
    <w:rsid w:val="00341525"/>
    <w:rsid w:val="0034257E"/>
    <w:rsid w:val="003429A1"/>
    <w:rsid w:val="003429FC"/>
    <w:rsid w:val="00343079"/>
    <w:rsid w:val="00343127"/>
    <w:rsid w:val="00343320"/>
    <w:rsid w:val="00344066"/>
    <w:rsid w:val="00344297"/>
    <w:rsid w:val="00344ACC"/>
    <w:rsid w:val="00344BBF"/>
    <w:rsid w:val="0034509B"/>
    <w:rsid w:val="00345644"/>
    <w:rsid w:val="00345D0E"/>
    <w:rsid w:val="00345D7A"/>
    <w:rsid w:val="00345F89"/>
    <w:rsid w:val="0034607E"/>
    <w:rsid w:val="00346A96"/>
    <w:rsid w:val="00346B6D"/>
    <w:rsid w:val="00346BA3"/>
    <w:rsid w:val="00346C69"/>
    <w:rsid w:val="00347356"/>
    <w:rsid w:val="0035005C"/>
    <w:rsid w:val="00350896"/>
    <w:rsid w:val="00350C31"/>
    <w:rsid w:val="00350C9F"/>
    <w:rsid w:val="00350D7C"/>
    <w:rsid w:val="00351391"/>
    <w:rsid w:val="003519CD"/>
    <w:rsid w:val="00351A3A"/>
    <w:rsid w:val="0035455F"/>
    <w:rsid w:val="00355D75"/>
    <w:rsid w:val="00355D8F"/>
    <w:rsid w:val="00356A73"/>
    <w:rsid w:val="00356FF0"/>
    <w:rsid w:val="003577EF"/>
    <w:rsid w:val="00357A60"/>
    <w:rsid w:val="00360304"/>
    <w:rsid w:val="00360A78"/>
    <w:rsid w:val="00361750"/>
    <w:rsid w:val="00363628"/>
    <w:rsid w:val="00363894"/>
    <w:rsid w:val="00363B2A"/>
    <w:rsid w:val="00363BF1"/>
    <w:rsid w:val="00363C52"/>
    <w:rsid w:val="0036405C"/>
    <w:rsid w:val="0036528B"/>
    <w:rsid w:val="00365B60"/>
    <w:rsid w:val="00366430"/>
    <w:rsid w:val="003666E3"/>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32D"/>
    <w:rsid w:val="003735B9"/>
    <w:rsid w:val="00373634"/>
    <w:rsid w:val="00374677"/>
    <w:rsid w:val="0037510C"/>
    <w:rsid w:val="00375850"/>
    <w:rsid w:val="00375A8E"/>
    <w:rsid w:val="00375CFA"/>
    <w:rsid w:val="0037632F"/>
    <w:rsid w:val="00377B26"/>
    <w:rsid w:val="00381014"/>
    <w:rsid w:val="00381604"/>
    <w:rsid w:val="00381C68"/>
    <w:rsid w:val="00381F60"/>
    <w:rsid w:val="00383204"/>
    <w:rsid w:val="00383AB0"/>
    <w:rsid w:val="00384466"/>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EE"/>
    <w:rsid w:val="00392E35"/>
    <w:rsid w:val="00393247"/>
    <w:rsid w:val="00393551"/>
    <w:rsid w:val="00393816"/>
    <w:rsid w:val="00393E1E"/>
    <w:rsid w:val="00393FCD"/>
    <w:rsid w:val="003944EA"/>
    <w:rsid w:val="00394639"/>
    <w:rsid w:val="00394DF6"/>
    <w:rsid w:val="00394EC6"/>
    <w:rsid w:val="00395A02"/>
    <w:rsid w:val="00395CD9"/>
    <w:rsid w:val="003962E6"/>
    <w:rsid w:val="00396831"/>
    <w:rsid w:val="003971A1"/>
    <w:rsid w:val="003A0F6B"/>
    <w:rsid w:val="003A12B6"/>
    <w:rsid w:val="003A150A"/>
    <w:rsid w:val="003A1C44"/>
    <w:rsid w:val="003A20D5"/>
    <w:rsid w:val="003A24CC"/>
    <w:rsid w:val="003A2512"/>
    <w:rsid w:val="003A2A53"/>
    <w:rsid w:val="003A2CD3"/>
    <w:rsid w:val="003A2EE8"/>
    <w:rsid w:val="003A373C"/>
    <w:rsid w:val="003A5378"/>
    <w:rsid w:val="003A553C"/>
    <w:rsid w:val="003A56DF"/>
    <w:rsid w:val="003A6008"/>
    <w:rsid w:val="003A703F"/>
    <w:rsid w:val="003A7E2B"/>
    <w:rsid w:val="003A7E40"/>
    <w:rsid w:val="003B0336"/>
    <w:rsid w:val="003B0A3A"/>
    <w:rsid w:val="003B0D79"/>
    <w:rsid w:val="003B1CC1"/>
    <w:rsid w:val="003B2930"/>
    <w:rsid w:val="003B31A7"/>
    <w:rsid w:val="003B4587"/>
    <w:rsid w:val="003B4A01"/>
    <w:rsid w:val="003B4B51"/>
    <w:rsid w:val="003B4FE1"/>
    <w:rsid w:val="003B514E"/>
    <w:rsid w:val="003B5531"/>
    <w:rsid w:val="003B636A"/>
    <w:rsid w:val="003B690A"/>
    <w:rsid w:val="003B69CE"/>
    <w:rsid w:val="003B7403"/>
    <w:rsid w:val="003C011C"/>
    <w:rsid w:val="003C0E32"/>
    <w:rsid w:val="003C11D7"/>
    <w:rsid w:val="003C16CB"/>
    <w:rsid w:val="003C1B97"/>
    <w:rsid w:val="003C1F56"/>
    <w:rsid w:val="003C247B"/>
    <w:rsid w:val="003C3160"/>
    <w:rsid w:val="003C3292"/>
    <w:rsid w:val="003C3C1E"/>
    <w:rsid w:val="003C3D88"/>
    <w:rsid w:val="003C4134"/>
    <w:rsid w:val="003C435B"/>
    <w:rsid w:val="003C4EBE"/>
    <w:rsid w:val="003C62EC"/>
    <w:rsid w:val="003C685A"/>
    <w:rsid w:val="003C6E9C"/>
    <w:rsid w:val="003C746F"/>
    <w:rsid w:val="003C7570"/>
    <w:rsid w:val="003C76E6"/>
    <w:rsid w:val="003C7C4E"/>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DB7"/>
    <w:rsid w:val="003D724E"/>
    <w:rsid w:val="003D75D8"/>
    <w:rsid w:val="003E006E"/>
    <w:rsid w:val="003E0890"/>
    <w:rsid w:val="003E0947"/>
    <w:rsid w:val="003E0966"/>
    <w:rsid w:val="003E0E96"/>
    <w:rsid w:val="003E20F7"/>
    <w:rsid w:val="003E2579"/>
    <w:rsid w:val="003E336A"/>
    <w:rsid w:val="003E3E2F"/>
    <w:rsid w:val="003E4048"/>
    <w:rsid w:val="003E4CE5"/>
    <w:rsid w:val="003E5C4C"/>
    <w:rsid w:val="003E604C"/>
    <w:rsid w:val="003E60DA"/>
    <w:rsid w:val="003E6E00"/>
    <w:rsid w:val="003E7111"/>
    <w:rsid w:val="003E7940"/>
    <w:rsid w:val="003F01BD"/>
    <w:rsid w:val="003F0486"/>
    <w:rsid w:val="003F048E"/>
    <w:rsid w:val="003F09FA"/>
    <w:rsid w:val="003F0AFF"/>
    <w:rsid w:val="003F107E"/>
    <w:rsid w:val="003F1AA2"/>
    <w:rsid w:val="003F26DC"/>
    <w:rsid w:val="003F42FF"/>
    <w:rsid w:val="003F4B48"/>
    <w:rsid w:val="003F4DDC"/>
    <w:rsid w:val="003F56B8"/>
    <w:rsid w:val="003F57CB"/>
    <w:rsid w:val="003F5F1A"/>
    <w:rsid w:val="003F624E"/>
    <w:rsid w:val="003F6327"/>
    <w:rsid w:val="003F683F"/>
    <w:rsid w:val="003F6C04"/>
    <w:rsid w:val="003F6FBB"/>
    <w:rsid w:val="003F7425"/>
    <w:rsid w:val="003F765B"/>
    <w:rsid w:val="003F7CB8"/>
    <w:rsid w:val="00400CB4"/>
    <w:rsid w:val="00401386"/>
    <w:rsid w:val="004013E6"/>
    <w:rsid w:val="00401E31"/>
    <w:rsid w:val="00402BBA"/>
    <w:rsid w:val="004035D0"/>
    <w:rsid w:val="0040361D"/>
    <w:rsid w:val="00403795"/>
    <w:rsid w:val="004041FB"/>
    <w:rsid w:val="0040443E"/>
    <w:rsid w:val="004049FD"/>
    <w:rsid w:val="004056B6"/>
    <w:rsid w:val="00405764"/>
    <w:rsid w:val="00405850"/>
    <w:rsid w:val="00406745"/>
    <w:rsid w:val="0040674B"/>
    <w:rsid w:val="00406B1C"/>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1BA"/>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1BD5"/>
    <w:rsid w:val="00432AF1"/>
    <w:rsid w:val="00432ECA"/>
    <w:rsid w:val="00434382"/>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D1"/>
    <w:rsid w:val="00450B22"/>
    <w:rsid w:val="00451709"/>
    <w:rsid w:val="004518FA"/>
    <w:rsid w:val="00451A02"/>
    <w:rsid w:val="0045277C"/>
    <w:rsid w:val="00453149"/>
    <w:rsid w:val="00453507"/>
    <w:rsid w:val="00453592"/>
    <w:rsid w:val="00453B13"/>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5E2"/>
    <w:rsid w:val="00471963"/>
    <w:rsid w:val="00471AC2"/>
    <w:rsid w:val="004724B8"/>
    <w:rsid w:val="004728FB"/>
    <w:rsid w:val="004729AD"/>
    <w:rsid w:val="00472CA7"/>
    <w:rsid w:val="00472CEC"/>
    <w:rsid w:val="00473308"/>
    <w:rsid w:val="0047377C"/>
    <w:rsid w:val="00473CCD"/>
    <w:rsid w:val="0047471E"/>
    <w:rsid w:val="004749DA"/>
    <w:rsid w:val="00474DEF"/>
    <w:rsid w:val="00475729"/>
    <w:rsid w:val="004758E7"/>
    <w:rsid w:val="00475BAB"/>
    <w:rsid w:val="004764C6"/>
    <w:rsid w:val="004768D2"/>
    <w:rsid w:val="00476AC1"/>
    <w:rsid w:val="00476F97"/>
    <w:rsid w:val="00477247"/>
    <w:rsid w:val="004776BB"/>
    <w:rsid w:val="004776FB"/>
    <w:rsid w:val="0048055E"/>
    <w:rsid w:val="00480C2B"/>
    <w:rsid w:val="00480DC5"/>
    <w:rsid w:val="00480FD9"/>
    <w:rsid w:val="0048131D"/>
    <w:rsid w:val="00481D0B"/>
    <w:rsid w:val="004824A9"/>
    <w:rsid w:val="0048304D"/>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473"/>
    <w:rsid w:val="0049147D"/>
    <w:rsid w:val="0049168E"/>
    <w:rsid w:val="00492503"/>
    <w:rsid w:val="004925C8"/>
    <w:rsid w:val="00492AF9"/>
    <w:rsid w:val="00492B76"/>
    <w:rsid w:val="0049333E"/>
    <w:rsid w:val="0049418F"/>
    <w:rsid w:val="0049570D"/>
    <w:rsid w:val="00495C48"/>
    <w:rsid w:val="00495DC6"/>
    <w:rsid w:val="0049639C"/>
    <w:rsid w:val="00496C25"/>
    <w:rsid w:val="00496CCE"/>
    <w:rsid w:val="004978C1"/>
    <w:rsid w:val="00497AAD"/>
    <w:rsid w:val="00497BD7"/>
    <w:rsid w:val="00497D1A"/>
    <w:rsid w:val="004A00C9"/>
    <w:rsid w:val="004A03D0"/>
    <w:rsid w:val="004A1049"/>
    <w:rsid w:val="004A1AFA"/>
    <w:rsid w:val="004A1EA7"/>
    <w:rsid w:val="004A26F5"/>
    <w:rsid w:val="004A2EF8"/>
    <w:rsid w:val="004A394D"/>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AE3"/>
    <w:rsid w:val="004C5F4B"/>
    <w:rsid w:val="004C612E"/>
    <w:rsid w:val="004C61B8"/>
    <w:rsid w:val="004C69FE"/>
    <w:rsid w:val="004C6C0A"/>
    <w:rsid w:val="004C6C6D"/>
    <w:rsid w:val="004C739F"/>
    <w:rsid w:val="004C73C0"/>
    <w:rsid w:val="004C77FF"/>
    <w:rsid w:val="004C7DB0"/>
    <w:rsid w:val="004C7FFC"/>
    <w:rsid w:val="004D0223"/>
    <w:rsid w:val="004D0C4C"/>
    <w:rsid w:val="004D16A3"/>
    <w:rsid w:val="004D1934"/>
    <w:rsid w:val="004D1E41"/>
    <w:rsid w:val="004D2326"/>
    <w:rsid w:val="004D2E11"/>
    <w:rsid w:val="004D3108"/>
    <w:rsid w:val="004D329C"/>
    <w:rsid w:val="004D34D1"/>
    <w:rsid w:val="004D3C8F"/>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0F29"/>
    <w:rsid w:val="004E109C"/>
    <w:rsid w:val="004E1D6F"/>
    <w:rsid w:val="004E1DF3"/>
    <w:rsid w:val="004E2393"/>
    <w:rsid w:val="004E3117"/>
    <w:rsid w:val="004E3A2A"/>
    <w:rsid w:val="004E3AB1"/>
    <w:rsid w:val="004E4003"/>
    <w:rsid w:val="004E4626"/>
    <w:rsid w:val="004E4984"/>
    <w:rsid w:val="004E5101"/>
    <w:rsid w:val="004E5380"/>
    <w:rsid w:val="004E63F6"/>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411"/>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A41"/>
    <w:rsid w:val="0050790B"/>
    <w:rsid w:val="00507FDF"/>
    <w:rsid w:val="0051037C"/>
    <w:rsid w:val="0051050F"/>
    <w:rsid w:val="0051058B"/>
    <w:rsid w:val="00510BF6"/>
    <w:rsid w:val="00510DDC"/>
    <w:rsid w:val="00511166"/>
    <w:rsid w:val="00512217"/>
    <w:rsid w:val="00512459"/>
    <w:rsid w:val="005131A2"/>
    <w:rsid w:val="005137E4"/>
    <w:rsid w:val="00513BB9"/>
    <w:rsid w:val="0051440E"/>
    <w:rsid w:val="00514480"/>
    <w:rsid w:val="00514685"/>
    <w:rsid w:val="005148CD"/>
    <w:rsid w:val="00515180"/>
    <w:rsid w:val="00515973"/>
    <w:rsid w:val="00516069"/>
    <w:rsid w:val="00517AC8"/>
    <w:rsid w:val="00517C3E"/>
    <w:rsid w:val="005207D8"/>
    <w:rsid w:val="0052091D"/>
    <w:rsid w:val="005212F4"/>
    <w:rsid w:val="00521908"/>
    <w:rsid w:val="005221DD"/>
    <w:rsid w:val="005224BC"/>
    <w:rsid w:val="00522928"/>
    <w:rsid w:val="00522FF1"/>
    <w:rsid w:val="00523946"/>
    <w:rsid w:val="0052397A"/>
    <w:rsid w:val="005256D6"/>
    <w:rsid w:val="00525AD8"/>
    <w:rsid w:val="00526429"/>
    <w:rsid w:val="005266C1"/>
    <w:rsid w:val="005267F4"/>
    <w:rsid w:val="005269D3"/>
    <w:rsid w:val="00527317"/>
    <w:rsid w:val="005276F1"/>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B2D"/>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70"/>
    <w:rsid w:val="00547BA2"/>
    <w:rsid w:val="00550975"/>
    <w:rsid w:val="00550AC5"/>
    <w:rsid w:val="00550B7E"/>
    <w:rsid w:val="00551052"/>
    <w:rsid w:val="005524ED"/>
    <w:rsid w:val="00553F91"/>
    <w:rsid w:val="00554007"/>
    <w:rsid w:val="00554189"/>
    <w:rsid w:val="00554C03"/>
    <w:rsid w:val="00554C58"/>
    <w:rsid w:val="00554D5D"/>
    <w:rsid w:val="005550F9"/>
    <w:rsid w:val="00556338"/>
    <w:rsid w:val="00556441"/>
    <w:rsid w:val="00556D3E"/>
    <w:rsid w:val="00557031"/>
    <w:rsid w:val="00557F87"/>
    <w:rsid w:val="00560FCB"/>
    <w:rsid w:val="00561001"/>
    <w:rsid w:val="0056111C"/>
    <w:rsid w:val="00561140"/>
    <w:rsid w:val="00561412"/>
    <w:rsid w:val="00561788"/>
    <w:rsid w:val="00561903"/>
    <w:rsid w:val="00561A9B"/>
    <w:rsid w:val="00561E54"/>
    <w:rsid w:val="00561F73"/>
    <w:rsid w:val="005621F7"/>
    <w:rsid w:val="0056278F"/>
    <w:rsid w:val="00562FB1"/>
    <w:rsid w:val="00563068"/>
    <w:rsid w:val="0056376A"/>
    <w:rsid w:val="00563B3C"/>
    <w:rsid w:val="0056419C"/>
    <w:rsid w:val="00564DA7"/>
    <w:rsid w:val="00564F01"/>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4BD9"/>
    <w:rsid w:val="00596CFA"/>
    <w:rsid w:val="00596EC6"/>
    <w:rsid w:val="005975CE"/>
    <w:rsid w:val="005A0088"/>
    <w:rsid w:val="005A04F6"/>
    <w:rsid w:val="005A14F0"/>
    <w:rsid w:val="005A172B"/>
    <w:rsid w:val="005A1861"/>
    <w:rsid w:val="005A1A31"/>
    <w:rsid w:val="005A2022"/>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9AB"/>
    <w:rsid w:val="005A7A32"/>
    <w:rsid w:val="005A7F85"/>
    <w:rsid w:val="005B00DD"/>
    <w:rsid w:val="005B03B1"/>
    <w:rsid w:val="005B07D5"/>
    <w:rsid w:val="005B0BA1"/>
    <w:rsid w:val="005B1A8A"/>
    <w:rsid w:val="005B1AAB"/>
    <w:rsid w:val="005B2578"/>
    <w:rsid w:val="005B2930"/>
    <w:rsid w:val="005B2A0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C63"/>
    <w:rsid w:val="005C2E48"/>
    <w:rsid w:val="005C3344"/>
    <w:rsid w:val="005C4CFA"/>
    <w:rsid w:val="005C4E4D"/>
    <w:rsid w:val="005C54C9"/>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34F"/>
    <w:rsid w:val="005D4854"/>
    <w:rsid w:val="005D5BCF"/>
    <w:rsid w:val="005D65BF"/>
    <w:rsid w:val="005D6D84"/>
    <w:rsid w:val="005D70A1"/>
    <w:rsid w:val="005D79F2"/>
    <w:rsid w:val="005D7CB1"/>
    <w:rsid w:val="005D7F57"/>
    <w:rsid w:val="005D7F73"/>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16DE"/>
    <w:rsid w:val="005F2083"/>
    <w:rsid w:val="005F2807"/>
    <w:rsid w:val="005F2CD5"/>
    <w:rsid w:val="005F3382"/>
    <w:rsid w:val="005F3720"/>
    <w:rsid w:val="005F489C"/>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1DA"/>
    <w:rsid w:val="006013AD"/>
    <w:rsid w:val="00601506"/>
    <w:rsid w:val="00601596"/>
    <w:rsid w:val="00601C92"/>
    <w:rsid w:val="00601F66"/>
    <w:rsid w:val="00602555"/>
    <w:rsid w:val="00602764"/>
    <w:rsid w:val="00602A5C"/>
    <w:rsid w:val="00602B29"/>
    <w:rsid w:val="00602DAD"/>
    <w:rsid w:val="00603373"/>
    <w:rsid w:val="006036D0"/>
    <w:rsid w:val="00603B1C"/>
    <w:rsid w:val="006042CD"/>
    <w:rsid w:val="00605217"/>
    <w:rsid w:val="006054A5"/>
    <w:rsid w:val="006059E4"/>
    <w:rsid w:val="00605AC2"/>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47A"/>
    <w:rsid w:val="00617EFC"/>
    <w:rsid w:val="00620055"/>
    <w:rsid w:val="00620336"/>
    <w:rsid w:val="006203CB"/>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0D9F"/>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6FBE"/>
    <w:rsid w:val="0065735F"/>
    <w:rsid w:val="006576BA"/>
    <w:rsid w:val="006600BF"/>
    <w:rsid w:val="00660AF7"/>
    <w:rsid w:val="00660D3E"/>
    <w:rsid w:val="00661691"/>
    <w:rsid w:val="00661B5C"/>
    <w:rsid w:val="006624FE"/>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79D"/>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543"/>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7"/>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3E4"/>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C62"/>
    <w:rsid w:val="006B3D00"/>
    <w:rsid w:val="006B4CF8"/>
    <w:rsid w:val="006B506B"/>
    <w:rsid w:val="006B54E8"/>
    <w:rsid w:val="006B5FBC"/>
    <w:rsid w:val="006B6543"/>
    <w:rsid w:val="006B69F7"/>
    <w:rsid w:val="006B6ED2"/>
    <w:rsid w:val="006B7DB5"/>
    <w:rsid w:val="006B7F74"/>
    <w:rsid w:val="006C0230"/>
    <w:rsid w:val="006C05C7"/>
    <w:rsid w:val="006C064D"/>
    <w:rsid w:val="006C2188"/>
    <w:rsid w:val="006C25AB"/>
    <w:rsid w:val="006C2DA6"/>
    <w:rsid w:val="006C2E51"/>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BF"/>
    <w:rsid w:val="006D135C"/>
    <w:rsid w:val="006D2F72"/>
    <w:rsid w:val="006D4345"/>
    <w:rsid w:val="006D43C1"/>
    <w:rsid w:val="006D518C"/>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DC"/>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AC2"/>
    <w:rsid w:val="006F5813"/>
    <w:rsid w:val="006F59A8"/>
    <w:rsid w:val="006F5A1D"/>
    <w:rsid w:val="006F71A6"/>
    <w:rsid w:val="006F7974"/>
    <w:rsid w:val="006F7C2C"/>
    <w:rsid w:val="006F7FD5"/>
    <w:rsid w:val="00700405"/>
    <w:rsid w:val="00700A33"/>
    <w:rsid w:val="00700BCF"/>
    <w:rsid w:val="00700D18"/>
    <w:rsid w:val="0070168D"/>
    <w:rsid w:val="00701C36"/>
    <w:rsid w:val="00702F2D"/>
    <w:rsid w:val="0070353F"/>
    <w:rsid w:val="0070415E"/>
    <w:rsid w:val="00704631"/>
    <w:rsid w:val="00704B79"/>
    <w:rsid w:val="00704E7D"/>
    <w:rsid w:val="00705060"/>
    <w:rsid w:val="00705351"/>
    <w:rsid w:val="00705619"/>
    <w:rsid w:val="00705B5D"/>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1D7"/>
    <w:rsid w:val="0071499C"/>
    <w:rsid w:val="00714F9D"/>
    <w:rsid w:val="007154D8"/>
    <w:rsid w:val="00715577"/>
    <w:rsid w:val="0071604D"/>
    <w:rsid w:val="00716C67"/>
    <w:rsid w:val="007170AB"/>
    <w:rsid w:val="0071779C"/>
    <w:rsid w:val="00717808"/>
    <w:rsid w:val="007208A7"/>
    <w:rsid w:val="00720B6A"/>
    <w:rsid w:val="00721059"/>
    <w:rsid w:val="007210F6"/>
    <w:rsid w:val="0072129A"/>
    <w:rsid w:val="0072139F"/>
    <w:rsid w:val="0072198A"/>
    <w:rsid w:val="00721AD9"/>
    <w:rsid w:val="00721FC3"/>
    <w:rsid w:val="00722A86"/>
    <w:rsid w:val="00722BC6"/>
    <w:rsid w:val="00722C69"/>
    <w:rsid w:val="0072311F"/>
    <w:rsid w:val="0072388C"/>
    <w:rsid w:val="00723C91"/>
    <w:rsid w:val="0072454E"/>
    <w:rsid w:val="007249D1"/>
    <w:rsid w:val="00724FE4"/>
    <w:rsid w:val="00725328"/>
    <w:rsid w:val="00725829"/>
    <w:rsid w:val="00725D6A"/>
    <w:rsid w:val="007263A2"/>
    <w:rsid w:val="007266B9"/>
    <w:rsid w:val="0072697D"/>
    <w:rsid w:val="00727351"/>
    <w:rsid w:val="00727AC5"/>
    <w:rsid w:val="00727ADB"/>
    <w:rsid w:val="00727C65"/>
    <w:rsid w:val="007300F0"/>
    <w:rsid w:val="00730904"/>
    <w:rsid w:val="00731EDE"/>
    <w:rsid w:val="00731FE6"/>
    <w:rsid w:val="0073245C"/>
    <w:rsid w:val="00732493"/>
    <w:rsid w:val="00732FE9"/>
    <w:rsid w:val="00733772"/>
    <w:rsid w:val="00733A43"/>
    <w:rsid w:val="00733AE4"/>
    <w:rsid w:val="00733D5F"/>
    <w:rsid w:val="0073446A"/>
    <w:rsid w:val="00734932"/>
    <w:rsid w:val="00735D53"/>
    <w:rsid w:val="0073618A"/>
    <w:rsid w:val="007364A3"/>
    <w:rsid w:val="00736740"/>
    <w:rsid w:val="007378FD"/>
    <w:rsid w:val="007403FE"/>
    <w:rsid w:val="007413EB"/>
    <w:rsid w:val="007413FB"/>
    <w:rsid w:val="00742D32"/>
    <w:rsid w:val="00742E9B"/>
    <w:rsid w:val="007444E6"/>
    <w:rsid w:val="00744E35"/>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2DB"/>
    <w:rsid w:val="0076497F"/>
    <w:rsid w:val="007660EC"/>
    <w:rsid w:val="007662C7"/>
    <w:rsid w:val="00766862"/>
    <w:rsid w:val="007675DD"/>
    <w:rsid w:val="007702BF"/>
    <w:rsid w:val="0077040B"/>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77A60"/>
    <w:rsid w:val="00780032"/>
    <w:rsid w:val="00780636"/>
    <w:rsid w:val="00780E86"/>
    <w:rsid w:val="00781066"/>
    <w:rsid w:val="0078108C"/>
    <w:rsid w:val="00781727"/>
    <w:rsid w:val="007823E8"/>
    <w:rsid w:val="00782CF3"/>
    <w:rsid w:val="00783785"/>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65"/>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8E"/>
    <w:rsid w:val="007A7618"/>
    <w:rsid w:val="007B00C9"/>
    <w:rsid w:val="007B02C7"/>
    <w:rsid w:val="007B0306"/>
    <w:rsid w:val="007B08E4"/>
    <w:rsid w:val="007B0D86"/>
    <w:rsid w:val="007B0FF3"/>
    <w:rsid w:val="007B15F9"/>
    <w:rsid w:val="007B28C3"/>
    <w:rsid w:val="007B3952"/>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CF5"/>
    <w:rsid w:val="007C10E4"/>
    <w:rsid w:val="007C17B4"/>
    <w:rsid w:val="007C20F8"/>
    <w:rsid w:val="007C21C5"/>
    <w:rsid w:val="007C2229"/>
    <w:rsid w:val="007C2313"/>
    <w:rsid w:val="007C3590"/>
    <w:rsid w:val="007C387A"/>
    <w:rsid w:val="007C3A0D"/>
    <w:rsid w:val="007C3EB0"/>
    <w:rsid w:val="007C43D6"/>
    <w:rsid w:val="007C47FF"/>
    <w:rsid w:val="007C5AA3"/>
    <w:rsid w:val="007C60A8"/>
    <w:rsid w:val="007C660F"/>
    <w:rsid w:val="007C6664"/>
    <w:rsid w:val="007C66FF"/>
    <w:rsid w:val="007C69AE"/>
    <w:rsid w:val="007C6FE9"/>
    <w:rsid w:val="007C7688"/>
    <w:rsid w:val="007C76E3"/>
    <w:rsid w:val="007C76F3"/>
    <w:rsid w:val="007C7DD9"/>
    <w:rsid w:val="007C7E22"/>
    <w:rsid w:val="007D03BC"/>
    <w:rsid w:val="007D0DC9"/>
    <w:rsid w:val="007D0ECD"/>
    <w:rsid w:val="007D1C26"/>
    <w:rsid w:val="007D2882"/>
    <w:rsid w:val="007D296C"/>
    <w:rsid w:val="007D2C31"/>
    <w:rsid w:val="007D2E50"/>
    <w:rsid w:val="007D3D74"/>
    <w:rsid w:val="007D445F"/>
    <w:rsid w:val="007D4DED"/>
    <w:rsid w:val="007D4EC3"/>
    <w:rsid w:val="007D5BA2"/>
    <w:rsid w:val="007D5ED3"/>
    <w:rsid w:val="007D682F"/>
    <w:rsid w:val="007D6FB9"/>
    <w:rsid w:val="007D7211"/>
    <w:rsid w:val="007E0595"/>
    <w:rsid w:val="007E0A63"/>
    <w:rsid w:val="007E0C63"/>
    <w:rsid w:val="007E0E05"/>
    <w:rsid w:val="007E0F5D"/>
    <w:rsid w:val="007E23A1"/>
    <w:rsid w:val="007E259F"/>
    <w:rsid w:val="007E347E"/>
    <w:rsid w:val="007E39C6"/>
    <w:rsid w:val="007E3D76"/>
    <w:rsid w:val="007E41A4"/>
    <w:rsid w:val="007E43E3"/>
    <w:rsid w:val="007E54B8"/>
    <w:rsid w:val="007E5908"/>
    <w:rsid w:val="007E5D12"/>
    <w:rsid w:val="007E6420"/>
    <w:rsid w:val="007E677F"/>
    <w:rsid w:val="007E6B25"/>
    <w:rsid w:val="007E6E06"/>
    <w:rsid w:val="007E6F4A"/>
    <w:rsid w:val="007E79CC"/>
    <w:rsid w:val="007F1124"/>
    <w:rsid w:val="007F152D"/>
    <w:rsid w:val="007F20C4"/>
    <w:rsid w:val="007F20EE"/>
    <w:rsid w:val="007F23D8"/>
    <w:rsid w:val="007F2AB1"/>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C7F"/>
    <w:rsid w:val="007F7F8F"/>
    <w:rsid w:val="00800509"/>
    <w:rsid w:val="0080078E"/>
    <w:rsid w:val="00800B7F"/>
    <w:rsid w:val="008012B1"/>
    <w:rsid w:val="0080176B"/>
    <w:rsid w:val="00801D63"/>
    <w:rsid w:val="0080348B"/>
    <w:rsid w:val="00803D82"/>
    <w:rsid w:val="00803D98"/>
    <w:rsid w:val="008041A3"/>
    <w:rsid w:val="008052CE"/>
    <w:rsid w:val="008058D0"/>
    <w:rsid w:val="00806A4C"/>
    <w:rsid w:val="0080705B"/>
    <w:rsid w:val="0080723C"/>
    <w:rsid w:val="00807EB6"/>
    <w:rsid w:val="00807F71"/>
    <w:rsid w:val="0081000F"/>
    <w:rsid w:val="00810675"/>
    <w:rsid w:val="008113AE"/>
    <w:rsid w:val="00812657"/>
    <w:rsid w:val="00812A1A"/>
    <w:rsid w:val="00812DFF"/>
    <w:rsid w:val="0081362F"/>
    <w:rsid w:val="0081383A"/>
    <w:rsid w:val="00813CB4"/>
    <w:rsid w:val="0081497F"/>
    <w:rsid w:val="00814B90"/>
    <w:rsid w:val="00814FC7"/>
    <w:rsid w:val="0081660C"/>
    <w:rsid w:val="00816EAA"/>
    <w:rsid w:val="00817195"/>
    <w:rsid w:val="00817416"/>
    <w:rsid w:val="00817658"/>
    <w:rsid w:val="008206AE"/>
    <w:rsid w:val="00821271"/>
    <w:rsid w:val="00821306"/>
    <w:rsid w:val="008213D9"/>
    <w:rsid w:val="008216CE"/>
    <w:rsid w:val="008218AE"/>
    <w:rsid w:val="00821D85"/>
    <w:rsid w:val="00821E47"/>
    <w:rsid w:val="008220F6"/>
    <w:rsid w:val="00822456"/>
    <w:rsid w:val="00823181"/>
    <w:rsid w:val="00823819"/>
    <w:rsid w:val="00823C4B"/>
    <w:rsid w:val="0082427D"/>
    <w:rsid w:val="00825441"/>
    <w:rsid w:val="00826855"/>
    <w:rsid w:val="00830052"/>
    <w:rsid w:val="008300D0"/>
    <w:rsid w:val="008308D8"/>
    <w:rsid w:val="00831B3D"/>
    <w:rsid w:val="00831D16"/>
    <w:rsid w:val="008320D2"/>
    <w:rsid w:val="008321CE"/>
    <w:rsid w:val="0083257C"/>
    <w:rsid w:val="0083261B"/>
    <w:rsid w:val="00832833"/>
    <w:rsid w:val="00832B44"/>
    <w:rsid w:val="00832EC9"/>
    <w:rsid w:val="00833307"/>
    <w:rsid w:val="00833583"/>
    <w:rsid w:val="00833B5B"/>
    <w:rsid w:val="00833E9A"/>
    <w:rsid w:val="00834FEF"/>
    <w:rsid w:val="008358A3"/>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B7A"/>
    <w:rsid w:val="00842DC2"/>
    <w:rsid w:val="0084357B"/>
    <w:rsid w:val="0084403F"/>
    <w:rsid w:val="00844B10"/>
    <w:rsid w:val="008465B4"/>
    <w:rsid w:val="00846D25"/>
    <w:rsid w:val="00850013"/>
    <w:rsid w:val="008500DD"/>
    <w:rsid w:val="00850A0A"/>
    <w:rsid w:val="00850A94"/>
    <w:rsid w:val="00851E96"/>
    <w:rsid w:val="00851F1C"/>
    <w:rsid w:val="00852FA5"/>
    <w:rsid w:val="00853F7D"/>
    <w:rsid w:val="00854311"/>
    <w:rsid w:val="00854796"/>
    <w:rsid w:val="00854CF4"/>
    <w:rsid w:val="0085517F"/>
    <w:rsid w:val="0085562D"/>
    <w:rsid w:val="00855A78"/>
    <w:rsid w:val="00856154"/>
    <w:rsid w:val="00856286"/>
    <w:rsid w:val="0085657E"/>
    <w:rsid w:val="00856F0E"/>
    <w:rsid w:val="008573AF"/>
    <w:rsid w:val="008576B0"/>
    <w:rsid w:val="0086004D"/>
    <w:rsid w:val="00860296"/>
    <w:rsid w:val="008602E3"/>
    <w:rsid w:val="00860DA4"/>
    <w:rsid w:val="00861146"/>
    <w:rsid w:val="00861948"/>
    <w:rsid w:val="00862011"/>
    <w:rsid w:val="00862A15"/>
    <w:rsid w:val="00862CC9"/>
    <w:rsid w:val="00862D8E"/>
    <w:rsid w:val="00862EF2"/>
    <w:rsid w:val="008646E1"/>
    <w:rsid w:val="0086598A"/>
    <w:rsid w:val="00865C3D"/>
    <w:rsid w:val="00865F4C"/>
    <w:rsid w:val="00866453"/>
    <w:rsid w:val="0086707F"/>
    <w:rsid w:val="00867501"/>
    <w:rsid w:val="00867D8E"/>
    <w:rsid w:val="008700C0"/>
    <w:rsid w:val="0087058B"/>
    <w:rsid w:val="008706AE"/>
    <w:rsid w:val="0087099A"/>
    <w:rsid w:val="00870D79"/>
    <w:rsid w:val="00871333"/>
    <w:rsid w:val="00871952"/>
    <w:rsid w:val="00872006"/>
    <w:rsid w:val="00872386"/>
    <w:rsid w:val="008726D7"/>
    <w:rsid w:val="00872C89"/>
    <w:rsid w:val="00873128"/>
    <w:rsid w:val="008735BC"/>
    <w:rsid w:val="00873AAC"/>
    <w:rsid w:val="00873C61"/>
    <w:rsid w:val="00873DFD"/>
    <w:rsid w:val="008749BF"/>
    <w:rsid w:val="00875542"/>
    <w:rsid w:val="008759C3"/>
    <w:rsid w:val="00875E14"/>
    <w:rsid w:val="0087677E"/>
    <w:rsid w:val="0087712C"/>
    <w:rsid w:val="008776E7"/>
    <w:rsid w:val="00877746"/>
    <w:rsid w:val="00877C5D"/>
    <w:rsid w:val="00880354"/>
    <w:rsid w:val="00880664"/>
    <w:rsid w:val="0088093C"/>
    <w:rsid w:val="00880BC0"/>
    <w:rsid w:val="0088127A"/>
    <w:rsid w:val="00881D59"/>
    <w:rsid w:val="00882991"/>
    <w:rsid w:val="00882EC1"/>
    <w:rsid w:val="0088324E"/>
    <w:rsid w:val="008832D6"/>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77F"/>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D5E"/>
    <w:rsid w:val="008A5F2F"/>
    <w:rsid w:val="008A6BAE"/>
    <w:rsid w:val="008A7350"/>
    <w:rsid w:val="008A7A72"/>
    <w:rsid w:val="008B080D"/>
    <w:rsid w:val="008B09F3"/>
    <w:rsid w:val="008B111A"/>
    <w:rsid w:val="008B16E6"/>
    <w:rsid w:val="008B1AB2"/>
    <w:rsid w:val="008B1D9B"/>
    <w:rsid w:val="008B1FF7"/>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5A3"/>
    <w:rsid w:val="008C094A"/>
    <w:rsid w:val="008C1570"/>
    <w:rsid w:val="008C1792"/>
    <w:rsid w:val="008C17B2"/>
    <w:rsid w:val="008C1E3E"/>
    <w:rsid w:val="008C2059"/>
    <w:rsid w:val="008C21D0"/>
    <w:rsid w:val="008C2347"/>
    <w:rsid w:val="008C2DBC"/>
    <w:rsid w:val="008C3A4E"/>
    <w:rsid w:val="008C5371"/>
    <w:rsid w:val="008C623D"/>
    <w:rsid w:val="008C65F4"/>
    <w:rsid w:val="008C6683"/>
    <w:rsid w:val="008C6E0C"/>
    <w:rsid w:val="008C7273"/>
    <w:rsid w:val="008C78F8"/>
    <w:rsid w:val="008D05DF"/>
    <w:rsid w:val="008D09E8"/>
    <w:rsid w:val="008D0D52"/>
    <w:rsid w:val="008D0E65"/>
    <w:rsid w:val="008D110A"/>
    <w:rsid w:val="008D1612"/>
    <w:rsid w:val="008D16C4"/>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82"/>
    <w:rsid w:val="008E12A4"/>
    <w:rsid w:val="008E12BE"/>
    <w:rsid w:val="008E13FD"/>
    <w:rsid w:val="008E1C24"/>
    <w:rsid w:val="008E1E03"/>
    <w:rsid w:val="008E2626"/>
    <w:rsid w:val="008E27A9"/>
    <w:rsid w:val="008E323C"/>
    <w:rsid w:val="008E32E0"/>
    <w:rsid w:val="008E35A6"/>
    <w:rsid w:val="008E36D9"/>
    <w:rsid w:val="008E3A5C"/>
    <w:rsid w:val="008E3A9A"/>
    <w:rsid w:val="008E429E"/>
    <w:rsid w:val="008E4B3E"/>
    <w:rsid w:val="008E58A3"/>
    <w:rsid w:val="008E5938"/>
    <w:rsid w:val="008E6109"/>
    <w:rsid w:val="008E6A39"/>
    <w:rsid w:val="008E76BB"/>
    <w:rsid w:val="008F1764"/>
    <w:rsid w:val="008F1E3D"/>
    <w:rsid w:val="008F235C"/>
    <w:rsid w:val="008F290B"/>
    <w:rsid w:val="008F2F11"/>
    <w:rsid w:val="008F3369"/>
    <w:rsid w:val="008F33A6"/>
    <w:rsid w:val="008F35EC"/>
    <w:rsid w:val="008F40AE"/>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164"/>
    <w:rsid w:val="00903C83"/>
    <w:rsid w:val="00903D77"/>
    <w:rsid w:val="0090408F"/>
    <w:rsid w:val="0090446A"/>
    <w:rsid w:val="00904537"/>
    <w:rsid w:val="00904DBD"/>
    <w:rsid w:val="00904DC3"/>
    <w:rsid w:val="0090534A"/>
    <w:rsid w:val="00905469"/>
    <w:rsid w:val="00906078"/>
    <w:rsid w:val="0090629C"/>
    <w:rsid w:val="009063B2"/>
    <w:rsid w:val="00906EA2"/>
    <w:rsid w:val="00907278"/>
    <w:rsid w:val="00907D47"/>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D74"/>
    <w:rsid w:val="00923E1A"/>
    <w:rsid w:val="009245CC"/>
    <w:rsid w:val="0092490A"/>
    <w:rsid w:val="00924EBA"/>
    <w:rsid w:val="00925A3E"/>
    <w:rsid w:val="009261DB"/>
    <w:rsid w:val="009266D6"/>
    <w:rsid w:val="00926939"/>
    <w:rsid w:val="00926F4C"/>
    <w:rsid w:val="00927330"/>
    <w:rsid w:val="0092764B"/>
    <w:rsid w:val="00927710"/>
    <w:rsid w:val="009307CA"/>
    <w:rsid w:val="00930AB9"/>
    <w:rsid w:val="009312F9"/>
    <w:rsid w:val="00931445"/>
    <w:rsid w:val="00931AB8"/>
    <w:rsid w:val="00931C19"/>
    <w:rsid w:val="00931C63"/>
    <w:rsid w:val="00931D10"/>
    <w:rsid w:val="0093218A"/>
    <w:rsid w:val="0093386D"/>
    <w:rsid w:val="00934C8E"/>
    <w:rsid w:val="00935194"/>
    <w:rsid w:val="00936909"/>
    <w:rsid w:val="00936EA5"/>
    <w:rsid w:val="00937114"/>
    <w:rsid w:val="0094015D"/>
    <w:rsid w:val="00940916"/>
    <w:rsid w:val="009412B7"/>
    <w:rsid w:val="00941B13"/>
    <w:rsid w:val="0094215C"/>
    <w:rsid w:val="00942F8E"/>
    <w:rsid w:val="00943543"/>
    <w:rsid w:val="009441DB"/>
    <w:rsid w:val="00944834"/>
    <w:rsid w:val="00946128"/>
    <w:rsid w:val="0094633F"/>
    <w:rsid w:val="00946E7B"/>
    <w:rsid w:val="00947BA5"/>
    <w:rsid w:val="00950805"/>
    <w:rsid w:val="009517E4"/>
    <w:rsid w:val="009518D4"/>
    <w:rsid w:val="009520BC"/>
    <w:rsid w:val="009521D2"/>
    <w:rsid w:val="00952403"/>
    <w:rsid w:val="00952589"/>
    <w:rsid w:val="00952BD8"/>
    <w:rsid w:val="00953573"/>
    <w:rsid w:val="009537C0"/>
    <w:rsid w:val="009539DA"/>
    <w:rsid w:val="009546AF"/>
    <w:rsid w:val="009557A9"/>
    <w:rsid w:val="00956647"/>
    <w:rsid w:val="00956CF3"/>
    <w:rsid w:val="00957380"/>
    <w:rsid w:val="009573C9"/>
    <w:rsid w:val="00957409"/>
    <w:rsid w:val="00957499"/>
    <w:rsid w:val="00957ED2"/>
    <w:rsid w:val="00960229"/>
    <w:rsid w:val="00960439"/>
    <w:rsid w:val="009604AE"/>
    <w:rsid w:val="009609AF"/>
    <w:rsid w:val="00960DE4"/>
    <w:rsid w:val="009610C7"/>
    <w:rsid w:val="00961164"/>
    <w:rsid w:val="00961867"/>
    <w:rsid w:val="00961A4F"/>
    <w:rsid w:val="00961C2A"/>
    <w:rsid w:val="009625B7"/>
    <w:rsid w:val="00962FB8"/>
    <w:rsid w:val="00963183"/>
    <w:rsid w:val="0096373F"/>
    <w:rsid w:val="00964007"/>
    <w:rsid w:val="00964283"/>
    <w:rsid w:val="009642A4"/>
    <w:rsid w:val="009643F4"/>
    <w:rsid w:val="009645A6"/>
    <w:rsid w:val="00964F5A"/>
    <w:rsid w:val="0096527F"/>
    <w:rsid w:val="009653ED"/>
    <w:rsid w:val="009654E4"/>
    <w:rsid w:val="00966A21"/>
    <w:rsid w:val="00966AD2"/>
    <w:rsid w:val="009704B2"/>
    <w:rsid w:val="00971415"/>
    <w:rsid w:val="009716D8"/>
    <w:rsid w:val="00971F54"/>
    <w:rsid w:val="00972057"/>
    <w:rsid w:val="0097227B"/>
    <w:rsid w:val="0097262E"/>
    <w:rsid w:val="0097293F"/>
    <w:rsid w:val="00973103"/>
    <w:rsid w:val="00974022"/>
    <w:rsid w:val="009743E8"/>
    <w:rsid w:val="009745D8"/>
    <w:rsid w:val="00974DF6"/>
    <w:rsid w:val="00974F3B"/>
    <w:rsid w:val="0097552A"/>
    <w:rsid w:val="0097564A"/>
    <w:rsid w:val="00975974"/>
    <w:rsid w:val="00975D06"/>
    <w:rsid w:val="00975D63"/>
    <w:rsid w:val="00975DAE"/>
    <w:rsid w:val="00976BBE"/>
    <w:rsid w:val="00976E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733"/>
    <w:rsid w:val="00995B01"/>
    <w:rsid w:val="00996055"/>
    <w:rsid w:val="00996EF4"/>
    <w:rsid w:val="00997044"/>
    <w:rsid w:val="00997BC9"/>
    <w:rsid w:val="009A113D"/>
    <w:rsid w:val="009A12CA"/>
    <w:rsid w:val="009A1ECA"/>
    <w:rsid w:val="009A2BE9"/>
    <w:rsid w:val="009A2BF3"/>
    <w:rsid w:val="009A3688"/>
    <w:rsid w:val="009A3713"/>
    <w:rsid w:val="009A37AA"/>
    <w:rsid w:val="009A3C3E"/>
    <w:rsid w:val="009A4153"/>
    <w:rsid w:val="009A48F1"/>
    <w:rsid w:val="009A4C2C"/>
    <w:rsid w:val="009A59B3"/>
    <w:rsid w:val="009A5FAE"/>
    <w:rsid w:val="009A6B3A"/>
    <w:rsid w:val="009A70A3"/>
    <w:rsid w:val="009A7E7C"/>
    <w:rsid w:val="009B05D2"/>
    <w:rsid w:val="009B142F"/>
    <w:rsid w:val="009B152B"/>
    <w:rsid w:val="009B1F90"/>
    <w:rsid w:val="009B2731"/>
    <w:rsid w:val="009B2DCF"/>
    <w:rsid w:val="009B39D8"/>
    <w:rsid w:val="009B3C94"/>
    <w:rsid w:val="009B3D38"/>
    <w:rsid w:val="009B408D"/>
    <w:rsid w:val="009B4368"/>
    <w:rsid w:val="009B4D4C"/>
    <w:rsid w:val="009B59B9"/>
    <w:rsid w:val="009B6409"/>
    <w:rsid w:val="009B66F5"/>
    <w:rsid w:val="009B7505"/>
    <w:rsid w:val="009C0020"/>
    <w:rsid w:val="009C03F7"/>
    <w:rsid w:val="009C10DA"/>
    <w:rsid w:val="009C19FC"/>
    <w:rsid w:val="009C27F7"/>
    <w:rsid w:val="009C37D4"/>
    <w:rsid w:val="009C3BC4"/>
    <w:rsid w:val="009C3C93"/>
    <w:rsid w:val="009C3E97"/>
    <w:rsid w:val="009C4017"/>
    <w:rsid w:val="009C414A"/>
    <w:rsid w:val="009C424E"/>
    <w:rsid w:val="009C4708"/>
    <w:rsid w:val="009C4870"/>
    <w:rsid w:val="009C4C4E"/>
    <w:rsid w:val="009C4D37"/>
    <w:rsid w:val="009C574C"/>
    <w:rsid w:val="009C5753"/>
    <w:rsid w:val="009C586F"/>
    <w:rsid w:val="009C59D5"/>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70A"/>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463"/>
    <w:rsid w:val="009E38D1"/>
    <w:rsid w:val="009E3DF1"/>
    <w:rsid w:val="009E514A"/>
    <w:rsid w:val="009E5177"/>
    <w:rsid w:val="009E5701"/>
    <w:rsid w:val="009E5711"/>
    <w:rsid w:val="009E758E"/>
    <w:rsid w:val="009E7BFB"/>
    <w:rsid w:val="009E7D6B"/>
    <w:rsid w:val="009E7E81"/>
    <w:rsid w:val="009F020A"/>
    <w:rsid w:val="009F05AD"/>
    <w:rsid w:val="009F0659"/>
    <w:rsid w:val="009F080C"/>
    <w:rsid w:val="009F0CB4"/>
    <w:rsid w:val="009F1109"/>
    <w:rsid w:val="009F143E"/>
    <w:rsid w:val="009F1DE8"/>
    <w:rsid w:val="009F1E4E"/>
    <w:rsid w:val="009F2186"/>
    <w:rsid w:val="009F227C"/>
    <w:rsid w:val="009F242D"/>
    <w:rsid w:val="009F28DC"/>
    <w:rsid w:val="009F2EDB"/>
    <w:rsid w:val="009F33DC"/>
    <w:rsid w:val="009F3F99"/>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B8D"/>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FEB"/>
    <w:rsid w:val="00A254AB"/>
    <w:rsid w:val="00A259F2"/>
    <w:rsid w:val="00A266CC"/>
    <w:rsid w:val="00A26DB4"/>
    <w:rsid w:val="00A27425"/>
    <w:rsid w:val="00A3023E"/>
    <w:rsid w:val="00A305C5"/>
    <w:rsid w:val="00A30919"/>
    <w:rsid w:val="00A31F05"/>
    <w:rsid w:val="00A31FD2"/>
    <w:rsid w:val="00A33639"/>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131"/>
    <w:rsid w:val="00A433E8"/>
    <w:rsid w:val="00A43A1D"/>
    <w:rsid w:val="00A43AB0"/>
    <w:rsid w:val="00A44854"/>
    <w:rsid w:val="00A44A45"/>
    <w:rsid w:val="00A44F1D"/>
    <w:rsid w:val="00A462FD"/>
    <w:rsid w:val="00A4665D"/>
    <w:rsid w:val="00A46756"/>
    <w:rsid w:val="00A46859"/>
    <w:rsid w:val="00A46D39"/>
    <w:rsid w:val="00A47019"/>
    <w:rsid w:val="00A472B8"/>
    <w:rsid w:val="00A474ED"/>
    <w:rsid w:val="00A5004A"/>
    <w:rsid w:val="00A5017C"/>
    <w:rsid w:val="00A502D6"/>
    <w:rsid w:val="00A502F5"/>
    <w:rsid w:val="00A504F4"/>
    <w:rsid w:val="00A507C4"/>
    <w:rsid w:val="00A508AA"/>
    <w:rsid w:val="00A509EF"/>
    <w:rsid w:val="00A50EE7"/>
    <w:rsid w:val="00A526CE"/>
    <w:rsid w:val="00A54909"/>
    <w:rsid w:val="00A54DC0"/>
    <w:rsid w:val="00A55033"/>
    <w:rsid w:val="00A550C9"/>
    <w:rsid w:val="00A55228"/>
    <w:rsid w:val="00A55410"/>
    <w:rsid w:val="00A55A04"/>
    <w:rsid w:val="00A564DE"/>
    <w:rsid w:val="00A6054E"/>
    <w:rsid w:val="00A60799"/>
    <w:rsid w:val="00A613E9"/>
    <w:rsid w:val="00A61445"/>
    <w:rsid w:val="00A6170B"/>
    <w:rsid w:val="00A61991"/>
    <w:rsid w:val="00A61B7F"/>
    <w:rsid w:val="00A61B91"/>
    <w:rsid w:val="00A61C3A"/>
    <w:rsid w:val="00A620E8"/>
    <w:rsid w:val="00A63335"/>
    <w:rsid w:val="00A634EB"/>
    <w:rsid w:val="00A63685"/>
    <w:rsid w:val="00A63EA5"/>
    <w:rsid w:val="00A64545"/>
    <w:rsid w:val="00A645AC"/>
    <w:rsid w:val="00A646E1"/>
    <w:rsid w:val="00A64C79"/>
    <w:rsid w:val="00A65EFB"/>
    <w:rsid w:val="00A66D45"/>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0D8"/>
    <w:rsid w:val="00A7463E"/>
    <w:rsid w:val="00A758E2"/>
    <w:rsid w:val="00A765B1"/>
    <w:rsid w:val="00A772F2"/>
    <w:rsid w:val="00A77828"/>
    <w:rsid w:val="00A77BAA"/>
    <w:rsid w:val="00A800F9"/>
    <w:rsid w:val="00A803A6"/>
    <w:rsid w:val="00A8049B"/>
    <w:rsid w:val="00A8073D"/>
    <w:rsid w:val="00A80D02"/>
    <w:rsid w:val="00A815FB"/>
    <w:rsid w:val="00A81AEB"/>
    <w:rsid w:val="00A823E2"/>
    <w:rsid w:val="00A82D32"/>
    <w:rsid w:val="00A82EAE"/>
    <w:rsid w:val="00A82FC7"/>
    <w:rsid w:val="00A847F9"/>
    <w:rsid w:val="00A84F27"/>
    <w:rsid w:val="00A85070"/>
    <w:rsid w:val="00A8519C"/>
    <w:rsid w:val="00A855EE"/>
    <w:rsid w:val="00A8597A"/>
    <w:rsid w:val="00A85B87"/>
    <w:rsid w:val="00A85F83"/>
    <w:rsid w:val="00A86019"/>
    <w:rsid w:val="00A86EED"/>
    <w:rsid w:val="00A8733A"/>
    <w:rsid w:val="00A90B85"/>
    <w:rsid w:val="00A91450"/>
    <w:rsid w:val="00A9151F"/>
    <w:rsid w:val="00A915E7"/>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8A"/>
    <w:rsid w:val="00AA408E"/>
    <w:rsid w:val="00AA4DA9"/>
    <w:rsid w:val="00AA4F6D"/>
    <w:rsid w:val="00AA50CE"/>
    <w:rsid w:val="00AA536B"/>
    <w:rsid w:val="00AA57C9"/>
    <w:rsid w:val="00AA5A5C"/>
    <w:rsid w:val="00AA5A6F"/>
    <w:rsid w:val="00AA634D"/>
    <w:rsid w:val="00AA6488"/>
    <w:rsid w:val="00AA6F6C"/>
    <w:rsid w:val="00AA721D"/>
    <w:rsid w:val="00AA7519"/>
    <w:rsid w:val="00AA790A"/>
    <w:rsid w:val="00AB02EA"/>
    <w:rsid w:val="00AB04F9"/>
    <w:rsid w:val="00AB110C"/>
    <w:rsid w:val="00AB138E"/>
    <w:rsid w:val="00AB227A"/>
    <w:rsid w:val="00AB22BF"/>
    <w:rsid w:val="00AB256E"/>
    <w:rsid w:val="00AB2BDF"/>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1C9"/>
    <w:rsid w:val="00AD2AB1"/>
    <w:rsid w:val="00AD3132"/>
    <w:rsid w:val="00AD3DA6"/>
    <w:rsid w:val="00AD3F3C"/>
    <w:rsid w:val="00AD447E"/>
    <w:rsid w:val="00AD4B2F"/>
    <w:rsid w:val="00AD560E"/>
    <w:rsid w:val="00AD5F0A"/>
    <w:rsid w:val="00AD6A5B"/>
    <w:rsid w:val="00AD6B4F"/>
    <w:rsid w:val="00AD6D19"/>
    <w:rsid w:val="00AD7812"/>
    <w:rsid w:val="00AD7C42"/>
    <w:rsid w:val="00AD7CFA"/>
    <w:rsid w:val="00AE050C"/>
    <w:rsid w:val="00AE06B0"/>
    <w:rsid w:val="00AE0BD6"/>
    <w:rsid w:val="00AE11C1"/>
    <w:rsid w:val="00AE163D"/>
    <w:rsid w:val="00AE1A42"/>
    <w:rsid w:val="00AE1C5C"/>
    <w:rsid w:val="00AE315E"/>
    <w:rsid w:val="00AE319F"/>
    <w:rsid w:val="00AE31D9"/>
    <w:rsid w:val="00AE382F"/>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D92"/>
    <w:rsid w:val="00B04F00"/>
    <w:rsid w:val="00B05BA6"/>
    <w:rsid w:val="00B06558"/>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D80"/>
    <w:rsid w:val="00B13EDB"/>
    <w:rsid w:val="00B141A5"/>
    <w:rsid w:val="00B14F47"/>
    <w:rsid w:val="00B15282"/>
    <w:rsid w:val="00B15286"/>
    <w:rsid w:val="00B1539F"/>
    <w:rsid w:val="00B1550D"/>
    <w:rsid w:val="00B15F6C"/>
    <w:rsid w:val="00B163E8"/>
    <w:rsid w:val="00B17040"/>
    <w:rsid w:val="00B1767E"/>
    <w:rsid w:val="00B20760"/>
    <w:rsid w:val="00B20BD5"/>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27C54"/>
    <w:rsid w:val="00B30563"/>
    <w:rsid w:val="00B3069E"/>
    <w:rsid w:val="00B3072C"/>
    <w:rsid w:val="00B30A76"/>
    <w:rsid w:val="00B31246"/>
    <w:rsid w:val="00B32295"/>
    <w:rsid w:val="00B33AB5"/>
    <w:rsid w:val="00B3412E"/>
    <w:rsid w:val="00B343E0"/>
    <w:rsid w:val="00B35B6D"/>
    <w:rsid w:val="00B35D53"/>
    <w:rsid w:val="00B367C4"/>
    <w:rsid w:val="00B36D3E"/>
    <w:rsid w:val="00B37B8E"/>
    <w:rsid w:val="00B40222"/>
    <w:rsid w:val="00B402A7"/>
    <w:rsid w:val="00B404C3"/>
    <w:rsid w:val="00B41A04"/>
    <w:rsid w:val="00B42743"/>
    <w:rsid w:val="00B430E9"/>
    <w:rsid w:val="00B4311F"/>
    <w:rsid w:val="00B431AE"/>
    <w:rsid w:val="00B44288"/>
    <w:rsid w:val="00B448BF"/>
    <w:rsid w:val="00B451DC"/>
    <w:rsid w:val="00B45A59"/>
    <w:rsid w:val="00B45F9F"/>
    <w:rsid w:val="00B4627C"/>
    <w:rsid w:val="00B4641F"/>
    <w:rsid w:val="00B46793"/>
    <w:rsid w:val="00B46953"/>
    <w:rsid w:val="00B47090"/>
    <w:rsid w:val="00B4730A"/>
    <w:rsid w:val="00B47455"/>
    <w:rsid w:val="00B47979"/>
    <w:rsid w:val="00B47A59"/>
    <w:rsid w:val="00B47ECD"/>
    <w:rsid w:val="00B47FF3"/>
    <w:rsid w:val="00B503D6"/>
    <w:rsid w:val="00B50C4E"/>
    <w:rsid w:val="00B51520"/>
    <w:rsid w:val="00B515C3"/>
    <w:rsid w:val="00B517C2"/>
    <w:rsid w:val="00B518CE"/>
    <w:rsid w:val="00B51EE5"/>
    <w:rsid w:val="00B51F56"/>
    <w:rsid w:val="00B52234"/>
    <w:rsid w:val="00B52280"/>
    <w:rsid w:val="00B5355C"/>
    <w:rsid w:val="00B53623"/>
    <w:rsid w:val="00B53D1D"/>
    <w:rsid w:val="00B53E98"/>
    <w:rsid w:val="00B53F9B"/>
    <w:rsid w:val="00B54B19"/>
    <w:rsid w:val="00B55575"/>
    <w:rsid w:val="00B55F64"/>
    <w:rsid w:val="00B56ECA"/>
    <w:rsid w:val="00B57093"/>
    <w:rsid w:val="00B57775"/>
    <w:rsid w:val="00B5790C"/>
    <w:rsid w:val="00B57B5D"/>
    <w:rsid w:val="00B60613"/>
    <w:rsid w:val="00B60DB6"/>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492"/>
    <w:rsid w:val="00B6677F"/>
    <w:rsid w:val="00B66C7A"/>
    <w:rsid w:val="00B672EA"/>
    <w:rsid w:val="00B6747B"/>
    <w:rsid w:val="00B70200"/>
    <w:rsid w:val="00B702D7"/>
    <w:rsid w:val="00B70389"/>
    <w:rsid w:val="00B70E01"/>
    <w:rsid w:val="00B72CF0"/>
    <w:rsid w:val="00B7380E"/>
    <w:rsid w:val="00B740F6"/>
    <w:rsid w:val="00B74615"/>
    <w:rsid w:val="00B74789"/>
    <w:rsid w:val="00B74871"/>
    <w:rsid w:val="00B755B6"/>
    <w:rsid w:val="00B75977"/>
    <w:rsid w:val="00B75A48"/>
    <w:rsid w:val="00B75C1D"/>
    <w:rsid w:val="00B75CC0"/>
    <w:rsid w:val="00B76021"/>
    <w:rsid w:val="00B768B1"/>
    <w:rsid w:val="00B76FCD"/>
    <w:rsid w:val="00B7764D"/>
    <w:rsid w:val="00B804F8"/>
    <w:rsid w:val="00B8095A"/>
    <w:rsid w:val="00B81274"/>
    <w:rsid w:val="00B815D3"/>
    <w:rsid w:val="00B81742"/>
    <w:rsid w:val="00B817B5"/>
    <w:rsid w:val="00B823A6"/>
    <w:rsid w:val="00B83D6D"/>
    <w:rsid w:val="00B83E76"/>
    <w:rsid w:val="00B83FA0"/>
    <w:rsid w:val="00B84156"/>
    <w:rsid w:val="00B84218"/>
    <w:rsid w:val="00B846E6"/>
    <w:rsid w:val="00B8537B"/>
    <w:rsid w:val="00B85586"/>
    <w:rsid w:val="00B86289"/>
    <w:rsid w:val="00B863B3"/>
    <w:rsid w:val="00B869D3"/>
    <w:rsid w:val="00B86CF8"/>
    <w:rsid w:val="00B86E44"/>
    <w:rsid w:val="00B87359"/>
    <w:rsid w:val="00B87F1C"/>
    <w:rsid w:val="00B90D8D"/>
    <w:rsid w:val="00B91263"/>
    <w:rsid w:val="00B91472"/>
    <w:rsid w:val="00B916B0"/>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DC2"/>
    <w:rsid w:val="00BB2E4E"/>
    <w:rsid w:val="00BB2E62"/>
    <w:rsid w:val="00BB36C9"/>
    <w:rsid w:val="00BB3A66"/>
    <w:rsid w:val="00BB40D1"/>
    <w:rsid w:val="00BB5C52"/>
    <w:rsid w:val="00BB777D"/>
    <w:rsid w:val="00BB7EC0"/>
    <w:rsid w:val="00BB7F88"/>
    <w:rsid w:val="00BC0207"/>
    <w:rsid w:val="00BC05D0"/>
    <w:rsid w:val="00BC089F"/>
    <w:rsid w:val="00BC0A0C"/>
    <w:rsid w:val="00BC0A5A"/>
    <w:rsid w:val="00BC0E64"/>
    <w:rsid w:val="00BC211D"/>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001"/>
    <w:rsid w:val="00BD31C2"/>
    <w:rsid w:val="00BD3683"/>
    <w:rsid w:val="00BD3AEE"/>
    <w:rsid w:val="00BD450A"/>
    <w:rsid w:val="00BD4717"/>
    <w:rsid w:val="00BD48EA"/>
    <w:rsid w:val="00BD4BA8"/>
    <w:rsid w:val="00BD5624"/>
    <w:rsid w:val="00BD62E6"/>
    <w:rsid w:val="00BD64CA"/>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ABF"/>
    <w:rsid w:val="00BF2021"/>
    <w:rsid w:val="00BF21D4"/>
    <w:rsid w:val="00BF2DDC"/>
    <w:rsid w:val="00BF32DE"/>
    <w:rsid w:val="00BF4A15"/>
    <w:rsid w:val="00BF4E0E"/>
    <w:rsid w:val="00BF4E27"/>
    <w:rsid w:val="00BF4F7C"/>
    <w:rsid w:val="00BF537B"/>
    <w:rsid w:val="00BF5901"/>
    <w:rsid w:val="00BF5F5C"/>
    <w:rsid w:val="00BF626A"/>
    <w:rsid w:val="00BF688E"/>
    <w:rsid w:val="00BF6D77"/>
    <w:rsid w:val="00BF704C"/>
    <w:rsid w:val="00BF739A"/>
    <w:rsid w:val="00BF7EF5"/>
    <w:rsid w:val="00C00235"/>
    <w:rsid w:val="00C00BF6"/>
    <w:rsid w:val="00C0234A"/>
    <w:rsid w:val="00C0247B"/>
    <w:rsid w:val="00C0378E"/>
    <w:rsid w:val="00C04314"/>
    <w:rsid w:val="00C04BD0"/>
    <w:rsid w:val="00C052F2"/>
    <w:rsid w:val="00C05730"/>
    <w:rsid w:val="00C05AF4"/>
    <w:rsid w:val="00C05AFD"/>
    <w:rsid w:val="00C0661C"/>
    <w:rsid w:val="00C0675F"/>
    <w:rsid w:val="00C0702A"/>
    <w:rsid w:val="00C0724C"/>
    <w:rsid w:val="00C07821"/>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C19"/>
    <w:rsid w:val="00C17FB1"/>
    <w:rsid w:val="00C20051"/>
    <w:rsid w:val="00C20B6C"/>
    <w:rsid w:val="00C20B86"/>
    <w:rsid w:val="00C21145"/>
    <w:rsid w:val="00C215ED"/>
    <w:rsid w:val="00C22350"/>
    <w:rsid w:val="00C22950"/>
    <w:rsid w:val="00C22FDA"/>
    <w:rsid w:val="00C2302B"/>
    <w:rsid w:val="00C23615"/>
    <w:rsid w:val="00C2397E"/>
    <w:rsid w:val="00C23A83"/>
    <w:rsid w:val="00C24381"/>
    <w:rsid w:val="00C24801"/>
    <w:rsid w:val="00C24C2E"/>
    <w:rsid w:val="00C24C7A"/>
    <w:rsid w:val="00C24FFB"/>
    <w:rsid w:val="00C257D4"/>
    <w:rsid w:val="00C259EE"/>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118"/>
    <w:rsid w:val="00C4297A"/>
    <w:rsid w:val="00C4360C"/>
    <w:rsid w:val="00C439B8"/>
    <w:rsid w:val="00C43A0B"/>
    <w:rsid w:val="00C43EDA"/>
    <w:rsid w:val="00C43FEC"/>
    <w:rsid w:val="00C4414C"/>
    <w:rsid w:val="00C44995"/>
    <w:rsid w:val="00C45512"/>
    <w:rsid w:val="00C457ED"/>
    <w:rsid w:val="00C4602B"/>
    <w:rsid w:val="00C46564"/>
    <w:rsid w:val="00C46BFA"/>
    <w:rsid w:val="00C46DDF"/>
    <w:rsid w:val="00C47659"/>
    <w:rsid w:val="00C4776C"/>
    <w:rsid w:val="00C500A1"/>
    <w:rsid w:val="00C50A02"/>
    <w:rsid w:val="00C51149"/>
    <w:rsid w:val="00C5117E"/>
    <w:rsid w:val="00C51261"/>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A1B"/>
    <w:rsid w:val="00C65BD3"/>
    <w:rsid w:val="00C664FB"/>
    <w:rsid w:val="00C665DE"/>
    <w:rsid w:val="00C667C3"/>
    <w:rsid w:val="00C6728B"/>
    <w:rsid w:val="00C70718"/>
    <w:rsid w:val="00C70B25"/>
    <w:rsid w:val="00C71528"/>
    <w:rsid w:val="00C717D8"/>
    <w:rsid w:val="00C717E4"/>
    <w:rsid w:val="00C7191B"/>
    <w:rsid w:val="00C71F09"/>
    <w:rsid w:val="00C72588"/>
    <w:rsid w:val="00C727B9"/>
    <w:rsid w:val="00C72F44"/>
    <w:rsid w:val="00C73670"/>
    <w:rsid w:val="00C737D1"/>
    <w:rsid w:val="00C738A0"/>
    <w:rsid w:val="00C73DE0"/>
    <w:rsid w:val="00C743AE"/>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610"/>
    <w:rsid w:val="00C8786A"/>
    <w:rsid w:val="00C87BBA"/>
    <w:rsid w:val="00C87BD0"/>
    <w:rsid w:val="00C905E5"/>
    <w:rsid w:val="00C90754"/>
    <w:rsid w:val="00C90B95"/>
    <w:rsid w:val="00C90BC4"/>
    <w:rsid w:val="00C90CA9"/>
    <w:rsid w:val="00C91802"/>
    <w:rsid w:val="00C92CB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157"/>
    <w:rsid w:val="00CA6A2E"/>
    <w:rsid w:val="00CA6B56"/>
    <w:rsid w:val="00CA7D3E"/>
    <w:rsid w:val="00CB0305"/>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26"/>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123"/>
    <w:rsid w:val="00CD1255"/>
    <w:rsid w:val="00CD1484"/>
    <w:rsid w:val="00CD1892"/>
    <w:rsid w:val="00CD1C01"/>
    <w:rsid w:val="00CD1D00"/>
    <w:rsid w:val="00CD2009"/>
    <w:rsid w:val="00CD261C"/>
    <w:rsid w:val="00CD27AC"/>
    <w:rsid w:val="00CD2A82"/>
    <w:rsid w:val="00CD3CAB"/>
    <w:rsid w:val="00CD44FF"/>
    <w:rsid w:val="00CD46A7"/>
    <w:rsid w:val="00CD47BC"/>
    <w:rsid w:val="00CD4E50"/>
    <w:rsid w:val="00CD53DC"/>
    <w:rsid w:val="00CD57CB"/>
    <w:rsid w:val="00CD5942"/>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965"/>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C22"/>
    <w:rsid w:val="00D04F01"/>
    <w:rsid w:val="00D04F8B"/>
    <w:rsid w:val="00D054EF"/>
    <w:rsid w:val="00D05637"/>
    <w:rsid w:val="00D05BA9"/>
    <w:rsid w:val="00D05EB1"/>
    <w:rsid w:val="00D0600B"/>
    <w:rsid w:val="00D0650B"/>
    <w:rsid w:val="00D068AA"/>
    <w:rsid w:val="00D06E71"/>
    <w:rsid w:val="00D06E9C"/>
    <w:rsid w:val="00D0714B"/>
    <w:rsid w:val="00D075F6"/>
    <w:rsid w:val="00D0764E"/>
    <w:rsid w:val="00D07D82"/>
    <w:rsid w:val="00D10327"/>
    <w:rsid w:val="00D103C9"/>
    <w:rsid w:val="00D10BE1"/>
    <w:rsid w:val="00D11C94"/>
    <w:rsid w:val="00D11FE3"/>
    <w:rsid w:val="00D12393"/>
    <w:rsid w:val="00D12945"/>
    <w:rsid w:val="00D12CC0"/>
    <w:rsid w:val="00D12DA1"/>
    <w:rsid w:val="00D130C0"/>
    <w:rsid w:val="00D1343A"/>
    <w:rsid w:val="00D13D50"/>
    <w:rsid w:val="00D14101"/>
    <w:rsid w:val="00D144D8"/>
    <w:rsid w:val="00D14576"/>
    <w:rsid w:val="00D14919"/>
    <w:rsid w:val="00D14E25"/>
    <w:rsid w:val="00D15470"/>
    <w:rsid w:val="00D15AE3"/>
    <w:rsid w:val="00D160C4"/>
    <w:rsid w:val="00D165D8"/>
    <w:rsid w:val="00D1724E"/>
    <w:rsid w:val="00D17C26"/>
    <w:rsid w:val="00D17E08"/>
    <w:rsid w:val="00D206F6"/>
    <w:rsid w:val="00D20FD1"/>
    <w:rsid w:val="00D214D4"/>
    <w:rsid w:val="00D21AAA"/>
    <w:rsid w:val="00D21B0A"/>
    <w:rsid w:val="00D21E6F"/>
    <w:rsid w:val="00D2218A"/>
    <w:rsid w:val="00D22B13"/>
    <w:rsid w:val="00D233D7"/>
    <w:rsid w:val="00D2371E"/>
    <w:rsid w:val="00D237E0"/>
    <w:rsid w:val="00D23A17"/>
    <w:rsid w:val="00D25676"/>
    <w:rsid w:val="00D2579F"/>
    <w:rsid w:val="00D2580E"/>
    <w:rsid w:val="00D265A7"/>
    <w:rsid w:val="00D2690C"/>
    <w:rsid w:val="00D26C0C"/>
    <w:rsid w:val="00D26E15"/>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8B2"/>
    <w:rsid w:val="00D3426D"/>
    <w:rsid w:val="00D3497A"/>
    <w:rsid w:val="00D35F2F"/>
    <w:rsid w:val="00D35FC6"/>
    <w:rsid w:val="00D36687"/>
    <w:rsid w:val="00D36BB8"/>
    <w:rsid w:val="00D377D4"/>
    <w:rsid w:val="00D401A1"/>
    <w:rsid w:val="00D40217"/>
    <w:rsid w:val="00D40385"/>
    <w:rsid w:val="00D404CE"/>
    <w:rsid w:val="00D40E8F"/>
    <w:rsid w:val="00D41247"/>
    <w:rsid w:val="00D412BF"/>
    <w:rsid w:val="00D417C6"/>
    <w:rsid w:val="00D417D0"/>
    <w:rsid w:val="00D42B0C"/>
    <w:rsid w:val="00D42D6E"/>
    <w:rsid w:val="00D43DEF"/>
    <w:rsid w:val="00D43E85"/>
    <w:rsid w:val="00D44259"/>
    <w:rsid w:val="00D45C61"/>
    <w:rsid w:val="00D45DDC"/>
    <w:rsid w:val="00D4759C"/>
    <w:rsid w:val="00D5064C"/>
    <w:rsid w:val="00D50C08"/>
    <w:rsid w:val="00D50C94"/>
    <w:rsid w:val="00D511E7"/>
    <w:rsid w:val="00D517ED"/>
    <w:rsid w:val="00D5251C"/>
    <w:rsid w:val="00D52675"/>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0CC"/>
    <w:rsid w:val="00D640D6"/>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C13"/>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166"/>
    <w:rsid w:val="00D926F0"/>
    <w:rsid w:val="00D92A87"/>
    <w:rsid w:val="00D92F79"/>
    <w:rsid w:val="00D9384E"/>
    <w:rsid w:val="00D93AEE"/>
    <w:rsid w:val="00D93DB4"/>
    <w:rsid w:val="00D9413E"/>
    <w:rsid w:val="00D94C8D"/>
    <w:rsid w:val="00D95F88"/>
    <w:rsid w:val="00D96698"/>
    <w:rsid w:val="00D96876"/>
    <w:rsid w:val="00D96940"/>
    <w:rsid w:val="00D96B12"/>
    <w:rsid w:val="00D96F59"/>
    <w:rsid w:val="00DA0175"/>
    <w:rsid w:val="00DA03BB"/>
    <w:rsid w:val="00DA0743"/>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A7E3A"/>
    <w:rsid w:val="00DB052F"/>
    <w:rsid w:val="00DB14D3"/>
    <w:rsid w:val="00DB154B"/>
    <w:rsid w:val="00DB1BDC"/>
    <w:rsid w:val="00DB3191"/>
    <w:rsid w:val="00DB3357"/>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187"/>
    <w:rsid w:val="00DC1395"/>
    <w:rsid w:val="00DC23B6"/>
    <w:rsid w:val="00DC2D47"/>
    <w:rsid w:val="00DC32D9"/>
    <w:rsid w:val="00DC32FC"/>
    <w:rsid w:val="00DC3D89"/>
    <w:rsid w:val="00DC4567"/>
    <w:rsid w:val="00DC4D6C"/>
    <w:rsid w:val="00DC4F47"/>
    <w:rsid w:val="00DC5059"/>
    <w:rsid w:val="00DC5860"/>
    <w:rsid w:val="00DC5BD0"/>
    <w:rsid w:val="00DC5BE2"/>
    <w:rsid w:val="00DC6284"/>
    <w:rsid w:val="00DC628E"/>
    <w:rsid w:val="00DC6474"/>
    <w:rsid w:val="00DC6747"/>
    <w:rsid w:val="00DC6AAF"/>
    <w:rsid w:val="00DC6AF3"/>
    <w:rsid w:val="00DC7608"/>
    <w:rsid w:val="00DC761E"/>
    <w:rsid w:val="00DC7B3B"/>
    <w:rsid w:val="00DC7CFC"/>
    <w:rsid w:val="00DD09F2"/>
    <w:rsid w:val="00DD0DEE"/>
    <w:rsid w:val="00DD11D4"/>
    <w:rsid w:val="00DD1205"/>
    <w:rsid w:val="00DD1633"/>
    <w:rsid w:val="00DD17A0"/>
    <w:rsid w:val="00DD18C7"/>
    <w:rsid w:val="00DD1B97"/>
    <w:rsid w:val="00DD2831"/>
    <w:rsid w:val="00DD2A6D"/>
    <w:rsid w:val="00DD2E17"/>
    <w:rsid w:val="00DD42DE"/>
    <w:rsid w:val="00DD4309"/>
    <w:rsid w:val="00DD4344"/>
    <w:rsid w:val="00DD4357"/>
    <w:rsid w:val="00DD4DDD"/>
    <w:rsid w:val="00DD51B1"/>
    <w:rsid w:val="00DD573B"/>
    <w:rsid w:val="00DD57E7"/>
    <w:rsid w:val="00DD5A1E"/>
    <w:rsid w:val="00DD5B8C"/>
    <w:rsid w:val="00DD5DFA"/>
    <w:rsid w:val="00DD5E91"/>
    <w:rsid w:val="00DD5F40"/>
    <w:rsid w:val="00DD6CE2"/>
    <w:rsid w:val="00DD712F"/>
    <w:rsid w:val="00DD720D"/>
    <w:rsid w:val="00DE0229"/>
    <w:rsid w:val="00DE04E0"/>
    <w:rsid w:val="00DE12F1"/>
    <w:rsid w:val="00DE1A9D"/>
    <w:rsid w:val="00DE1CB1"/>
    <w:rsid w:val="00DE2073"/>
    <w:rsid w:val="00DE301B"/>
    <w:rsid w:val="00DE30AC"/>
    <w:rsid w:val="00DE38D1"/>
    <w:rsid w:val="00DE3BB4"/>
    <w:rsid w:val="00DE4106"/>
    <w:rsid w:val="00DE466B"/>
    <w:rsid w:val="00DE48F4"/>
    <w:rsid w:val="00DE5196"/>
    <w:rsid w:val="00DE5563"/>
    <w:rsid w:val="00DE5C19"/>
    <w:rsid w:val="00DE5D48"/>
    <w:rsid w:val="00DE6E4D"/>
    <w:rsid w:val="00DE7498"/>
    <w:rsid w:val="00DE75EF"/>
    <w:rsid w:val="00DE7611"/>
    <w:rsid w:val="00DE7622"/>
    <w:rsid w:val="00DE7D19"/>
    <w:rsid w:val="00DF05A0"/>
    <w:rsid w:val="00DF1162"/>
    <w:rsid w:val="00DF1651"/>
    <w:rsid w:val="00DF1BA8"/>
    <w:rsid w:val="00DF1C39"/>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DC5"/>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A49"/>
    <w:rsid w:val="00E07B8F"/>
    <w:rsid w:val="00E10712"/>
    <w:rsid w:val="00E10DD1"/>
    <w:rsid w:val="00E1224C"/>
    <w:rsid w:val="00E1254C"/>
    <w:rsid w:val="00E12630"/>
    <w:rsid w:val="00E12BDF"/>
    <w:rsid w:val="00E13326"/>
    <w:rsid w:val="00E13D07"/>
    <w:rsid w:val="00E14258"/>
    <w:rsid w:val="00E14356"/>
    <w:rsid w:val="00E14961"/>
    <w:rsid w:val="00E14D76"/>
    <w:rsid w:val="00E15183"/>
    <w:rsid w:val="00E15D6C"/>
    <w:rsid w:val="00E1720B"/>
    <w:rsid w:val="00E203DE"/>
    <w:rsid w:val="00E2053F"/>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552"/>
    <w:rsid w:val="00E279B2"/>
    <w:rsid w:val="00E303C0"/>
    <w:rsid w:val="00E3055B"/>
    <w:rsid w:val="00E31687"/>
    <w:rsid w:val="00E31699"/>
    <w:rsid w:val="00E31761"/>
    <w:rsid w:val="00E31812"/>
    <w:rsid w:val="00E31889"/>
    <w:rsid w:val="00E31964"/>
    <w:rsid w:val="00E31CE7"/>
    <w:rsid w:val="00E324E8"/>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226"/>
    <w:rsid w:val="00E44F94"/>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0DC1"/>
    <w:rsid w:val="00E6103E"/>
    <w:rsid w:val="00E6185F"/>
    <w:rsid w:val="00E61D32"/>
    <w:rsid w:val="00E63C60"/>
    <w:rsid w:val="00E64050"/>
    <w:rsid w:val="00E64B7B"/>
    <w:rsid w:val="00E6514D"/>
    <w:rsid w:val="00E65161"/>
    <w:rsid w:val="00E652C9"/>
    <w:rsid w:val="00E6593B"/>
    <w:rsid w:val="00E65C4E"/>
    <w:rsid w:val="00E65D74"/>
    <w:rsid w:val="00E66E11"/>
    <w:rsid w:val="00E672C6"/>
    <w:rsid w:val="00E70192"/>
    <w:rsid w:val="00E70C55"/>
    <w:rsid w:val="00E70E34"/>
    <w:rsid w:val="00E71809"/>
    <w:rsid w:val="00E71D1E"/>
    <w:rsid w:val="00E72042"/>
    <w:rsid w:val="00E724F4"/>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3AB"/>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270"/>
    <w:rsid w:val="00EA7308"/>
    <w:rsid w:val="00EA7474"/>
    <w:rsid w:val="00EB03F6"/>
    <w:rsid w:val="00EB079D"/>
    <w:rsid w:val="00EB0831"/>
    <w:rsid w:val="00EB089C"/>
    <w:rsid w:val="00EB0AA8"/>
    <w:rsid w:val="00EB0B65"/>
    <w:rsid w:val="00EB0C65"/>
    <w:rsid w:val="00EB10EA"/>
    <w:rsid w:val="00EB1624"/>
    <w:rsid w:val="00EB169F"/>
    <w:rsid w:val="00EB2635"/>
    <w:rsid w:val="00EB2961"/>
    <w:rsid w:val="00EB2E1A"/>
    <w:rsid w:val="00EB2F8A"/>
    <w:rsid w:val="00EB3268"/>
    <w:rsid w:val="00EB3298"/>
    <w:rsid w:val="00EB3939"/>
    <w:rsid w:val="00EB3CE6"/>
    <w:rsid w:val="00EB3E92"/>
    <w:rsid w:val="00EB45C5"/>
    <w:rsid w:val="00EB54AB"/>
    <w:rsid w:val="00EB6257"/>
    <w:rsid w:val="00EB68E6"/>
    <w:rsid w:val="00EB6AE9"/>
    <w:rsid w:val="00EB6B2D"/>
    <w:rsid w:val="00EB71C9"/>
    <w:rsid w:val="00EB763E"/>
    <w:rsid w:val="00EB7B67"/>
    <w:rsid w:val="00EC07F1"/>
    <w:rsid w:val="00EC0ED7"/>
    <w:rsid w:val="00EC1E8A"/>
    <w:rsid w:val="00EC3188"/>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32F"/>
    <w:rsid w:val="00ED23D6"/>
    <w:rsid w:val="00ED3692"/>
    <w:rsid w:val="00ED37FA"/>
    <w:rsid w:val="00ED4A77"/>
    <w:rsid w:val="00ED4B6E"/>
    <w:rsid w:val="00ED5981"/>
    <w:rsid w:val="00ED613A"/>
    <w:rsid w:val="00ED6514"/>
    <w:rsid w:val="00ED66B2"/>
    <w:rsid w:val="00ED71BA"/>
    <w:rsid w:val="00ED728F"/>
    <w:rsid w:val="00ED73A1"/>
    <w:rsid w:val="00ED7CA2"/>
    <w:rsid w:val="00EE04F9"/>
    <w:rsid w:val="00EE0570"/>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26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81F"/>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7C3"/>
    <w:rsid w:val="00F13DE6"/>
    <w:rsid w:val="00F14A0C"/>
    <w:rsid w:val="00F14B08"/>
    <w:rsid w:val="00F14B4B"/>
    <w:rsid w:val="00F14CD1"/>
    <w:rsid w:val="00F15115"/>
    <w:rsid w:val="00F15A85"/>
    <w:rsid w:val="00F15C81"/>
    <w:rsid w:val="00F15D8C"/>
    <w:rsid w:val="00F15F18"/>
    <w:rsid w:val="00F16B86"/>
    <w:rsid w:val="00F16E1A"/>
    <w:rsid w:val="00F16F92"/>
    <w:rsid w:val="00F17C3E"/>
    <w:rsid w:val="00F200E3"/>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048"/>
    <w:rsid w:val="00F2525D"/>
    <w:rsid w:val="00F254C4"/>
    <w:rsid w:val="00F25641"/>
    <w:rsid w:val="00F256D8"/>
    <w:rsid w:val="00F25824"/>
    <w:rsid w:val="00F25E8C"/>
    <w:rsid w:val="00F26065"/>
    <w:rsid w:val="00F26413"/>
    <w:rsid w:val="00F266E3"/>
    <w:rsid w:val="00F2689C"/>
    <w:rsid w:val="00F27465"/>
    <w:rsid w:val="00F27E44"/>
    <w:rsid w:val="00F27E82"/>
    <w:rsid w:val="00F30313"/>
    <w:rsid w:val="00F303BC"/>
    <w:rsid w:val="00F30472"/>
    <w:rsid w:val="00F31052"/>
    <w:rsid w:val="00F318A1"/>
    <w:rsid w:val="00F31CF5"/>
    <w:rsid w:val="00F3265C"/>
    <w:rsid w:val="00F32C4A"/>
    <w:rsid w:val="00F33262"/>
    <w:rsid w:val="00F343EE"/>
    <w:rsid w:val="00F34755"/>
    <w:rsid w:val="00F353F4"/>
    <w:rsid w:val="00F35494"/>
    <w:rsid w:val="00F35607"/>
    <w:rsid w:val="00F359AB"/>
    <w:rsid w:val="00F35DBA"/>
    <w:rsid w:val="00F3619D"/>
    <w:rsid w:val="00F36DDE"/>
    <w:rsid w:val="00F3722A"/>
    <w:rsid w:val="00F37366"/>
    <w:rsid w:val="00F375C3"/>
    <w:rsid w:val="00F37C99"/>
    <w:rsid w:val="00F37FCC"/>
    <w:rsid w:val="00F419B8"/>
    <w:rsid w:val="00F41C0F"/>
    <w:rsid w:val="00F42856"/>
    <w:rsid w:val="00F42ED7"/>
    <w:rsid w:val="00F43777"/>
    <w:rsid w:val="00F4482B"/>
    <w:rsid w:val="00F44F02"/>
    <w:rsid w:val="00F44F5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91C"/>
    <w:rsid w:val="00F51A82"/>
    <w:rsid w:val="00F51B78"/>
    <w:rsid w:val="00F51BDD"/>
    <w:rsid w:val="00F52065"/>
    <w:rsid w:val="00F521CE"/>
    <w:rsid w:val="00F5253E"/>
    <w:rsid w:val="00F5254B"/>
    <w:rsid w:val="00F52CB7"/>
    <w:rsid w:val="00F52EFB"/>
    <w:rsid w:val="00F53A44"/>
    <w:rsid w:val="00F54E5E"/>
    <w:rsid w:val="00F551DB"/>
    <w:rsid w:val="00F55810"/>
    <w:rsid w:val="00F5583F"/>
    <w:rsid w:val="00F559BE"/>
    <w:rsid w:val="00F56F7E"/>
    <w:rsid w:val="00F56FEF"/>
    <w:rsid w:val="00F57521"/>
    <w:rsid w:val="00F60123"/>
    <w:rsid w:val="00F60938"/>
    <w:rsid w:val="00F60C7E"/>
    <w:rsid w:val="00F60E0A"/>
    <w:rsid w:val="00F61606"/>
    <w:rsid w:val="00F61918"/>
    <w:rsid w:val="00F62151"/>
    <w:rsid w:val="00F62AE8"/>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667"/>
    <w:rsid w:val="00F66932"/>
    <w:rsid w:val="00F67079"/>
    <w:rsid w:val="00F67777"/>
    <w:rsid w:val="00F67B58"/>
    <w:rsid w:val="00F67E81"/>
    <w:rsid w:val="00F7044B"/>
    <w:rsid w:val="00F70FD4"/>
    <w:rsid w:val="00F71342"/>
    <w:rsid w:val="00F71C68"/>
    <w:rsid w:val="00F724E2"/>
    <w:rsid w:val="00F74103"/>
    <w:rsid w:val="00F7410A"/>
    <w:rsid w:val="00F745A4"/>
    <w:rsid w:val="00F74C0C"/>
    <w:rsid w:val="00F758E1"/>
    <w:rsid w:val="00F75AF3"/>
    <w:rsid w:val="00F75BB5"/>
    <w:rsid w:val="00F75FD5"/>
    <w:rsid w:val="00F7604C"/>
    <w:rsid w:val="00F77077"/>
    <w:rsid w:val="00F773A9"/>
    <w:rsid w:val="00F8056E"/>
    <w:rsid w:val="00F805B7"/>
    <w:rsid w:val="00F8098D"/>
    <w:rsid w:val="00F810C1"/>
    <w:rsid w:val="00F81623"/>
    <w:rsid w:val="00F817D6"/>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23"/>
    <w:rsid w:val="00F912D9"/>
    <w:rsid w:val="00F91A44"/>
    <w:rsid w:val="00F91BFA"/>
    <w:rsid w:val="00F91F8F"/>
    <w:rsid w:val="00F9217B"/>
    <w:rsid w:val="00F92253"/>
    <w:rsid w:val="00F936FC"/>
    <w:rsid w:val="00F9543E"/>
    <w:rsid w:val="00F96AFD"/>
    <w:rsid w:val="00F97A34"/>
    <w:rsid w:val="00F97E4A"/>
    <w:rsid w:val="00F97EA1"/>
    <w:rsid w:val="00FA003A"/>
    <w:rsid w:val="00FA05C8"/>
    <w:rsid w:val="00FA0678"/>
    <w:rsid w:val="00FA0DB6"/>
    <w:rsid w:val="00FA13E4"/>
    <w:rsid w:val="00FA23F7"/>
    <w:rsid w:val="00FA27EB"/>
    <w:rsid w:val="00FA2970"/>
    <w:rsid w:val="00FA35B6"/>
    <w:rsid w:val="00FA3EBC"/>
    <w:rsid w:val="00FA423C"/>
    <w:rsid w:val="00FA44D0"/>
    <w:rsid w:val="00FA4590"/>
    <w:rsid w:val="00FA55A2"/>
    <w:rsid w:val="00FA672F"/>
    <w:rsid w:val="00FA775E"/>
    <w:rsid w:val="00FA7792"/>
    <w:rsid w:val="00FA7AA8"/>
    <w:rsid w:val="00FA7F1D"/>
    <w:rsid w:val="00FB011C"/>
    <w:rsid w:val="00FB0237"/>
    <w:rsid w:val="00FB0D60"/>
    <w:rsid w:val="00FB18FD"/>
    <w:rsid w:val="00FB2BF5"/>
    <w:rsid w:val="00FB2F8E"/>
    <w:rsid w:val="00FB30C3"/>
    <w:rsid w:val="00FB39B0"/>
    <w:rsid w:val="00FB5138"/>
    <w:rsid w:val="00FB547F"/>
    <w:rsid w:val="00FB5676"/>
    <w:rsid w:val="00FB5A71"/>
    <w:rsid w:val="00FB63F6"/>
    <w:rsid w:val="00FB7823"/>
    <w:rsid w:val="00FC05B2"/>
    <w:rsid w:val="00FC08B3"/>
    <w:rsid w:val="00FC09D7"/>
    <w:rsid w:val="00FC0ABE"/>
    <w:rsid w:val="00FC1269"/>
    <w:rsid w:val="00FC192D"/>
    <w:rsid w:val="00FC22D0"/>
    <w:rsid w:val="00FC38D4"/>
    <w:rsid w:val="00FC391E"/>
    <w:rsid w:val="00FC39B3"/>
    <w:rsid w:val="00FC3BB7"/>
    <w:rsid w:val="00FC4345"/>
    <w:rsid w:val="00FC444A"/>
    <w:rsid w:val="00FC453D"/>
    <w:rsid w:val="00FC4A89"/>
    <w:rsid w:val="00FC4F61"/>
    <w:rsid w:val="00FC619B"/>
    <w:rsid w:val="00FC665F"/>
    <w:rsid w:val="00FC6993"/>
    <w:rsid w:val="00FC6C35"/>
    <w:rsid w:val="00FC6D59"/>
    <w:rsid w:val="00FC7561"/>
    <w:rsid w:val="00FC78F5"/>
    <w:rsid w:val="00FC7ACA"/>
    <w:rsid w:val="00FC7AD2"/>
    <w:rsid w:val="00FD10B3"/>
    <w:rsid w:val="00FD11C3"/>
    <w:rsid w:val="00FD154E"/>
    <w:rsid w:val="00FD21ED"/>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0D"/>
    <w:rsid w:val="00FE1963"/>
    <w:rsid w:val="00FE1981"/>
    <w:rsid w:val="00FE1BF1"/>
    <w:rsid w:val="00FE3041"/>
    <w:rsid w:val="00FE33DB"/>
    <w:rsid w:val="00FE33F5"/>
    <w:rsid w:val="00FE352A"/>
    <w:rsid w:val="00FE37DD"/>
    <w:rsid w:val="00FE3C31"/>
    <w:rsid w:val="00FE4015"/>
    <w:rsid w:val="00FE44F5"/>
    <w:rsid w:val="00FE4783"/>
    <w:rsid w:val="00FE480D"/>
    <w:rsid w:val="00FE4ACC"/>
    <w:rsid w:val="00FE4F80"/>
    <w:rsid w:val="00FE54D5"/>
    <w:rsid w:val="00FE570E"/>
    <w:rsid w:val="00FE6870"/>
    <w:rsid w:val="00FE713E"/>
    <w:rsid w:val="00FE7877"/>
    <w:rsid w:val="00FE7DD1"/>
    <w:rsid w:val="00FF00FC"/>
    <w:rsid w:val="00FF0B4F"/>
    <w:rsid w:val="00FF0F58"/>
    <w:rsid w:val="00FF183C"/>
    <w:rsid w:val="00FF1A06"/>
    <w:rsid w:val="00FF1AD3"/>
    <w:rsid w:val="00FF1B46"/>
    <w:rsid w:val="00FF219D"/>
    <w:rsid w:val="00FF2A7B"/>
    <w:rsid w:val="00FF3D2B"/>
    <w:rsid w:val="00FF49B4"/>
    <w:rsid w:val="00FF49F4"/>
    <w:rsid w:val="00FF5C6A"/>
    <w:rsid w:val="00FF5DB6"/>
    <w:rsid w:val="00FF651D"/>
    <w:rsid w:val="00FF6843"/>
    <w:rsid w:val="00FF6C25"/>
    <w:rsid w:val="010651D9"/>
    <w:rsid w:val="0117101D"/>
    <w:rsid w:val="011F6449"/>
    <w:rsid w:val="01236AFB"/>
    <w:rsid w:val="019F7441"/>
    <w:rsid w:val="01B37585"/>
    <w:rsid w:val="01D55165"/>
    <w:rsid w:val="01DF6BF8"/>
    <w:rsid w:val="01EC2C57"/>
    <w:rsid w:val="025F0711"/>
    <w:rsid w:val="026B2E25"/>
    <w:rsid w:val="027F6AB2"/>
    <w:rsid w:val="02824D4D"/>
    <w:rsid w:val="02D94F25"/>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E28A6"/>
    <w:rsid w:val="05251E14"/>
    <w:rsid w:val="05507636"/>
    <w:rsid w:val="05770BD6"/>
    <w:rsid w:val="05A16594"/>
    <w:rsid w:val="05A7762D"/>
    <w:rsid w:val="05C04DC2"/>
    <w:rsid w:val="060E5941"/>
    <w:rsid w:val="06110FAF"/>
    <w:rsid w:val="06493CA7"/>
    <w:rsid w:val="0658175E"/>
    <w:rsid w:val="065A6178"/>
    <w:rsid w:val="066F1CF3"/>
    <w:rsid w:val="06930BB8"/>
    <w:rsid w:val="07245D42"/>
    <w:rsid w:val="07264C62"/>
    <w:rsid w:val="0779354C"/>
    <w:rsid w:val="07E73FEB"/>
    <w:rsid w:val="08061376"/>
    <w:rsid w:val="08452D77"/>
    <w:rsid w:val="086401F8"/>
    <w:rsid w:val="08751CAA"/>
    <w:rsid w:val="087E4C40"/>
    <w:rsid w:val="08980644"/>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A5D9A"/>
    <w:rsid w:val="0CFE707A"/>
    <w:rsid w:val="0D063BDA"/>
    <w:rsid w:val="0D08375F"/>
    <w:rsid w:val="0D184CFB"/>
    <w:rsid w:val="0D4A7419"/>
    <w:rsid w:val="0D827401"/>
    <w:rsid w:val="0D84094E"/>
    <w:rsid w:val="0D8A00E9"/>
    <w:rsid w:val="0D8D589E"/>
    <w:rsid w:val="0DA01C73"/>
    <w:rsid w:val="0DD63300"/>
    <w:rsid w:val="0DEE56BA"/>
    <w:rsid w:val="0DF50604"/>
    <w:rsid w:val="0DF702FE"/>
    <w:rsid w:val="0E060E51"/>
    <w:rsid w:val="0E5604B2"/>
    <w:rsid w:val="0E6D5D79"/>
    <w:rsid w:val="0E9D0089"/>
    <w:rsid w:val="0EB803EE"/>
    <w:rsid w:val="0ED308B1"/>
    <w:rsid w:val="0EF94D4B"/>
    <w:rsid w:val="0F4958DC"/>
    <w:rsid w:val="0F515DF7"/>
    <w:rsid w:val="0F596BA8"/>
    <w:rsid w:val="0F6248D2"/>
    <w:rsid w:val="0F693536"/>
    <w:rsid w:val="0F7B0511"/>
    <w:rsid w:val="0F7B76D9"/>
    <w:rsid w:val="0F816ACD"/>
    <w:rsid w:val="0F9832DB"/>
    <w:rsid w:val="0FBF3FD2"/>
    <w:rsid w:val="0FBF7FF3"/>
    <w:rsid w:val="104E3285"/>
    <w:rsid w:val="10646583"/>
    <w:rsid w:val="107D4B15"/>
    <w:rsid w:val="108A3C80"/>
    <w:rsid w:val="10B37569"/>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B1A0A"/>
    <w:rsid w:val="139D25C7"/>
    <w:rsid w:val="13BF3CE4"/>
    <w:rsid w:val="13C04D1D"/>
    <w:rsid w:val="141008D8"/>
    <w:rsid w:val="14125FE6"/>
    <w:rsid w:val="14234849"/>
    <w:rsid w:val="14500381"/>
    <w:rsid w:val="146D271E"/>
    <w:rsid w:val="14982588"/>
    <w:rsid w:val="149A5AD9"/>
    <w:rsid w:val="14A7619D"/>
    <w:rsid w:val="150536C3"/>
    <w:rsid w:val="150C1963"/>
    <w:rsid w:val="151447A0"/>
    <w:rsid w:val="154A6454"/>
    <w:rsid w:val="15762120"/>
    <w:rsid w:val="16A8729C"/>
    <w:rsid w:val="16B33777"/>
    <w:rsid w:val="16BC70A7"/>
    <w:rsid w:val="16C6339E"/>
    <w:rsid w:val="16FE2244"/>
    <w:rsid w:val="172F2D79"/>
    <w:rsid w:val="17557BEF"/>
    <w:rsid w:val="17D349C1"/>
    <w:rsid w:val="1830729E"/>
    <w:rsid w:val="1870062C"/>
    <w:rsid w:val="18817102"/>
    <w:rsid w:val="18830A15"/>
    <w:rsid w:val="18852B28"/>
    <w:rsid w:val="188B5321"/>
    <w:rsid w:val="18E0431E"/>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F790E"/>
    <w:rsid w:val="1BA209CF"/>
    <w:rsid w:val="1BB4777D"/>
    <w:rsid w:val="1BD75AB8"/>
    <w:rsid w:val="1BE22A26"/>
    <w:rsid w:val="1C0459C2"/>
    <w:rsid w:val="1C1B3B4A"/>
    <w:rsid w:val="1C88086E"/>
    <w:rsid w:val="1D266CE1"/>
    <w:rsid w:val="1D3963AF"/>
    <w:rsid w:val="1D6A673C"/>
    <w:rsid w:val="1D9247AE"/>
    <w:rsid w:val="1DB567EC"/>
    <w:rsid w:val="1DF51A98"/>
    <w:rsid w:val="1E1C0117"/>
    <w:rsid w:val="1E3D060F"/>
    <w:rsid w:val="1E3F7D2E"/>
    <w:rsid w:val="1E4134E4"/>
    <w:rsid w:val="1E5062B3"/>
    <w:rsid w:val="1E523514"/>
    <w:rsid w:val="1E714A66"/>
    <w:rsid w:val="1E802593"/>
    <w:rsid w:val="1E8B6156"/>
    <w:rsid w:val="1EA703CC"/>
    <w:rsid w:val="1EB7330C"/>
    <w:rsid w:val="1F0A0FF3"/>
    <w:rsid w:val="1F0C28B1"/>
    <w:rsid w:val="1F5771FF"/>
    <w:rsid w:val="1FE868A9"/>
    <w:rsid w:val="1FEB27ED"/>
    <w:rsid w:val="20034907"/>
    <w:rsid w:val="20173E4B"/>
    <w:rsid w:val="204E48BC"/>
    <w:rsid w:val="208921B3"/>
    <w:rsid w:val="20973DEB"/>
    <w:rsid w:val="20B26522"/>
    <w:rsid w:val="20B44310"/>
    <w:rsid w:val="211116EB"/>
    <w:rsid w:val="216133FC"/>
    <w:rsid w:val="21D56769"/>
    <w:rsid w:val="21E52EF3"/>
    <w:rsid w:val="21F879BF"/>
    <w:rsid w:val="21FB5D7B"/>
    <w:rsid w:val="220B1C3D"/>
    <w:rsid w:val="221D1D20"/>
    <w:rsid w:val="22334A87"/>
    <w:rsid w:val="22364F86"/>
    <w:rsid w:val="22BE6801"/>
    <w:rsid w:val="23135A49"/>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05D44"/>
    <w:rsid w:val="24D663E6"/>
    <w:rsid w:val="24D77F2B"/>
    <w:rsid w:val="25766FFE"/>
    <w:rsid w:val="25785E04"/>
    <w:rsid w:val="258B00E2"/>
    <w:rsid w:val="25A917A6"/>
    <w:rsid w:val="25BE27CC"/>
    <w:rsid w:val="25F74A5C"/>
    <w:rsid w:val="2628662C"/>
    <w:rsid w:val="262D45DE"/>
    <w:rsid w:val="267327D2"/>
    <w:rsid w:val="26871DC8"/>
    <w:rsid w:val="26A53EF9"/>
    <w:rsid w:val="26A94201"/>
    <w:rsid w:val="26AC274F"/>
    <w:rsid w:val="27044A29"/>
    <w:rsid w:val="271D34C8"/>
    <w:rsid w:val="276142BF"/>
    <w:rsid w:val="27783712"/>
    <w:rsid w:val="27907362"/>
    <w:rsid w:val="27BB382E"/>
    <w:rsid w:val="27E33311"/>
    <w:rsid w:val="2817262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B579C"/>
    <w:rsid w:val="2A7D76B4"/>
    <w:rsid w:val="2AE5365E"/>
    <w:rsid w:val="2B437463"/>
    <w:rsid w:val="2B7807EE"/>
    <w:rsid w:val="2BA50BF7"/>
    <w:rsid w:val="2BA83028"/>
    <w:rsid w:val="2BBF00EC"/>
    <w:rsid w:val="2BC37CFD"/>
    <w:rsid w:val="2BD5237F"/>
    <w:rsid w:val="2BE536CE"/>
    <w:rsid w:val="2BE758D9"/>
    <w:rsid w:val="2C09049E"/>
    <w:rsid w:val="2C0A653C"/>
    <w:rsid w:val="2C191F85"/>
    <w:rsid w:val="2CE82D6F"/>
    <w:rsid w:val="2D343236"/>
    <w:rsid w:val="2DD15014"/>
    <w:rsid w:val="2DE93141"/>
    <w:rsid w:val="2DF72DE4"/>
    <w:rsid w:val="2E0220AF"/>
    <w:rsid w:val="2E4B082A"/>
    <w:rsid w:val="2E4E3F40"/>
    <w:rsid w:val="2E5D4E86"/>
    <w:rsid w:val="2E5D790B"/>
    <w:rsid w:val="2E9A3C18"/>
    <w:rsid w:val="2EAB50E6"/>
    <w:rsid w:val="2EBB0FEE"/>
    <w:rsid w:val="2EC63002"/>
    <w:rsid w:val="2ECF737B"/>
    <w:rsid w:val="2F0A6B38"/>
    <w:rsid w:val="2F946CCB"/>
    <w:rsid w:val="2FD25781"/>
    <w:rsid w:val="2FFD7934"/>
    <w:rsid w:val="30733ACD"/>
    <w:rsid w:val="308C3862"/>
    <w:rsid w:val="309379D8"/>
    <w:rsid w:val="30A270F7"/>
    <w:rsid w:val="30C145B6"/>
    <w:rsid w:val="30DF1478"/>
    <w:rsid w:val="30EC586F"/>
    <w:rsid w:val="319C6071"/>
    <w:rsid w:val="31AC537E"/>
    <w:rsid w:val="31E3679B"/>
    <w:rsid w:val="31E732FD"/>
    <w:rsid w:val="32206EAC"/>
    <w:rsid w:val="32517576"/>
    <w:rsid w:val="32A64673"/>
    <w:rsid w:val="32BE5C2C"/>
    <w:rsid w:val="32FB6478"/>
    <w:rsid w:val="33263B3F"/>
    <w:rsid w:val="336963EB"/>
    <w:rsid w:val="33816EEB"/>
    <w:rsid w:val="33EB55CD"/>
    <w:rsid w:val="33EC4C02"/>
    <w:rsid w:val="340D2360"/>
    <w:rsid w:val="3410665D"/>
    <w:rsid w:val="34211214"/>
    <w:rsid w:val="342E63AB"/>
    <w:rsid w:val="34950E68"/>
    <w:rsid w:val="34986E94"/>
    <w:rsid w:val="34A64062"/>
    <w:rsid w:val="34AF62C9"/>
    <w:rsid w:val="34B51F03"/>
    <w:rsid w:val="34CB4388"/>
    <w:rsid w:val="34FA6E12"/>
    <w:rsid w:val="3528042F"/>
    <w:rsid w:val="354D7158"/>
    <w:rsid w:val="358D5588"/>
    <w:rsid w:val="35D3250D"/>
    <w:rsid w:val="363A3B40"/>
    <w:rsid w:val="365302AE"/>
    <w:rsid w:val="36607A0A"/>
    <w:rsid w:val="366E227C"/>
    <w:rsid w:val="366F2E0D"/>
    <w:rsid w:val="367B6A5C"/>
    <w:rsid w:val="36A74ADA"/>
    <w:rsid w:val="36AD60D5"/>
    <w:rsid w:val="36B224F9"/>
    <w:rsid w:val="36EC0CC9"/>
    <w:rsid w:val="3703112E"/>
    <w:rsid w:val="373069F1"/>
    <w:rsid w:val="373F410B"/>
    <w:rsid w:val="37883E82"/>
    <w:rsid w:val="37EE7094"/>
    <w:rsid w:val="3822770C"/>
    <w:rsid w:val="38296C89"/>
    <w:rsid w:val="383002EB"/>
    <w:rsid w:val="38586797"/>
    <w:rsid w:val="38615996"/>
    <w:rsid w:val="38BC0149"/>
    <w:rsid w:val="38D87D1C"/>
    <w:rsid w:val="3902751A"/>
    <w:rsid w:val="39636459"/>
    <w:rsid w:val="396B7F6C"/>
    <w:rsid w:val="39B417A9"/>
    <w:rsid w:val="39BC2BD2"/>
    <w:rsid w:val="39FC5695"/>
    <w:rsid w:val="3A006D8E"/>
    <w:rsid w:val="3A3651E5"/>
    <w:rsid w:val="3A4C28FB"/>
    <w:rsid w:val="3A5D5861"/>
    <w:rsid w:val="3A744481"/>
    <w:rsid w:val="3A8C7BEF"/>
    <w:rsid w:val="3A906246"/>
    <w:rsid w:val="3B2349B7"/>
    <w:rsid w:val="3B5E36D5"/>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B3607"/>
    <w:rsid w:val="3E7B5D6B"/>
    <w:rsid w:val="3E843E66"/>
    <w:rsid w:val="3E8F51FE"/>
    <w:rsid w:val="3E926F87"/>
    <w:rsid w:val="3E9A59DE"/>
    <w:rsid w:val="3EAF4836"/>
    <w:rsid w:val="3EC33DFA"/>
    <w:rsid w:val="3F060E16"/>
    <w:rsid w:val="3F077FD6"/>
    <w:rsid w:val="3F1D1096"/>
    <w:rsid w:val="3F2F0234"/>
    <w:rsid w:val="3F6363FE"/>
    <w:rsid w:val="3F756B8F"/>
    <w:rsid w:val="3F95482B"/>
    <w:rsid w:val="3F976828"/>
    <w:rsid w:val="3FE37B0A"/>
    <w:rsid w:val="4019356B"/>
    <w:rsid w:val="40592157"/>
    <w:rsid w:val="406E1CAE"/>
    <w:rsid w:val="40A0133A"/>
    <w:rsid w:val="40C31A53"/>
    <w:rsid w:val="40FF545D"/>
    <w:rsid w:val="410067C8"/>
    <w:rsid w:val="418F0D2A"/>
    <w:rsid w:val="41D01505"/>
    <w:rsid w:val="42474939"/>
    <w:rsid w:val="424C3C57"/>
    <w:rsid w:val="42594B93"/>
    <w:rsid w:val="42613FF3"/>
    <w:rsid w:val="42660D96"/>
    <w:rsid w:val="428667D2"/>
    <w:rsid w:val="42CD1CE0"/>
    <w:rsid w:val="42E1381E"/>
    <w:rsid w:val="42ED6459"/>
    <w:rsid w:val="42FE58DD"/>
    <w:rsid w:val="43174B3D"/>
    <w:rsid w:val="434B790E"/>
    <w:rsid w:val="435118F1"/>
    <w:rsid w:val="4360274F"/>
    <w:rsid w:val="43977AB6"/>
    <w:rsid w:val="43A3342B"/>
    <w:rsid w:val="43C77C27"/>
    <w:rsid w:val="43DE09EE"/>
    <w:rsid w:val="44002FAD"/>
    <w:rsid w:val="44050821"/>
    <w:rsid w:val="4430589B"/>
    <w:rsid w:val="445130E3"/>
    <w:rsid w:val="44845093"/>
    <w:rsid w:val="449101DD"/>
    <w:rsid w:val="449D00C3"/>
    <w:rsid w:val="44DE1391"/>
    <w:rsid w:val="451B225C"/>
    <w:rsid w:val="452410C9"/>
    <w:rsid w:val="45317DFB"/>
    <w:rsid w:val="4557168B"/>
    <w:rsid w:val="456D3CE4"/>
    <w:rsid w:val="4579042C"/>
    <w:rsid w:val="457F0571"/>
    <w:rsid w:val="45851176"/>
    <w:rsid w:val="45C63B94"/>
    <w:rsid w:val="45E467CB"/>
    <w:rsid w:val="460E7DA5"/>
    <w:rsid w:val="46422483"/>
    <w:rsid w:val="464505C3"/>
    <w:rsid w:val="4659254A"/>
    <w:rsid w:val="465B0637"/>
    <w:rsid w:val="465E3F0D"/>
    <w:rsid w:val="466A16E6"/>
    <w:rsid w:val="46893F2B"/>
    <w:rsid w:val="46C4686E"/>
    <w:rsid w:val="477B778F"/>
    <w:rsid w:val="478203EC"/>
    <w:rsid w:val="47B025FA"/>
    <w:rsid w:val="47D84AFB"/>
    <w:rsid w:val="4809698F"/>
    <w:rsid w:val="4811697D"/>
    <w:rsid w:val="487A3E25"/>
    <w:rsid w:val="488B5503"/>
    <w:rsid w:val="48937E21"/>
    <w:rsid w:val="489A0361"/>
    <w:rsid w:val="48B94FF3"/>
    <w:rsid w:val="48D46B0F"/>
    <w:rsid w:val="48E37AAB"/>
    <w:rsid w:val="48FD4B4C"/>
    <w:rsid w:val="490A68E0"/>
    <w:rsid w:val="491055FE"/>
    <w:rsid w:val="495F5B3E"/>
    <w:rsid w:val="496F77D7"/>
    <w:rsid w:val="497654FD"/>
    <w:rsid w:val="49B64211"/>
    <w:rsid w:val="49EE6C1C"/>
    <w:rsid w:val="49F6167F"/>
    <w:rsid w:val="4A064FA0"/>
    <w:rsid w:val="4A16615C"/>
    <w:rsid w:val="4A32126B"/>
    <w:rsid w:val="4A4424D7"/>
    <w:rsid w:val="4AB82D0F"/>
    <w:rsid w:val="4AEB7664"/>
    <w:rsid w:val="4AFD7C19"/>
    <w:rsid w:val="4B0567D1"/>
    <w:rsid w:val="4B236AAE"/>
    <w:rsid w:val="4B707271"/>
    <w:rsid w:val="4B9739F7"/>
    <w:rsid w:val="4BEE2503"/>
    <w:rsid w:val="4C245A30"/>
    <w:rsid w:val="4C676029"/>
    <w:rsid w:val="4CB6685F"/>
    <w:rsid w:val="4CC367FE"/>
    <w:rsid w:val="4CCB30C8"/>
    <w:rsid w:val="4D077F3C"/>
    <w:rsid w:val="4D123355"/>
    <w:rsid w:val="4D177624"/>
    <w:rsid w:val="4D2A3B31"/>
    <w:rsid w:val="4D312C52"/>
    <w:rsid w:val="4D905305"/>
    <w:rsid w:val="4D964A72"/>
    <w:rsid w:val="4D9C1254"/>
    <w:rsid w:val="4E793892"/>
    <w:rsid w:val="4E800872"/>
    <w:rsid w:val="4EC569ED"/>
    <w:rsid w:val="4ED50EA1"/>
    <w:rsid w:val="4EEC050C"/>
    <w:rsid w:val="4F104EC3"/>
    <w:rsid w:val="4F47354A"/>
    <w:rsid w:val="4F911C54"/>
    <w:rsid w:val="4FBF2555"/>
    <w:rsid w:val="4FE625E0"/>
    <w:rsid w:val="5021480F"/>
    <w:rsid w:val="50681141"/>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375D84"/>
    <w:rsid w:val="5244713B"/>
    <w:rsid w:val="52615633"/>
    <w:rsid w:val="52977FD4"/>
    <w:rsid w:val="52A25790"/>
    <w:rsid w:val="52A96B6F"/>
    <w:rsid w:val="52B45975"/>
    <w:rsid w:val="52CF6267"/>
    <w:rsid w:val="52D94AA4"/>
    <w:rsid w:val="52EA3A62"/>
    <w:rsid w:val="52F50BB8"/>
    <w:rsid w:val="53097272"/>
    <w:rsid w:val="53544462"/>
    <w:rsid w:val="5397158E"/>
    <w:rsid w:val="54013861"/>
    <w:rsid w:val="54487265"/>
    <w:rsid w:val="544D6070"/>
    <w:rsid w:val="54605E1E"/>
    <w:rsid w:val="547B3D6B"/>
    <w:rsid w:val="54B3506A"/>
    <w:rsid w:val="54CA0D16"/>
    <w:rsid w:val="54DD4057"/>
    <w:rsid w:val="54E7490F"/>
    <w:rsid w:val="55061018"/>
    <w:rsid w:val="550764A4"/>
    <w:rsid w:val="550B2BF6"/>
    <w:rsid w:val="55214EB5"/>
    <w:rsid w:val="55337B83"/>
    <w:rsid w:val="55364EFD"/>
    <w:rsid w:val="555D4828"/>
    <w:rsid w:val="557A4C8B"/>
    <w:rsid w:val="558931E1"/>
    <w:rsid w:val="55923347"/>
    <w:rsid w:val="55925180"/>
    <w:rsid w:val="55983B1B"/>
    <w:rsid w:val="55A8376B"/>
    <w:rsid w:val="55DC29B6"/>
    <w:rsid w:val="55DD4241"/>
    <w:rsid w:val="566B6D1E"/>
    <w:rsid w:val="569E129D"/>
    <w:rsid w:val="56B84C6A"/>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81E34"/>
    <w:rsid w:val="58917D2F"/>
    <w:rsid w:val="5894085C"/>
    <w:rsid w:val="58AE4F0C"/>
    <w:rsid w:val="58B85899"/>
    <w:rsid w:val="58DB2739"/>
    <w:rsid w:val="58E363A9"/>
    <w:rsid w:val="593F1E17"/>
    <w:rsid w:val="595E1678"/>
    <w:rsid w:val="596D5BD4"/>
    <w:rsid w:val="59780AB7"/>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A6507"/>
    <w:rsid w:val="5C02690E"/>
    <w:rsid w:val="5C196DA7"/>
    <w:rsid w:val="5C2A048C"/>
    <w:rsid w:val="5C80234E"/>
    <w:rsid w:val="5C8A680C"/>
    <w:rsid w:val="5D0C4701"/>
    <w:rsid w:val="5D0F0395"/>
    <w:rsid w:val="5D221076"/>
    <w:rsid w:val="5D397964"/>
    <w:rsid w:val="5D5A391C"/>
    <w:rsid w:val="5D5F10C0"/>
    <w:rsid w:val="5D891B7B"/>
    <w:rsid w:val="5DAD38EE"/>
    <w:rsid w:val="5DAF515E"/>
    <w:rsid w:val="5E006862"/>
    <w:rsid w:val="5E0207B9"/>
    <w:rsid w:val="5E1834A1"/>
    <w:rsid w:val="5E261785"/>
    <w:rsid w:val="5E4A7017"/>
    <w:rsid w:val="5E552BBA"/>
    <w:rsid w:val="5E611C10"/>
    <w:rsid w:val="5E74353C"/>
    <w:rsid w:val="5E7A0F3F"/>
    <w:rsid w:val="5EFC7377"/>
    <w:rsid w:val="5F012A1A"/>
    <w:rsid w:val="5F06174D"/>
    <w:rsid w:val="5F3A3602"/>
    <w:rsid w:val="5F45733B"/>
    <w:rsid w:val="5F6277C6"/>
    <w:rsid w:val="5F6D0B1D"/>
    <w:rsid w:val="5F8D0B82"/>
    <w:rsid w:val="5FCC5339"/>
    <w:rsid w:val="5FE34A5B"/>
    <w:rsid w:val="5FFE1E36"/>
    <w:rsid w:val="60102847"/>
    <w:rsid w:val="60232584"/>
    <w:rsid w:val="605864BB"/>
    <w:rsid w:val="607330CE"/>
    <w:rsid w:val="60825176"/>
    <w:rsid w:val="609F2AC4"/>
    <w:rsid w:val="60FA2EE8"/>
    <w:rsid w:val="61054A27"/>
    <w:rsid w:val="610A52BC"/>
    <w:rsid w:val="611D2366"/>
    <w:rsid w:val="61421856"/>
    <w:rsid w:val="615227C4"/>
    <w:rsid w:val="61654E3F"/>
    <w:rsid w:val="6182292A"/>
    <w:rsid w:val="619F7F92"/>
    <w:rsid w:val="61E374FF"/>
    <w:rsid w:val="61F94C26"/>
    <w:rsid w:val="62000E56"/>
    <w:rsid w:val="62244584"/>
    <w:rsid w:val="624F3E49"/>
    <w:rsid w:val="62632286"/>
    <w:rsid w:val="62885958"/>
    <w:rsid w:val="62F40B65"/>
    <w:rsid w:val="62FC2CFE"/>
    <w:rsid w:val="63024505"/>
    <w:rsid w:val="635B1DB5"/>
    <w:rsid w:val="63711FED"/>
    <w:rsid w:val="63880DDC"/>
    <w:rsid w:val="638D750D"/>
    <w:rsid w:val="63AC6CC0"/>
    <w:rsid w:val="64055776"/>
    <w:rsid w:val="64240056"/>
    <w:rsid w:val="643E143A"/>
    <w:rsid w:val="646D4056"/>
    <w:rsid w:val="648B6EEF"/>
    <w:rsid w:val="64C158BF"/>
    <w:rsid w:val="64CE2EAA"/>
    <w:rsid w:val="653C3090"/>
    <w:rsid w:val="655E4871"/>
    <w:rsid w:val="65854376"/>
    <w:rsid w:val="658767BE"/>
    <w:rsid w:val="65892531"/>
    <w:rsid w:val="66195831"/>
    <w:rsid w:val="662E75B1"/>
    <w:rsid w:val="66342C2E"/>
    <w:rsid w:val="663E784C"/>
    <w:rsid w:val="66551A38"/>
    <w:rsid w:val="668B6A45"/>
    <w:rsid w:val="671C5BD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8F2B46"/>
    <w:rsid w:val="6ADE0BD1"/>
    <w:rsid w:val="6AE96859"/>
    <w:rsid w:val="6B147746"/>
    <w:rsid w:val="6B24787C"/>
    <w:rsid w:val="6B573233"/>
    <w:rsid w:val="6B5B6274"/>
    <w:rsid w:val="6B935D53"/>
    <w:rsid w:val="6BC42979"/>
    <w:rsid w:val="6C196F71"/>
    <w:rsid w:val="6C226FCB"/>
    <w:rsid w:val="6C31226F"/>
    <w:rsid w:val="6C552F0B"/>
    <w:rsid w:val="6C8C67B7"/>
    <w:rsid w:val="6C9D744C"/>
    <w:rsid w:val="6CFE67A8"/>
    <w:rsid w:val="6D167928"/>
    <w:rsid w:val="6D26299B"/>
    <w:rsid w:val="6D4772EC"/>
    <w:rsid w:val="6D9078AF"/>
    <w:rsid w:val="6DAA3FEF"/>
    <w:rsid w:val="6DB60126"/>
    <w:rsid w:val="6DC0172B"/>
    <w:rsid w:val="6DCB690C"/>
    <w:rsid w:val="6DD41A5B"/>
    <w:rsid w:val="6DF43C2E"/>
    <w:rsid w:val="6DF51CA3"/>
    <w:rsid w:val="6DF8131E"/>
    <w:rsid w:val="6E8335BD"/>
    <w:rsid w:val="6E8E12EF"/>
    <w:rsid w:val="6E972936"/>
    <w:rsid w:val="6EAA4321"/>
    <w:rsid w:val="6EC73F63"/>
    <w:rsid w:val="6ED446C5"/>
    <w:rsid w:val="6F2A7D94"/>
    <w:rsid w:val="6F8331F1"/>
    <w:rsid w:val="6FAE1A09"/>
    <w:rsid w:val="6FC82BF6"/>
    <w:rsid w:val="6FD75BF8"/>
    <w:rsid w:val="6FFE7D34"/>
    <w:rsid w:val="70660D18"/>
    <w:rsid w:val="707723D0"/>
    <w:rsid w:val="708654E7"/>
    <w:rsid w:val="70C83C32"/>
    <w:rsid w:val="70F5661B"/>
    <w:rsid w:val="71360107"/>
    <w:rsid w:val="713B688E"/>
    <w:rsid w:val="71AF10A4"/>
    <w:rsid w:val="71D43752"/>
    <w:rsid w:val="71DB0FCF"/>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A847A4"/>
    <w:rsid w:val="75D20F1D"/>
    <w:rsid w:val="75DA2C18"/>
    <w:rsid w:val="75F54412"/>
    <w:rsid w:val="761D08E0"/>
    <w:rsid w:val="765D347C"/>
    <w:rsid w:val="76826699"/>
    <w:rsid w:val="76C87133"/>
    <w:rsid w:val="76CD08D5"/>
    <w:rsid w:val="76CE47F6"/>
    <w:rsid w:val="76DB4B92"/>
    <w:rsid w:val="77052AA4"/>
    <w:rsid w:val="77136511"/>
    <w:rsid w:val="772F416F"/>
    <w:rsid w:val="77340A39"/>
    <w:rsid w:val="77351FD0"/>
    <w:rsid w:val="77472422"/>
    <w:rsid w:val="777F31F2"/>
    <w:rsid w:val="77D1700D"/>
    <w:rsid w:val="77EC04CC"/>
    <w:rsid w:val="78775729"/>
    <w:rsid w:val="78A42DB0"/>
    <w:rsid w:val="78A656AB"/>
    <w:rsid w:val="78B2245C"/>
    <w:rsid w:val="78C50594"/>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57E5"/>
    <w:rsid w:val="7D0C32F1"/>
    <w:rsid w:val="7D0F408D"/>
    <w:rsid w:val="7D491C6C"/>
    <w:rsid w:val="7D5429C0"/>
    <w:rsid w:val="7D6E6D43"/>
    <w:rsid w:val="7D7069D2"/>
    <w:rsid w:val="7DB57A34"/>
    <w:rsid w:val="7DD22F0B"/>
    <w:rsid w:val="7DE60973"/>
    <w:rsid w:val="7DEF0916"/>
    <w:rsid w:val="7E1E5218"/>
    <w:rsid w:val="7E9A4E1F"/>
    <w:rsid w:val="7EA7723A"/>
    <w:rsid w:val="7EC825AC"/>
    <w:rsid w:val="7EF56FBB"/>
    <w:rsid w:val="7F0768EB"/>
    <w:rsid w:val="7F143BEC"/>
    <w:rsid w:val="7F715AF2"/>
    <w:rsid w:val="7F886E69"/>
    <w:rsid w:val="7FF4680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_Style 2"/>
    <w:basedOn w:val="1"/>
    <w:qFormat/>
    <w:uiPriority w:val="0"/>
    <w:pPr>
      <w:ind w:firstLine="200" w:firstLineChars="200"/>
    </w:pPr>
    <w:rPr>
      <w:sz w:val="28"/>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2"/>
    <w:qFormat/>
    <w:uiPriority w:val="0"/>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3"/>
    <w:qFormat/>
    <w:uiPriority w:val="99"/>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0"/>
    <w:pPr>
      <w:tabs>
        <w:tab w:val="center" w:pos="4153"/>
        <w:tab w:val="right" w:pos="8306"/>
      </w:tabs>
      <w:snapToGrid w:val="0"/>
      <w:jc w:val="left"/>
    </w:pPr>
    <w:rPr>
      <w:sz w:val="18"/>
      <w:szCs w:val="18"/>
    </w:rPr>
  </w:style>
  <w:style w:type="paragraph" w:styleId="41">
    <w:name w:val="header"/>
    <w:basedOn w:val="1"/>
    <w:link w:val="390"/>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qFormat/>
    <w:uiPriority w:val="0"/>
    <w:rPr>
      <w:b/>
      <w:bCs/>
    </w:rPr>
  </w:style>
  <w:style w:type="paragraph" w:styleId="61">
    <w:name w:val="Body Text First Indent"/>
    <w:basedOn w:val="2"/>
    <w:link w:val="319"/>
    <w:qFormat/>
    <w:uiPriority w:val="0"/>
    <w:pPr>
      <w:ind w:firstLine="420"/>
    </w:pPr>
    <w:rPr>
      <w:rFonts w:hAnsi="Calibri" w:cs="Times New Roman"/>
      <w:snapToGrid/>
      <w:szCs w:val="20"/>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0"/>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0"/>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99"/>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80"/>
    <w:link w:val="25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0"/>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0"/>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0"/>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Other|1"/>
    <w:basedOn w:val="1"/>
    <w:qFormat/>
    <w:uiPriority w:val="0"/>
    <w:pPr>
      <w:spacing w:line="313" w:lineRule="exact"/>
    </w:pPr>
    <w:rPr>
      <w:rFonts w:ascii="宋体" w:hAnsi="宋体" w:cs="宋体"/>
      <w:sz w:val="22"/>
      <w:szCs w:val="22"/>
      <w:lang w:val="zh-TW" w:eastAsia="zh-TW" w:bidi="zh-TW"/>
    </w:rPr>
  </w:style>
  <w:style w:type="paragraph" w:customStyle="1" w:styleId="963">
    <w:name w:val="PlainText"/>
    <w:basedOn w:val="1"/>
    <w:qFormat/>
    <w:uiPriority w:val="0"/>
    <w:pPr>
      <w:textAlignment w:val="baseline"/>
    </w:pPr>
    <w:rPr>
      <w:rFonts w:ascii="宋体" w:hAnsi="Courier New"/>
      <w:szCs w:val="20"/>
    </w:rPr>
  </w:style>
  <w:style w:type="character" w:customStyle="1" w:styleId="964">
    <w:name w:val="未处理的提及2"/>
    <w:basedOn w:val="70"/>
    <w:semiHidden/>
    <w:unhideWhenUsed/>
    <w:qFormat/>
    <w:uiPriority w:val="99"/>
    <w:rPr>
      <w:color w:val="605E5C"/>
      <w:shd w:val="clear" w:color="auto" w:fill="E1DFDD"/>
    </w:rPr>
  </w:style>
  <w:style w:type="character" w:customStyle="1" w:styleId="965">
    <w:name w:val="bookmark-item"/>
    <w:basedOn w:val="70"/>
    <w:qFormat/>
    <w:uiPriority w:val="0"/>
  </w:style>
  <w:style w:type="character" w:customStyle="1" w:styleId="966">
    <w:name w:val="未处理的提及3"/>
    <w:basedOn w:val="70"/>
    <w:semiHidden/>
    <w:unhideWhenUsed/>
    <w:qFormat/>
    <w:uiPriority w:val="99"/>
    <w:rPr>
      <w:color w:val="605E5C"/>
      <w:shd w:val="clear" w:color="auto" w:fill="E1DFDD"/>
    </w:rPr>
  </w:style>
  <w:style w:type="character" w:customStyle="1" w:styleId="967">
    <w:name w:val="NormalCharacter"/>
    <w:qFormat/>
    <w:uiPriority w:val="0"/>
  </w:style>
  <w:style w:type="paragraph" w:customStyle="1" w:styleId="968">
    <w:name w:val="[Normal]"/>
    <w:qFormat/>
    <w:uiPriority w:val="0"/>
    <w:rPr>
      <w:rFonts w:ascii="宋体" w:hAnsi="宋体" w:eastAsia="宋体" w:cs="Times New Roman"/>
      <w:sz w:val="24"/>
      <w:szCs w:val="22"/>
      <w:lang w:val="zh-CN" w:eastAsia="zh-CN" w:bidi="ar-SA"/>
    </w:rPr>
  </w:style>
  <w:style w:type="character" w:customStyle="1" w:styleId="969">
    <w:name w:val="未处理的提及4"/>
    <w:basedOn w:val="70"/>
    <w:semiHidden/>
    <w:unhideWhenUsed/>
    <w:qFormat/>
    <w:uiPriority w:val="99"/>
    <w:rPr>
      <w:color w:val="605E5C"/>
      <w:shd w:val="clear" w:color="auto" w:fill="E1DFDD"/>
    </w:rPr>
  </w:style>
  <w:style w:type="character" w:customStyle="1" w:styleId="970">
    <w:name w:val="未处理的提及5"/>
    <w:basedOn w:val="70"/>
    <w:semiHidden/>
    <w:unhideWhenUsed/>
    <w:qFormat/>
    <w:uiPriority w:val="99"/>
    <w:rPr>
      <w:color w:val="605E5C"/>
      <w:shd w:val="clear" w:color="auto" w:fill="E1DFDD"/>
    </w:rPr>
  </w:style>
  <w:style w:type="character" w:customStyle="1" w:styleId="971">
    <w:name w:val="Char Char210"/>
    <w:qFormat/>
    <w:uiPriority w:val="0"/>
    <w:rPr>
      <w:rFonts w:ascii="宋体" w:hAnsi="宋体" w:eastAsia="宋体"/>
      <w:color w:val="000000"/>
      <w:kern w:val="1"/>
      <w:sz w:val="28"/>
      <w:lang w:val="en-US" w:eastAsia="zh-CN" w:bidi="ar-SA"/>
    </w:rPr>
  </w:style>
  <w:style w:type="character" w:customStyle="1" w:styleId="972">
    <w:name w:val="style9"/>
    <w:basedOn w:val="70"/>
    <w:qFormat/>
    <w:uiPriority w:val="0"/>
  </w:style>
  <w:style w:type="character" w:customStyle="1" w:styleId="973">
    <w:name w:val="Char Char42"/>
    <w:qFormat/>
    <w:uiPriority w:val="0"/>
    <w:rPr>
      <w:rFonts w:ascii="宋体" w:hAnsi="宋体" w:eastAsia="宋体"/>
      <w:kern w:val="1"/>
      <w:sz w:val="21"/>
      <w:lang w:val="en-US" w:eastAsia="zh-CN" w:bidi="ar-SA"/>
    </w:rPr>
  </w:style>
  <w:style w:type="character" w:customStyle="1" w:styleId="974">
    <w:name w:val="selected"/>
    <w:qFormat/>
    <w:uiPriority w:val="0"/>
    <w:rPr>
      <w:shd w:val="clear" w:color="auto" w:fill="B00006"/>
    </w:rPr>
  </w:style>
  <w:style w:type="character" w:customStyle="1" w:styleId="975">
    <w:name w:val="Char Char38"/>
    <w:qFormat/>
    <w:uiPriority w:val="0"/>
    <w:rPr>
      <w:kern w:val="1"/>
      <w:sz w:val="21"/>
      <w:szCs w:val="24"/>
    </w:rPr>
  </w:style>
  <w:style w:type="character" w:customStyle="1" w:styleId="976">
    <w:name w:val="Char Char83"/>
    <w:qFormat/>
    <w:uiPriority w:val="0"/>
    <w:rPr>
      <w:rFonts w:eastAsia="宋体"/>
      <w:kern w:val="1"/>
      <w:sz w:val="18"/>
      <w:szCs w:val="18"/>
      <w:lang w:val="en-US" w:eastAsia="zh-CN" w:bidi="ar-SA"/>
    </w:rPr>
  </w:style>
  <w:style w:type="character" w:customStyle="1" w:styleId="977">
    <w:name w:val="Char Char103"/>
    <w:qFormat/>
    <w:uiPriority w:val="0"/>
    <w:rPr>
      <w:rFonts w:ascii="Cambria" w:hAnsi="Cambria"/>
      <w:b/>
      <w:kern w:val="1"/>
      <w:sz w:val="32"/>
      <w:szCs w:val="32"/>
    </w:rPr>
  </w:style>
  <w:style w:type="character" w:customStyle="1" w:styleId="978">
    <w:name w:val="Char Char39"/>
    <w:qFormat/>
    <w:uiPriority w:val="0"/>
    <w:rPr>
      <w:rFonts w:ascii="楷体_GB2312" w:hAnsi="楷体_GB2312" w:eastAsia="楷体_GB2312"/>
      <w:kern w:val="1"/>
      <w:sz w:val="24"/>
      <w:szCs w:val="24"/>
    </w:rPr>
  </w:style>
  <w:style w:type="character" w:customStyle="1" w:styleId="979">
    <w:name w:val="样式 正文文本 Char"/>
    <w:qFormat/>
    <w:uiPriority w:val="0"/>
    <w:rPr>
      <w:rFonts w:ascii="Arial" w:hAnsi="Arial" w:eastAsia="宋体"/>
      <w:color w:val="000000"/>
      <w:kern w:val="1"/>
      <w:sz w:val="21"/>
      <w:lang w:val="en-US" w:eastAsia="zh-CN" w:bidi="ar-SA"/>
    </w:rPr>
  </w:style>
  <w:style w:type="character" w:customStyle="1" w:styleId="980">
    <w:name w:val="Char Char93"/>
    <w:qFormat/>
    <w:uiPriority w:val="0"/>
    <w:rPr>
      <w:rFonts w:ascii="宋体" w:hAnsi="宋体"/>
      <w:sz w:val="24"/>
      <w:szCs w:val="24"/>
    </w:rPr>
  </w:style>
  <w:style w:type="character" w:customStyle="1" w:styleId="981">
    <w:name w:val="displayarti"/>
    <w:qFormat/>
    <w:uiPriority w:val="0"/>
    <w:rPr>
      <w:color w:val="FFFFFF"/>
      <w:shd w:val="clear" w:color="auto" w:fill="A00000"/>
    </w:rPr>
  </w:style>
  <w:style w:type="character" w:customStyle="1" w:styleId="982">
    <w:name w:val="gpa"/>
    <w:qFormat/>
    <w:uiPriority w:val="0"/>
    <w:rPr>
      <w:rFonts w:ascii="Arial" w:hAnsi="Arial" w:cs="Arial"/>
      <w:sz w:val="12"/>
      <w:szCs w:val="12"/>
    </w:rPr>
  </w:style>
  <w:style w:type="character" w:customStyle="1" w:styleId="983">
    <w:name w:val="样式1 Char"/>
    <w:qFormat/>
    <w:uiPriority w:val="0"/>
    <w:rPr>
      <w:rFonts w:ascii="宋体" w:hAnsi="宋体"/>
      <w:kern w:val="1"/>
      <w:sz w:val="21"/>
      <w:szCs w:val="21"/>
    </w:rPr>
  </w:style>
  <w:style w:type="character" w:customStyle="1" w:styleId="984">
    <w:name w:val="Char Char73"/>
    <w:qFormat/>
    <w:uiPriority w:val="0"/>
    <w:rPr>
      <w:rFonts w:eastAsia="宋体"/>
      <w:kern w:val="1"/>
      <w:sz w:val="18"/>
      <w:szCs w:val="18"/>
      <w:lang w:val="en-US" w:eastAsia="zh-CN" w:bidi="ar-SA"/>
    </w:rPr>
  </w:style>
  <w:style w:type="character" w:customStyle="1" w:styleId="985">
    <w:name w:val="Char Char114"/>
    <w:qFormat/>
    <w:uiPriority w:val="0"/>
    <w:rPr>
      <w:b/>
      <w:kern w:val="1"/>
      <w:sz w:val="32"/>
      <w:szCs w:val="32"/>
    </w:rPr>
  </w:style>
  <w:style w:type="character" w:customStyle="1" w:styleId="986">
    <w:name w:val="Char Char53"/>
    <w:qFormat/>
    <w:uiPriority w:val="0"/>
    <w:rPr>
      <w:rFonts w:ascii="楷体_GB2312" w:hAnsi="楷体_GB2312" w:eastAsia="楷体_GB2312"/>
      <w:kern w:val="1"/>
      <w:sz w:val="24"/>
      <w:szCs w:val="24"/>
      <w:lang w:val="en-US" w:eastAsia="zh-CN" w:bidi="ar-SA"/>
    </w:rPr>
  </w:style>
  <w:style w:type="character" w:customStyle="1" w:styleId="987">
    <w:name w:val="Char Char115"/>
    <w:qFormat/>
    <w:uiPriority w:val="0"/>
    <w:rPr>
      <w:b/>
      <w:kern w:val="1"/>
      <w:sz w:val="21"/>
      <w:szCs w:val="24"/>
    </w:rPr>
  </w:style>
  <w:style w:type="character" w:customStyle="1" w:styleId="988">
    <w:name w:val="Char Char62"/>
    <w:qFormat/>
    <w:uiPriority w:val="0"/>
    <w:rPr>
      <w:kern w:val="1"/>
      <w:sz w:val="18"/>
      <w:szCs w:val="18"/>
    </w:rPr>
  </w:style>
  <w:style w:type="paragraph" w:customStyle="1" w:styleId="989">
    <w:name w:val="样式 正文文本"/>
    <w:basedOn w:val="1"/>
    <w:qFormat/>
    <w:uiPriority w:val="0"/>
    <w:pPr>
      <w:adjustRightInd/>
      <w:spacing w:line="400" w:lineRule="exact"/>
      <w:ind w:firstLine="200"/>
    </w:pPr>
    <w:rPr>
      <w:rFonts w:ascii="Arial" w:hAnsi="Arial" w:cs="Arial"/>
      <w:color w:val="000000"/>
      <w:kern w:val="1"/>
      <w:szCs w:val="20"/>
    </w:rPr>
  </w:style>
  <w:style w:type="paragraph" w:customStyle="1" w:styleId="990">
    <w:name w:val="尊意如何，请即示知。"/>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1">
    <w:name w:val="样式 标题 2 + Times New Roman 四号 非加粗 段前: 5 磅 段后: 0 磅 行距: 固定值 20..."/>
    <w:basedOn w:val="5"/>
    <w:qFormat/>
    <w:uiPriority w:val="0"/>
    <w:pPr>
      <w:tabs>
        <w:tab w:val="clear" w:pos="432"/>
      </w:tabs>
      <w:spacing w:before="100" w:line="400" w:lineRule="exact"/>
      <w:ind w:left="0" w:firstLine="0"/>
      <w:jc w:val="both"/>
    </w:pPr>
    <w:rPr>
      <w:rFonts w:ascii="Times New Roman" w:hAnsi="Times New Roman" w:eastAsia="黑体" w:cs="宋体"/>
      <w:b w:val="0"/>
      <w:bCs w:val="0"/>
      <w:color w:val="000000"/>
      <w:kern w:val="1"/>
      <w:sz w:val="28"/>
      <w:szCs w:val="20"/>
      <w:lang w:val="en-US"/>
    </w:rPr>
  </w:style>
  <w:style w:type="paragraph" w:customStyle="1" w:styleId="992">
    <w:name w:val="作者"/>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3">
    <w:name w:val="请勿折叠！"/>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4">
    <w:name w:val="文件名"/>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5">
    <w:name w:val="参考:"/>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6">
    <w:name w:val="奉恳之事，乞速复为荷。"/>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7">
    <w:name w:val="文件名和路径"/>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8">
    <w:name w:val="关于:"/>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999">
    <w:name w:val="第 X 页 共 Y 页"/>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0">
    <w:name w:val="机密、页码、日期"/>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1">
    <w:name w:val="创建日期"/>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2">
    <w:name w:val="久不通函，至以为念。"/>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3">
    <w:name w:val="顺颂商祺！"/>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4">
    <w:name w:val="答复:"/>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5">
    <w:name w:val="fond1"/>
    <w:basedOn w:val="1"/>
    <w:qFormat/>
    <w:uiPriority w:val="0"/>
    <w:pPr>
      <w:widowControl/>
      <w:adjustRightInd/>
      <w:spacing w:before="100" w:beforeAutospacing="1" w:after="100" w:afterAutospacing="1" w:line="270" w:lineRule="atLeast"/>
      <w:jc w:val="left"/>
    </w:pPr>
    <w:rPr>
      <w:rFonts w:ascii="宋体" w:hAnsi="宋体" w:cs="宋体"/>
      <w:color w:val="000000"/>
      <w:kern w:val="0"/>
      <w:sz w:val="18"/>
      <w:szCs w:val="18"/>
    </w:rPr>
  </w:style>
  <w:style w:type="paragraph" w:customStyle="1" w:styleId="1006">
    <w:name w:val="分手多日，近况如何？"/>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7">
    <w:name w:val="- 页码 -"/>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8">
    <w:name w:val="前上一函，谅达雅鉴，迄今未闻复音。"/>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09">
    <w:name w:val="惠书敬悉，迟复为歉。"/>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0">
    <w:name w:val="匆此先复，余容后禀。"/>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1">
    <w:name w:val="注"/>
    <w:basedOn w:val="1"/>
    <w:qFormat/>
    <w:uiPriority w:val="0"/>
    <w:pPr>
      <w:adjustRightInd/>
      <w:spacing w:line="360" w:lineRule="atLeast"/>
      <w:ind w:left="840" w:hanging="420"/>
    </w:pPr>
    <w:rPr>
      <w:color w:val="000000"/>
      <w:kern w:val="0"/>
      <w:szCs w:val="20"/>
    </w:rPr>
  </w:style>
  <w:style w:type="paragraph" w:customStyle="1" w:styleId="1012">
    <w:name w:val="Char7"/>
    <w:basedOn w:val="1"/>
    <w:qFormat/>
    <w:uiPriority w:val="0"/>
    <w:pPr>
      <w:adjustRightInd/>
    </w:pPr>
    <w:rPr>
      <w:rFonts w:ascii="仿宋_GB2312" w:hAnsi="仿宋_GB2312" w:eastAsia="仿宋_GB2312"/>
      <w:b/>
      <w:color w:val="000000"/>
      <w:kern w:val="1"/>
      <w:sz w:val="32"/>
      <w:szCs w:val="32"/>
    </w:rPr>
  </w:style>
  <w:style w:type="paragraph" w:customStyle="1" w:styleId="1013">
    <w:name w:val="知尊恙复发，心甚念之。"/>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4">
    <w:name w:val="自动更正"/>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5">
    <w:name w:val="亲启"/>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6">
    <w:name w:val="音问久疏，唯愿一切康适。"/>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7">
    <w:name w:val="作者、页码、日期"/>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8">
    <w:name w:val="近来寒暑不常，希自珍慰。"/>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19">
    <w:name w:val="奉读大示，心折殊深。"/>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20">
    <w:name w:val="上次保存者"/>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21">
    <w:name w:val="WPSOffice手动目录 1"/>
    <w:qFormat/>
    <w:uiPriority w:val="0"/>
    <w:rPr>
      <w:rFonts w:ascii="Times New Roman" w:hAnsi="Times New Roman" w:eastAsia="宋体" w:cs="Times New Roman"/>
      <w:lang w:val="en-US" w:eastAsia="zh-CN" w:bidi="ar-SA"/>
    </w:rPr>
  </w:style>
  <w:style w:type="paragraph" w:customStyle="1" w:styleId="1022">
    <w:name w:val="样式 标题 3 + (中文) 黑体 小四 非加粗 段前: 7.8 磅 段后: 0 磅 行距: 固定值 20 磅"/>
    <w:basedOn w:val="6"/>
    <w:qFormat/>
    <w:uiPriority w:val="0"/>
    <w:pPr>
      <w:tabs>
        <w:tab w:val="clear" w:pos="900"/>
      </w:tabs>
      <w:adjustRightInd/>
      <w:spacing w:before="0" w:after="0" w:line="400" w:lineRule="exact"/>
      <w:ind w:left="0" w:firstLine="0"/>
    </w:pPr>
    <w:rPr>
      <w:rFonts w:eastAsia="黑体" w:cs="宋体"/>
      <w:b w:val="0"/>
      <w:bCs w:val="0"/>
      <w:color w:val="000000"/>
      <w:kern w:val="1"/>
      <w:sz w:val="24"/>
      <w:szCs w:val="20"/>
      <w:lang w:val="zh-CN"/>
    </w:rPr>
  </w:style>
  <w:style w:type="paragraph" w:customStyle="1" w:styleId="1023">
    <w:name w:val="title1"/>
    <w:basedOn w:val="1"/>
    <w:qFormat/>
    <w:uiPriority w:val="0"/>
    <w:pPr>
      <w:widowControl/>
      <w:adjustRightInd/>
      <w:spacing w:before="100" w:beforeAutospacing="1" w:after="100" w:afterAutospacing="1"/>
      <w:jc w:val="left"/>
    </w:pPr>
    <w:rPr>
      <w:rFonts w:ascii="宋体" w:hAnsi="宋体" w:cs="宋体"/>
      <w:color w:val="000000"/>
      <w:kern w:val="0"/>
      <w:sz w:val="24"/>
    </w:rPr>
  </w:style>
  <w:style w:type="paragraph" w:customStyle="1" w:styleId="1024">
    <w:name w:val="敬启者："/>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25">
    <w:name w:val="叩请金安！"/>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26">
    <w:name w:val="临书仓促，不尽欲言。"/>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27">
    <w:name w:val="上次打印时间"/>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28">
    <w:name w:val="纸短情长，再祈珍重！"/>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29">
    <w:name w:val="内文正文"/>
    <w:qFormat/>
    <w:uiPriority w:val="0"/>
    <w:pPr>
      <w:spacing w:line="400" w:lineRule="exact"/>
      <w:ind w:firstLine="200"/>
      <w:jc w:val="both"/>
    </w:pPr>
    <w:rPr>
      <w:rFonts w:ascii="宋体" w:hAnsi="宋体" w:eastAsia="宋体" w:cs="???|CS?o｡ﾀ?"/>
      <w:color w:val="000000"/>
      <w:sz w:val="21"/>
      <w:lang w:val="en-US" w:eastAsia="zh-CN" w:bidi="ar-SA"/>
    </w:rPr>
  </w:style>
  <w:style w:type="paragraph" w:customStyle="1" w:styleId="1030">
    <w:name w:val="主题:"/>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31">
    <w:name w:val="先生/女士："/>
    <w:qFormat/>
    <w:uiPriority w:val="0"/>
    <w:pPr>
      <w:widowControl w:val="0"/>
      <w:jc w:val="both"/>
    </w:pPr>
    <w:rPr>
      <w:rFonts w:ascii="Times New Roman" w:hAnsi="Times New Roman" w:eastAsia="宋体" w:cs="Times New Roman"/>
      <w:color w:val="000000"/>
      <w:kern w:val="1"/>
      <w:sz w:val="21"/>
      <w:lang w:val="en-US" w:eastAsia="zh-CN" w:bidi="ar-SA"/>
    </w:rPr>
  </w:style>
  <w:style w:type="paragraph" w:customStyle="1" w:styleId="1032">
    <w:name w:val="Char Char1 Char Char Char Char Char Char Char"/>
    <w:basedOn w:val="1"/>
    <w:qFormat/>
    <w:uiPriority w:val="0"/>
    <w:pPr>
      <w:widowControl/>
      <w:spacing w:after="160" w:line="240" w:lineRule="exact"/>
      <w:jc w:val="left"/>
    </w:pPr>
    <w:rPr>
      <w:rFonts w:ascii="Calibri" w:hAnsi="Calibri"/>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FC331E-EECD-4D59-B806-29EA7A80BEFC}">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39</Pages>
  <Words>17025</Words>
  <Characters>18210</Characters>
  <Lines>54</Lines>
  <Paragraphs>64</Paragraphs>
  <TotalTime>2</TotalTime>
  <ScaleCrop>false</ScaleCrop>
  <LinksUpToDate>false</LinksUpToDate>
  <CharactersWithSpaces>20421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信达</cp:lastModifiedBy>
  <cp:lastPrinted>2021-12-27T03:06:00Z</cp:lastPrinted>
  <dcterms:modified xsi:type="dcterms:W3CDTF">2023-03-17T08:37:36Z</dcterms:modified>
  <dc:title>杭州市市民卡扩大发卡工程</dc:title>
  <cp:revision>568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D641BE87B3B84AD18148466E4AD6FD87</vt:lpwstr>
  </property>
</Properties>
</file>